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楷体" w:hAnsi="楷体" w:eastAsia="楷体" w:cs="楷体"/>
          <w:b/>
          <w:bCs/>
          <w:sz w:val="72"/>
          <w:szCs w:val="72"/>
        </w:rPr>
      </w:pPr>
    </w:p>
    <w:p>
      <w:pPr>
        <w:widowControl/>
        <w:rPr>
          <w:sz w:val="144"/>
          <w:szCs w:val="144"/>
        </w:rPr>
      </w:pPr>
      <w:bookmarkStart w:id="268" w:name="_GoBack"/>
      <w:bookmarkEnd w:id="268"/>
    </w:p>
    <w:p>
      <w:pPr>
        <w:widowControl/>
        <w:jc w:val="left"/>
        <w:rPr>
          <w:sz w:val="32"/>
          <w:szCs w:val="32"/>
        </w:rPr>
      </w:pPr>
    </w:p>
    <w:p>
      <w:pPr>
        <w:widowControl/>
        <w:jc w:val="center"/>
        <w:rPr>
          <w:rFonts w:ascii="仿宋" w:hAnsi="仿宋" w:eastAsia="仿宋" w:cs="仿宋"/>
          <w:sz w:val="52"/>
          <w:szCs w:val="52"/>
        </w:rPr>
      </w:pPr>
      <w:r>
        <w:rPr>
          <w:rFonts w:hint="eastAsia" w:ascii="仿宋" w:hAnsi="仿宋" w:eastAsia="仿宋" w:cs="仿宋"/>
          <w:sz w:val="52"/>
          <w:szCs w:val="52"/>
        </w:rPr>
        <w:t>仪器与电子学院</w:t>
      </w:r>
    </w:p>
    <w:p>
      <w:pPr>
        <w:widowControl/>
        <w:spacing w:before="480" w:beforeLines="200"/>
        <w:jc w:val="center"/>
        <w:rPr>
          <w:rFonts w:ascii="微软雅黑" w:hAnsi="微软雅黑" w:eastAsia="微软雅黑" w:cs="微软雅黑"/>
          <w:b/>
          <w:bCs/>
          <w:spacing w:val="85"/>
          <w:sz w:val="72"/>
          <w:szCs w:val="72"/>
        </w:rPr>
      </w:pPr>
      <w:r>
        <w:rPr>
          <w:rFonts w:hint="eastAsia" w:ascii="微软雅黑" w:hAnsi="微软雅黑" w:eastAsia="微软雅黑" w:cs="微软雅黑"/>
          <w:b/>
          <w:bCs/>
          <w:spacing w:val="85"/>
          <w:sz w:val="72"/>
          <w:szCs w:val="72"/>
        </w:rPr>
        <w:t>课程教学大纲</w:t>
      </w:r>
    </w:p>
    <w:p>
      <w:pPr>
        <w:widowControl/>
        <w:ind w:firstLine="1680" w:firstLineChars="800"/>
        <w:jc w:val="left"/>
      </w:pPr>
    </w:p>
    <w:p>
      <w:pPr>
        <w:widowControl/>
        <w:ind w:firstLine="1680" w:firstLineChars="800"/>
        <w:jc w:val="left"/>
      </w:pPr>
    </w:p>
    <w:p>
      <w:pPr>
        <w:widowControl/>
        <w:jc w:val="center"/>
        <w:rPr>
          <w:rFonts w:ascii="仿宋" w:hAnsi="仿宋" w:eastAsia="仿宋" w:cs="仿宋"/>
          <w:sz w:val="28"/>
          <w:szCs w:val="24"/>
        </w:rPr>
      </w:pPr>
      <w:r>
        <w:rPr>
          <w:rFonts w:hint="eastAsia" w:ascii="仿宋" w:hAnsi="仿宋" w:eastAsia="仿宋" w:cs="仿宋"/>
          <w:sz w:val="28"/>
          <w:szCs w:val="24"/>
        </w:rPr>
        <w:t>（适用于2019版培养方案）</w:t>
      </w: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spacing w:line="360" w:lineRule="auto"/>
        <w:ind w:firstLine="2240" w:firstLineChars="800"/>
        <w:jc w:val="left"/>
        <w:rPr>
          <w:rFonts w:ascii="仿宋" w:hAnsi="仿宋" w:eastAsia="仿宋" w:cs="仿宋"/>
          <w:sz w:val="28"/>
          <w:szCs w:val="24"/>
        </w:rPr>
      </w:pPr>
    </w:p>
    <w:p>
      <w:pPr>
        <w:widowControl/>
        <w:ind w:firstLine="2240" w:firstLineChars="800"/>
        <w:jc w:val="left"/>
        <w:rPr>
          <w:rFonts w:ascii="仿宋" w:hAnsi="仿宋" w:eastAsia="仿宋" w:cs="仿宋"/>
          <w:sz w:val="28"/>
          <w:szCs w:val="24"/>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spacing w:line="360" w:lineRule="auto"/>
        <w:jc w:val="center"/>
        <w:rPr>
          <w:rFonts w:ascii="仿宋" w:hAnsi="仿宋" w:eastAsia="仿宋" w:cs="仿宋"/>
          <w:sz w:val="28"/>
          <w:szCs w:val="24"/>
        </w:rPr>
      </w:pPr>
      <w:r>
        <w:rPr>
          <w:rFonts w:hint="eastAsia" w:ascii="仿宋" w:hAnsi="仿宋" w:eastAsia="仿宋" w:cs="仿宋"/>
          <w:sz w:val="28"/>
          <w:szCs w:val="24"/>
        </w:rPr>
        <w:t>适用于</w:t>
      </w:r>
    </w:p>
    <w:p>
      <w:pPr>
        <w:widowControl/>
        <w:spacing w:line="360" w:lineRule="auto"/>
        <w:jc w:val="center"/>
        <w:rPr>
          <w:rFonts w:ascii="仿宋" w:hAnsi="仿宋" w:eastAsia="仿宋" w:cs="仿宋"/>
          <w:b/>
          <w:bCs/>
          <w:sz w:val="28"/>
          <w:szCs w:val="24"/>
        </w:rPr>
      </w:pPr>
      <w:r>
        <w:rPr>
          <w:rFonts w:hint="eastAsia" w:ascii="仿宋" w:hAnsi="仿宋" w:eastAsia="仿宋" w:cs="仿宋"/>
          <w:b/>
          <w:bCs/>
          <w:sz w:val="28"/>
          <w:szCs w:val="24"/>
        </w:rPr>
        <w:t>电子科学与技术专业</w:t>
      </w: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ind w:firstLine="1680" w:firstLineChars="800"/>
        <w:jc w:val="left"/>
        <w:rPr>
          <w:rFonts w:ascii="仿宋" w:hAnsi="仿宋" w:eastAsia="仿宋" w:cs="仿宋"/>
        </w:rPr>
      </w:pPr>
    </w:p>
    <w:p>
      <w:pPr>
        <w:widowControl/>
        <w:jc w:val="center"/>
        <w:rPr>
          <w:rFonts w:ascii="仿宋" w:hAnsi="仿宋" w:eastAsia="仿宋" w:cs="仿宋"/>
          <w:sz w:val="32"/>
          <w:szCs w:val="32"/>
        </w:rPr>
      </w:pPr>
      <w:r>
        <w:rPr>
          <w:rFonts w:hint="eastAsia" w:ascii="仿宋" w:hAnsi="仿宋" w:eastAsia="仿宋" w:cs="仿宋"/>
          <w:sz w:val="32"/>
          <w:szCs w:val="32"/>
        </w:rPr>
        <w:t>2019年5月修订</w:t>
      </w:r>
    </w:p>
    <w:p>
      <w:pPr>
        <w:widowControl/>
        <w:jc w:val="center"/>
        <w:rPr>
          <w:rFonts w:ascii="仿宋" w:hAnsi="仿宋" w:eastAsia="仿宋" w:cs="仿宋"/>
          <w:sz w:val="32"/>
          <w:szCs w:val="32"/>
        </w:rPr>
      </w:pPr>
    </w:p>
    <w:p>
      <w:pPr>
        <w:widowControl/>
        <w:jc w:val="center"/>
        <w:rPr>
          <w:rFonts w:ascii="仿宋" w:hAnsi="仿宋" w:eastAsia="仿宋" w:cs="仿宋"/>
          <w:sz w:val="32"/>
          <w:szCs w:val="32"/>
        </w:rPr>
      </w:pPr>
    </w:p>
    <w:p>
      <w:pPr>
        <w:pStyle w:val="45"/>
        <w:spacing w:line="360" w:lineRule="auto"/>
        <w:ind w:firstLine="0" w:firstLineChars="0"/>
        <w:jc w:val="center"/>
        <w:rPr>
          <w:rFonts w:ascii="黑体" w:hAnsi="黑体" w:eastAsia="黑体"/>
          <w:b/>
          <w:sz w:val="28"/>
          <w:szCs w:val="28"/>
        </w:rPr>
      </w:pPr>
      <w:bookmarkStart w:id="0" w:name="_Toc46997442"/>
      <w:r>
        <w:rPr>
          <w:rFonts w:hint="eastAsia" w:ascii="黑体" w:hAnsi="黑体" w:eastAsia="黑体"/>
          <w:b/>
          <w:sz w:val="28"/>
          <w:szCs w:val="28"/>
        </w:rPr>
        <w:t>目  录</w:t>
      </w:r>
      <w:bookmarkEnd w:id="0"/>
    </w:p>
    <w:p>
      <w:pPr>
        <w:pStyle w:val="9"/>
        <w:tabs>
          <w:tab w:val="right" w:leader="dot" w:pos="8312"/>
        </w:tabs>
        <w:spacing w:line="312" w:lineRule="auto"/>
        <w:ind w:left="0" w:leftChars="0"/>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fldChar w:fldCharType="begin"/>
      </w:r>
      <w:r>
        <w:instrText xml:space="preserve"> HYPERLINK \l "_Toc5230" </w:instrText>
      </w:r>
      <w:r>
        <w:fldChar w:fldCharType="separate"/>
      </w:r>
      <w:r>
        <w:rPr>
          <w:rFonts w:hint="eastAsia" w:ascii="宋体" w:hAnsi="宋体" w:eastAsia="宋体" w:cs="宋体"/>
        </w:rPr>
        <w:t>《X01070001-C语言程序设计》教学大纲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_Toc5230 </w:instrText>
      </w:r>
      <w:r>
        <w:rPr>
          <w:rFonts w:hint="eastAsia" w:ascii="宋体" w:hAnsi="宋体" w:eastAsia="宋体" w:cs="宋体"/>
        </w:rPr>
        <w:fldChar w:fldCharType="separate"/>
      </w:r>
      <w:r>
        <w:rPr>
          <w:rFonts w:ascii="宋体" w:hAnsi="宋体" w:eastAsia="宋体" w:cs="宋体"/>
        </w:rPr>
        <w:t>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"_Toc1613" </w:instrText>
      </w:r>
      <w:r>
        <w:fldChar w:fldCharType="separate"/>
      </w:r>
      <w:r>
        <w:rPr>
          <w:rFonts w:hint="eastAsia" w:ascii="宋体" w:hAnsi="宋体" w:eastAsia="宋体" w:cs="宋体"/>
        </w:rPr>
        <w:t>《X01090001-创业基础》教学大纲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_Toc1613 </w:instrText>
      </w:r>
      <w:r>
        <w:rPr>
          <w:rFonts w:hint="eastAsia" w:ascii="宋体" w:hAnsi="宋体" w:eastAsia="宋体" w:cs="宋体"/>
        </w:rPr>
        <w:fldChar w:fldCharType="separate"/>
      </w:r>
      <w:r>
        <w:rPr>
          <w:rFonts w:ascii="宋体" w:hAnsi="宋体" w:eastAsia="宋体" w:cs="宋体"/>
        </w:rPr>
        <w:t>13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"_Toc9070" </w:instrText>
      </w:r>
      <w:r>
        <w:fldChar w:fldCharType="separate"/>
      </w:r>
      <w:r>
        <w:rPr>
          <w:rFonts w:hint="eastAsia" w:ascii="宋体" w:hAnsi="宋体" w:eastAsia="宋体" w:cs="宋体"/>
        </w:rPr>
        <w:t>《X01100001-思想道德修养与法律基础》教学大纲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_Toc9070 </w:instrText>
      </w:r>
      <w:r>
        <w:rPr>
          <w:rFonts w:hint="eastAsia" w:ascii="宋体" w:hAnsi="宋体" w:eastAsia="宋体" w:cs="宋体"/>
        </w:rPr>
        <w:fldChar w:fldCharType="separate"/>
      </w:r>
      <w:r>
        <w:rPr>
          <w:rFonts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"_Toc5566" </w:instrText>
      </w:r>
      <w:r>
        <w:fldChar w:fldCharType="separate"/>
      </w:r>
      <w:r>
        <w:rPr>
          <w:rFonts w:hint="eastAsia" w:ascii="宋体" w:hAnsi="宋体" w:eastAsia="宋体" w:cs="宋体"/>
        </w:rPr>
        <w:t>《X01100002-中国近现代史纲要》教学大纲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_Toc5566 </w:instrText>
      </w:r>
      <w:r>
        <w:rPr>
          <w:rFonts w:hint="eastAsia" w:ascii="宋体" w:hAnsi="宋体" w:eastAsia="宋体" w:cs="宋体"/>
        </w:rPr>
        <w:fldChar w:fldCharType="separate"/>
      </w:r>
      <w:r>
        <w:rPr>
          <w:rFonts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"_Toc15339" </w:instrText>
      </w:r>
      <w:r>
        <w:fldChar w:fldCharType="separate"/>
      </w:r>
      <w:r>
        <w:rPr>
          <w:rFonts w:hint="eastAsia" w:ascii="宋体" w:hAnsi="宋体" w:eastAsia="宋体" w:cs="宋体"/>
        </w:rPr>
        <w:t>《X01100003 -马克思主义基本原理概论》教学大纲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_Toc15339 </w:instrText>
      </w:r>
      <w:r>
        <w:rPr>
          <w:rFonts w:hint="eastAsia" w:ascii="宋体" w:hAnsi="宋体" w:eastAsia="宋体" w:cs="宋体"/>
        </w:rPr>
        <w:fldChar w:fldCharType="separate"/>
      </w:r>
      <w:r>
        <w:rPr>
          <w:rFonts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"_Toc890" </w:instrText>
      </w:r>
      <w:r>
        <w:fldChar w:fldCharType="separate"/>
      </w:r>
      <w:r>
        <w:rPr>
          <w:rFonts w:hint="eastAsia" w:ascii="宋体" w:hAnsi="宋体" w:eastAsia="宋体" w:cs="宋体"/>
        </w:rPr>
        <w:t>《X01100004-毛泽东思想和中国特色社会主义理论体系概论》教学大纲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_Toc890 </w:instrText>
      </w:r>
      <w:r>
        <w:rPr>
          <w:rFonts w:hint="eastAsia" w:ascii="宋体" w:hAnsi="宋体" w:eastAsia="宋体" w:cs="宋体"/>
        </w:rPr>
        <w:fldChar w:fldCharType="separate"/>
      </w:r>
      <w:r>
        <w:rPr>
          <w:rFonts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"_Toc10808" </w:instrText>
      </w:r>
      <w:r>
        <w:fldChar w:fldCharType="separate"/>
      </w:r>
      <w:r>
        <w:rPr>
          <w:rFonts w:hint="eastAsia" w:ascii="宋体" w:hAnsi="宋体" w:eastAsia="宋体" w:cs="宋体"/>
        </w:rPr>
        <w:t>《X01100005-形势与政策》教学大纲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_Toc10808 </w:instrText>
      </w:r>
      <w:r>
        <w:rPr>
          <w:rFonts w:hint="eastAsia" w:ascii="宋体" w:hAnsi="宋体" w:eastAsia="宋体" w:cs="宋体"/>
        </w:rPr>
        <w:fldChar w:fldCharType="separate"/>
      </w:r>
      <w:r>
        <w:rPr>
          <w:rFonts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"_Toc31408" </w:instrText>
      </w:r>
      <w:r>
        <w:fldChar w:fldCharType="separate"/>
      </w:r>
      <w:r>
        <w:rPr>
          <w:rFonts w:hint="eastAsia" w:ascii="宋体" w:hAnsi="宋体" w:eastAsia="宋体" w:cs="宋体"/>
        </w:rPr>
        <w:t>《X01100006-大学生实用心理学》教学大纲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_Toc31408 </w:instrText>
      </w:r>
      <w:r>
        <w:rPr>
          <w:rFonts w:hint="eastAsia" w:ascii="宋体" w:hAnsi="宋体" w:eastAsia="宋体" w:cs="宋体"/>
        </w:rPr>
        <w:fldChar w:fldCharType="separate"/>
      </w:r>
      <w:r>
        <w:rPr>
          <w:rFonts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"_Toc17510" </w:instrText>
      </w:r>
      <w:r>
        <w:fldChar w:fldCharType="separate"/>
      </w:r>
      <w:r>
        <w:rPr>
          <w:rFonts w:hint="eastAsia" w:ascii="宋体" w:hAnsi="宋体" w:eastAsia="宋体" w:cs="宋体"/>
        </w:rPr>
        <w:t>《X01100007、X01100008、X01100009、X01100010-大学英语A》教学大纲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_Toc17510 </w:instrText>
      </w:r>
      <w:r>
        <w:rPr>
          <w:rFonts w:hint="eastAsia" w:ascii="宋体" w:hAnsi="宋体" w:eastAsia="宋体" w:cs="宋体"/>
        </w:rPr>
        <w:fldChar w:fldCharType="separate"/>
      </w:r>
      <w:r>
        <w:rPr>
          <w:rFonts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"_Toc23128" </w:instrText>
      </w:r>
      <w:r>
        <w:fldChar w:fldCharType="separate"/>
      </w:r>
      <w:r>
        <w:rPr>
          <w:rFonts w:hint="eastAsia" w:ascii="宋体" w:hAnsi="宋体" w:eastAsia="宋体" w:cs="宋体"/>
          <w:szCs w:val="28"/>
        </w:rPr>
        <w:t>《</w:t>
      </w:r>
      <w:r>
        <w:rPr>
          <w:rFonts w:hint="eastAsia" w:ascii="宋体" w:hAnsi="宋体" w:eastAsia="宋体" w:cs="宋体"/>
          <w:kern w:val="0"/>
          <w:szCs w:val="28"/>
        </w:rPr>
        <w:t>X01110001</w:t>
      </w:r>
      <w:r>
        <w:rPr>
          <w:rFonts w:hint="eastAsia" w:ascii="宋体" w:hAnsi="宋体" w:eastAsia="宋体" w:cs="宋体"/>
          <w:snapToGrid w:val="0"/>
          <w:kern w:val="0"/>
          <w:szCs w:val="28"/>
        </w:rPr>
        <w:t>、X01110002、X01110003、X01110004</w:t>
      </w:r>
      <w:r>
        <w:rPr>
          <w:rFonts w:hint="eastAsia" w:ascii="宋体" w:hAnsi="宋体" w:eastAsia="宋体" w:cs="宋体"/>
          <w:szCs w:val="21"/>
        </w:rPr>
        <w:t>-</w:t>
      </w:r>
      <w:r>
        <w:rPr>
          <w:rFonts w:hint="eastAsia" w:ascii="宋体" w:hAnsi="宋体" w:eastAsia="宋体" w:cs="宋体"/>
          <w:szCs w:val="28"/>
        </w:rPr>
        <w:t>大学体育》教学大纲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_Toc23128 </w:instrText>
      </w:r>
      <w:r>
        <w:rPr>
          <w:rFonts w:hint="eastAsia" w:ascii="宋体" w:hAnsi="宋体" w:eastAsia="宋体" w:cs="宋体"/>
        </w:rPr>
        <w:fldChar w:fldCharType="separate"/>
      </w:r>
      <w:r>
        <w:rPr>
          <w:rFonts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"_Toc4593" </w:instrText>
      </w:r>
      <w:r>
        <w:fldChar w:fldCharType="separate"/>
      </w:r>
      <w:r>
        <w:rPr>
          <w:rFonts w:hint="eastAsia" w:ascii="宋体" w:hAnsi="宋体" w:eastAsia="宋体" w:cs="宋体"/>
        </w:rPr>
        <w:t>《X01250001-安全教育》教学大纲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_Toc4593 </w:instrText>
      </w:r>
      <w:r>
        <w:rPr>
          <w:rFonts w:hint="eastAsia" w:ascii="宋体" w:hAnsi="宋体" w:eastAsia="宋体" w:cs="宋体"/>
        </w:rPr>
        <w:fldChar w:fldCharType="separate"/>
      </w:r>
      <w:r>
        <w:rPr>
          <w:rFonts w:ascii="宋体" w:hAnsi="宋体" w:eastAsia="宋体" w:cs="宋体"/>
        </w:rPr>
        <w:t>55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"_Toc18115" </w:instrText>
      </w:r>
      <w:r>
        <w:fldChar w:fldCharType="separate"/>
      </w:r>
      <w:r>
        <w:rPr>
          <w:rFonts w:hint="eastAsia" w:ascii="宋体" w:hAnsi="宋体" w:eastAsia="宋体" w:cs="宋体"/>
        </w:rPr>
        <w:t>《X01250002a X01250002-大学生职业发展与就业指导》教学大纲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_Toc18115 </w:instrText>
      </w:r>
      <w:r>
        <w:rPr>
          <w:rFonts w:hint="eastAsia" w:ascii="宋体" w:hAnsi="宋体" w:eastAsia="宋体" w:cs="宋体"/>
        </w:rPr>
        <w:fldChar w:fldCharType="separate"/>
      </w:r>
      <w:r>
        <w:rPr>
          <w:rFonts w:ascii="宋体" w:hAnsi="宋体" w:eastAsia="宋体" w:cs="宋体"/>
        </w:rPr>
        <w:t>64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"_Toc32168" </w:instrText>
      </w:r>
      <w:r>
        <w:fldChar w:fldCharType="separate"/>
      </w:r>
      <w:r>
        <w:rPr>
          <w:rFonts w:hint="eastAsia" w:ascii="宋体" w:hAnsi="宋体" w:eastAsia="宋体" w:cs="宋体"/>
        </w:rPr>
        <w:t>《X02020041-质量工程导论》教学大纲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_Toc32168 </w:instrText>
      </w:r>
      <w:r>
        <w:rPr>
          <w:rFonts w:hint="eastAsia" w:ascii="宋体" w:hAnsi="宋体" w:eastAsia="宋体" w:cs="宋体"/>
        </w:rPr>
        <w:fldChar w:fldCharType="separate"/>
      </w:r>
      <w:r>
        <w:rPr>
          <w:rFonts w:ascii="宋体" w:hAnsi="宋体" w:eastAsia="宋体" w:cs="宋体"/>
        </w:rPr>
        <w:t>71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"_Toc24664" </w:instrText>
      </w:r>
      <w:r>
        <w:fldChar w:fldCharType="separate"/>
      </w:r>
      <w:r>
        <w:rPr>
          <w:rFonts w:hint="eastAsia" w:ascii="宋体" w:hAnsi="宋体" w:eastAsia="宋体" w:cs="宋体"/>
        </w:rPr>
        <w:t>《X02020005-工程制图基础B》教学大纲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_Toc24664 </w:instrText>
      </w:r>
      <w:r>
        <w:rPr>
          <w:rFonts w:hint="eastAsia" w:ascii="宋体" w:hAnsi="宋体" w:eastAsia="宋体" w:cs="宋体"/>
        </w:rPr>
        <w:fldChar w:fldCharType="separate"/>
      </w:r>
      <w:r>
        <w:rPr>
          <w:rFonts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"_Toc19421" </w:instrText>
      </w:r>
      <w:r>
        <w:fldChar w:fldCharType="separate"/>
      </w:r>
      <w:r>
        <w:rPr>
          <w:rFonts w:hint="eastAsia" w:ascii="宋体" w:hAnsi="宋体" w:eastAsia="宋体" w:cs="宋体"/>
        </w:rPr>
        <w:t>《X02040041-环境保护与可持续发展》教学大纲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_Toc19421 </w:instrText>
      </w:r>
      <w:r>
        <w:rPr>
          <w:rFonts w:hint="eastAsia" w:ascii="宋体" w:hAnsi="宋体" w:eastAsia="宋体" w:cs="宋体"/>
        </w:rPr>
        <w:fldChar w:fldCharType="separate"/>
      </w:r>
      <w:r>
        <w:rPr>
          <w:rFonts w:ascii="宋体" w:hAnsi="宋体" w:eastAsia="宋体" w:cs="宋体"/>
        </w:rPr>
        <w:t>81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"_Toc4481" </w:instrText>
      </w:r>
      <w:r>
        <w:fldChar w:fldCharType="separate"/>
      </w:r>
      <w:r>
        <w:rPr>
          <w:rFonts w:hint="eastAsia" w:ascii="宋体" w:hAnsi="宋体" w:eastAsia="宋体" w:cs="宋体"/>
        </w:rPr>
        <w:t>《</w:t>
      </w:r>
      <w:r>
        <w:rPr>
          <w:rFonts w:hint="eastAsia" w:ascii="宋体" w:hAnsi="宋体" w:eastAsia="宋体" w:cs="宋体"/>
          <w:kern w:val="0"/>
          <w:szCs w:val="28"/>
        </w:rPr>
        <w:t>X02050001-</w:t>
      </w:r>
      <w:r>
        <w:rPr>
          <w:rFonts w:hint="eastAsia" w:ascii="宋体" w:hAnsi="宋体" w:eastAsia="宋体" w:cs="宋体"/>
        </w:rPr>
        <w:t>模拟电子技术A》教学大纲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_Toc4481 </w:instrText>
      </w:r>
      <w:r>
        <w:rPr>
          <w:rFonts w:hint="eastAsia" w:ascii="宋体" w:hAnsi="宋体" w:eastAsia="宋体" w:cs="宋体"/>
        </w:rPr>
        <w:fldChar w:fldCharType="separate"/>
      </w:r>
      <w:r>
        <w:rPr>
          <w:rFonts w:ascii="宋体" w:hAnsi="宋体" w:eastAsia="宋体" w:cs="宋体"/>
        </w:rPr>
        <w:t>85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"_Toc7978" </w:instrText>
      </w:r>
      <w:r>
        <w:fldChar w:fldCharType="separate"/>
      </w:r>
      <w:r>
        <w:rPr>
          <w:rFonts w:hint="eastAsia" w:ascii="宋体" w:hAnsi="宋体" w:eastAsia="宋体" w:cs="宋体"/>
        </w:rPr>
        <w:t>《X02050003-数字电子技术A》教学大纲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_Toc7978 </w:instrText>
      </w:r>
      <w:r>
        <w:rPr>
          <w:rFonts w:hint="eastAsia" w:ascii="宋体" w:hAnsi="宋体" w:eastAsia="宋体" w:cs="宋体"/>
        </w:rPr>
        <w:fldChar w:fldCharType="separate"/>
      </w:r>
      <w:r>
        <w:rPr>
          <w:rFonts w:ascii="宋体" w:hAnsi="宋体" w:eastAsia="宋体" w:cs="宋体"/>
        </w:rPr>
        <w:t>94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"_Toc13538" </w:instrText>
      </w:r>
      <w:r>
        <w:fldChar w:fldCharType="separate"/>
      </w:r>
      <w:r>
        <w:rPr>
          <w:rFonts w:hint="eastAsia" w:ascii="宋体" w:hAnsi="宋体" w:eastAsia="宋体" w:cs="宋体"/>
        </w:rPr>
        <w:t>《X02080001、X02080002-高等数学A》教学大纲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_Toc13538 </w:instrText>
      </w:r>
      <w:r>
        <w:rPr>
          <w:rFonts w:hint="eastAsia" w:ascii="宋体" w:hAnsi="宋体" w:eastAsia="宋体" w:cs="宋体"/>
        </w:rPr>
        <w:fldChar w:fldCharType="separate"/>
      </w:r>
      <w:r>
        <w:rPr>
          <w:rFonts w:ascii="宋体" w:hAnsi="宋体" w:eastAsia="宋体" w:cs="宋体"/>
        </w:rPr>
        <w:t>103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"_Toc26701" </w:instrText>
      </w:r>
      <w:r>
        <w:fldChar w:fldCharType="separate"/>
      </w:r>
      <w:r>
        <w:rPr>
          <w:rFonts w:hint="eastAsia" w:ascii="宋体" w:hAnsi="宋体" w:eastAsia="宋体" w:cs="宋体"/>
          <w:szCs w:val="28"/>
        </w:rPr>
        <w:t>《X02080010</w:t>
      </w:r>
      <w:r>
        <w:rPr>
          <w:rFonts w:hint="eastAsia" w:ascii="宋体" w:hAnsi="宋体" w:eastAsia="宋体" w:cs="宋体"/>
          <w:szCs w:val="21"/>
        </w:rPr>
        <w:t>-</w:t>
      </w:r>
      <w:r>
        <w:rPr>
          <w:rFonts w:hint="eastAsia" w:ascii="宋体" w:hAnsi="宋体" w:eastAsia="宋体" w:cs="宋体"/>
        </w:rPr>
        <w:t>线性代数A</w:t>
      </w:r>
      <w:r>
        <w:rPr>
          <w:rFonts w:hint="eastAsia" w:ascii="宋体" w:hAnsi="宋体" w:eastAsia="宋体" w:cs="宋体"/>
          <w:szCs w:val="28"/>
        </w:rPr>
        <w:t>》教学大纲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_Toc26701 </w:instrText>
      </w:r>
      <w:r>
        <w:rPr>
          <w:rFonts w:hint="eastAsia" w:ascii="宋体" w:hAnsi="宋体" w:eastAsia="宋体" w:cs="宋体"/>
        </w:rPr>
        <w:fldChar w:fldCharType="separate"/>
      </w:r>
      <w:r>
        <w:rPr>
          <w:rFonts w:ascii="宋体" w:hAnsi="宋体" w:eastAsia="宋体" w:cs="宋体"/>
        </w:rPr>
        <w:t>114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"_Toc7750" </w:instrText>
      </w:r>
      <w:r>
        <w:fldChar w:fldCharType="separate"/>
      </w:r>
      <w:r>
        <w:rPr>
          <w:rFonts w:hint="eastAsia" w:ascii="宋体" w:hAnsi="宋体" w:eastAsia="宋体" w:cs="宋体"/>
        </w:rPr>
        <w:t>《X02080014-概率论与数理统计B》教学大纲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_Toc7750 </w:instrText>
      </w:r>
      <w:r>
        <w:rPr>
          <w:rFonts w:hint="eastAsia" w:ascii="宋体" w:hAnsi="宋体" w:eastAsia="宋体" w:cs="宋体"/>
        </w:rPr>
        <w:fldChar w:fldCharType="separate"/>
      </w:r>
      <w:r>
        <w:rPr>
          <w:rFonts w:ascii="宋体" w:hAnsi="宋体" w:eastAsia="宋体" w:cs="宋体"/>
        </w:rPr>
        <w:t>120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"_Toc16867" </w:instrText>
      </w:r>
      <w:r>
        <w:fldChar w:fldCharType="separate"/>
      </w:r>
      <w:r>
        <w:rPr>
          <w:rFonts w:hint="eastAsia" w:ascii="宋体" w:hAnsi="宋体" w:eastAsia="宋体" w:cs="宋体"/>
        </w:rPr>
        <w:t>《X02080016-复变函数与积分变换》教学大纲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_Toc16867 </w:instrText>
      </w:r>
      <w:r>
        <w:rPr>
          <w:rFonts w:hint="eastAsia" w:ascii="宋体" w:hAnsi="宋体" w:eastAsia="宋体" w:cs="宋体"/>
        </w:rPr>
        <w:fldChar w:fldCharType="separate"/>
      </w:r>
      <w:r>
        <w:rPr>
          <w:rFonts w:ascii="宋体" w:hAnsi="宋体" w:eastAsia="宋体" w:cs="宋体"/>
        </w:rPr>
        <w:t>125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"_Toc9186" </w:instrText>
      </w:r>
      <w:r>
        <w:fldChar w:fldCharType="separate"/>
      </w:r>
      <w:r>
        <w:rPr>
          <w:rFonts w:hint="eastAsia" w:ascii="宋体" w:hAnsi="宋体" w:eastAsia="宋体" w:cs="宋体"/>
        </w:rPr>
        <w:t>《X02090041-管理学概论》教学大纲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_Toc9186 </w:instrText>
      </w:r>
      <w:r>
        <w:rPr>
          <w:rFonts w:hint="eastAsia" w:ascii="宋体" w:hAnsi="宋体" w:eastAsia="宋体" w:cs="宋体"/>
        </w:rPr>
        <w:fldChar w:fldCharType="separate"/>
      </w:r>
      <w:r>
        <w:rPr>
          <w:rFonts w:ascii="宋体" w:hAnsi="宋体" w:eastAsia="宋体" w:cs="宋体"/>
        </w:rPr>
        <w:t>130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"_Toc32530" </w:instrText>
      </w:r>
      <w:r>
        <w:fldChar w:fldCharType="separate"/>
      </w:r>
      <w:r>
        <w:rPr>
          <w:rFonts w:hint="eastAsia" w:ascii="宋体" w:hAnsi="宋体" w:eastAsia="宋体" w:cs="宋体"/>
        </w:rPr>
        <w:t>《X02090042-西方礼仪与沟通技巧》教学大纲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_Toc32530 </w:instrText>
      </w:r>
      <w:r>
        <w:rPr>
          <w:rFonts w:hint="eastAsia" w:ascii="宋体" w:hAnsi="宋体" w:eastAsia="宋体" w:cs="宋体"/>
        </w:rPr>
        <w:fldChar w:fldCharType="separate"/>
      </w:r>
      <w:r>
        <w:rPr>
          <w:rFonts w:ascii="宋体" w:hAnsi="宋体" w:eastAsia="宋体" w:cs="宋体"/>
        </w:rPr>
        <w:t>134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"_Toc29417" </w:instrText>
      </w:r>
      <w:r>
        <w:fldChar w:fldCharType="separate"/>
      </w:r>
      <w:r>
        <w:rPr>
          <w:rFonts w:hint="eastAsia" w:ascii="宋体" w:hAnsi="宋体" w:eastAsia="宋体" w:cs="宋体"/>
        </w:rPr>
        <w:t>《X05050001-模拟电子技术实验》教学大纲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_Toc29417 </w:instrText>
      </w:r>
      <w:r>
        <w:rPr>
          <w:rFonts w:hint="eastAsia" w:ascii="宋体" w:hAnsi="宋体" w:eastAsia="宋体" w:cs="宋体"/>
        </w:rPr>
        <w:fldChar w:fldCharType="separate"/>
      </w:r>
      <w:r>
        <w:rPr>
          <w:rFonts w:ascii="宋体" w:hAnsi="宋体" w:eastAsia="宋体" w:cs="宋体"/>
        </w:rPr>
        <w:t>138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"_Toc11358" </w:instrText>
      </w:r>
      <w:r>
        <w:fldChar w:fldCharType="separate"/>
      </w:r>
      <w:r>
        <w:rPr>
          <w:rFonts w:hint="eastAsia" w:ascii="宋体" w:hAnsi="宋体" w:eastAsia="宋体" w:cs="宋体"/>
        </w:rPr>
        <w:t>《</w:t>
      </w:r>
      <w:r>
        <w:rPr>
          <w:rFonts w:hint="eastAsia" w:ascii="宋体" w:hAnsi="宋体" w:eastAsia="宋体" w:cs="宋体"/>
          <w:szCs w:val="28"/>
        </w:rPr>
        <w:t>X05050003-</w:t>
      </w:r>
      <w:r>
        <w:rPr>
          <w:rFonts w:hint="eastAsia" w:ascii="宋体" w:hAnsi="宋体" w:eastAsia="宋体" w:cs="宋体"/>
        </w:rPr>
        <w:t>数字电子技术实验》教学大纲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_Toc11358 </w:instrText>
      </w:r>
      <w:r>
        <w:rPr>
          <w:rFonts w:hint="eastAsia" w:ascii="宋体" w:hAnsi="宋体" w:eastAsia="宋体" w:cs="宋体"/>
        </w:rPr>
        <w:fldChar w:fldCharType="separate"/>
      </w:r>
      <w:r>
        <w:rPr>
          <w:rFonts w:ascii="宋体" w:hAnsi="宋体" w:eastAsia="宋体" w:cs="宋体"/>
        </w:rPr>
        <w:t>148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"_Toc4483" </w:instrText>
      </w:r>
      <w:r>
        <w:fldChar w:fldCharType="separate"/>
      </w:r>
      <w:r>
        <w:rPr>
          <w:rFonts w:hint="eastAsia" w:ascii="宋体" w:hAnsi="宋体" w:eastAsia="宋体" w:cs="宋体"/>
        </w:rPr>
        <w:t>《X05080025、X05080026-大学物理实验》教学大纲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_Toc4483 </w:instrText>
      </w:r>
      <w:r>
        <w:rPr>
          <w:rFonts w:hint="eastAsia" w:ascii="宋体" w:hAnsi="宋体" w:eastAsia="宋体" w:cs="宋体"/>
        </w:rPr>
        <w:fldChar w:fldCharType="separate"/>
      </w:r>
      <w:r>
        <w:rPr>
          <w:rFonts w:ascii="宋体" w:hAnsi="宋体" w:eastAsia="宋体" w:cs="宋体"/>
        </w:rPr>
        <w:t>156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"_Toc31799" </w:instrText>
      </w:r>
      <w:r>
        <w:fldChar w:fldCharType="separate"/>
      </w:r>
      <w:r>
        <w:rPr>
          <w:rFonts w:hint="eastAsia" w:ascii="宋体" w:hAnsi="宋体" w:eastAsia="宋体" w:cs="宋体"/>
          <w:szCs w:val="28"/>
        </w:rPr>
        <w:t>《</w:t>
      </w:r>
      <w:r>
        <w:rPr>
          <w:rFonts w:hint="eastAsia" w:ascii="宋体" w:hAnsi="宋体" w:eastAsia="宋体" w:cs="宋体"/>
          <w:kern w:val="0"/>
          <w:szCs w:val="28"/>
        </w:rPr>
        <w:t>X07250003-</w:t>
      </w:r>
      <w:r>
        <w:rPr>
          <w:rFonts w:hint="eastAsia" w:ascii="宋体" w:hAnsi="宋体" w:eastAsia="宋体" w:cs="宋体"/>
          <w:szCs w:val="28"/>
        </w:rPr>
        <w:t>公益劳动》教学大纲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_Toc31799 </w:instrText>
      </w:r>
      <w:r>
        <w:rPr>
          <w:rFonts w:hint="eastAsia" w:ascii="宋体" w:hAnsi="宋体" w:eastAsia="宋体" w:cs="宋体"/>
        </w:rPr>
        <w:fldChar w:fldCharType="separate"/>
      </w:r>
      <w:r>
        <w:rPr>
          <w:rFonts w:ascii="宋体" w:hAnsi="宋体" w:eastAsia="宋体" w:cs="宋体"/>
        </w:rPr>
        <w:t>169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"_Toc16798" </w:instrText>
      </w:r>
      <w:r>
        <w:fldChar w:fldCharType="separate"/>
      </w:r>
      <w:r>
        <w:rPr>
          <w:rFonts w:hint="eastAsia" w:ascii="宋体" w:hAnsi="宋体" w:eastAsia="宋体" w:cs="宋体"/>
        </w:rPr>
        <w:t>《X07250004-社会实践》教学大纲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_Toc16798 </w:instrText>
      </w:r>
      <w:r>
        <w:rPr>
          <w:rFonts w:hint="eastAsia" w:ascii="宋体" w:hAnsi="宋体" w:eastAsia="宋体" w:cs="宋体"/>
        </w:rPr>
        <w:fldChar w:fldCharType="separate"/>
      </w:r>
      <w:r>
        <w:rPr>
          <w:rFonts w:ascii="宋体" w:hAnsi="宋体" w:eastAsia="宋体" w:cs="宋体"/>
        </w:rPr>
        <w:t>172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"_Toc9487" </w:instrText>
      </w:r>
      <w:r>
        <w:fldChar w:fldCharType="separate"/>
      </w:r>
      <w:r>
        <w:rPr>
          <w:rFonts w:hint="eastAsia" w:ascii="宋体" w:hAnsi="宋体" w:eastAsia="宋体" w:cs="宋体"/>
        </w:rPr>
        <w:t>《X07250005-军训（含军事理论）》教学大纲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_Toc9487 </w:instrText>
      </w:r>
      <w:r>
        <w:rPr>
          <w:rFonts w:hint="eastAsia" w:ascii="宋体" w:hAnsi="宋体" w:eastAsia="宋体" w:cs="宋体"/>
        </w:rPr>
        <w:fldChar w:fldCharType="separate"/>
      </w:r>
      <w:r>
        <w:rPr>
          <w:rFonts w:ascii="宋体" w:hAnsi="宋体" w:eastAsia="宋体" w:cs="宋体"/>
        </w:rPr>
        <w:t>175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"_Toc21306" </w:instrText>
      </w:r>
      <w:r>
        <w:fldChar w:fldCharType="separate"/>
      </w:r>
      <w:r>
        <w:rPr>
          <w:rFonts w:hint="eastAsia" w:ascii="宋体" w:hAnsi="宋体" w:eastAsia="宋体" w:cs="宋体"/>
        </w:rPr>
        <w:t>《</w:t>
      </w:r>
      <w:r>
        <w:rPr>
          <w:rFonts w:hint="eastAsia" w:ascii="宋体" w:hAnsi="宋体" w:eastAsia="宋体" w:cs="宋体"/>
          <w:kern w:val="0"/>
        </w:rPr>
        <w:t>X07250011-</w:t>
      </w:r>
      <w:r>
        <w:rPr>
          <w:rFonts w:hint="eastAsia" w:ascii="宋体" w:hAnsi="宋体" w:eastAsia="宋体" w:cs="宋体"/>
        </w:rPr>
        <w:t>工程训练C》教学大纲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_Toc21306 </w:instrText>
      </w:r>
      <w:r>
        <w:rPr>
          <w:rFonts w:hint="eastAsia" w:ascii="宋体" w:hAnsi="宋体" w:eastAsia="宋体" w:cs="宋体"/>
        </w:rPr>
        <w:fldChar w:fldCharType="separate"/>
      </w:r>
      <w:r>
        <w:rPr>
          <w:rFonts w:ascii="宋体" w:hAnsi="宋体" w:eastAsia="宋体" w:cs="宋体"/>
        </w:rPr>
        <w:t>184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"_Toc9456" </w:instrText>
      </w:r>
      <w:r>
        <w:fldChar w:fldCharType="separate"/>
      </w:r>
      <w:r>
        <w:rPr>
          <w:rFonts w:hint="eastAsia" w:ascii="宋体" w:hAnsi="宋体" w:eastAsia="宋体" w:cs="宋体"/>
        </w:rPr>
        <w:t>《Y02060003-理论物理导论》教学大纲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_Toc9456 </w:instrText>
      </w:r>
      <w:r>
        <w:rPr>
          <w:rFonts w:hint="eastAsia" w:ascii="宋体" w:hAnsi="宋体" w:eastAsia="宋体" w:cs="宋体"/>
        </w:rPr>
        <w:fldChar w:fldCharType="separate"/>
      </w:r>
      <w:r>
        <w:rPr>
          <w:rFonts w:ascii="宋体" w:hAnsi="宋体" w:eastAsia="宋体" w:cs="宋体"/>
        </w:rPr>
        <w:t>209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"_Toc10779" </w:instrText>
      </w:r>
      <w:r>
        <w:fldChar w:fldCharType="separate"/>
      </w:r>
      <w:r>
        <w:rPr>
          <w:rFonts w:hint="eastAsia" w:ascii="宋体" w:hAnsi="宋体" w:eastAsia="宋体" w:cs="宋体"/>
        </w:rPr>
        <w:t>《Y02060004-半导体物理与器件》教学大纲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_Toc10779 </w:instrText>
      </w:r>
      <w:r>
        <w:rPr>
          <w:rFonts w:hint="eastAsia" w:ascii="宋体" w:hAnsi="宋体" w:eastAsia="宋体" w:cs="宋体"/>
        </w:rPr>
        <w:fldChar w:fldCharType="separate"/>
      </w:r>
      <w:r>
        <w:rPr>
          <w:rFonts w:ascii="宋体" w:hAnsi="宋体" w:eastAsia="宋体" w:cs="宋体"/>
        </w:rPr>
        <w:t>216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"_Toc16103" </w:instrText>
      </w:r>
      <w:r>
        <w:fldChar w:fldCharType="separate"/>
      </w:r>
      <w:r>
        <w:rPr>
          <w:rFonts w:hint="eastAsia" w:ascii="宋体" w:hAnsi="宋体" w:eastAsia="宋体" w:cs="宋体"/>
        </w:rPr>
        <w:t>《Y02060005-电路原理》教学大纲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_Toc16103 </w:instrText>
      </w:r>
      <w:r>
        <w:rPr>
          <w:rFonts w:hint="eastAsia" w:ascii="宋体" w:hAnsi="宋体" w:eastAsia="宋体" w:cs="宋体"/>
        </w:rPr>
        <w:fldChar w:fldCharType="separate"/>
      </w:r>
      <w:r>
        <w:rPr>
          <w:rFonts w:ascii="宋体" w:hAnsi="宋体" w:eastAsia="宋体" w:cs="宋体"/>
        </w:rPr>
        <w:t>225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"_Toc6663" </w:instrText>
      </w:r>
      <w:r>
        <w:fldChar w:fldCharType="separate"/>
      </w:r>
      <w:r>
        <w:rPr>
          <w:rFonts w:hint="eastAsia" w:ascii="宋体" w:hAnsi="宋体" w:eastAsia="宋体" w:cs="宋体"/>
        </w:rPr>
        <w:t>《Y02060011-信号与系统》教学大纲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_Toc6663 </w:instrText>
      </w:r>
      <w:r>
        <w:rPr>
          <w:rFonts w:hint="eastAsia" w:ascii="宋体" w:hAnsi="宋体" w:eastAsia="宋体" w:cs="宋体"/>
        </w:rPr>
        <w:fldChar w:fldCharType="separate"/>
      </w:r>
      <w:r>
        <w:rPr>
          <w:rFonts w:ascii="宋体" w:hAnsi="宋体" w:eastAsia="宋体" w:cs="宋体"/>
        </w:rPr>
        <w:t>233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"_Toc26829" </w:instrText>
      </w:r>
      <w:r>
        <w:fldChar w:fldCharType="separate"/>
      </w:r>
      <w:r>
        <w:rPr>
          <w:rFonts w:hint="eastAsia" w:ascii="宋体" w:hAnsi="宋体" w:eastAsia="宋体" w:cs="宋体"/>
        </w:rPr>
        <w:t>《Y02060015-固体物理学》教学大纲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_Toc26829 </w:instrText>
      </w:r>
      <w:r>
        <w:rPr>
          <w:rFonts w:hint="eastAsia" w:ascii="宋体" w:hAnsi="宋体" w:eastAsia="宋体" w:cs="宋体"/>
        </w:rPr>
        <w:fldChar w:fldCharType="separate"/>
      </w:r>
      <w:r>
        <w:rPr>
          <w:rFonts w:ascii="宋体" w:hAnsi="宋体" w:eastAsia="宋体" w:cs="宋体"/>
        </w:rPr>
        <w:t>243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"_Toc5626" </w:instrText>
      </w:r>
      <w:r>
        <w:fldChar w:fldCharType="separate"/>
      </w:r>
      <w:r>
        <w:rPr>
          <w:rFonts w:hint="eastAsia" w:ascii="宋体" w:hAnsi="宋体" w:eastAsia="宋体" w:cs="宋体"/>
        </w:rPr>
        <w:t>《Y03060003-微机原理及接口技术》教学大纲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_Toc5626 </w:instrText>
      </w:r>
      <w:r>
        <w:rPr>
          <w:rFonts w:hint="eastAsia" w:ascii="宋体" w:hAnsi="宋体" w:eastAsia="宋体" w:cs="宋体"/>
        </w:rPr>
        <w:fldChar w:fldCharType="separate"/>
      </w:r>
      <w:r>
        <w:rPr>
          <w:rFonts w:ascii="宋体" w:hAnsi="宋体" w:eastAsia="宋体" w:cs="宋体"/>
        </w:rPr>
        <w:t>250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"_Toc21542" </w:instrText>
      </w:r>
      <w:r>
        <w:fldChar w:fldCharType="separate"/>
      </w:r>
      <w:r>
        <w:rPr>
          <w:rFonts w:hint="eastAsia" w:ascii="宋体" w:hAnsi="宋体" w:eastAsia="宋体" w:cs="宋体"/>
        </w:rPr>
        <w:t>《Y03060004-单片机原理及应用》教学大纲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_Toc21542 </w:instrText>
      </w:r>
      <w:r>
        <w:rPr>
          <w:rFonts w:hint="eastAsia" w:ascii="宋体" w:hAnsi="宋体" w:eastAsia="宋体" w:cs="宋体"/>
        </w:rPr>
        <w:fldChar w:fldCharType="separate"/>
      </w:r>
      <w:r>
        <w:rPr>
          <w:rFonts w:ascii="宋体" w:hAnsi="宋体" w:eastAsia="宋体" w:cs="宋体"/>
        </w:rPr>
        <w:t>259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"_Toc20984" </w:instrText>
      </w:r>
      <w:r>
        <w:fldChar w:fldCharType="separate"/>
      </w:r>
      <w:r>
        <w:rPr>
          <w:rFonts w:hint="eastAsia" w:ascii="宋体" w:hAnsi="宋体" w:eastAsia="宋体" w:cs="宋体"/>
        </w:rPr>
        <w:t>《Y03060013-传感器原理及设计》教学大纲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_Toc20984 </w:instrText>
      </w:r>
      <w:r>
        <w:rPr>
          <w:rFonts w:hint="eastAsia" w:ascii="宋体" w:hAnsi="宋体" w:eastAsia="宋体" w:cs="宋体"/>
        </w:rPr>
        <w:fldChar w:fldCharType="separate"/>
      </w:r>
      <w:r>
        <w:rPr>
          <w:rFonts w:ascii="宋体" w:hAnsi="宋体" w:eastAsia="宋体" w:cs="宋体"/>
        </w:rPr>
        <w:t>268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"_Toc21299" </w:instrText>
      </w:r>
      <w:r>
        <w:fldChar w:fldCharType="separate"/>
      </w:r>
      <w:r>
        <w:rPr>
          <w:rFonts w:hint="eastAsia" w:ascii="宋体" w:hAnsi="宋体" w:eastAsia="宋体" w:cs="宋体"/>
        </w:rPr>
        <w:t>《Y03060024-可编程逻辑器件应用》教学大纲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_Toc21299 </w:instrText>
      </w:r>
      <w:r>
        <w:rPr>
          <w:rFonts w:hint="eastAsia" w:ascii="宋体" w:hAnsi="宋体" w:eastAsia="宋体" w:cs="宋体"/>
        </w:rPr>
        <w:fldChar w:fldCharType="separate"/>
      </w:r>
      <w:r>
        <w:rPr>
          <w:rFonts w:ascii="宋体" w:hAnsi="宋体" w:eastAsia="宋体" w:cs="宋体"/>
        </w:rPr>
        <w:t>277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"_Toc13407" </w:instrText>
      </w:r>
      <w:r>
        <w:fldChar w:fldCharType="separate"/>
      </w:r>
      <w:r>
        <w:rPr>
          <w:rFonts w:hint="eastAsia" w:ascii="宋体" w:hAnsi="宋体" w:eastAsia="宋体" w:cs="宋体"/>
        </w:rPr>
        <w:t>《Y03060035-半导体集成电路基础》教学大纲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_Toc13407 </w:instrText>
      </w:r>
      <w:r>
        <w:rPr>
          <w:rFonts w:hint="eastAsia" w:ascii="宋体" w:hAnsi="宋体" w:eastAsia="宋体" w:cs="宋体"/>
        </w:rPr>
        <w:fldChar w:fldCharType="separate"/>
      </w:r>
      <w:r>
        <w:rPr>
          <w:rFonts w:ascii="宋体" w:hAnsi="宋体" w:eastAsia="宋体" w:cs="宋体"/>
        </w:rPr>
        <w:t>287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"_Toc9073" </w:instrText>
      </w:r>
      <w:r>
        <w:fldChar w:fldCharType="separate"/>
      </w:r>
      <w:r>
        <w:rPr>
          <w:rFonts w:hint="eastAsia" w:ascii="宋体" w:hAnsi="宋体" w:eastAsia="宋体" w:cs="宋体"/>
        </w:rPr>
        <w:t>《Y06060005-嵌入式系统》教学大纲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_Toc9073 </w:instrText>
      </w:r>
      <w:r>
        <w:rPr>
          <w:rFonts w:hint="eastAsia" w:ascii="宋体" w:hAnsi="宋体" w:eastAsia="宋体" w:cs="宋体"/>
        </w:rPr>
        <w:fldChar w:fldCharType="separate"/>
      </w:r>
      <w:r>
        <w:rPr>
          <w:rFonts w:ascii="宋体" w:hAnsi="宋体" w:eastAsia="宋体" w:cs="宋体"/>
        </w:rPr>
        <w:t>294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"_Toc6894" </w:instrText>
      </w:r>
      <w:r>
        <w:fldChar w:fldCharType="separate"/>
      </w:r>
      <w:r>
        <w:rPr>
          <w:rFonts w:hint="eastAsia" w:ascii="宋体" w:hAnsi="宋体" w:eastAsia="宋体" w:cs="宋体"/>
        </w:rPr>
        <w:t>《Y06060011-光纤技术及应用》教学大纲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_Toc6894 </w:instrText>
      </w:r>
      <w:r>
        <w:rPr>
          <w:rFonts w:hint="eastAsia" w:ascii="宋体" w:hAnsi="宋体" w:eastAsia="宋体" w:cs="宋体"/>
        </w:rPr>
        <w:fldChar w:fldCharType="separate"/>
      </w:r>
      <w:r>
        <w:rPr>
          <w:rFonts w:ascii="宋体" w:hAnsi="宋体" w:eastAsia="宋体" w:cs="宋体"/>
        </w:rPr>
        <w:t>303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"_Toc12557" </w:instrText>
      </w:r>
      <w:r>
        <w:fldChar w:fldCharType="separate"/>
      </w:r>
      <w:r>
        <w:rPr>
          <w:rFonts w:hint="eastAsia" w:ascii="宋体" w:hAnsi="宋体" w:eastAsia="宋体" w:cs="宋体"/>
        </w:rPr>
        <w:t>《Y06060021-MATLAB应用基础》教学大纲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_Toc12557 </w:instrText>
      </w:r>
      <w:r>
        <w:rPr>
          <w:rFonts w:hint="eastAsia" w:ascii="宋体" w:hAnsi="宋体" w:eastAsia="宋体" w:cs="宋体"/>
        </w:rPr>
        <w:fldChar w:fldCharType="separate"/>
      </w:r>
      <w:r>
        <w:rPr>
          <w:rFonts w:ascii="宋体" w:hAnsi="宋体" w:eastAsia="宋体" w:cs="宋体"/>
        </w:rPr>
        <w:t>311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"_Toc22746" </w:instrText>
      </w:r>
      <w:r>
        <w:fldChar w:fldCharType="separate"/>
      </w:r>
      <w:r>
        <w:rPr>
          <w:rFonts w:hint="eastAsia" w:ascii="宋体" w:hAnsi="宋体" w:eastAsia="宋体" w:cs="宋体"/>
        </w:rPr>
        <w:t>《Y06060025-电子设计自动化（EDA）》教学大纲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_Toc22746 </w:instrText>
      </w:r>
      <w:r>
        <w:rPr>
          <w:rFonts w:hint="eastAsia" w:ascii="宋体" w:hAnsi="宋体" w:eastAsia="宋体" w:cs="宋体"/>
        </w:rPr>
        <w:fldChar w:fldCharType="separate"/>
      </w:r>
      <w:r>
        <w:rPr>
          <w:rFonts w:ascii="宋体" w:hAnsi="宋体" w:eastAsia="宋体" w:cs="宋体"/>
        </w:rPr>
        <w:t>319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"_Toc17188" </w:instrText>
      </w:r>
      <w:r>
        <w:fldChar w:fldCharType="separate"/>
      </w:r>
      <w:r>
        <w:rPr>
          <w:rFonts w:hint="eastAsia" w:ascii="宋体" w:hAnsi="宋体" w:eastAsia="宋体" w:cs="宋体"/>
        </w:rPr>
        <w:t>《Y06060027-光电探测技术》教学大纲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_Toc17188 </w:instrText>
      </w:r>
      <w:r>
        <w:rPr>
          <w:rFonts w:hint="eastAsia" w:ascii="宋体" w:hAnsi="宋体" w:eastAsia="宋体" w:cs="宋体"/>
        </w:rPr>
        <w:fldChar w:fldCharType="separate"/>
      </w:r>
      <w:r>
        <w:rPr>
          <w:rFonts w:ascii="宋体" w:hAnsi="宋体" w:eastAsia="宋体" w:cs="宋体"/>
        </w:rPr>
        <w:t>327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"_Toc16035" </w:instrText>
      </w:r>
      <w:r>
        <w:fldChar w:fldCharType="separate"/>
      </w:r>
      <w:r>
        <w:rPr>
          <w:rFonts w:hint="eastAsia" w:ascii="宋体" w:hAnsi="宋体" w:eastAsia="宋体" w:cs="宋体"/>
        </w:rPr>
        <w:t>《Y06060029-通信原理导论》教学大纲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_Toc16035 </w:instrText>
      </w:r>
      <w:r>
        <w:rPr>
          <w:rFonts w:hint="eastAsia" w:ascii="宋体" w:hAnsi="宋体" w:eastAsia="宋体" w:cs="宋体"/>
        </w:rPr>
        <w:fldChar w:fldCharType="separate"/>
      </w:r>
      <w:r>
        <w:rPr>
          <w:rFonts w:ascii="宋体" w:hAnsi="宋体" w:eastAsia="宋体" w:cs="宋体"/>
        </w:rPr>
        <w:t>336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"_Toc16063" </w:instrText>
      </w:r>
      <w:r>
        <w:fldChar w:fldCharType="separate"/>
      </w:r>
      <w:r>
        <w:rPr>
          <w:rFonts w:hint="eastAsia" w:ascii="宋体" w:hAnsi="宋体" w:eastAsia="宋体" w:cs="宋体"/>
        </w:rPr>
        <w:t>《Y06060069-VB程序设计》教学大纲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_Toc16063 </w:instrText>
      </w:r>
      <w:r>
        <w:rPr>
          <w:rFonts w:hint="eastAsia" w:ascii="宋体" w:hAnsi="宋体" w:eastAsia="宋体" w:cs="宋体"/>
        </w:rPr>
        <w:fldChar w:fldCharType="separate"/>
      </w:r>
      <w:r>
        <w:rPr>
          <w:rFonts w:ascii="宋体" w:hAnsi="宋体" w:eastAsia="宋体" w:cs="宋体"/>
        </w:rPr>
        <w:t>343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"_Toc16783" </w:instrText>
      </w:r>
      <w:r>
        <w:fldChar w:fldCharType="separate"/>
      </w:r>
      <w:r>
        <w:rPr>
          <w:rFonts w:hint="eastAsia" w:ascii="宋体" w:hAnsi="宋体" w:eastAsia="宋体" w:cs="宋体"/>
        </w:rPr>
        <w:t>《</w:t>
      </w:r>
      <w:r>
        <w:rPr>
          <w:rFonts w:hint="eastAsia" w:ascii="宋体" w:hAnsi="宋体" w:eastAsia="宋体" w:cs="宋体"/>
          <w:kern w:val="0"/>
        </w:rPr>
        <w:t>Y07050002</w:t>
      </w:r>
      <w:r>
        <w:rPr>
          <w:rFonts w:hint="eastAsia" w:ascii="宋体" w:hAnsi="宋体" w:eastAsia="宋体" w:cs="宋体"/>
        </w:rPr>
        <w:t>-电子工艺实习》教学大纲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_Toc16783 </w:instrText>
      </w:r>
      <w:r>
        <w:rPr>
          <w:rFonts w:hint="eastAsia" w:ascii="宋体" w:hAnsi="宋体" w:eastAsia="宋体" w:cs="宋体"/>
        </w:rPr>
        <w:fldChar w:fldCharType="separate"/>
      </w:r>
      <w:r>
        <w:rPr>
          <w:rFonts w:ascii="宋体" w:hAnsi="宋体" w:eastAsia="宋体" w:cs="宋体"/>
        </w:rPr>
        <w:t>352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"_Toc24297" </w:instrText>
      </w:r>
      <w:r>
        <w:fldChar w:fldCharType="separate"/>
      </w:r>
      <w:r>
        <w:rPr>
          <w:rFonts w:hint="eastAsia" w:ascii="宋体" w:hAnsi="宋体" w:eastAsia="宋体" w:cs="宋体"/>
        </w:rPr>
        <w:t>《Y07060005-文献检索专题》教学大纲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_Toc24297 </w:instrText>
      </w:r>
      <w:r>
        <w:rPr>
          <w:rFonts w:hint="eastAsia" w:ascii="宋体" w:hAnsi="宋体" w:eastAsia="宋体" w:cs="宋体"/>
        </w:rPr>
        <w:fldChar w:fldCharType="separate"/>
      </w:r>
      <w:r>
        <w:rPr>
          <w:rFonts w:ascii="宋体" w:hAnsi="宋体" w:eastAsia="宋体" w:cs="宋体"/>
        </w:rPr>
        <w:t>360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"_Toc18412" </w:instrText>
      </w:r>
      <w:r>
        <w:fldChar w:fldCharType="separate"/>
      </w:r>
      <w:r>
        <w:rPr>
          <w:rFonts w:hint="eastAsia" w:ascii="宋体" w:hAnsi="宋体" w:eastAsia="宋体" w:cs="宋体"/>
        </w:rPr>
        <w:t>《Y07060006-毕业设计专题》教学大纲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_Toc18412 </w:instrText>
      </w:r>
      <w:r>
        <w:rPr>
          <w:rFonts w:hint="eastAsia" w:ascii="宋体" w:hAnsi="宋体" w:eastAsia="宋体" w:cs="宋体"/>
        </w:rPr>
        <w:fldChar w:fldCharType="separate"/>
      </w:r>
      <w:r>
        <w:rPr>
          <w:rFonts w:ascii="宋体" w:hAnsi="宋体" w:eastAsia="宋体" w:cs="宋体"/>
        </w:rPr>
        <w:t>366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"_Toc29275" </w:instrText>
      </w:r>
      <w:r>
        <w:fldChar w:fldCharType="separate"/>
      </w:r>
      <w:r>
        <w:rPr>
          <w:rFonts w:hint="eastAsia" w:ascii="宋体" w:hAnsi="宋体" w:eastAsia="宋体" w:cs="宋体"/>
        </w:rPr>
        <w:t>《Y07060102专业认知实习》教学大纲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_Toc29275 </w:instrText>
      </w:r>
      <w:r>
        <w:rPr>
          <w:rFonts w:hint="eastAsia" w:ascii="宋体" w:hAnsi="宋体" w:eastAsia="宋体" w:cs="宋体"/>
        </w:rPr>
        <w:fldChar w:fldCharType="separate"/>
      </w:r>
      <w:r>
        <w:rPr>
          <w:rFonts w:ascii="宋体" w:hAnsi="宋体" w:eastAsia="宋体" w:cs="宋体"/>
        </w:rPr>
        <w:t>372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"_Toc2196" </w:instrText>
      </w:r>
      <w:r>
        <w:fldChar w:fldCharType="separate"/>
      </w:r>
      <w:r>
        <w:rPr>
          <w:rFonts w:hint="eastAsia" w:ascii="宋体" w:hAnsi="宋体" w:eastAsia="宋体" w:cs="宋体"/>
        </w:rPr>
        <w:t>《Z02060205-光电子技术基础》教学大纲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_Toc2196 </w:instrText>
      </w:r>
      <w:r>
        <w:rPr>
          <w:rFonts w:hint="eastAsia" w:ascii="宋体" w:hAnsi="宋体" w:eastAsia="宋体" w:cs="宋体"/>
        </w:rPr>
        <w:fldChar w:fldCharType="separate"/>
      </w:r>
      <w:r>
        <w:rPr>
          <w:rFonts w:ascii="宋体" w:hAnsi="宋体" w:eastAsia="宋体" w:cs="宋体"/>
        </w:rPr>
        <w:t>378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"_Toc29578" </w:instrText>
      </w:r>
      <w:r>
        <w:fldChar w:fldCharType="separate"/>
      </w:r>
      <w:r>
        <w:rPr>
          <w:rFonts w:hint="eastAsia" w:ascii="宋体" w:hAnsi="宋体" w:eastAsia="宋体" w:cs="宋体"/>
        </w:rPr>
        <w:t>《Z02060251-电磁场与电磁波》教学大纲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_Toc29578 </w:instrText>
      </w:r>
      <w:r>
        <w:rPr>
          <w:rFonts w:hint="eastAsia" w:ascii="宋体" w:hAnsi="宋体" w:eastAsia="宋体" w:cs="宋体"/>
        </w:rPr>
        <w:fldChar w:fldCharType="separate"/>
      </w:r>
      <w:r>
        <w:rPr>
          <w:rFonts w:ascii="宋体" w:hAnsi="宋体" w:eastAsia="宋体" w:cs="宋体"/>
        </w:rPr>
        <w:t>385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"_Toc7996" </w:instrText>
      </w:r>
      <w:r>
        <w:fldChar w:fldCharType="separate"/>
      </w:r>
      <w:r>
        <w:rPr>
          <w:rFonts w:hint="eastAsia" w:ascii="宋体" w:hAnsi="宋体" w:eastAsia="宋体" w:cs="宋体"/>
        </w:rPr>
        <w:t>《Z03060202-微波技术基础》教学大纲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_Toc7996 </w:instrText>
      </w:r>
      <w:r>
        <w:rPr>
          <w:rFonts w:hint="eastAsia" w:ascii="宋体" w:hAnsi="宋体" w:eastAsia="宋体" w:cs="宋体"/>
        </w:rPr>
        <w:fldChar w:fldCharType="separate"/>
      </w:r>
      <w:r>
        <w:rPr>
          <w:rFonts w:ascii="宋体" w:hAnsi="宋体" w:eastAsia="宋体" w:cs="宋体"/>
        </w:rPr>
        <w:t>392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"_Toc13848" </w:instrText>
      </w:r>
      <w:r>
        <w:fldChar w:fldCharType="separate"/>
      </w:r>
      <w:r>
        <w:rPr>
          <w:rFonts w:hint="eastAsia" w:ascii="宋体" w:hAnsi="宋体" w:eastAsia="宋体" w:cs="宋体"/>
        </w:rPr>
        <w:t>《Z03060204-激光原理与技术》教学大纲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_Toc13848 </w:instrText>
      </w:r>
      <w:r>
        <w:rPr>
          <w:rFonts w:hint="eastAsia" w:ascii="宋体" w:hAnsi="宋体" w:eastAsia="宋体" w:cs="宋体"/>
        </w:rPr>
        <w:fldChar w:fldCharType="separate"/>
      </w:r>
      <w:r>
        <w:rPr>
          <w:rFonts w:ascii="宋体" w:hAnsi="宋体" w:eastAsia="宋体" w:cs="宋体"/>
        </w:rPr>
        <w:t>400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"_Toc17562" </w:instrText>
      </w:r>
      <w:r>
        <w:fldChar w:fldCharType="separate"/>
      </w:r>
      <w:r>
        <w:rPr>
          <w:rFonts w:hint="eastAsia" w:ascii="宋体" w:hAnsi="宋体" w:eastAsia="宋体" w:cs="宋体"/>
        </w:rPr>
        <w:t>《Z03060207-电子系统集成》教学大纲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_Toc17562 </w:instrText>
      </w:r>
      <w:r>
        <w:rPr>
          <w:rFonts w:hint="eastAsia" w:ascii="宋体" w:hAnsi="宋体" w:eastAsia="宋体" w:cs="宋体"/>
        </w:rPr>
        <w:fldChar w:fldCharType="separate"/>
      </w:r>
      <w:r>
        <w:rPr>
          <w:rFonts w:ascii="宋体" w:hAnsi="宋体" w:eastAsia="宋体" w:cs="宋体"/>
        </w:rPr>
        <w:t>407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"_Toc32003" </w:instrText>
      </w:r>
      <w:r>
        <w:fldChar w:fldCharType="separate"/>
      </w:r>
      <w:r>
        <w:rPr>
          <w:rFonts w:hint="eastAsia" w:ascii="宋体" w:hAnsi="宋体" w:eastAsia="宋体" w:cs="宋体"/>
        </w:rPr>
        <w:t>《Z03060213-电子科学与技术专业外语》教学大纲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_Toc32003 </w:instrText>
      </w:r>
      <w:r>
        <w:rPr>
          <w:rFonts w:hint="eastAsia" w:ascii="宋体" w:hAnsi="宋体" w:eastAsia="宋体" w:cs="宋体"/>
        </w:rPr>
        <w:fldChar w:fldCharType="separate"/>
      </w:r>
      <w:r>
        <w:rPr>
          <w:rFonts w:ascii="宋体" w:hAnsi="宋体" w:eastAsia="宋体" w:cs="宋体"/>
        </w:rPr>
        <w:t>415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"_Toc20586" </w:instrText>
      </w:r>
      <w:r>
        <w:fldChar w:fldCharType="separate"/>
      </w:r>
      <w:r>
        <w:rPr>
          <w:rFonts w:hint="eastAsia" w:ascii="宋体" w:hAnsi="宋体" w:eastAsia="宋体" w:cs="宋体"/>
        </w:rPr>
        <w:t>《Z06060203-光学仪器应用》教学大纲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_Toc20586 </w:instrText>
      </w:r>
      <w:r>
        <w:rPr>
          <w:rFonts w:hint="eastAsia" w:ascii="宋体" w:hAnsi="宋体" w:eastAsia="宋体" w:cs="宋体"/>
        </w:rPr>
        <w:fldChar w:fldCharType="separate"/>
      </w:r>
      <w:r>
        <w:rPr>
          <w:rFonts w:ascii="宋体" w:hAnsi="宋体" w:eastAsia="宋体" w:cs="宋体"/>
        </w:rPr>
        <w:t>422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"_Toc9984" </w:instrText>
      </w:r>
      <w:r>
        <w:fldChar w:fldCharType="separate"/>
      </w:r>
      <w:r>
        <w:rPr>
          <w:rFonts w:hint="eastAsia" w:ascii="宋体" w:hAnsi="宋体" w:eastAsia="宋体" w:cs="宋体"/>
        </w:rPr>
        <w:t>《Z06060204-工业控制网络设计》教学大纲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_Toc9984 </w:instrText>
      </w:r>
      <w:r>
        <w:rPr>
          <w:rFonts w:hint="eastAsia" w:ascii="宋体" w:hAnsi="宋体" w:eastAsia="宋体" w:cs="宋体"/>
        </w:rPr>
        <w:fldChar w:fldCharType="separate"/>
      </w:r>
      <w:r>
        <w:rPr>
          <w:rFonts w:ascii="宋体" w:hAnsi="宋体" w:eastAsia="宋体" w:cs="宋体"/>
        </w:rPr>
        <w:t>429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"_Toc7376" </w:instrText>
      </w:r>
      <w:r>
        <w:fldChar w:fldCharType="separate"/>
      </w:r>
      <w:r>
        <w:rPr>
          <w:rFonts w:hint="eastAsia" w:ascii="宋体" w:hAnsi="宋体" w:eastAsia="宋体" w:cs="宋体"/>
        </w:rPr>
        <w:t>《Z06060205-无线传感网络设计》教学大纲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_Toc7376 </w:instrText>
      </w:r>
      <w:r>
        <w:rPr>
          <w:rFonts w:hint="eastAsia" w:ascii="宋体" w:hAnsi="宋体" w:eastAsia="宋体" w:cs="宋体"/>
        </w:rPr>
        <w:fldChar w:fldCharType="separate"/>
      </w:r>
      <w:r>
        <w:rPr>
          <w:rFonts w:ascii="宋体" w:hAnsi="宋体" w:eastAsia="宋体" w:cs="宋体"/>
        </w:rPr>
        <w:t>438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"_Toc19164" </w:instrText>
      </w:r>
      <w:r>
        <w:fldChar w:fldCharType="separate"/>
      </w:r>
      <w:r>
        <w:rPr>
          <w:rFonts w:hint="eastAsia" w:ascii="宋体" w:hAnsi="宋体" w:eastAsia="宋体" w:cs="宋体"/>
        </w:rPr>
        <w:t>《Z06060207-模拟采集设计》教学大纲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_Toc19164 </w:instrText>
      </w:r>
      <w:r>
        <w:rPr>
          <w:rFonts w:hint="eastAsia" w:ascii="宋体" w:hAnsi="宋体" w:eastAsia="宋体" w:cs="宋体"/>
        </w:rPr>
        <w:fldChar w:fldCharType="separate"/>
      </w:r>
      <w:r>
        <w:rPr>
          <w:rFonts w:ascii="宋体" w:hAnsi="宋体" w:eastAsia="宋体" w:cs="宋体"/>
        </w:rPr>
        <w:t>445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"_Toc23988" </w:instrText>
      </w:r>
      <w:r>
        <w:fldChar w:fldCharType="separate"/>
      </w:r>
      <w:r>
        <w:rPr>
          <w:rFonts w:hint="eastAsia" w:ascii="宋体" w:hAnsi="宋体" w:eastAsia="宋体" w:cs="宋体"/>
        </w:rPr>
        <w:t>《Z06060208-信号源设计》教学大纲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_Toc23988 </w:instrText>
      </w:r>
      <w:r>
        <w:rPr>
          <w:rFonts w:hint="eastAsia" w:ascii="宋体" w:hAnsi="宋体" w:eastAsia="宋体" w:cs="宋体"/>
        </w:rPr>
        <w:fldChar w:fldCharType="separate"/>
      </w:r>
      <w:r>
        <w:rPr>
          <w:rFonts w:ascii="宋体" w:hAnsi="宋体" w:eastAsia="宋体" w:cs="宋体"/>
        </w:rPr>
        <w:t>451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"_Toc11240" </w:instrText>
      </w:r>
      <w:r>
        <w:fldChar w:fldCharType="separate"/>
      </w:r>
      <w:r>
        <w:rPr>
          <w:rFonts w:hint="eastAsia" w:ascii="宋体" w:hAnsi="宋体" w:eastAsia="宋体" w:cs="宋体"/>
        </w:rPr>
        <w:t>《Z06060209-总线接口设计》教学大纲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_Toc11240 </w:instrText>
      </w:r>
      <w:r>
        <w:rPr>
          <w:rFonts w:hint="eastAsia" w:ascii="宋体" w:hAnsi="宋体" w:eastAsia="宋体" w:cs="宋体"/>
        </w:rPr>
        <w:fldChar w:fldCharType="separate"/>
      </w:r>
      <w:r>
        <w:rPr>
          <w:rFonts w:ascii="宋体" w:hAnsi="宋体" w:eastAsia="宋体" w:cs="宋体"/>
        </w:rPr>
        <w:t>457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"_Toc21508" </w:instrText>
      </w:r>
      <w:r>
        <w:fldChar w:fldCharType="separate"/>
      </w:r>
      <w:r>
        <w:rPr>
          <w:rFonts w:hint="eastAsia" w:ascii="宋体" w:hAnsi="宋体" w:eastAsia="宋体" w:cs="宋体"/>
        </w:rPr>
        <w:t>《Z06060211-DSP系统设计》教学大纲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_Toc21508 </w:instrText>
      </w:r>
      <w:r>
        <w:rPr>
          <w:rFonts w:hint="eastAsia" w:ascii="宋体" w:hAnsi="宋体" w:eastAsia="宋体" w:cs="宋体"/>
        </w:rPr>
        <w:fldChar w:fldCharType="separate"/>
      </w:r>
      <w:r>
        <w:rPr>
          <w:rFonts w:ascii="宋体" w:hAnsi="宋体" w:eastAsia="宋体" w:cs="宋体"/>
        </w:rPr>
        <w:t>467</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"_Toc28341" </w:instrText>
      </w:r>
      <w:r>
        <w:fldChar w:fldCharType="separate"/>
      </w:r>
      <w:r>
        <w:rPr>
          <w:rFonts w:hint="eastAsia" w:ascii="宋体" w:hAnsi="宋体" w:eastAsia="宋体" w:cs="宋体"/>
        </w:rPr>
        <w:t>《Z06060213-电磁兼容设计》教学大纲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_Toc28341 </w:instrText>
      </w:r>
      <w:r>
        <w:rPr>
          <w:rFonts w:hint="eastAsia" w:ascii="宋体" w:hAnsi="宋体" w:eastAsia="宋体" w:cs="宋体"/>
        </w:rPr>
        <w:fldChar w:fldCharType="separate"/>
      </w:r>
      <w:r>
        <w:rPr>
          <w:rFonts w:ascii="宋体" w:hAnsi="宋体" w:eastAsia="宋体" w:cs="宋体"/>
        </w:rPr>
        <w:t>475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"_Toc17411" </w:instrText>
      </w:r>
      <w:r>
        <w:fldChar w:fldCharType="separate"/>
      </w:r>
      <w:r>
        <w:rPr>
          <w:rFonts w:hint="eastAsia" w:ascii="宋体" w:hAnsi="宋体" w:eastAsia="宋体" w:cs="宋体"/>
        </w:rPr>
        <w:t>《Z07060210-电子系统设计综合实践》教学大纲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_Toc17411 </w:instrText>
      </w:r>
      <w:r>
        <w:rPr>
          <w:rFonts w:hint="eastAsia" w:ascii="宋体" w:hAnsi="宋体" w:eastAsia="宋体" w:cs="宋体"/>
        </w:rPr>
        <w:fldChar w:fldCharType="separate"/>
      </w:r>
      <w:r>
        <w:rPr>
          <w:rFonts w:ascii="宋体" w:hAnsi="宋体" w:eastAsia="宋体" w:cs="宋体"/>
        </w:rPr>
        <w:t>483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"_Toc30885" </w:instrText>
      </w:r>
      <w:r>
        <w:fldChar w:fldCharType="separate"/>
      </w:r>
      <w:r>
        <w:rPr>
          <w:rFonts w:hint="eastAsia" w:ascii="宋体" w:hAnsi="宋体" w:eastAsia="宋体" w:cs="宋体"/>
        </w:rPr>
        <w:t>《Y09060201-毕业实习》教学大纲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_Toc30885 </w:instrText>
      </w:r>
      <w:r>
        <w:rPr>
          <w:rFonts w:hint="eastAsia" w:ascii="宋体" w:hAnsi="宋体" w:eastAsia="宋体" w:cs="宋体"/>
        </w:rPr>
        <w:fldChar w:fldCharType="separate"/>
      </w:r>
      <w:r>
        <w:rPr>
          <w:rFonts w:ascii="宋体" w:hAnsi="宋体" w:eastAsia="宋体" w:cs="宋体"/>
        </w:rPr>
        <w:t>500</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12"/>
        </w:tabs>
        <w:spacing w:line="312" w:lineRule="auto"/>
        <w:ind w:left="0" w:leftChars="0"/>
        <w:rPr>
          <w:rFonts w:ascii="宋体" w:hAnsi="宋体" w:eastAsia="宋体" w:cs="宋体"/>
        </w:rPr>
      </w:pPr>
      <w:r>
        <w:fldChar w:fldCharType="begin"/>
      </w:r>
      <w:r>
        <w:instrText xml:space="preserve"> HYPERLINK \l "_Toc3851" </w:instrText>
      </w:r>
      <w:r>
        <w:fldChar w:fldCharType="separate"/>
      </w:r>
      <w:r>
        <w:rPr>
          <w:rFonts w:hint="eastAsia" w:ascii="宋体" w:hAnsi="宋体" w:eastAsia="宋体" w:cs="宋体"/>
        </w:rPr>
        <w:t>《Y08060202-毕业设计》教学大纲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_Toc3851 </w:instrText>
      </w:r>
      <w:r>
        <w:rPr>
          <w:rFonts w:hint="eastAsia" w:ascii="宋体" w:hAnsi="宋体" w:eastAsia="宋体" w:cs="宋体"/>
        </w:rPr>
        <w:fldChar w:fldCharType="separate"/>
      </w:r>
      <w:r>
        <w:rPr>
          <w:rFonts w:ascii="宋体" w:hAnsi="宋体" w:eastAsia="宋体" w:cs="宋体"/>
        </w:rPr>
        <w:t>505</w:t>
      </w:r>
      <w:r>
        <w:rPr>
          <w:rFonts w:hint="eastAsia" w:ascii="宋体" w:hAnsi="宋体" w:eastAsia="宋体" w:cs="宋体"/>
        </w:rPr>
        <w:fldChar w:fldCharType="end"/>
      </w:r>
      <w:r>
        <w:rPr>
          <w:rFonts w:hint="eastAsia" w:ascii="宋体" w:hAnsi="宋体" w:eastAsia="宋体" w:cs="宋体"/>
        </w:rPr>
        <w:fldChar w:fldCharType="end"/>
      </w:r>
    </w:p>
    <w:p>
      <w:pPr>
        <w:adjustRightInd w:val="0"/>
        <w:spacing w:line="312" w:lineRule="auto"/>
        <w:jc w:val="left"/>
        <w:rPr>
          <w:rFonts w:asciiTheme="minorEastAsia" w:hAnsiTheme="minorEastAsia"/>
          <w:lang w:val="zh-CN"/>
        </w:rPr>
      </w:pPr>
      <w:r>
        <w:rPr>
          <w:rFonts w:hint="eastAsia" w:ascii="宋体" w:hAnsi="宋体" w:cs="宋体"/>
          <w:lang w:val="zh-CN"/>
        </w:rPr>
        <w:fldChar w:fldCharType="end"/>
      </w:r>
    </w:p>
    <w:p>
      <w:pPr>
        <w:widowControl/>
        <w:ind w:left="1280" w:hanging="1280" w:hangingChars="400"/>
        <w:jc w:val="center"/>
        <w:rPr>
          <w:rFonts w:ascii="仿宋" w:hAnsi="仿宋" w:eastAsia="仿宋" w:cs="仿宋"/>
          <w:sz w:val="32"/>
          <w:szCs w:val="32"/>
        </w:rPr>
      </w:pPr>
    </w:p>
    <w:sdt>
      <w:sdtPr>
        <w:rPr>
          <w:rFonts w:hint="eastAsia" w:ascii="黑体" w:hAnsi="黑体" w:eastAsia="黑体" w:cs="黑体"/>
          <w:sz w:val="56"/>
          <w:szCs w:val="40"/>
          <w:lang w:val="zh-CN"/>
        </w:rPr>
        <w:id w:val="49048235"/>
        <w:docPartObj>
          <w:docPartGallery w:val="Table of Contents"/>
          <w:docPartUnique/>
        </w:docPartObj>
      </w:sdtPr>
      <w:sdtEndPr>
        <w:rPr>
          <w:rFonts w:hint="eastAsia" w:ascii="Times New Roman" w:hAnsi="Times New Roman" w:eastAsia="宋体" w:cs="黑体"/>
          <w:b/>
          <w:sz w:val="21"/>
          <w:szCs w:val="40"/>
          <w:lang w:val="zh-CN"/>
        </w:rPr>
      </w:sdtEndPr>
      <w:sdtContent>
        <w:p>
          <w:pPr>
            <w:adjustRightInd w:val="0"/>
            <w:snapToGrid w:val="0"/>
            <w:spacing w:line="360" w:lineRule="auto"/>
            <w:ind w:left="2240" w:hanging="2240" w:hangingChars="400"/>
            <w:rPr>
              <w:rFonts w:asciiTheme="minorEastAsia" w:hAnsiTheme="minorEastAsia"/>
              <w:lang w:val="zh-CN"/>
            </w:rPr>
          </w:pPr>
        </w:p>
        <w:p>
          <w:pPr>
            <w:adjustRightInd w:val="0"/>
            <w:snapToGrid w:val="0"/>
            <w:spacing w:line="360" w:lineRule="auto"/>
            <w:sectPr>
              <w:headerReference r:id="rId3" w:type="default"/>
              <w:footerReference r:id="rId4" w:type="default"/>
              <w:pgSz w:w="11906" w:h="16838"/>
              <w:pgMar w:top="1440" w:right="1797" w:bottom="1440" w:left="1797" w:header="851" w:footer="992" w:gutter="0"/>
              <w:cols w:space="425" w:num="1"/>
              <w:docGrid w:linePitch="312" w:charSpace="0"/>
            </w:sectPr>
          </w:pPr>
        </w:p>
      </w:sdtContent>
    </w:sdt>
    <w:p>
      <w:pPr>
        <w:pStyle w:val="20"/>
        <w:spacing w:before="312" w:after="468"/>
      </w:pPr>
      <w:bookmarkStart w:id="1" w:name="_Toc5230"/>
      <w:bookmarkStart w:id="2" w:name="_Toc46996557"/>
      <w:bookmarkStart w:id="3" w:name="_Toc493673136"/>
      <w:r>
        <w:rPr>
          <w:rFonts w:hint="eastAsia"/>
        </w:rPr>
        <w:t>《X</w:t>
      </w:r>
      <w:r>
        <w:t>01070001</w:t>
      </w:r>
      <w:r>
        <w:rPr>
          <w:rFonts w:hint="eastAsia"/>
        </w:rPr>
        <w:t>-</w:t>
      </w:r>
      <w:r>
        <w:t>C语言程序设计</w:t>
      </w:r>
      <w:r>
        <w:rPr>
          <w:rFonts w:hint="eastAsia"/>
        </w:rPr>
        <w:t>》</w:t>
      </w:r>
      <w:r>
        <w:t>教学大纲</w:t>
      </w:r>
      <w:bookmarkEnd w:id="1"/>
    </w:p>
    <w:p>
      <w:pPr>
        <w:spacing w:line="360" w:lineRule="auto"/>
        <w:rPr>
          <w:snapToGrid w:val="0"/>
          <w:kern w:val="0"/>
          <w:szCs w:val="21"/>
        </w:rPr>
      </w:pPr>
      <w:r>
        <w:rPr>
          <w:rFonts w:hint="eastAsia" w:eastAsia="黑体"/>
          <w:szCs w:val="21"/>
        </w:rPr>
        <w:t xml:space="preserve">   </w:t>
      </w:r>
      <w:r>
        <w:rPr>
          <w:rFonts w:eastAsia="黑体"/>
          <w:szCs w:val="21"/>
        </w:rPr>
        <w:t>课程编号：</w:t>
      </w:r>
      <w:r>
        <w:rPr>
          <w:rFonts w:hint="eastAsia"/>
          <w:snapToGrid w:val="0"/>
          <w:kern w:val="0"/>
          <w:szCs w:val="21"/>
        </w:rPr>
        <w:t>X</w:t>
      </w:r>
      <w:r>
        <w:rPr>
          <w:snapToGrid w:val="0"/>
          <w:kern w:val="0"/>
          <w:szCs w:val="21"/>
        </w:rPr>
        <w:t>01070001</w:t>
      </w:r>
    </w:p>
    <w:p>
      <w:pPr>
        <w:spacing w:line="360" w:lineRule="auto"/>
        <w:ind w:firstLine="315" w:firstLineChars="150"/>
        <w:rPr>
          <w:rFonts w:eastAsia="黑体"/>
          <w:szCs w:val="21"/>
        </w:rPr>
      </w:pPr>
      <w:r>
        <w:rPr>
          <w:rFonts w:eastAsia="黑体"/>
          <w:szCs w:val="21"/>
        </w:rPr>
        <w:t>课程名称：</w:t>
      </w:r>
      <w:r>
        <w:rPr>
          <w:szCs w:val="21"/>
        </w:rPr>
        <w:t>C语言程序设计</w:t>
      </w:r>
      <w:r>
        <w:rPr>
          <w:rFonts w:eastAsia="黑体"/>
          <w:szCs w:val="21"/>
        </w:rPr>
        <w:t xml:space="preserve">               </w:t>
      </w:r>
      <w:r>
        <w:rPr>
          <w:rFonts w:hint="eastAsia" w:eastAsia="黑体"/>
          <w:szCs w:val="21"/>
        </w:rPr>
        <w:t xml:space="preserve">    </w:t>
      </w:r>
      <w:r>
        <w:rPr>
          <w:rFonts w:eastAsia="黑体"/>
          <w:szCs w:val="21"/>
        </w:rPr>
        <w:t xml:space="preserve"> 开课单位：</w:t>
      </w:r>
      <w:r>
        <w:rPr>
          <w:rFonts w:hint="eastAsia" w:hAnsi="宋体"/>
          <w:szCs w:val="21"/>
        </w:rPr>
        <w:t>计算机科学与技术学院</w:t>
      </w:r>
      <w:r>
        <w:rPr>
          <w:rFonts w:eastAsia="黑体"/>
          <w:szCs w:val="21"/>
        </w:rPr>
        <w:t xml:space="preserve">   </w:t>
      </w:r>
    </w:p>
    <w:p>
      <w:pPr>
        <w:spacing w:line="360" w:lineRule="auto"/>
        <w:rPr>
          <w:rFonts w:eastAsia="黑体"/>
          <w:szCs w:val="21"/>
        </w:rPr>
      </w:pPr>
      <w:r>
        <w:rPr>
          <w:rFonts w:eastAsia="黑体"/>
          <w:szCs w:val="21"/>
        </w:rPr>
        <w:t xml:space="preserve">   </w:t>
      </w:r>
      <w:r>
        <w:rPr>
          <w:rFonts w:eastAsia="黑体"/>
          <w:spacing w:val="60"/>
          <w:szCs w:val="21"/>
        </w:rPr>
        <w:t>总学</w:t>
      </w:r>
      <w:r>
        <w:rPr>
          <w:rFonts w:eastAsia="黑体"/>
          <w:szCs w:val="21"/>
        </w:rPr>
        <w:t>时：</w:t>
      </w:r>
      <w:r>
        <w:rPr>
          <w:rFonts w:hint="eastAsia"/>
          <w:szCs w:val="21"/>
        </w:rPr>
        <w:t>64</w:t>
      </w:r>
      <w:r>
        <w:rPr>
          <w:szCs w:val="21"/>
        </w:rPr>
        <w:t xml:space="preserve">（实验24学时） </w:t>
      </w:r>
      <w:r>
        <w:rPr>
          <w:rFonts w:eastAsia="黑体"/>
          <w:szCs w:val="21"/>
        </w:rPr>
        <w:t xml:space="preserve">               学    分：</w:t>
      </w:r>
      <w:r>
        <w:rPr>
          <w:rFonts w:hint="eastAsia" w:eastAsia="黑体"/>
          <w:szCs w:val="21"/>
        </w:rPr>
        <w:t>4</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int="eastAsia" w:hAnsi="宋体"/>
          <w:szCs w:val="21"/>
        </w:rPr>
        <w:t>无</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rPr>
          <w:sz w:val="24"/>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420" w:firstLineChars="200"/>
      </w:pPr>
      <w:r>
        <w:t>本课程为理工类非计算机专业学生必修的基础课。程序设计是理工类学生必备的基本技能之一，</w:t>
      </w:r>
      <w:r>
        <w:rPr>
          <w:rFonts w:hint="eastAsia"/>
          <w:snapToGrid w:val="0"/>
          <w:kern w:val="0"/>
          <w:szCs w:val="21"/>
        </w:rPr>
        <w:t>了解</w:t>
      </w:r>
      <w:r>
        <w:t>程序设计能力不仅是学生后续课程学习的需要，而且也是学生专业素质的重要组成部分。</w:t>
      </w:r>
    </w:p>
    <w:p>
      <w:pPr>
        <w:adjustRightInd w:val="0"/>
        <w:snapToGrid w:val="0"/>
        <w:spacing w:line="360" w:lineRule="auto"/>
        <w:ind w:firstLine="420" w:firstLineChars="200"/>
      </w:pPr>
      <w:r>
        <w:t>通过本课程的学习，使学生</w:t>
      </w:r>
      <w:r>
        <w:rPr>
          <w:rFonts w:hint="eastAsia"/>
        </w:rPr>
        <w:t>能够应用</w:t>
      </w:r>
      <w:r>
        <w:t>C语言的语法和句法规则，</w:t>
      </w:r>
      <w:r>
        <w:rPr>
          <w:rFonts w:hint="eastAsia"/>
          <w:snapToGrid w:val="0"/>
          <w:kern w:val="0"/>
          <w:szCs w:val="21"/>
        </w:rPr>
        <w:t>领会</w:t>
      </w:r>
      <w:r>
        <w:t>结构化程序设计的思想与方法，培养学生应用计算机处理实际问题的意识与能力，</w:t>
      </w:r>
      <w:r>
        <w:rPr>
          <w:rFonts w:hint="eastAsia"/>
          <w:snapToGrid w:val="0"/>
          <w:kern w:val="0"/>
          <w:szCs w:val="21"/>
        </w:rPr>
        <w:t>能够应用</w:t>
      </w:r>
      <w:r>
        <w:t>常用的算法，使学生具有利用C语言编写算法正确、结构良好的程序的能力与阅读分析程序的能力，同时</w:t>
      </w:r>
      <w:r>
        <w:rPr>
          <w:rFonts w:hint="eastAsia"/>
          <w:snapToGrid w:val="0"/>
          <w:kern w:val="0"/>
          <w:szCs w:val="21"/>
        </w:rPr>
        <w:t>学会</w:t>
      </w:r>
      <w:r>
        <w:t>一定的程序设计技巧及调试程序的方法。</w:t>
      </w:r>
    </w:p>
    <w:p>
      <w:pPr>
        <w:adjustRightInd w:val="0"/>
        <w:snapToGrid w:val="0"/>
        <w:spacing w:line="360" w:lineRule="auto"/>
        <w:ind w:firstLine="480" w:firstLineChars="200"/>
        <w:rPr>
          <w:sz w:val="24"/>
        </w:rPr>
      </w:pPr>
    </w:p>
    <w:p>
      <w:pPr>
        <w:spacing w:line="360" w:lineRule="auto"/>
        <w:rPr>
          <w:rFonts w:eastAsia="黑体"/>
          <w:szCs w:val="21"/>
        </w:rPr>
      </w:pPr>
      <w:r>
        <w:rPr>
          <w:rFonts w:eastAsia="黑体"/>
          <w:szCs w:val="21"/>
        </w:rPr>
        <w:t>二、课程目标</w:t>
      </w:r>
    </w:p>
    <w:p>
      <w:pPr>
        <w:spacing w:line="360" w:lineRule="auto"/>
        <w:ind w:firstLine="420" w:firstLineChars="200"/>
        <w:rPr>
          <w:b/>
          <w:bCs/>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3922"/>
        <w:gridCol w:w="40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301" w:type="pct"/>
            <w:shd w:val="clear" w:color="auto" w:fill="auto"/>
          </w:tcPr>
          <w:p>
            <w:pPr>
              <w:spacing w:line="360" w:lineRule="auto"/>
              <w:jc w:val="center"/>
              <w:rPr>
                <w:sz w:val="18"/>
                <w:szCs w:val="18"/>
              </w:rPr>
            </w:pPr>
            <w:r>
              <w:rPr>
                <w:rFonts w:hint="eastAsia"/>
                <w:sz w:val="18"/>
                <w:szCs w:val="18"/>
              </w:rPr>
              <w:t>课程目标</w:t>
            </w:r>
          </w:p>
        </w:tc>
        <w:tc>
          <w:tcPr>
            <w:tcW w:w="2355"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301" w:type="pct"/>
            <w:shd w:val="clear" w:color="auto" w:fill="auto"/>
          </w:tcPr>
          <w:p>
            <w:pPr>
              <w:adjustRightInd w:val="0"/>
              <w:snapToGrid w:val="0"/>
              <w:spacing w:line="360" w:lineRule="auto"/>
              <w:rPr>
                <w:sz w:val="18"/>
                <w:szCs w:val="18"/>
              </w:rPr>
            </w:pPr>
            <w:r>
              <w:rPr>
                <w:rFonts w:hint="eastAsia"/>
                <w:sz w:val="18"/>
                <w:szCs w:val="18"/>
              </w:rPr>
              <w:t>能够应用</w:t>
            </w:r>
            <w:r>
              <w:rPr>
                <w:sz w:val="18"/>
                <w:szCs w:val="18"/>
              </w:rPr>
              <w:t>C语言语法和句法规则</w:t>
            </w:r>
            <w:r>
              <w:rPr>
                <w:rFonts w:hint="eastAsia"/>
                <w:sz w:val="18"/>
                <w:szCs w:val="18"/>
              </w:rPr>
              <w:t>编写程序以解决问题</w:t>
            </w:r>
            <w:r>
              <w:rPr>
                <w:sz w:val="18"/>
                <w:szCs w:val="18"/>
              </w:rPr>
              <w:t xml:space="preserve">； </w:t>
            </w:r>
          </w:p>
        </w:tc>
        <w:tc>
          <w:tcPr>
            <w:tcW w:w="2355" w:type="pct"/>
            <w:shd w:val="clear" w:color="auto" w:fill="auto"/>
          </w:tcPr>
          <w:p>
            <w:pPr>
              <w:adjustRightInd w:val="0"/>
              <w:snapToGrid w:val="0"/>
              <w:spacing w:line="360" w:lineRule="auto"/>
              <w:rPr>
                <w:sz w:val="18"/>
                <w:szCs w:val="18"/>
              </w:rPr>
            </w:pPr>
            <w:r>
              <w:rPr>
                <w:rFonts w:hint="eastAsia"/>
                <w:b/>
                <w:sz w:val="18"/>
                <w:szCs w:val="18"/>
              </w:rPr>
              <w:t>指标点5-1 工具选择与开发：</w:t>
            </w:r>
            <w:r>
              <w:rPr>
                <w:rFonts w:hint="eastAsia"/>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301" w:type="pct"/>
            <w:shd w:val="clear" w:color="auto" w:fill="auto"/>
          </w:tcPr>
          <w:p>
            <w:pPr>
              <w:adjustRightInd w:val="0"/>
              <w:snapToGrid w:val="0"/>
              <w:spacing w:line="360" w:lineRule="auto"/>
              <w:rPr>
                <w:sz w:val="18"/>
                <w:szCs w:val="18"/>
              </w:rPr>
            </w:pPr>
            <w:r>
              <w:rPr>
                <w:rFonts w:hAnsi="宋体"/>
                <w:bCs/>
                <w:sz w:val="18"/>
                <w:szCs w:val="18"/>
              </w:rPr>
              <w:t>通过对本课程的教学</w:t>
            </w:r>
            <w:r>
              <w:rPr>
                <w:rFonts w:hint="eastAsia" w:hAnsi="宋体"/>
                <w:bCs/>
                <w:sz w:val="18"/>
                <w:szCs w:val="18"/>
              </w:rPr>
              <w:t>，</w:t>
            </w:r>
            <w:r>
              <w:rPr>
                <w:rFonts w:hAnsi="宋体"/>
                <w:bCs/>
                <w:sz w:val="18"/>
                <w:szCs w:val="18"/>
              </w:rPr>
              <w:t>使学生对</w:t>
            </w:r>
            <w:r>
              <w:rPr>
                <w:sz w:val="18"/>
                <w:szCs w:val="18"/>
              </w:rPr>
              <w:t>计算机基础知识</w:t>
            </w:r>
            <w:r>
              <w:rPr>
                <w:rFonts w:hint="eastAsia"/>
                <w:sz w:val="18"/>
                <w:szCs w:val="18"/>
              </w:rPr>
              <w:t>有</w:t>
            </w:r>
            <w:r>
              <w:rPr>
                <w:rFonts w:hAnsi="宋体"/>
                <w:bCs/>
                <w:sz w:val="18"/>
                <w:szCs w:val="18"/>
              </w:rPr>
              <w:t>比较全面和系统的认识和正确的理解</w:t>
            </w:r>
            <w:r>
              <w:rPr>
                <w:sz w:val="18"/>
                <w:szCs w:val="18"/>
              </w:rPr>
              <w:t>，</w:t>
            </w:r>
            <w:r>
              <w:rPr>
                <w:rFonts w:hint="eastAsia"/>
                <w:sz w:val="18"/>
                <w:szCs w:val="18"/>
              </w:rPr>
              <w:t>能够使用C语言</w:t>
            </w:r>
            <w:r>
              <w:rPr>
                <w:sz w:val="18"/>
                <w:szCs w:val="18"/>
              </w:rPr>
              <w:t>常用算法</w:t>
            </w:r>
            <w:r>
              <w:rPr>
                <w:rFonts w:hint="eastAsia"/>
                <w:sz w:val="18"/>
                <w:szCs w:val="18"/>
              </w:rPr>
              <w:t>并进行程序调试；</w:t>
            </w:r>
          </w:p>
        </w:tc>
        <w:tc>
          <w:tcPr>
            <w:tcW w:w="2355" w:type="pct"/>
            <w:shd w:val="clear" w:color="auto" w:fill="auto"/>
          </w:tcPr>
          <w:p>
            <w:pPr>
              <w:adjustRightInd w:val="0"/>
              <w:snapToGrid w:val="0"/>
              <w:spacing w:line="360" w:lineRule="auto"/>
              <w:rPr>
                <w:sz w:val="18"/>
                <w:szCs w:val="18"/>
              </w:rPr>
            </w:pPr>
            <w:r>
              <w:rPr>
                <w:rFonts w:hint="eastAsia"/>
                <w:b/>
                <w:sz w:val="18"/>
                <w:szCs w:val="18"/>
              </w:rPr>
              <w:t>指标点5-2专业工具使用：</w:t>
            </w:r>
            <w:r>
              <w:rPr>
                <w:rFonts w:hint="eastAsia"/>
                <w:sz w:val="18"/>
                <w:szCs w:val="18"/>
              </w:rPr>
              <w:t>能使用工具对电路系统、协议等进行设计和仿真，确定功能和相关设计参数。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4</w:t>
            </w:r>
          </w:p>
        </w:tc>
        <w:tc>
          <w:tcPr>
            <w:tcW w:w="2301" w:type="pct"/>
            <w:shd w:val="clear" w:color="auto" w:fill="auto"/>
          </w:tcPr>
          <w:p>
            <w:pPr>
              <w:adjustRightInd w:val="0"/>
              <w:snapToGrid w:val="0"/>
              <w:spacing w:line="360" w:lineRule="auto"/>
              <w:rPr>
                <w:sz w:val="18"/>
                <w:szCs w:val="18"/>
              </w:rPr>
            </w:pPr>
            <w:r>
              <w:rPr>
                <w:rFonts w:hint="eastAsia"/>
                <w:snapToGrid w:val="0"/>
                <w:kern w:val="0"/>
                <w:sz w:val="18"/>
                <w:szCs w:val="18"/>
              </w:rPr>
              <w:t>能够利用C语言</w:t>
            </w:r>
            <w:r>
              <w:rPr>
                <w:rFonts w:hint="eastAsia"/>
                <w:sz w:val="18"/>
                <w:szCs w:val="18"/>
              </w:rPr>
              <w:t>培养</w:t>
            </w:r>
            <w:r>
              <w:rPr>
                <w:sz w:val="18"/>
                <w:szCs w:val="18"/>
              </w:rPr>
              <w:t>计算机思维</w:t>
            </w:r>
            <w:r>
              <w:rPr>
                <w:rFonts w:hint="eastAsia"/>
                <w:sz w:val="18"/>
                <w:szCs w:val="18"/>
              </w:rPr>
              <w:t>，解决实际问题，提高工作效率。</w:t>
            </w:r>
          </w:p>
        </w:tc>
        <w:tc>
          <w:tcPr>
            <w:tcW w:w="2355" w:type="pct"/>
            <w:shd w:val="clear" w:color="auto" w:fill="auto"/>
          </w:tcPr>
          <w:p>
            <w:pPr>
              <w:adjustRightInd w:val="0"/>
              <w:snapToGrid w:val="0"/>
              <w:spacing w:line="360" w:lineRule="auto"/>
              <w:rPr>
                <w:sz w:val="18"/>
                <w:szCs w:val="18"/>
              </w:rPr>
            </w:pPr>
            <w:r>
              <w:rPr>
                <w:rFonts w:hint="eastAsia"/>
                <w:b/>
                <w:sz w:val="18"/>
                <w:szCs w:val="18"/>
              </w:rPr>
              <w:t>指标点5-3 其它手段与资源：</w:t>
            </w:r>
            <w:r>
              <w:rPr>
                <w:rFonts w:hint="eastAsia"/>
                <w:sz w:val="18"/>
                <w:szCs w:val="18"/>
              </w:rPr>
              <w:t>能够充分利用高级语言、通用数据处理软件和字处理等其它信息技术工具与资源，提高工作效率。</w:t>
            </w:r>
          </w:p>
        </w:tc>
      </w:tr>
    </w:tbl>
    <w:p>
      <w:pPr>
        <w:spacing w:line="360" w:lineRule="auto"/>
        <w:rPr>
          <w:rFonts w:eastAsia="黑体"/>
          <w:color w:val="0B5FD1"/>
          <w:szCs w:val="21"/>
        </w:rPr>
      </w:pPr>
      <w:r>
        <w:rPr>
          <w:rFonts w:eastAsia="黑体"/>
          <w:szCs w:val="21"/>
        </w:rPr>
        <w:t>三、</w:t>
      </w:r>
      <w:r>
        <w:rPr>
          <w:rFonts w:hint="eastAsia" w:eastAsia="黑体"/>
          <w:szCs w:val="21"/>
        </w:rPr>
        <w:t>教学</w:t>
      </w:r>
      <w:r>
        <w:rPr>
          <w:rFonts w:eastAsia="黑体"/>
          <w:szCs w:val="21"/>
        </w:rPr>
        <w:t>内容及基本要求</w:t>
      </w:r>
    </w:p>
    <w:p>
      <w:pPr>
        <w:adjustRightInd w:val="0"/>
        <w:spacing w:line="360" w:lineRule="auto"/>
        <w:ind w:firstLine="420" w:firstLineChars="200"/>
        <w:rPr>
          <w:rFonts w:ascii="黑体" w:hAnsi="黑体" w:eastAsia="黑体"/>
          <w:szCs w:val="21"/>
        </w:rPr>
      </w:pPr>
      <w:r>
        <w:rPr>
          <w:rFonts w:hint="eastAsia" w:ascii="黑体" w:hAnsi="黑体" w:eastAsia="黑体"/>
          <w:szCs w:val="21"/>
        </w:rPr>
        <w:t>课程要求</w:t>
      </w:r>
      <w:r>
        <w:rPr>
          <w:rFonts w:ascii="黑体" w:hAnsi="黑体" w:eastAsia="黑体"/>
          <w:szCs w:val="21"/>
        </w:rPr>
        <w:t>：</w:t>
      </w:r>
      <w:r>
        <w:rPr>
          <w:rFonts w:ascii="黑体" w:hAnsi="黑体" w:eastAsia="黑体"/>
          <w:b/>
          <w:bCs/>
          <w:szCs w:val="21"/>
        </w:rPr>
        <w:t xml:space="preserve"> </w:t>
      </w:r>
    </w:p>
    <w:p>
      <w:pPr>
        <w:adjustRightInd w:val="0"/>
        <w:snapToGrid w:val="0"/>
        <w:spacing w:line="360" w:lineRule="auto"/>
        <w:ind w:firstLine="420" w:firstLineChars="200"/>
      </w:pPr>
      <w:r>
        <w:t>1、本课程为公共基础课，是培养计算机思维和计算思维能力的基础课。要求学生能够掌握C的语法和句法规则，能够使用C语言解决实际问题。</w:t>
      </w:r>
    </w:p>
    <w:p>
      <w:pPr>
        <w:adjustRightInd w:val="0"/>
        <w:snapToGrid w:val="0"/>
        <w:spacing w:line="360" w:lineRule="auto"/>
        <w:ind w:firstLine="420" w:firstLineChars="200"/>
      </w:pPr>
      <w:r>
        <w:t>2、本课程是理论和实践结合非常紧密的课程，要求学生侧重通过实验</w:t>
      </w:r>
      <w:r>
        <w:rPr>
          <w:rFonts w:hint="eastAsia"/>
          <w:snapToGrid w:val="0"/>
          <w:kern w:val="0"/>
          <w:szCs w:val="21"/>
        </w:rPr>
        <w:t>了解</w:t>
      </w:r>
      <w:r>
        <w:t>调试程序的能力，通过实验掌握基本算法等。</w:t>
      </w:r>
    </w:p>
    <w:p>
      <w:pPr>
        <w:adjustRightInd w:val="0"/>
        <w:snapToGrid w:val="0"/>
        <w:spacing w:line="360" w:lineRule="auto"/>
        <w:ind w:firstLine="420" w:firstLineChars="200"/>
      </w:pPr>
      <w:r>
        <w:t>3、实验环节要求学生提前编好程序，实验后递交纸质的实验报告和电子程序。</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szCs w:val="21"/>
        </w:rPr>
        <w:t>1、基础知识（2学时）</w:t>
      </w:r>
    </w:p>
    <w:p>
      <w:pPr>
        <w:adjustRightInd w:val="0"/>
        <w:snapToGrid w:val="0"/>
        <w:spacing w:line="360" w:lineRule="auto"/>
        <w:ind w:firstLine="424" w:firstLineChars="202"/>
        <w:rPr>
          <w:szCs w:val="21"/>
        </w:rPr>
      </w:pPr>
      <w:r>
        <w:rPr>
          <w:szCs w:val="21"/>
        </w:rPr>
        <w:t>1</w:t>
      </w:r>
      <w:r>
        <w:rPr>
          <w:rFonts w:hint="eastAsia"/>
          <w:szCs w:val="21"/>
        </w:rPr>
        <w:t xml:space="preserve">. </w:t>
      </w:r>
      <w:r>
        <w:t>了解计算机硬件的基本组成及计算机的工作原理；</w:t>
      </w:r>
      <w:r>
        <w:rPr>
          <w:rFonts w:hint="eastAsia"/>
          <w:snapToGrid w:val="0"/>
          <w:kern w:val="0"/>
          <w:szCs w:val="21"/>
        </w:rPr>
        <w:t>了解</w:t>
      </w:r>
      <w:r>
        <w:t>二、八、十六及十进制，及进制间的转换；了解内存的组织形式，</w:t>
      </w:r>
      <w:r>
        <w:rPr>
          <w:rFonts w:hint="eastAsia"/>
          <w:snapToGrid w:val="0"/>
          <w:kern w:val="0"/>
          <w:szCs w:val="21"/>
        </w:rPr>
        <w:t>领会</w:t>
      </w:r>
      <w:r>
        <w:t>字节、字等概念，</w:t>
      </w:r>
      <w:r>
        <w:rPr>
          <w:rFonts w:hint="eastAsia"/>
          <w:snapToGrid w:val="0"/>
          <w:kern w:val="0"/>
          <w:szCs w:val="21"/>
        </w:rPr>
        <w:t>领会</w:t>
      </w:r>
      <w:r>
        <w:t>数据在内存中的存储方式，了解地址的概念；了解计算机语言，</w:t>
      </w:r>
      <w:r>
        <w:rPr>
          <w:rFonts w:hint="eastAsia"/>
          <w:snapToGrid w:val="0"/>
          <w:kern w:val="0"/>
          <w:szCs w:val="21"/>
        </w:rPr>
        <w:t>领会</w:t>
      </w:r>
      <w:r>
        <w:t>高级语言编译与链接过程；了解计算机系统的软件和硬件构成及相关的性能指标</w:t>
      </w:r>
      <w:r>
        <w:rPr>
          <w:rFonts w:hint="eastAsia"/>
        </w:rPr>
        <w:t>；</w:t>
      </w:r>
    </w:p>
    <w:p>
      <w:pPr>
        <w:adjustRightInd w:val="0"/>
        <w:snapToGrid w:val="0"/>
        <w:spacing w:line="360" w:lineRule="auto"/>
        <w:ind w:firstLine="420" w:firstLineChars="200"/>
      </w:pPr>
      <w:r>
        <w:rPr>
          <w:szCs w:val="21"/>
        </w:rPr>
        <w:t>2</w:t>
      </w:r>
      <w:r>
        <w:rPr>
          <w:rFonts w:hint="eastAsia"/>
          <w:szCs w:val="21"/>
        </w:rPr>
        <w:t xml:space="preserve">. </w:t>
      </w:r>
      <w:r>
        <w:rPr>
          <w:rFonts w:hint="eastAsia"/>
          <w:snapToGrid w:val="0"/>
          <w:kern w:val="0"/>
          <w:szCs w:val="21"/>
        </w:rPr>
        <w:t>了解</w:t>
      </w:r>
      <w:r>
        <w:t>利用计算机处理问题的步骤；</w:t>
      </w:r>
      <w:r>
        <w:rPr>
          <w:rFonts w:hint="eastAsia"/>
          <w:snapToGrid w:val="0"/>
          <w:kern w:val="0"/>
          <w:szCs w:val="21"/>
        </w:rPr>
        <w:t>了解</w:t>
      </w:r>
      <w:r>
        <w:t>算法的基本特性及算法的表示方法，掌握利用N-S流程图描述算法的三种结构，初步</w:t>
      </w:r>
      <w:r>
        <w:rPr>
          <w:rFonts w:hint="eastAsia"/>
          <w:snapToGrid w:val="0"/>
          <w:kern w:val="0"/>
          <w:szCs w:val="21"/>
        </w:rPr>
        <w:t>领会</w:t>
      </w:r>
      <w:r>
        <w:t>循环的概念；了解结构化程序设计及结构化程序的概念</w:t>
      </w:r>
      <w:r>
        <w:rPr>
          <w:rFonts w:hint="eastAsia"/>
        </w:rPr>
        <w:t>；</w:t>
      </w:r>
    </w:p>
    <w:p>
      <w:pPr>
        <w:adjustRightInd w:val="0"/>
        <w:snapToGrid w:val="0"/>
        <w:spacing w:line="360" w:lineRule="auto"/>
        <w:ind w:firstLine="424" w:firstLineChars="202"/>
        <w:rPr>
          <w:szCs w:val="21"/>
        </w:rPr>
      </w:pPr>
      <w:r>
        <w:rPr>
          <w:rFonts w:hint="eastAsia"/>
        </w:rPr>
        <w:t xml:space="preserve">3. </w:t>
      </w:r>
      <w:r>
        <w:t>了解C语言发展及特点；</w:t>
      </w:r>
      <w:r>
        <w:rPr>
          <w:rFonts w:hint="eastAsia"/>
          <w:snapToGrid w:val="0"/>
          <w:kern w:val="0"/>
          <w:szCs w:val="21"/>
        </w:rPr>
        <w:t>领会</w:t>
      </w:r>
      <w:r>
        <w:t>C语言基本符号集、保留字及用户自定义标识符；</w:t>
      </w:r>
      <w:r>
        <w:rPr>
          <w:rFonts w:hint="eastAsia"/>
          <w:snapToGrid w:val="0"/>
          <w:kern w:val="0"/>
          <w:szCs w:val="21"/>
        </w:rPr>
        <w:t>了解</w:t>
      </w:r>
      <w:r>
        <w:t>简单C 语言程序的结构</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本章节内容支撑课程目标1、2、3。</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bCs/>
          <w:szCs w:val="21"/>
        </w:rPr>
        <w:t>2、数据</w:t>
      </w:r>
      <w:r>
        <w:rPr>
          <w:rFonts w:ascii="黑体" w:hAnsi="黑体" w:eastAsia="黑体"/>
          <w:bCs/>
          <w:szCs w:val="21"/>
        </w:rPr>
        <w:t>及运算</w:t>
      </w:r>
      <w:r>
        <w:rPr>
          <w:rFonts w:hint="eastAsia" w:ascii="黑体" w:hAnsi="黑体" w:eastAsia="黑体"/>
          <w:szCs w:val="21"/>
        </w:rPr>
        <w:t>（4学时）</w:t>
      </w:r>
    </w:p>
    <w:p>
      <w:pPr>
        <w:adjustRightInd w:val="0"/>
        <w:snapToGrid w:val="0"/>
        <w:spacing w:line="360" w:lineRule="auto"/>
        <w:ind w:firstLine="420" w:firstLineChars="200"/>
        <w:rPr>
          <w:szCs w:val="21"/>
        </w:rPr>
      </w:pPr>
      <w:r>
        <w:rPr>
          <w:szCs w:val="21"/>
        </w:rPr>
        <w:t>1</w:t>
      </w:r>
      <w:r>
        <w:rPr>
          <w:rFonts w:hint="eastAsia"/>
          <w:szCs w:val="21"/>
        </w:rPr>
        <w:t>.</w:t>
      </w:r>
      <w:r>
        <w:rPr>
          <w:szCs w:val="21"/>
        </w:rPr>
        <w:t xml:space="preserve"> </w:t>
      </w:r>
      <w:r>
        <w:t>了解C</w:t>
      </w:r>
      <w:r>
        <w:rPr>
          <w:rFonts w:hint="eastAsia"/>
        </w:rPr>
        <w:t>语言</w:t>
      </w:r>
      <w:r>
        <w:t>丰富的数据类型，</w:t>
      </w:r>
      <w:r>
        <w:rPr>
          <w:rFonts w:hint="eastAsia"/>
          <w:snapToGrid w:val="0"/>
          <w:kern w:val="0"/>
          <w:szCs w:val="21"/>
        </w:rPr>
        <w:t>领会</w:t>
      </w:r>
      <w:r>
        <w:t>基本数据类型的类型标识符、数据的存储方式、能表示的数据范围、数据的精度</w:t>
      </w:r>
      <w:r>
        <w:rPr>
          <w:rFonts w:hint="eastAsia"/>
        </w:rPr>
        <w:t>；</w:t>
      </w:r>
    </w:p>
    <w:p>
      <w:pPr>
        <w:adjustRightInd w:val="0"/>
        <w:snapToGrid w:val="0"/>
        <w:spacing w:line="360" w:lineRule="auto"/>
        <w:ind w:firstLine="420" w:firstLineChars="200"/>
        <w:rPr>
          <w:szCs w:val="21"/>
        </w:rPr>
      </w:pPr>
      <w:r>
        <w:rPr>
          <w:szCs w:val="21"/>
        </w:rPr>
        <w:t>2</w:t>
      </w:r>
      <w:r>
        <w:rPr>
          <w:rFonts w:hint="eastAsia"/>
          <w:szCs w:val="21"/>
        </w:rPr>
        <w:t>.</w:t>
      </w:r>
      <w:r>
        <w:rPr>
          <w:szCs w:val="21"/>
        </w:rPr>
        <w:t xml:space="preserve"> </w:t>
      </w:r>
      <w:r>
        <w:rPr>
          <w:rFonts w:hint="eastAsia"/>
          <w:snapToGrid w:val="0"/>
          <w:kern w:val="0"/>
          <w:szCs w:val="21"/>
        </w:rPr>
        <w:t>了解</w:t>
      </w:r>
      <w:r>
        <w:t>各种类型常量的表示方法及常量类型的判别标准，</w:t>
      </w:r>
      <w:r>
        <w:rPr>
          <w:rFonts w:hint="eastAsia"/>
          <w:snapToGrid w:val="0"/>
          <w:kern w:val="0"/>
          <w:szCs w:val="21"/>
        </w:rPr>
        <w:t>领会</w:t>
      </w:r>
      <w:r>
        <w:t>变量的基本要素、变量的定义规范及变量初始化的方法</w:t>
      </w:r>
      <w:r>
        <w:rPr>
          <w:rFonts w:hint="eastAsia"/>
        </w:rPr>
        <w:t>；</w:t>
      </w:r>
    </w:p>
    <w:p>
      <w:pPr>
        <w:adjustRightInd w:val="0"/>
        <w:snapToGrid w:val="0"/>
        <w:spacing w:line="360" w:lineRule="auto"/>
        <w:ind w:firstLine="386" w:firstLineChars="184"/>
        <w:rPr>
          <w:szCs w:val="21"/>
        </w:rPr>
      </w:pPr>
      <w:r>
        <w:rPr>
          <w:szCs w:val="21"/>
        </w:rPr>
        <w:t>3</w:t>
      </w:r>
      <w:r>
        <w:rPr>
          <w:rFonts w:hint="eastAsia"/>
          <w:szCs w:val="21"/>
        </w:rPr>
        <w:t xml:space="preserve">. </w:t>
      </w:r>
      <w:r>
        <w:rPr>
          <w:rFonts w:hint="eastAsia"/>
          <w:snapToGrid w:val="0"/>
          <w:kern w:val="0"/>
          <w:szCs w:val="21"/>
        </w:rPr>
        <w:t>了解</w:t>
      </w:r>
      <w:r>
        <w:t>算术、赋值、自增自减及逗号运算符的含义、优先极、结合性及参与运算的运算对象的属性，</w:t>
      </w:r>
      <w:r>
        <w:rPr>
          <w:rFonts w:hint="eastAsia"/>
          <w:snapToGrid w:val="0"/>
          <w:kern w:val="0"/>
          <w:szCs w:val="21"/>
        </w:rPr>
        <w:t>了解</w:t>
      </w:r>
      <w:r>
        <w:t>表达式构成的规则，</w:t>
      </w:r>
      <w:r>
        <w:rPr>
          <w:rFonts w:hint="eastAsia"/>
          <w:snapToGrid w:val="0"/>
          <w:kern w:val="0"/>
          <w:szCs w:val="21"/>
        </w:rPr>
        <w:t>了解</w:t>
      </w:r>
      <w:r>
        <w:t>编译系统对表达式运算的优先级与结合性的原则，</w:t>
      </w:r>
      <w:r>
        <w:rPr>
          <w:rFonts w:hint="eastAsia"/>
          <w:snapToGrid w:val="0"/>
          <w:kern w:val="0"/>
          <w:szCs w:val="21"/>
        </w:rPr>
        <w:t>了解</w:t>
      </w:r>
      <w:r>
        <w:t>自增自减运算的特殊性</w:t>
      </w:r>
      <w:r>
        <w:rPr>
          <w:rFonts w:hint="eastAsia"/>
        </w:rPr>
        <w:t>；</w:t>
      </w:r>
    </w:p>
    <w:p>
      <w:pPr>
        <w:adjustRightInd w:val="0"/>
        <w:snapToGrid w:val="0"/>
        <w:spacing w:line="360" w:lineRule="auto"/>
        <w:ind w:firstLine="420" w:firstLineChars="200"/>
        <w:rPr>
          <w:szCs w:val="21"/>
        </w:rPr>
      </w:pPr>
      <w:r>
        <w:rPr>
          <w:szCs w:val="21"/>
        </w:rPr>
        <w:t>4</w:t>
      </w:r>
      <w:r>
        <w:rPr>
          <w:rFonts w:hint="eastAsia" w:hAnsi="宋体"/>
          <w:szCs w:val="21"/>
        </w:rPr>
        <w:t xml:space="preserve">. </w:t>
      </w:r>
      <w:r>
        <w:rPr>
          <w:rFonts w:hint="eastAsia"/>
          <w:snapToGrid w:val="0"/>
          <w:kern w:val="0"/>
          <w:szCs w:val="21"/>
        </w:rPr>
        <w:t>了解</w:t>
      </w:r>
      <w:r>
        <w:t>C语言中类型的自动转换规则和类型的强制转换运算</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本章节内容支撑课程目标1、2。</w:t>
      </w:r>
    </w:p>
    <w:p>
      <w:pPr>
        <w:adjustRightInd w:val="0"/>
        <w:snapToGrid w:val="0"/>
        <w:spacing w:line="360" w:lineRule="auto"/>
        <w:ind w:firstLine="420" w:firstLineChars="200"/>
        <w:rPr>
          <w:rFonts w:ascii="黑体" w:hAnsi="黑体" w:eastAsia="黑体"/>
          <w:b/>
          <w:bCs/>
          <w:szCs w:val="21"/>
        </w:rPr>
      </w:pPr>
      <w:r>
        <w:rPr>
          <w:rFonts w:hint="eastAsia" w:eastAsia="黑体"/>
          <w:bCs/>
          <w:szCs w:val="21"/>
        </w:rPr>
        <w:t>3、顺序</w:t>
      </w:r>
      <w:r>
        <w:rPr>
          <w:rFonts w:eastAsia="黑体"/>
          <w:bCs/>
          <w:szCs w:val="21"/>
        </w:rPr>
        <w:t>结构设计</w:t>
      </w:r>
      <w:r>
        <w:rPr>
          <w:rFonts w:hint="eastAsia" w:ascii="黑体" w:hAnsi="黑体" w:eastAsia="黑体"/>
          <w:szCs w:val="21"/>
        </w:rPr>
        <w:t>（4学时）</w:t>
      </w:r>
    </w:p>
    <w:p>
      <w:pPr>
        <w:adjustRightInd w:val="0"/>
        <w:snapToGrid w:val="0"/>
        <w:spacing w:line="360" w:lineRule="auto"/>
        <w:ind w:firstLine="420" w:firstLineChars="200"/>
        <w:rPr>
          <w:szCs w:val="21"/>
        </w:rPr>
      </w:pPr>
      <w:r>
        <w:rPr>
          <w:szCs w:val="21"/>
        </w:rPr>
        <w:t>1</w:t>
      </w:r>
      <w:r>
        <w:rPr>
          <w:rFonts w:hint="eastAsia" w:hAnsi="宋体"/>
          <w:szCs w:val="21"/>
        </w:rPr>
        <w:t xml:space="preserve">. </w:t>
      </w:r>
      <w:r>
        <w:rPr>
          <w:rFonts w:hint="eastAsia"/>
          <w:snapToGrid w:val="0"/>
          <w:kern w:val="0"/>
          <w:szCs w:val="21"/>
        </w:rPr>
        <w:t>了解</w:t>
      </w:r>
      <w:r>
        <w:t>语句的含义及语句的分类，</w:t>
      </w:r>
      <w:r>
        <w:rPr>
          <w:rFonts w:hint="eastAsia"/>
          <w:snapToGrid w:val="0"/>
          <w:kern w:val="0"/>
          <w:szCs w:val="21"/>
        </w:rPr>
        <w:t>领会</w:t>
      </w:r>
      <w:r>
        <w:t>表达式语句、空语句、复合语句及库函数调用语句的使用</w:t>
      </w:r>
      <w:r>
        <w:rPr>
          <w:rFonts w:hint="eastAsia"/>
        </w:rPr>
        <w:t>；</w:t>
      </w:r>
    </w:p>
    <w:p>
      <w:pPr>
        <w:adjustRightInd w:val="0"/>
        <w:snapToGrid w:val="0"/>
        <w:spacing w:line="360" w:lineRule="auto"/>
        <w:ind w:firstLine="420" w:firstLineChars="200"/>
        <w:rPr>
          <w:szCs w:val="21"/>
        </w:rPr>
      </w:pPr>
      <w:r>
        <w:rPr>
          <w:szCs w:val="21"/>
        </w:rPr>
        <w:t>2</w:t>
      </w:r>
      <w:r>
        <w:rPr>
          <w:rFonts w:hint="eastAsia" w:hAnsi="宋体"/>
          <w:szCs w:val="21"/>
        </w:rPr>
        <w:t xml:space="preserve">. </w:t>
      </w:r>
      <w:r>
        <w:rPr>
          <w:rFonts w:hint="eastAsia"/>
          <w:snapToGrid w:val="0"/>
          <w:kern w:val="0"/>
          <w:szCs w:val="21"/>
        </w:rPr>
        <w:t>了解</w:t>
      </w:r>
      <w:r>
        <w:t>数据输出和数据输入函数的使用，掌握各种格式字符及格式修饰符的含义</w:t>
      </w:r>
      <w:r>
        <w:rPr>
          <w:rFonts w:hint="eastAsia"/>
        </w:rPr>
        <w:t>；</w:t>
      </w:r>
    </w:p>
    <w:p>
      <w:pPr>
        <w:adjustRightInd w:val="0"/>
        <w:snapToGrid w:val="0"/>
        <w:spacing w:line="360" w:lineRule="auto"/>
        <w:ind w:firstLine="420" w:firstLineChars="200"/>
        <w:rPr>
          <w:color w:val="000000"/>
          <w:szCs w:val="21"/>
        </w:rPr>
      </w:pPr>
      <w:r>
        <w:rPr>
          <w:szCs w:val="21"/>
        </w:rPr>
        <w:t>3</w:t>
      </w:r>
      <w:r>
        <w:rPr>
          <w:rFonts w:hint="eastAsia" w:hAnsi="宋体"/>
          <w:szCs w:val="21"/>
        </w:rPr>
        <w:t xml:space="preserve">. </w:t>
      </w:r>
      <w:r>
        <w:rPr>
          <w:rFonts w:hint="eastAsia"/>
          <w:snapToGrid w:val="0"/>
          <w:kern w:val="0"/>
          <w:szCs w:val="21"/>
        </w:rPr>
        <w:t>了解</w:t>
      </w:r>
      <w:r>
        <w:t>顺序结构程序设计方法</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1、2。</w:t>
      </w:r>
    </w:p>
    <w:p>
      <w:pPr>
        <w:adjustRightInd w:val="0"/>
        <w:snapToGrid w:val="0"/>
        <w:spacing w:line="360" w:lineRule="auto"/>
        <w:ind w:firstLine="420" w:firstLineChars="200"/>
        <w:rPr>
          <w:rFonts w:ascii="黑体" w:hAnsi="黑体" w:eastAsia="黑体"/>
          <w:b/>
          <w:bCs/>
          <w:szCs w:val="21"/>
        </w:rPr>
      </w:pPr>
      <w:r>
        <w:rPr>
          <w:rFonts w:hint="eastAsia" w:eastAsia="黑体"/>
          <w:bCs/>
          <w:szCs w:val="21"/>
        </w:rPr>
        <w:t>4、选择</w:t>
      </w:r>
      <w:r>
        <w:rPr>
          <w:rFonts w:eastAsia="黑体"/>
          <w:bCs/>
          <w:szCs w:val="21"/>
        </w:rPr>
        <w:t>结构程序设计</w:t>
      </w:r>
      <w:r>
        <w:rPr>
          <w:rFonts w:hint="eastAsia" w:ascii="黑体" w:hAnsi="黑体" w:eastAsia="黑体"/>
          <w:szCs w:val="21"/>
        </w:rPr>
        <w:t>（4学时）</w:t>
      </w:r>
    </w:p>
    <w:p>
      <w:pPr>
        <w:adjustRightInd w:val="0"/>
        <w:snapToGrid w:val="0"/>
        <w:spacing w:line="360" w:lineRule="auto"/>
        <w:ind w:firstLine="420" w:firstLineChars="200"/>
        <w:rPr>
          <w:szCs w:val="21"/>
        </w:rPr>
      </w:pPr>
      <w:r>
        <w:rPr>
          <w:szCs w:val="21"/>
        </w:rPr>
        <w:t>1</w:t>
      </w:r>
      <w:r>
        <w:rPr>
          <w:rFonts w:hint="eastAsia" w:hAnsi="宋体"/>
          <w:szCs w:val="21"/>
        </w:rPr>
        <w:t xml:space="preserve">. </w:t>
      </w:r>
      <w:r>
        <w:rPr>
          <w:rFonts w:hint="eastAsia"/>
          <w:snapToGrid w:val="0"/>
          <w:kern w:val="0"/>
          <w:szCs w:val="21"/>
        </w:rPr>
        <w:t>了解</w:t>
      </w:r>
      <w:r>
        <w:t>实际问题中条件的逻辑量表示方法，</w:t>
      </w:r>
      <w:r>
        <w:rPr>
          <w:rFonts w:hint="eastAsia"/>
          <w:snapToGrid w:val="0"/>
          <w:kern w:val="0"/>
          <w:szCs w:val="21"/>
        </w:rPr>
        <w:t>领会</w:t>
      </w:r>
      <w:r>
        <w:t>表达式表示“逻辑量”的适用范围，</w:t>
      </w:r>
      <w:r>
        <w:rPr>
          <w:rFonts w:hint="eastAsia"/>
          <w:snapToGrid w:val="0"/>
          <w:kern w:val="0"/>
          <w:szCs w:val="21"/>
        </w:rPr>
        <w:t>领会</w:t>
      </w:r>
      <w:r>
        <w:t>关系、逻辑及条件表达式，</w:t>
      </w:r>
      <w:r>
        <w:rPr>
          <w:rFonts w:hint="eastAsia"/>
          <w:snapToGrid w:val="0"/>
          <w:kern w:val="0"/>
          <w:szCs w:val="21"/>
        </w:rPr>
        <w:t>领会</w:t>
      </w:r>
      <w:r>
        <w:t>逻辑运算、条件运算中的短路问题</w:t>
      </w:r>
      <w:r>
        <w:rPr>
          <w:rFonts w:hint="eastAsia"/>
        </w:rPr>
        <w:t>；</w:t>
      </w:r>
    </w:p>
    <w:p>
      <w:pPr>
        <w:adjustRightInd w:val="0"/>
        <w:snapToGrid w:val="0"/>
        <w:spacing w:line="360" w:lineRule="auto"/>
        <w:ind w:firstLine="424" w:firstLineChars="202"/>
        <w:rPr>
          <w:szCs w:val="21"/>
        </w:rPr>
      </w:pPr>
      <w:r>
        <w:rPr>
          <w:szCs w:val="21"/>
        </w:rPr>
        <w:t>2</w:t>
      </w:r>
      <w:r>
        <w:rPr>
          <w:rFonts w:hint="eastAsia" w:hAnsi="宋体"/>
          <w:szCs w:val="21"/>
        </w:rPr>
        <w:t xml:space="preserve">. </w:t>
      </w:r>
      <w:r>
        <w:rPr>
          <w:rFonts w:hint="eastAsia"/>
          <w:snapToGrid w:val="0"/>
          <w:kern w:val="0"/>
          <w:szCs w:val="21"/>
        </w:rPr>
        <w:t>了解</w:t>
      </w:r>
      <w:r>
        <w:t>if语句的格式及执行流程，</w:t>
      </w:r>
      <w:r>
        <w:rPr>
          <w:rFonts w:hint="eastAsia"/>
          <w:snapToGrid w:val="0"/>
          <w:kern w:val="0"/>
          <w:szCs w:val="21"/>
        </w:rPr>
        <w:t>领会</w:t>
      </w:r>
      <w:r>
        <w:t>选择结构程序设计的方法，</w:t>
      </w:r>
      <w:r>
        <w:rPr>
          <w:rFonts w:hint="eastAsia"/>
          <w:snapToGrid w:val="0"/>
          <w:kern w:val="0"/>
          <w:szCs w:val="21"/>
        </w:rPr>
        <w:t>领会</w:t>
      </w:r>
      <w:r>
        <w:t>“假定法”在程序设计中的运用，</w:t>
      </w:r>
      <w:r>
        <w:rPr>
          <w:rFonts w:hint="eastAsia"/>
          <w:snapToGrid w:val="0"/>
          <w:kern w:val="0"/>
          <w:szCs w:val="21"/>
        </w:rPr>
        <w:t>领会</w:t>
      </w:r>
      <w:r>
        <w:t>多分支的二分支解决方法</w:t>
      </w:r>
      <w:r>
        <w:rPr>
          <w:rFonts w:hint="eastAsia"/>
        </w:rPr>
        <w:t>；</w:t>
      </w:r>
    </w:p>
    <w:p>
      <w:pPr>
        <w:adjustRightInd w:val="0"/>
        <w:snapToGrid w:val="0"/>
        <w:spacing w:line="360" w:lineRule="auto"/>
        <w:ind w:firstLine="420" w:firstLineChars="200"/>
        <w:rPr>
          <w:szCs w:val="21"/>
        </w:rPr>
      </w:pPr>
      <w:r>
        <w:rPr>
          <w:szCs w:val="21"/>
        </w:rPr>
        <w:t>3</w:t>
      </w:r>
      <w:r>
        <w:rPr>
          <w:rFonts w:hint="eastAsia" w:hAnsi="宋体"/>
          <w:szCs w:val="21"/>
        </w:rPr>
        <w:t xml:space="preserve">. </w:t>
      </w:r>
      <w:r>
        <w:rPr>
          <w:rFonts w:hint="eastAsia"/>
          <w:snapToGrid w:val="0"/>
          <w:kern w:val="0"/>
          <w:szCs w:val="21"/>
        </w:rPr>
        <w:t>了解</w:t>
      </w:r>
      <w:r>
        <w:t>switch语句的格式及执行流程，</w:t>
      </w:r>
      <w:r>
        <w:rPr>
          <w:rFonts w:hint="eastAsia"/>
          <w:snapToGrid w:val="0"/>
          <w:kern w:val="0"/>
          <w:szCs w:val="21"/>
        </w:rPr>
        <w:t>领会</w:t>
      </w:r>
      <w:r>
        <w:t>switch中用整型数表示多分支的程序设计方法</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1、2。</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bCs/>
          <w:szCs w:val="21"/>
        </w:rPr>
        <w:t>5、循环</w:t>
      </w:r>
      <w:r>
        <w:rPr>
          <w:rFonts w:ascii="黑体" w:hAnsi="黑体" w:eastAsia="黑体"/>
          <w:bCs/>
          <w:szCs w:val="21"/>
        </w:rPr>
        <w:t>程序结构设计</w:t>
      </w:r>
      <w:r>
        <w:rPr>
          <w:rFonts w:hint="eastAsia" w:ascii="黑体" w:hAnsi="黑体" w:eastAsia="黑体"/>
          <w:szCs w:val="21"/>
        </w:rPr>
        <w:t>（5学时）</w:t>
      </w:r>
    </w:p>
    <w:p>
      <w:pPr>
        <w:adjustRightInd w:val="0"/>
        <w:snapToGrid w:val="0"/>
        <w:spacing w:line="360" w:lineRule="auto"/>
        <w:ind w:firstLine="420" w:firstLineChars="200"/>
        <w:rPr>
          <w:rFonts w:hAnsi="宋体"/>
          <w:szCs w:val="21"/>
        </w:rPr>
      </w:pPr>
      <w:r>
        <w:rPr>
          <w:szCs w:val="21"/>
        </w:rPr>
        <w:t>1</w:t>
      </w:r>
      <w:r>
        <w:rPr>
          <w:rFonts w:hint="eastAsia" w:hAnsi="宋体"/>
          <w:szCs w:val="21"/>
        </w:rPr>
        <w:t xml:space="preserve">. </w:t>
      </w:r>
      <w:r>
        <w:rPr>
          <w:rFonts w:hint="eastAsia"/>
          <w:snapToGrid w:val="0"/>
          <w:kern w:val="0"/>
          <w:szCs w:val="21"/>
        </w:rPr>
        <w:t>了解</w:t>
      </w:r>
      <w:r>
        <w:t>循环的概念及循环类题目的设计步骤</w:t>
      </w:r>
      <w:r>
        <w:rPr>
          <w:rFonts w:hint="eastAsia"/>
        </w:rPr>
        <w:t>；</w:t>
      </w:r>
    </w:p>
    <w:p>
      <w:pPr>
        <w:adjustRightInd w:val="0"/>
        <w:snapToGrid w:val="0"/>
        <w:spacing w:line="360" w:lineRule="auto"/>
        <w:ind w:firstLine="420" w:firstLineChars="200"/>
      </w:pPr>
      <w:r>
        <w:rPr>
          <w:szCs w:val="21"/>
        </w:rPr>
        <w:t>2</w:t>
      </w:r>
      <w:r>
        <w:rPr>
          <w:rFonts w:hint="eastAsia" w:hAnsi="宋体"/>
          <w:szCs w:val="21"/>
        </w:rPr>
        <w:t xml:space="preserve">. </w:t>
      </w:r>
      <w:r>
        <w:rPr>
          <w:rFonts w:hint="eastAsia"/>
          <w:snapToGrid w:val="0"/>
          <w:kern w:val="0"/>
          <w:szCs w:val="21"/>
        </w:rPr>
        <w:t>了解</w:t>
      </w:r>
      <w:r>
        <w:t>实现循环的while语句、do～while语句及for语句的格式及执行流程，</w:t>
      </w:r>
      <w:r>
        <w:rPr>
          <w:rFonts w:hint="eastAsia"/>
          <w:snapToGrid w:val="0"/>
          <w:kern w:val="0"/>
          <w:szCs w:val="21"/>
        </w:rPr>
        <w:t>领会</w:t>
      </w:r>
      <w:r>
        <w:t>循环结构程序设计的方法，</w:t>
      </w:r>
      <w:r>
        <w:rPr>
          <w:rFonts w:hint="eastAsia"/>
          <w:snapToGrid w:val="0"/>
          <w:kern w:val="0"/>
          <w:szCs w:val="21"/>
        </w:rPr>
        <w:t>领会</w:t>
      </w:r>
      <w:r>
        <w:t>同一题目的当型和直到型两种实现方法</w:t>
      </w:r>
      <w:r>
        <w:rPr>
          <w:rFonts w:hint="eastAsia"/>
        </w:rPr>
        <w:t>；</w:t>
      </w:r>
    </w:p>
    <w:p>
      <w:pPr>
        <w:adjustRightInd w:val="0"/>
        <w:snapToGrid w:val="0"/>
        <w:spacing w:line="360" w:lineRule="auto"/>
        <w:ind w:left="735" w:leftChars="200" w:hanging="315" w:hangingChars="150"/>
      </w:pPr>
      <w:r>
        <w:rPr>
          <w:rFonts w:hint="eastAsia" w:hAnsi="宋体"/>
          <w:szCs w:val="21"/>
        </w:rPr>
        <w:t xml:space="preserve">3. </w:t>
      </w:r>
      <w:r>
        <w:rPr>
          <w:rFonts w:hint="eastAsia"/>
          <w:snapToGrid w:val="0"/>
          <w:kern w:val="0"/>
          <w:szCs w:val="21"/>
        </w:rPr>
        <w:t>了解</w:t>
      </w:r>
      <w:r>
        <w:t>循环嵌套的执行机制，</w:t>
      </w:r>
      <w:r>
        <w:rPr>
          <w:rFonts w:hint="eastAsia"/>
          <w:snapToGrid w:val="0"/>
          <w:kern w:val="0"/>
          <w:szCs w:val="21"/>
        </w:rPr>
        <w:t>领会</w:t>
      </w:r>
      <w:r>
        <w:t>环嵌套的编程方法</w:t>
      </w:r>
      <w:r>
        <w:rPr>
          <w:rFonts w:hint="eastAsia"/>
        </w:rPr>
        <w:t>；</w:t>
      </w:r>
    </w:p>
    <w:p>
      <w:pPr>
        <w:adjustRightInd w:val="0"/>
        <w:snapToGrid w:val="0"/>
        <w:spacing w:line="360" w:lineRule="auto"/>
        <w:ind w:left="735" w:leftChars="200" w:hanging="315" w:hangingChars="150"/>
      </w:pPr>
      <w:r>
        <w:rPr>
          <w:rFonts w:hint="eastAsia"/>
        </w:rPr>
        <w:t xml:space="preserve">4. </w:t>
      </w:r>
      <w:r>
        <w:rPr>
          <w:rFonts w:hint="eastAsia"/>
          <w:snapToGrid w:val="0"/>
          <w:kern w:val="0"/>
          <w:szCs w:val="21"/>
        </w:rPr>
        <w:t>了解</w:t>
      </w:r>
      <w:r>
        <w:t>break、continue语句的作用，</w:t>
      </w:r>
      <w:r>
        <w:rPr>
          <w:rFonts w:hint="eastAsia"/>
          <w:snapToGrid w:val="0"/>
          <w:kern w:val="0"/>
          <w:szCs w:val="21"/>
        </w:rPr>
        <w:t>领会</w:t>
      </w:r>
      <w:r>
        <w:t>break与循环条件的关系，continue与if语句的关系</w:t>
      </w:r>
      <w:r>
        <w:rPr>
          <w:rFonts w:hint="eastAsia"/>
        </w:rPr>
        <w:t>；</w:t>
      </w:r>
    </w:p>
    <w:p>
      <w:pPr>
        <w:adjustRightInd w:val="0"/>
        <w:snapToGrid w:val="0"/>
        <w:spacing w:line="360" w:lineRule="auto"/>
        <w:ind w:firstLine="420" w:firstLineChars="200"/>
        <w:rPr>
          <w:szCs w:val="21"/>
        </w:rPr>
      </w:pPr>
      <w:r>
        <w:rPr>
          <w:rFonts w:hint="eastAsia"/>
          <w:szCs w:val="21"/>
        </w:rPr>
        <w:t xml:space="preserve">5. </w:t>
      </w:r>
      <w:r>
        <w:rPr>
          <w:rFonts w:hint="eastAsia"/>
          <w:snapToGrid w:val="0"/>
          <w:kern w:val="0"/>
          <w:szCs w:val="21"/>
        </w:rPr>
        <w:t>了解</w:t>
      </w:r>
      <w:r>
        <w:t>常用的循环题目的设计方法（递推法、穷举法、迭代法等），</w:t>
      </w:r>
      <w:r>
        <w:rPr>
          <w:rFonts w:hint="eastAsia"/>
          <w:snapToGrid w:val="0"/>
          <w:kern w:val="0"/>
          <w:szCs w:val="21"/>
        </w:rPr>
        <w:t>领会</w:t>
      </w:r>
      <w:r>
        <w:t>标志量在程序设计中的作用</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本章节内容支撑课程目标1、2。</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bCs/>
          <w:szCs w:val="21"/>
        </w:rPr>
        <w:t>6、函数</w:t>
      </w:r>
      <w:r>
        <w:rPr>
          <w:rFonts w:hint="eastAsia" w:ascii="黑体" w:hAnsi="黑体" w:eastAsia="黑体"/>
          <w:szCs w:val="21"/>
        </w:rPr>
        <w:t>（4学时）</w:t>
      </w:r>
    </w:p>
    <w:p>
      <w:pPr>
        <w:adjustRightInd w:val="0"/>
        <w:snapToGrid w:val="0"/>
        <w:spacing w:line="360" w:lineRule="auto"/>
        <w:ind w:firstLine="424" w:firstLineChars="202"/>
        <w:rPr>
          <w:szCs w:val="21"/>
        </w:rPr>
      </w:pPr>
      <w:r>
        <w:rPr>
          <w:szCs w:val="21"/>
        </w:rPr>
        <w:t>1</w:t>
      </w:r>
      <w:r>
        <w:rPr>
          <w:rFonts w:hint="eastAsia" w:hAnsi="宋体"/>
          <w:szCs w:val="21"/>
        </w:rPr>
        <w:t xml:space="preserve">. </w:t>
      </w:r>
      <w:r>
        <w:t>了解模块化程序设计的基本概念及其在结构化程序设计中的地位与作用，了解函数的定义、声明及调用全过程</w:t>
      </w:r>
      <w:r>
        <w:rPr>
          <w:rFonts w:hint="eastAsia"/>
        </w:rPr>
        <w:t>；</w:t>
      </w:r>
    </w:p>
    <w:p>
      <w:pPr>
        <w:adjustRightInd w:val="0"/>
        <w:snapToGrid w:val="0"/>
        <w:spacing w:line="360" w:lineRule="auto"/>
        <w:ind w:firstLine="420" w:firstLineChars="200"/>
        <w:rPr>
          <w:szCs w:val="21"/>
        </w:rPr>
      </w:pPr>
      <w:r>
        <w:rPr>
          <w:szCs w:val="21"/>
        </w:rPr>
        <w:t>2</w:t>
      </w:r>
      <w:r>
        <w:rPr>
          <w:rFonts w:hint="eastAsia" w:hAnsi="宋体"/>
          <w:szCs w:val="21"/>
        </w:rPr>
        <w:t xml:space="preserve">. </w:t>
      </w:r>
      <w:r>
        <w:rPr>
          <w:rFonts w:hint="eastAsia"/>
          <w:snapToGrid w:val="0"/>
          <w:kern w:val="0"/>
          <w:szCs w:val="21"/>
        </w:rPr>
        <w:t>领会</w:t>
      </w:r>
      <w:r>
        <w:t>函数定义的方法，</w:t>
      </w:r>
      <w:r>
        <w:rPr>
          <w:rFonts w:hint="eastAsia"/>
          <w:snapToGrid w:val="0"/>
          <w:kern w:val="0"/>
          <w:szCs w:val="21"/>
        </w:rPr>
        <w:t>了解</w:t>
      </w:r>
      <w:r>
        <w:t>函数参数与函数返回值的含义，</w:t>
      </w:r>
      <w:r>
        <w:rPr>
          <w:rFonts w:hint="eastAsia"/>
          <w:snapToGrid w:val="0"/>
          <w:kern w:val="0"/>
          <w:szCs w:val="21"/>
        </w:rPr>
        <w:t>领会</w:t>
      </w:r>
      <w:r>
        <w:t>实际问题的函数描述</w:t>
      </w:r>
      <w:r>
        <w:rPr>
          <w:rFonts w:hint="eastAsia"/>
        </w:rPr>
        <w:t>；</w:t>
      </w:r>
    </w:p>
    <w:p>
      <w:pPr>
        <w:adjustRightInd w:val="0"/>
        <w:snapToGrid w:val="0"/>
        <w:spacing w:line="360" w:lineRule="auto"/>
        <w:ind w:firstLine="420" w:firstLineChars="200"/>
        <w:rPr>
          <w:szCs w:val="21"/>
        </w:rPr>
      </w:pPr>
      <w:r>
        <w:rPr>
          <w:szCs w:val="21"/>
        </w:rPr>
        <w:t>3</w:t>
      </w:r>
      <w:r>
        <w:rPr>
          <w:rFonts w:hint="eastAsia" w:hAnsi="宋体"/>
          <w:szCs w:val="21"/>
        </w:rPr>
        <w:t xml:space="preserve">. </w:t>
      </w:r>
      <w:r>
        <w:rPr>
          <w:rFonts w:hint="eastAsia"/>
          <w:snapToGrid w:val="0"/>
          <w:kern w:val="0"/>
          <w:szCs w:val="21"/>
        </w:rPr>
        <w:t>了解</w:t>
      </w:r>
      <w:r>
        <w:t>函数调用规范，掌握程序流程控制的转移，掌握及参数传递机制</w:t>
      </w:r>
      <w:r>
        <w:rPr>
          <w:rFonts w:hint="eastAsia"/>
        </w:rPr>
        <w:t>；</w:t>
      </w:r>
    </w:p>
    <w:p>
      <w:pPr>
        <w:adjustRightInd w:val="0"/>
        <w:snapToGrid w:val="0"/>
        <w:spacing w:line="360" w:lineRule="auto"/>
        <w:ind w:firstLine="420" w:firstLineChars="200"/>
        <w:rPr>
          <w:szCs w:val="21"/>
        </w:rPr>
      </w:pPr>
      <w:r>
        <w:rPr>
          <w:szCs w:val="21"/>
        </w:rPr>
        <w:t>4</w:t>
      </w:r>
      <w:r>
        <w:rPr>
          <w:rFonts w:hint="eastAsia" w:hAnsi="宋体"/>
          <w:szCs w:val="21"/>
        </w:rPr>
        <w:t xml:space="preserve">. </w:t>
      </w:r>
      <w:r>
        <w:rPr>
          <w:rFonts w:hint="eastAsia"/>
          <w:snapToGrid w:val="0"/>
          <w:kern w:val="0"/>
          <w:szCs w:val="21"/>
        </w:rPr>
        <w:t>了解</w:t>
      </w:r>
      <w:r>
        <w:t>函数嵌套调用的机理，</w:t>
      </w:r>
      <w:r>
        <w:rPr>
          <w:rFonts w:hint="eastAsia"/>
          <w:snapToGrid w:val="0"/>
          <w:kern w:val="0"/>
          <w:szCs w:val="21"/>
        </w:rPr>
        <w:t>领会</w:t>
      </w:r>
      <w:r>
        <w:t>函数嵌套程序的设计方法</w:t>
      </w:r>
      <w:r>
        <w:rPr>
          <w:rFonts w:hint="eastAsia"/>
        </w:rPr>
        <w:t>；</w:t>
      </w:r>
      <w:r>
        <w:rPr>
          <w:rFonts w:hAnsi="宋体"/>
          <w:szCs w:val="21"/>
        </w:rPr>
        <w:t>。</w:t>
      </w:r>
      <w:r>
        <w:rPr>
          <w:szCs w:val="21"/>
        </w:rPr>
        <w:t xml:space="preserve"> </w:t>
      </w:r>
    </w:p>
    <w:p>
      <w:pPr>
        <w:adjustRightInd w:val="0"/>
        <w:snapToGrid w:val="0"/>
        <w:spacing w:line="360" w:lineRule="auto"/>
        <w:ind w:firstLine="424" w:firstLineChars="202"/>
        <w:rPr>
          <w:szCs w:val="21"/>
        </w:rPr>
      </w:pPr>
      <w:r>
        <w:rPr>
          <w:szCs w:val="21"/>
        </w:rPr>
        <w:t>5</w:t>
      </w:r>
      <w:r>
        <w:rPr>
          <w:rFonts w:hint="eastAsia" w:hAnsi="宋体"/>
          <w:szCs w:val="21"/>
        </w:rPr>
        <w:t xml:space="preserve">. </w:t>
      </w:r>
      <w:r>
        <w:rPr>
          <w:rFonts w:hint="eastAsia"/>
          <w:snapToGrid w:val="0"/>
          <w:kern w:val="0"/>
          <w:szCs w:val="21"/>
        </w:rPr>
        <w:t>了解</w:t>
      </w:r>
      <w:r>
        <w:t>变量的的存储类别及作用域，</w:t>
      </w:r>
      <w:r>
        <w:rPr>
          <w:rFonts w:hint="eastAsia"/>
          <w:snapToGrid w:val="0"/>
          <w:kern w:val="0"/>
          <w:szCs w:val="21"/>
        </w:rPr>
        <w:t>领会</w:t>
      </w:r>
      <w:r>
        <w:t>局部变量、全局变量及静态变量的概念、作用范围变量及生命周期</w:t>
      </w:r>
      <w:r>
        <w:rPr>
          <w:rFonts w:hAnsi="宋体"/>
          <w:szCs w:val="21"/>
        </w:rPr>
        <w:t>。</w:t>
      </w:r>
      <w:r>
        <w:rPr>
          <w:szCs w:val="21"/>
        </w:rPr>
        <w:t xml:space="preserve"> </w:t>
      </w:r>
    </w:p>
    <w:p>
      <w:pPr>
        <w:adjustRightInd w:val="0"/>
        <w:snapToGrid w:val="0"/>
        <w:spacing w:line="360" w:lineRule="auto"/>
        <w:ind w:firstLine="420" w:firstLineChars="200"/>
        <w:rPr>
          <w:szCs w:val="21"/>
        </w:rPr>
      </w:pPr>
      <w:r>
        <w:rPr>
          <w:rFonts w:hint="eastAsia"/>
          <w:szCs w:val="21"/>
        </w:rPr>
        <w:t>本章节内容支撑课程目标 1、2。</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bCs/>
          <w:szCs w:val="21"/>
        </w:rPr>
        <w:t>7、指针</w:t>
      </w:r>
      <w:r>
        <w:rPr>
          <w:rFonts w:hint="eastAsia" w:ascii="黑体" w:hAnsi="黑体" w:eastAsia="黑体"/>
          <w:szCs w:val="21"/>
        </w:rPr>
        <w:t>（4学时）</w:t>
      </w:r>
    </w:p>
    <w:p>
      <w:pPr>
        <w:adjustRightInd w:val="0"/>
        <w:snapToGrid w:val="0"/>
        <w:spacing w:line="360" w:lineRule="auto"/>
        <w:ind w:firstLine="420" w:firstLineChars="200"/>
        <w:rPr>
          <w:szCs w:val="21"/>
        </w:rPr>
      </w:pPr>
      <w:r>
        <w:rPr>
          <w:szCs w:val="21"/>
        </w:rPr>
        <w:t>1</w:t>
      </w:r>
      <w:r>
        <w:rPr>
          <w:rFonts w:hint="eastAsia" w:hAnsi="宋体"/>
          <w:szCs w:val="21"/>
        </w:rPr>
        <w:t xml:space="preserve">. </w:t>
      </w:r>
      <w:r>
        <w:t>了解指针的作用，</w:t>
      </w:r>
      <w:r>
        <w:rPr>
          <w:rFonts w:hint="eastAsia"/>
          <w:snapToGrid w:val="0"/>
          <w:kern w:val="0"/>
          <w:szCs w:val="21"/>
        </w:rPr>
        <w:t>领会</w:t>
      </w:r>
      <w:r>
        <w:t>指针的概念，</w:t>
      </w:r>
      <w:r>
        <w:rPr>
          <w:rFonts w:hint="eastAsia"/>
          <w:snapToGrid w:val="0"/>
          <w:kern w:val="0"/>
          <w:szCs w:val="21"/>
        </w:rPr>
        <w:t>领会</w:t>
      </w:r>
      <w:r>
        <w:t>指向关系建立对间接访问的重要性</w:t>
      </w:r>
      <w:r>
        <w:rPr>
          <w:rFonts w:hint="eastAsia"/>
        </w:rPr>
        <w:t>；</w:t>
      </w:r>
    </w:p>
    <w:p>
      <w:pPr>
        <w:adjustRightInd w:val="0"/>
        <w:snapToGrid w:val="0"/>
        <w:spacing w:line="360" w:lineRule="auto"/>
        <w:ind w:firstLine="424" w:firstLineChars="202"/>
        <w:rPr>
          <w:szCs w:val="21"/>
        </w:rPr>
      </w:pPr>
      <w:r>
        <w:rPr>
          <w:szCs w:val="21"/>
        </w:rPr>
        <w:t>2</w:t>
      </w:r>
      <w:r>
        <w:rPr>
          <w:rFonts w:hint="eastAsia" w:hAnsi="宋体"/>
          <w:szCs w:val="21"/>
        </w:rPr>
        <w:t xml:space="preserve">. </w:t>
      </w:r>
      <w:r>
        <w:rPr>
          <w:rFonts w:hint="eastAsia"/>
          <w:snapToGrid w:val="0"/>
          <w:kern w:val="0"/>
          <w:szCs w:val="21"/>
        </w:rPr>
        <w:t>了解</w:t>
      </w:r>
      <w:r>
        <w:t>指向变量的指针变量的定义与使用，</w:t>
      </w:r>
      <w:r>
        <w:rPr>
          <w:rFonts w:hint="eastAsia"/>
          <w:snapToGrid w:val="0"/>
          <w:kern w:val="0"/>
          <w:szCs w:val="21"/>
        </w:rPr>
        <w:t>领会</w:t>
      </w:r>
      <w:r>
        <w:t>指向变量的指针做为函数参数时的函数定义、调用规范及参数传递机制</w:t>
      </w:r>
      <w:r>
        <w:rPr>
          <w:rFonts w:hint="eastAsia"/>
        </w:rPr>
        <w:t>；</w:t>
      </w:r>
    </w:p>
    <w:p>
      <w:pPr>
        <w:adjustRightInd w:val="0"/>
        <w:snapToGrid w:val="0"/>
        <w:spacing w:line="360" w:lineRule="auto"/>
        <w:ind w:firstLine="420" w:firstLineChars="200"/>
        <w:rPr>
          <w:szCs w:val="21"/>
        </w:rPr>
      </w:pPr>
      <w:r>
        <w:rPr>
          <w:szCs w:val="21"/>
        </w:rPr>
        <w:t>3</w:t>
      </w:r>
      <w:r>
        <w:rPr>
          <w:rFonts w:hint="eastAsia" w:hAnsi="宋体"/>
          <w:szCs w:val="21"/>
        </w:rPr>
        <w:t xml:space="preserve">. </w:t>
      </w:r>
      <w:r>
        <w:rPr>
          <w:rFonts w:hint="eastAsia"/>
          <w:snapToGrid w:val="0"/>
          <w:kern w:val="0"/>
          <w:szCs w:val="21"/>
        </w:rPr>
        <w:t>了解</w:t>
      </w:r>
      <w:r>
        <w:t>返回指针的函数、指向函数的指针的定义与使用</w:t>
      </w:r>
      <w:r>
        <w:rPr>
          <w:rFonts w:hint="eastAsia"/>
        </w:rPr>
        <w:t>；</w:t>
      </w:r>
    </w:p>
    <w:p>
      <w:pPr>
        <w:adjustRightInd w:val="0"/>
        <w:snapToGrid w:val="0"/>
        <w:spacing w:line="360" w:lineRule="auto"/>
        <w:ind w:firstLine="420" w:firstLineChars="200"/>
        <w:rPr>
          <w:szCs w:val="21"/>
        </w:rPr>
      </w:pPr>
      <w:r>
        <w:rPr>
          <w:szCs w:val="21"/>
        </w:rPr>
        <w:t>4</w:t>
      </w:r>
      <w:r>
        <w:rPr>
          <w:rFonts w:hint="eastAsia" w:hAnsi="宋体"/>
          <w:szCs w:val="21"/>
        </w:rPr>
        <w:t xml:space="preserve">. </w:t>
      </w:r>
      <w:r>
        <w:rPr>
          <w:rFonts w:hint="eastAsia"/>
          <w:snapToGrid w:val="0"/>
          <w:kern w:val="0"/>
          <w:szCs w:val="21"/>
        </w:rPr>
        <w:t>了解</w:t>
      </w:r>
      <w:r>
        <w:t>多级指针的定义，了解二级指针的应用</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1、2。</w:t>
      </w:r>
    </w:p>
    <w:p>
      <w:pPr>
        <w:adjustRightInd w:val="0"/>
        <w:snapToGrid w:val="0"/>
        <w:spacing w:line="360" w:lineRule="auto"/>
        <w:ind w:firstLine="420" w:firstLineChars="200"/>
        <w:rPr>
          <w:rFonts w:ascii="黑体" w:hAnsi="黑体" w:eastAsia="黑体"/>
          <w:b/>
          <w:bCs/>
          <w:szCs w:val="21"/>
        </w:rPr>
      </w:pPr>
      <w:r>
        <w:rPr>
          <w:rFonts w:hint="eastAsia" w:eastAsia="黑体"/>
          <w:bCs/>
          <w:szCs w:val="21"/>
        </w:rPr>
        <w:t>8、数组</w:t>
      </w:r>
      <w:r>
        <w:rPr>
          <w:rFonts w:hint="eastAsia" w:ascii="黑体" w:hAnsi="黑体" w:eastAsia="黑体"/>
          <w:szCs w:val="21"/>
        </w:rPr>
        <w:t>（5学时）</w:t>
      </w:r>
    </w:p>
    <w:p>
      <w:pPr>
        <w:adjustRightInd w:val="0"/>
        <w:snapToGrid w:val="0"/>
        <w:spacing w:line="360" w:lineRule="auto"/>
        <w:ind w:firstLine="420" w:firstLineChars="200"/>
        <w:rPr>
          <w:szCs w:val="21"/>
        </w:rPr>
      </w:pPr>
      <w:r>
        <w:rPr>
          <w:szCs w:val="21"/>
        </w:rPr>
        <w:t>1</w:t>
      </w:r>
      <w:r>
        <w:rPr>
          <w:rFonts w:hint="eastAsia" w:hAnsi="宋体"/>
          <w:szCs w:val="21"/>
        </w:rPr>
        <w:t xml:space="preserve">. </w:t>
      </w:r>
      <w:r>
        <w:t>了解组合数据类型的概念，了解数组在解决实际问题中的作用</w:t>
      </w:r>
      <w:r>
        <w:rPr>
          <w:rFonts w:hint="eastAsia"/>
        </w:rPr>
        <w:t>；</w:t>
      </w:r>
      <w:r>
        <w:rPr>
          <w:rFonts w:hAnsi="宋体"/>
          <w:szCs w:val="21"/>
        </w:rPr>
        <w:t>。</w:t>
      </w:r>
    </w:p>
    <w:p>
      <w:pPr>
        <w:adjustRightInd w:val="0"/>
        <w:snapToGrid w:val="0"/>
        <w:spacing w:line="360" w:lineRule="auto"/>
        <w:ind w:firstLine="424" w:firstLineChars="202"/>
        <w:rPr>
          <w:szCs w:val="21"/>
        </w:rPr>
      </w:pPr>
      <w:r>
        <w:rPr>
          <w:szCs w:val="21"/>
        </w:rPr>
        <w:t>2</w:t>
      </w:r>
      <w:r>
        <w:rPr>
          <w:rFonts w:hint="eastAsia" w:hAnsi="宋体"/>
          <w:szCs w:val="21"/>
        </w:rPr>
        <w:t xml:space="preserve">. </w:t>
      </w:r>
      <w:r>
        <w:rPr>
          <w:rFonts w:hint="eastAsia"/>
          <w:snapToGrid w:val="0"/>
          <w:kern w:val="0"/>
          <w:szCs w:val="21"/>
        </w:rPr>
        <w:t>了解</w:t>
      </w:r>
      <w:r>
        <w:t>一维数组的定义、初始化与使用，</w:t>
      </w:r>
      <w:r>
        <w:rPr>
          <w:rFonts w:hint="eastAsia"/>
          <w:snapToGrid w:val="0"/>
          <w:kern w:val="0"/>
          <w:szCs w:val="21"/>
        </w:rPr>
        <w:t>领会</w:t>
      </w:r>
      <w:r>
        <w:t>数组元素的访问方法，</w:t>
      </w:r>
      <w:r>
        <w:rPr>
          <w:rFonts w:hint="eastAsia"/>
          <w:snapToGrid w:val="0"/>
          <w:kern w:val="0"/>
          <w:szCs w:val="21"/>
        </w:rPr>
        <w:t>领会</w:t>
      </w:r>
      <w:r>
        <w:t>一维数组的存储方法，了解如何使用计算机处理非数值计算问题，</w:t>
      </w:r>
      <w:r>
        <w:rPr>
          <w:rFonts w:hint="eastAsia"/>
          <w:snapToGrid w:val="0"/>
          <w:kern w:val="0"/>
          <w:szCs w:val="21"/>
        </w:rPr>
        <w:t>领会</w:t>
      </w:r>
      <w:r>
        <w:t>几种常用的非数值算法（如排序、查找等），掌握数组元素做函数实参的方法</w:t>
      </w:r>
      <w:r>
        <w:rPr>
          <w:rFonts w:hint="eastAsia"/>
        </w:rPr>
        <w:t>；</w:t>
      </w:r>
    </w:p>
    <w:p>
      <w:pPr>
        <w:adjustRightInd w:val="0"/>
        <w:snapToGrid w:val="0"/>
        <w:spacing w:line="360" w:lineRule="auto"/>
        <w:ind w:firstLine="420" w:firstLineChars="200"/>
        <w:rPr>
          <w:szCs w:val="21"/>
        </w:rPr>
      </w:pPr>
      <w:r>
        <w:rPr>
          <w:szCs w:val="21"/>
        </w:rPr>
        <w:t>3</w:t>
      </w:r>
      <w:r>
        <w:rPr>
          <w:rFonts w:hint="eastAsia" w:hAnsi="宋体"/>
          <w:szCs w:val="21"/>
        </w:rPr>
        <w:t xml:space="preserve">. </w:t>
      </w:r>
      <w:r>
        <w:rPr>
          <w:rFonts w:hint="eastAsia"/>
          <w:snapToGrid w:val="0"/>
          <w:kern w:val="0"/>
          <w:szCs w:val="21"/>
        </w:rPr>
        <w:t>了解</w:t>
      </w:r>
      <w:r>
        <w:t>指向数组元素的指针变量的定义与使用，掌握指向数组元素的指针做为函数参数的作用和带回多个返回值的程序设计方法</w:t>
      </w:r>
      <w:r>
        <w:rPr>
          <w:rFonts w:hint="eastAsia"/>
        </w:rPr>
        <w:t>；</w:t>
      </w:r>
    </w:p>
    <w:p>
      <w:pPr>
        <w:adjustRightInd w:val="0"/>
        <w:snapToGrid w:val="0"/>
        <w:spacing w:line="360" w:lineRule="auto"/>
        <w:ind w:firstLine="420" w:firstLineChars="200"/>
        <w:rPr>
          <w:szCs w:val="21"/>
        </w:rPr>
      </w:pPr>
      <w:r>
        <w:rPr>
          <w:szCs w:val="21"/>
        </w:rPr>
        <w:t>4</w:t>
      </w:r>
      <w:r>
        <w:rPr>
          <w:rFonts w:hint="eastAsia" w:hAnsi="宋体"/>
          <w:szCs w:val="21"/>
        </w:rPr>
        <w:t xml:space="preserve">. </w:t>
      </w:r>
      <w:r>
        <w:rPr>
          <w:rFonts w:hint="eastAsia"/>
          <w:snapToGrid w:val="0"/>
          <w:kern w:val="0"/>
          <w:szCs w:val="21"/>
        </w:rPr>
        <w:t>了解</w:t>
      </w:r>
      <w:r>
        <w:t>二维数组的定义、初始化与使用，</w:t>
      </w:r>
      <w:r>
        <w:rPr>
          <w:rFonts w:hint="eastAsia"/>
          <w:snapToGrid w:val="0"/>
          <w:kern w:val="0"/>
          <w:szCs w:val="21"/>
        </w:rPr>
        <w:t>领会</w:t>
      </w:r>
      <w:r>
        <w:t>数组元素的访问方法，</w:t>
      </w:r>
      <w:r>
        <w:rPr>
          <w:rFonts w:hint="eastAsia"/>
          <w:snapToGrid w:val="0"/>
          <w:kern w:val="0"/>
          <w:szCs w:val="21"/>
        </w:rPr>
        <w:t>领会</w:t>
      </w:r>
      <w:r>
        <w:t>二维数组的存储方法，</w:t>
      </w:r>
      <w:r>
        <w:rPr>
          <w:rFonts w:hint="eastAsia"/>
          <w:snapToGrid w:val="0"/>
          <w:kern w:val="0"/>
          <w:szCs w:val="21"/>
        </w:rPr>
        <w:t>了解</w:t>
      </w:r>
      <w:r>
        <w:t>数组元素做函数实参的方法</w:t>
      </w:r>
      <w:r>
        <w:rPr>
          <w:rFonts w:hint="eastAsia"/>
        </w:rPr>
        <w:t>；</w:t>
      </w:r>
    </w:p>
    <w:p>
      <w:pPr>
        <w:adjustRightInd w:val="0"/>
        <w:snapToGrid w:val="0"/>
        <w:spacing w:line="360" w:lineRule="auto"/>
        <w:ind w:firstLine="420" w:firstLineChars="200"/>
        <w:rPr>
          <w:szCs w:val="21"/>
        </w:rPr>
      </w:pPr>
      <w:r>
        <w:rPr>
          <w:szCs w:val="21"/>
        </w:rPr>
        <w:t>5</w:t>
      </w:r>
      <w:r>
        <w:rPr>
          <w:rFonts w:hint="eastAsia" w:hAnsi="宋体"/>
          <w:szCs w:val="21"/>
        </w:rPr>
        <w:t xml:space="preserve">. </w:t>
      </w:r>
      <w:r>
        <w:rPr>
          <w:rFonts w:hint="eastAsia"/>
          <w:snapToGrid w:val="0"/>
          <w:kern w:val="0"/>
          <w:szCs w:val="21"/>
        </w:rPr>
        <w:t>了解</w:t>
      </w:r>
      <w:r>
        <w:t>行指针和列指针，</w:t>
      </w:r>
      <w:r>
        <w:rPr>
          <w:rFonts w:hint="eastAsia"/>
          <w:snapToGrid w:val="0"/>
          <w:kern w:val="0"/>
          <w:szCs w:val="21"/>
        </w:rPr>
        <w:t>领会</w:t>
      </w:r>
      <w:r>
        <w:t>指向一维数组的指针及一维数组指针做函数参数的作用</w:t>
      </w:r>
      <w:r>
        <w:rPr>
          <w:rFonts w:hint="eastAsia"/>
        </w:rPr>
        <w:t>；</w:t>
      </w:r>
    </w:p>
    <w:p>
      <w:pPr>
        <w:adjustRightInd w:val="0"/>
        <w:snapToGrid w:val="0"/>
        <w:spacing w:line="360" w:lineRule="auto"/>
        <w:ind w:firstLine="420" w:firstLineChars="200"/>
        <w:rPr>
          <w:szCs w:val="21"/>
        </w:rPr>
      </w:pPr>
      <w:r>
        <w:rPr>
          <w:szCs w:val="21"/>
        </w:rPr>
        <w:t>6</w:t>
      </w:r>
      <w:r>
        <w:rPr>
          <w:rFonts w:hint="eastAsia" w:hAnsi="宋体"/>
          <w:szCs w:val="21"/>
        </w:rPr>
        <w:t xml:space="preserve">. </w:t>
      </w:r>
      <w:r>
        <w:rPr>
          <w:rFonts w:hint="eastAsia"/>
          <w:snapToGrid w:val="0"/>
          <w:kern w:val="0"/>
          <w:szCs w:val="21"/>
        </w:rPr>
        <w:t>了解</w:t>
      </w:r>
      <w:r>
        <w:t>指针数组的定义及应用</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本章节内容支撑课程目标1、2。</w:t>
      </w:r>
    </w:p>
    <w:p>
      <w:pPr>
        <w:adjustRightInd w:val="0"/>
        <w:snapToGrid w:val="0"/>
        <w:spacing w:line="360" w:lineRule="auto"/>
        <w:ind w:firstLine="420" w:firstLineChars="200"/>
        <w:rPr>
          <w:rFonts w:ascii="黑体" w:hAnsi="黑体" w:eastAsia="黑体"/>
          <w:b/>
          <w:bCs/>
          <w:szCs w:val="21"/>
        </w:rPr>
      </w:pPr>
      <w:r>
        <w:rPr>
          <w:rFonts w:hint="eastAsia" w:ascii="黑体" w:hAnsi="黑体" w:eastAsia="黑体"/>
          <w:bCs/>
          <w:szCs w:val="21"/>
        </w:rPr>
        <w:t>9、字符串</w:t>
      </w:r>
      <w:r>
        <w:rPr>
          <w:rFonts w:hint="eastAsia" w:ascii="黑体" w:hAnsi="黑体" w:eastAsia="黑体"/>
          <w:szCs w:val="21"/>
        </w:rPr>
        <w:t>（3学时）</w:t>
      </w:r>
    </w:p>
    <w:p>
      <w:pPr>
        <w:adjustRightInd w:val="0"/>
        <w:snapToGrid w:val="0"/>
        <w:spacing w:line="360" w:lineRule="auto"/>
        <w:ind w:firstLine="420" w:firstLineChars="200"/>
        <w:rPr>
          <w:szCs w:val="21"/>
        </w:rPr>
      </w:pPr>
      <w:r>
        <w:rPr>
          <w:szCs w:val="21"/>
        </w:rPr>
        <w:t>1</w:t>
      </w:r>
      <w:r>
        <w:rPr>
          <w:rFonts w:hint="eastAsia" w:hAnsi="宋体"/>
          <w:szCs w:val="21"/>
        </w:rPr>
        <w:t xml:space="preserve">. </w:t>
      </w:r>
      <w:r>
        <w:rPr>
          <w:rFonts w:hint="eastAsia"/>
          <w:snapToGrid w:val="0"/>
          <w:kern w:val="0"/>
          <w:szCs w:val="21"/>
        </w:rPr>
        <w:t>了解</w:t>
      </w:r>
      <w:r>
        <w:t>字符数组表示字符串的方法及应用</w:t>
      </w:r>
      <w:r>
        <w:rPr>
          <w:rFonts w:hint="eastAsia"/>
        </w:rPr>
        <w:t>；</w:t>
      </w:r>
    </w:p>
    <w:p>
      <w:pPr>
        <w:adjustRightInd w:val="0"/>
        <w:snapToGrid w:val="0"/>
        <w:spacing w:line="360" w:lineRule="auto"/>
        <w:ind w:firstLine="420" w:firstLineChars="200"/>
        <w:rPr>
          <w:szCs w:val="21"/>
        </w:rPr>
      </w:pPr>
      <w:r>
        <w:rPr>
          <w:szCs w:val="21"/>
        </w:rPr>
        <w:t>2</w:t>
      </w:r>
      <w:r>
        <w:rPr>
          <w:rFonts w:hint="eastAsia" w:hAnsi="宋体"/>
          <w:szCs w:val="21"/>
        </w:rPr>
        <w:t xml:space="preserve">. </w:t>
      </w:r>
      <w:r>
        <w:rPr>
          <w:rFonts w:hint="eastAsia"/>
          <w:snapToGrid w:val="0"/>
          <w:kern w:val="0"/>
          <w:szCs w:val="21"/>
        </w:rPr>
        <w:t>了解</w:t>
      </w:r>
      <w:r>
        <w:t>指向字符的指针表示字符串的方法，</w:t>
      </w:r>
      <w:r>
        <w:rPr>
          <w:rFonts w:hint="eastAsia"/>
          <w:snapToGrid w:val="0"/>
          <w:kern w:val="0"/>
          <w:szCs w:val="21"/>
        </w:rPr>
        <w:t>领会</w:t>
      </w:r>
      <w:r>
        <w:t>字符串处理函数的使用</w:t>
      </w:r>
      <w:r>
        <w:rPr>
          <w:rFonts w:hint="eastAsia"/>
        </w:rPr>
        <w:t>；</w:t>
      </w:r>
    </w:p>
    <w:p>
      <w:pPr>
        <w:adjustRightInd w:val="0"/>
        <w:snapToGrid w:val="0"/>
        <w:spacing w:line="360" w:lineRule="auto"/>
        <w:ind w:firstLine="420" w:firstLineChars="200"/>
        <w:rPr>
          <w:szCs w:val="21"/>
        </w:rPr>
      </w:pPr>
      <w:r>
        <w:rPr>
          <w:rFonts w:hint="eastAsia" w:hAnsi="宋体"/>
          <w:szCs w:val="21"/>
        </w:rPr>
        <w:t xml:space="preserve">3. </w:t>
      </w:r>
      <w:r>
        <w:rPr>
          <w:rFonts w:hint="eastAsia"/>
          <w:snapToGrid w:val="0"/>
          <w:kern w:val="0"/>
          <w:szCs w:val="21"/>
        </w:rPr>
        <w:t>了解</w:t>
      </w:r>
      <w:r>
        <w:t>指针数组和多级指针处理多个字符串的方法</w:t>
      </w:r>
      <w:r>
        <w:rPr>
          <w:rFonts w:hint="eastAsia"/>
        </w:rPr>
        <w:t>；</w:t>
      </w:r>
    </w:p>
    <w:p>
      <w:pPr>
        <w:adjustRightInd w:val="0"/>
        <w:snapToGrid w:val="0"/>
        <w:spacing w:line="360" w:lineRule="auto"/>
        <w:ind w:firstLine="420" w:firstLineChars="200"/>
      </w:pPr>
      <w:r>
        <w:rPr>
          <w:rFonts w:hint="eastAsia" w:hAnsi="宋体"/>
          <w:szCs w:val="21"/>
        </w:rPr>
        <w:t xml:space="preserve">4. </w:t>
      </w:r>
      <w:r>
        <w:rPr>
          <w:rFonts w:hint="eastAsia"/>
          <w:snapToGrid w:val="0"/>
          <w:kern w:val="0"/>
          <w:szCs w:val="21"/>
        </w:rPr>
        <w:t>了解</w:t>
      </w:r>
      <w:r>
        <w:t>带参数的main()函数</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w:t>
      </w:r>
      <w:r>
        <w:rPr>
          <w:szCs w:val="21"/>
        </w:rPr>
        <w:t>2</w:t>
      </w:r>
      <w:r>
        <w:rPr>
          <w:rFonts w:hint="eastAsia"/>
          <w:szCs w:val="21"/>
        </w:rPr>
        <w:t>。</w:t>
      </w:r>
    </w:p>
    <w:p>
      <w:pPr>
        <w:adjustRightInd w:val="0"/>
        <w:snapToGrid w:val="0"/>
        <w:spacing w:line="360" w:lineRule="auto"/>
        <w:ind w:firstLine="420" w:firstLineChars="200"/>
        <w:rPr>
          <w:rFonts w:ascii="黑体" w:hAnsi="黑体" w:eastAsia="黑体"/>
          <w:b/>
          <w:bCs/>
          <w:szCs w:val="21"/>
        </w:rPr>
      </w:pPr>
      <w:r>
        <w:rPr>
          <w:rFonts w:hint="eastAsia" w:eastAsia="黑体"/>
          <w:bCs/>
          <w:szCs w:val="21"/>
        </w:rPr>
        <w:t>1</w:t>
      </w:r>
      <w:r>
        <w:rPr>
          <w:rFonts w:eastAsia="黑体"/>
          <w:bCs/>
          <w:szCs w:val="21"/>
        </w:rPr>
        <w:t>0</w:t>
      </w:r>
      <w:r>
        <w:rPr>
          <w:rFonts w:hint="eastAsia" w:eastAsia="黑体"/>
          <w:bCs/>
          <w:szCs w:val="21"/>
        </w:rPr>
        <w:t>、结构体、</w:t>
      </w:r>
      <w:r>
        <w:rPr>
          <w:rFonts w:eastAsia="黑体"/>
          <w:bCs/>
          <w:szCs w:val="21"/>
        </w:rPr>
        <w:t>联合体</w:t>
      </w:r>
      <w:r>
        <w:rPr>
          <w:rFonts w:hint="eastAsia" w:ascii="黑体" w:hAnsi="黑体" w:eastAsia="黑体"/>
          <w:szCs w:val="21"/>
        </w:rPr>
        <w:t>（3学时）</w:t>
      </w:r>
    </w:p>
    <w:p>
      <w:pPr>
        <w:adjustRightInd w:val="0"/>
        <w:snapToGrid w:val="0"/>
        <w:spacing w:line="360" w:lineRule="auto"/>
        <w:ind w:firstLine="424" w:firstLineChars="202"/>
        <w:rPr>
          <w:szCs w:val="21"/>
        </w:rPr>
      </w:pPr>
      <w:r>
        <w:rPr>
          <w:rFonts w:hint="eastAsia" w:hAnsi="宋体"/>
          <w:szCs w:val="21"/>
        </w:rPr>
        <w:t xml:space="preserve">1. </w:t>
      </w:r>
      <w:r>
        <w:t>了解结构体的作用，</w:t>
      </w:r>
      <w:r>
        <w:rPr>
          <w:rFonts w:hint="eastAsia"/>
          <w:snapToGrid w:val="0"/>
          <w:kern w:val="0"/>
          <w:szCs w:val="21"/>
        </w:rPr>
        <w:t>了解</w:t>
      </w:r>
      <w:r>
        <w:t>结构体类型的定义、结构体变量的定义，</w:t>
      </w:r>
      <w:r>
        <w:rPr>
          <w:rFonts w:hint="eastAsia"/>
          <w:snapToGrid w:val="0"/>
          <w:kern w:val="0"/>
          <w:szCs w:val="21"/>
        </w:rPr>
        <w:t>领会</w:t>
      </w:r>
      <w:r>
        <w:t>组合数据类型与基本数据类型的异同，</w:t>
      </w:r>
      <w:r>
        <w:rPr>
          <w:rFonts w:hint="eastAsia"/>
          <w:snapToGrid w:val="0"/>
          <w:kern w:val="0"/>
          <w:szCs w:val="21"/>
        </w:rPr>
        <w:t>领会</w:t>
      </w:r>
      <w:r>
        <w:t>结构体成员的访问方法，</w:t>
      </w:r>
      <w:r>
        <w:rPr>
          <w:rFonts w:hint="eastAsia"/>
          <w:snapToGrid w:val="0"/>
          <w:kern w:val="0"/>
          <w:szCs w:val="21"/>
        </w:rPr>
        <w:t>领会</w:t>
      </w:r>
      <w:r>
        <w:t>结构体做为函数的方法</w:t>
      </w:r>
      <w:r>
        <w:rPr>
          <w:rFonts w:hint="eastAsia"/>
        </w:rPr>
        <w:t>；</w:t>
      </w:r>
    </w:p>
    <w:p>
      <w:pPr>
        <w:adjustRightInd w:val="0"/>
        <w:snapToGrid w:val="0"/>
        <w:spacing w:line="360" w:lineRule="auto"/>
        <w:ind w:firstLine="420" w:firstLineChars="200"/>
        <w:rPr>
          <w:szCs w:val="21"/>
        </w:rPr>
      </w:pPr>
      <w:r>
        <w:rPr>
          <w:rFonts w:hint="eastAsia" w:hAnsi="宋体"/>
          <w:szCs w:val="21"/>
        </w:rPr>
        <w:t xml:space="preserve">2. </w:t>
      </w:r>
      <w:r>
        <w:rPr>
          <w:rFonts w:hint="eastAsia"/>
          <w:snapToGrid w:val="0"/>
          <w:kern w:val="0"/>
          <w:szCs w:val="21"/>
        </w:rPr>
        <w:t>了解</w:t>
      </w:r>
      <w:r>
        <w:t>单向链表的结构体类型的定义，</w:t>
      </w:r>
      <w:r>
        <w:rPr>
          <w:rFonts w:hint="eastAsia"/>
          <w:snapToGrid w:val="0"/>
          <w:kern w:val="0"/>
          <w:szCs w:val="21"/>
        </w:rPr>
        <w:t>领会</w:t>
      </w:r>
      <w:r>
        <w:t>内存动态分配函数的使用，</w:t>
      </w:r>
      <w:r>
        <w:rPr>
          <w:rFonts w:hint="eastAsia"/>
          <w:snapToGrid w:val="0"/>
          <w:kern w:val="0"/>
          <w:szCs w:val="21"/>
        </w:rPr>
        <w:t>领会</w:t>
      </w:r>
      <w:r>
        <w:t>实现单向链表的建立、输入、输出及插入、删除方法，了解双向链表的基本概念</w:t>
      </w:r>
      <w:r>
        <w:rPr>
          <w:rFonts w:hint="eastAsia"/>
        </w:rPr>
        <w:t>；</w:t>
      </w:r>
    </w:p>
    <w:p>
      <w:pPr>
        <w:adjustRightInd w:val="0"/>
        <w:snapToGrid w:val="0"/>
        <w:spacing w:line="360" w:lineRule="auto"/>
        <w:ind w:firstLine="420" w:firstLineChars="200"/>
        <w:rPr>
          <w:szCs w:val="21"/>
        </w:rPr>
      </w:pPr>
      <w:r>
        <w:rPr>
          <w:rFonts w:hint="eastAsia" w:hAnsi="宋体"/>
          <w:szCs w:val="21"/>
        </w:rPr>
        <w:t xml:space="preserve">3. </w:t>
      </w:r>
      <w:r>
        <w:rPr>
          <w:rFonts w:hint="eastAsia"/>
          <w:snapToGrid w:val="0"/>
          <w:kern w:val="0"/>
          <w:szCs w:val="21"/>
        </w:rPr>
        <w:t>了解</w:t>
      </w:r>
      <w:r>
        <w:t>联合体及类型别名的定义与使用</w:t>
      </w:r>
      <w:r>
        <w:rPr>
          <w:rFonts w:hint="eastAsia"/>
        </w:rPr>
        <w:t>；</w:t>
      </w:r>
    </w:p>
    <w:p>
      <w:pPr>
        <w:adjustRightInd w:val="0"/>
        <w:snapToGrid w:val="0"/>
        <w:spacing w:line="360" w:lineRule="auto"/>
        <w:ind w:firstLine="420" w:firstLineChars="200"/>
        <w:rPr>
          <w:szCs w:val="21"/>
        </w:rPr>
      </w:pPr>
      <w:r>
        <w:rPr>
          <w:rFonts w:hint="eastAsia" w:hAnsi="宋体"/>
          <w:szCs w:val="21"/>
        </w:rPr>
        <w:t xml:space="preserve">4. </w:t>
      </w:r>
      <w:r>
        <w:rPr>
          <w:rFonts w:hint="eastAsia"/>
          <w:snapToGrid w:val="0"/>
          <w:kern w:val="0"/>
          <w:szCs w:val="21"/>
        </w:rPr>
        <w:t>了解</w:t>
      </w:r>
      <w:r>
        <w:t>位运算、位段结构体，了解位段的作用</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w:t>
      </w:r>
      <w:r>
        <w:rPr>
          <w:szCs w:val="21"/>
        </w:rPr>
        <w:t>2</w:t>
      </w:r>
      <w:r>
        <w:rPr>
          <w:rFonts w:hint="eastAsia"/>
          <w:szCs w:val="21"/>
        </w:rPr>
        <w:t>。</w:t>
      </w:r>
    </w:p>
    <w:p>
      <w:pPr>
        <w:adjustRightInd w:val="0"/>
        <w:snapToGrid w:val="0"/>
        <w:spacing w:line="360" w:lineRule="auto"/>
        <w:ind w:firstLine="420" w:firstLineChars="200"/>
        <w:rPr>
          <w:rFonts w:ascii="黑体" w:hAnsi="黑体" w:eastAsia="黑体"/>
          <w:b/>
          <w:bCs/>
          <w:szCs w:val="21"/>
        </w:rPr>
      </w:pPr>
      <w:r>
        <w:rPr>
          <w:rFonts w:hint="eastAsia" w:eastAsia="黑体"/>
          <w:bCs/>
          <w:szCs w:val="21"/>
        </w:rPr>
        <w:t>1</w:t>
      </w:r>
      <w:r>
        <w:rPr>
          <w:rFonts w:eastAsia="黑体"/>
          <w:bCs/>
          <w:szCs w:val="21"/>
        </w:rPr>
        <w:t>1</w:t>
      </w:r>
      <w:r>
        <w:rPr>
          <w:rFonts w:hint="eastAsia" w:eastAsia="黑体"/>
          <w:bCs/>
          <w:szCs w:val="21"/>
        </w:rPr>
        <w:t>、文件</w:t>
      </w:r>
      <w:r>
        <w:rPr>
          <w:rFonts w:hint="eastAsia" w:ascii="黑体" w:hAnsi="黑体" w:eastAsia="黑体"/>
          <w:szCs w:val="21"/>
        </w:rPr>
        <w:t>（1学时）</w:t>
      </w:r>
    </w:p>
    <w:p>
      <w:pPr>
        <w:adjustRightInd w:val="0"/>
        <w:snapToGrid w:val="0"/>
        <w:spacing w:line="360" w:lineRule="auto"/>
        <w:ind w:firstLine="420" w:firstLineChars="200"/>
        <w:rPr>
          <w:szCs w:val="21"/>
        </w:rPr>
      </w:pPr>
      <w:r>
        <w:rPr>
          <w:rFonts w:hint="eastAsia" w:hAnsi="宋体"/>
          <w:szCs w:val="21"/>
        </w:rPr>
        <w:t xml:space="preserve">1. </w:t>
      </w:r>
      <w:r>
        <w:t>了解文件的概述，掌握两种类型文件格式</w:t>
      </w:r>
      <w:r>
        <w:rPr>
          <w:rFonts w:hint="eastAsia"/>
        </w:rPr>
        <w:t>；</w:t>
      </w:r>
      <w:r>
        <w:rPr>
          <w:szCs w:val="21"/>
        </w:rPr>
        <w:t xml:space="preserve"> </w:t>
      </w:r>
    </w:p>
    <w:p>
      <w:pPr>
        <w:adjustRightInd w:val="0"/>
        <w:snapToGrid w:val="0"/>
        <w:spacing w:line="360" w:lineRule="auto"/>
        <w:ind w:firstLine="420" w:firstLineChars="200"/>
        <w:rPr>
          <w:szCs w:val="21"/>
        </w:rPr>
      </w:pPr>
      <w:r>
        <w:rPr>
          <w:rFonts w:hint="eastAsia" w:hAnsi="宋体"/>
          <w:szCs w:val="21"/>
        </w:rPr>
        <w:t xml:space="preserve">2. </w:t>
      </w:r>
      <w:r>
        <w:rPr>
          <w:rFonts w:hint="eastAsia"/>
          <w:snapToGrid w:val="0"/>
          <w:kern w:val="0"/>
          <w:szCs w:val="21"/>
        </w:rPr>
        <w:t>了解</w:t>
      </w:r>
      <w:r>
        <w:t>文件的建立与打开方法，</w:t>
      </w:r>
      <w:r>
        <w:rPr>
          <w:rFonts w:hint="eastAsia"/>
          <w:snapToGrid w:val="0"/>
          <w:kern w:val="0"/>
          <w:szCs w:val="21"/>
        </w:rPr>
        <w:t>领会</w:t>
      </w:r>
      <w:r>
        <w:t>文件指针、文件位置指针的使用</w:t>
      </w:r>
      <w:r>
        <w:rPr>
          <w:rFonts w:hint="eastAsia"/>
        </w:rPr>
        <w:t>；</w:t>
      </w:r>
      <w:r>
        <w:rPr>
          <w:szCs w:val="21"/>
        </w:rPr>
        <w:t xml:space="preserve"> </w:t>
      </w:r>
    </w:p>
    <w:p>
      <w:pPr>
        <w:adjustRightInd w:val="0"/>
        <w:snapToGrid w:val="0"/>
        <w:spacing w:line="360" w:lineRule="auto"/>
        <w:ind w:firstLine="420" w:firstLineChars="200"/>
        <w:rPr>
          <w:szCs w:val="21"/>
        </w:rPr>
      </w:pPr>
      <w:r>
        <w:rPr>
          <w:rFonts w:hint="eastAsia" w:hAnsi="宋体"/>
          <w:szCs w:val="21"/>
        </w:rPr>
        <w:t xml:space="preserve">3. </w:t>
      </w:r>
      <w:r>
        <w:rPr>
          <w:rFonts w:hint="eastAsia"/>
          <w:snapToGrid w:val="0"/>
          <w:kern w:val="0"/>
          <w:szCs w:val="21"/>
        </w:rPr>
        <w:t>了解</w:t>
      </w:r>
      <w:r>
        <w:t>常用的文件处理函数，</w:t>
      </w:r>
      <w:r>
        <w:rPr>
          <w:rFonts w:hint="eastAsia"/>
          <w:snapToGrid w:val="0"/>
          <w:kern w:val="0"/>
          <w:szCs w:val="21"/>
        </w:rPr>
        <w:t>领会</w:t>
      </w:r>
      <w:r>
        <w:t>编写文件处理类程序的方法</w:t>
      </w:r>
      <w:r>
        <w:rPr>
          <w:rFonts w:hint="eastAsia"/>
        </w:rPr>
        <w:t>；</w:t>
      </w:r>
      <w:r>
        <w:rPr>
          <w:szCs w:val="21"/>
        </w:rPr>
        <w:t xml:space="preserve"> </w:t>
      </w:r>
    </w:p>
    <w:p>
      <w:pPr>
        <w:adjustRightInd w:val="0"/>
        <w:snapToGrid w:val="0"/>
        <w:spacing w:line="360" w:lineRule="auto"/>
        <w:ind w:firstLine="420" w:firstLineChars="200"/>
        <w:rPr>
          <w:szCs w:val="21"/>
        </w:rPr>
      </w:pPr>
      <w:r>
        <w:rPr>
          <w:rFonts w:hint="eastAsia"/>
          <w:szCs w:val="21"/>
        </w:rPr>
        <w:t>本章节内容支撑课程目标1、2。</w:t>
      </w:r>
    </w:p>
    <w:p>
      <w:pPr>
        <w:adjustRightInd w:val="0"/>
        <w:snapToGrid w:val="0"/>
        <w:spacing w:line="360" w:lineRule="auto"/>
        <w:ind w:firstLine="315" w:firstLineChars="150"/>
        <w:rPr>
          <w:rFonts w:ascii="黑体" w:hAnsi="黑体" w:eastAsia="黑体"/>
          <w:b/>
          <w:bCs/>
          <w:szCs w:val="21"/>
        </w:rPr>
      </w:pPr>
      <w:r>
        <w:rPr>
          <w:rFonts w:hint="eastAsia" w:ascii="黑体" w:hAnsi="黑体" w:eastAsia="黑体"/>
          <w:bCs/>
          <w:szCs w:val="21"/>
        </w:rPr>
        <w:t>1</w:t>
      </w:r>
      <w:r>
        <w:rPr>
          <w:rFonts w:ascii="黑体" w:hAnsi="黑体" w:eastAsia="黑体"/>
          <w:bCs/>
          <w:szCs w:val="21"/>
        </w:rPr>
        <w:t>2</w:t>
      </w:r>
      <w:r>
        <w:rPr>
          <w:rFonts w:hint="eastAsia" w:ascii="黑体" w:hAnsi="黑体" w:eastAsia="黑体"/>
          <w:bCs/>
          <w:szCs w:val="21"/>
        </w:rPr>
        <w:t>、编译预处理</w:t>
      </w:r>
      <w:r>
        <w:rPr>
          <w:rFonts w:hint="eastAsia" w:ascii="黑体" w:hAnsi="黑体" w:eastAsia="黑体"/>
          <w:szCs w:val="21"/>
        </w:rPr>
        <w:t>（1学时）</w:t>
      </w:r>
    </w:p>
    <w:p>
      <w:pPr>
        <w:numPr>
          <w:ilvl w:val="0"/>
          <w:numId w:val="1"/>
        </w:numPr>
        <w:adjustRightInd w:val="0"/>
        <w:snapToGrid w:val="0"/>
        <w:spacing w:line="360" w:lineRule="auto"/>
      </w:pPr>
      <w:r>
        <w:t>了解编译预处理的概念，</w:t>
      </w:r>
      <w:r>
        <w:rPr>
          <w:rFonts w:hint="eastAsia"/>
          <w:snapToGrid w:val="0"/>
          <w:kern w:val="0"/>
          <w:szCs w:val="21"/>
        </w:rPr>
        <w:t>领会</w:t>
      </w:r>
      <w:r>
        <w:t>宏的定义、宏的替换方法</w:t>
      </w:r>
      <w:r>
        <w:rPr>
          <w:rFonts w:hint="eastAsia"/>
        </w:rPr>
        <w:t>；</w:t>
      </w:r>
    </w:p>
    <w:p>
      <w:pPr>
        <w:numPr>
          <w:ilvl w:val="0"/>
          <w:numId w:val="1"/>
        </w:numPr>
        <w:adjustRightInd w:val="0"/>
        <w:snapToGrid w:val="0"/>
        <w:spacing w:line="360" w:lineRule="auto"/>
        <w:rPr>
          <w:szCs w:val="21"/>
        </w:rPr>
      </w:pPr>
      <w:r>
        <w:rPr>
          <w:rFonts w:hint="eastAsia"/>
          <w:snapToGrid w:val="0"/>
          <w:kern w:val="0"/>
          <w:szCs w:val="21"/>
        </w:rPr>
        <w:t>了解</w:t>
      </w:r>
      <w:r>
        <w:t>条件编译的方法，</w:t>
      </w:r>
      <w:r>
        <w:rPr>
          <w:rFonts w:hint="eastAsia"/>
          <w:snapToGrid w:val="0"/>
          <w:kern w:val="0"/>
          <w:szCs w:val="21"/>
        </w:rPr>
        <w:t>领会</w:t>
      </w:r>
      <w:r>
        <w:t>使用条件编译编写高效程序的方法</w:t>
      </w:r>
      <w:r>
        <w:rPr>
          <w:rFonts w:hint="eastAsia"/>
        </w:rPr>
        <w:t>。</w:t>
      </w:r>
    </w:p>
    <w:p>
      <w:pPr>
        <w:adjustRightInd w:val="0"/>
        <w:snapToGrid w:val="0"/>
        <w:spacing w:line="360" w:lineRule="auto"/>
        <w:ind w:firstLine="420" w:firstLineChars="200"/>
        <w:rPr>
          <w:szCs w:val="21"/>
        </w:rPr>
      </w:pPr>
      <w:r>
        <w:rPr>
          <w:rFonts w:hint="eastAsia"/>
          <w:szCs w:val="21"/>
        </w:rPr>
        <w:t>本章节内容支撑课程目标 1、2。</w:t>
      </w:r>
    </w:p>
    <w:p>
      <w:pPr>
        <w:tabs>
          <w:tab w:val="left" w:pos="420"/>
        </w:tabs>
        <w:adjustRightInd w:val="0"/>
        <w:snapToGrid w:val="0"/>
        <w:spacing w:line="360" w:lineRule="auto"/>
        <w:ind w:left="420" w:hanging="420"/>
        <w:rPr>
          <w:rFonts w:eastAsia="黑体"/>
          <w:szCs w:val="21"/>
        </w:rPr>
      </w:pPr>
      <w:r>
        <w:rPr>
          <w:rFonts w:hint="eastAsia" w:eastAsia="黑体"/>
          <w:szCs w:val="21"/>
        </w:rPr>
        <w:t>四、实验教学内容</w:t>
      </w:r>
    </w:p>
    <w:p>
      <w:pPr>
        <w:adjustRightInd w:val="0"/>
        <w:snapToGrid w:val="0"/>
        <w:spacing w:line="360" w:lineRule="auto"/>
        <w:ind w:firstLine="420" w:firstLineChars="200"/>
        <w:rPr>
          <w:rFonts w:ascii="黑体" w:hAnsi="黑体" w:eastAsia="黑体"/>
          <w:b/>
          <w:bCs/>
          <w:szCs w:val="21"/>
        </w:rPr>
      </w:pPr>
      <w:r>
        <w:rPr>
          <w:rFonts w:eastAsia="黑体"/>
        </w:rPr>
        <w:t>实验一</w:t>
      </w:r>
      <w:r>
        <w:rPr>
          <w:rFonts w:hint="eastAsia" w:eastAsia="黑体"/>
        </w:rPr>
        <w:t>：</w:t>
      </w:r>
      <w:r>
        <w:rPr>
          <w:rFonts w:eastAsia="黑体"/>
        </w:rPr>
        <w:t>win-tc环境及数据与运算实验</w:t>
      </w:r>
      <w:r>
        <w:rPr>
          <w:rFonts w:hint="eastAsia" w:ascii="黑体" w:hAnsi="黑体" w:eastAsia="黑体"/>
          <w:szCs w:val="21"/>
        </w:rPr>
        <w:t>（2学时）</w:t>
      </w:r>
    </w:p>
    <w:p>
      <w:pPr>
        <w:adjustRightInd w:val="0"/>
        <w:snapToGrid w:val="0"/>
        <w:spacing w:line="360" w:lineRule="auto"/>
        <w:ind w:firstLine="420" w:firstLineChars="200"/>
      </w:pPr>
      <w:r>
        <w:t xml:space="preserve">内容：                                                   </w:t>
      </w:r>
    </w:p>
    <w:p>
      <w:pPr>
        <w:adjustRightInd w:val="0"/>
        <w:snapToGrid w:val="0"/>
        <w:spacing w:line="360" w:lineRule="auto"/>
        <w:ind w:firstLine="420" w:firstLineChars="200"/>
      </w:pPr>
      <w:r>
        <w:t>1、熟练win-tc 环境下编辑、编译、链接，运行全过程</w:t>
      </w:r>
      <w:r>
        <w:rPr>
          <w:rFonts w:hint="eastAsia"/>
        </w:rPr>
        <w:t>；</w:t>
      </w:r>
    </w:p>
    <w:p>
      <w:pPr>
        <w:adjustRightInd w:val="0"/>
        <w:snapToGrid w:val="0"/>
        <w:spacing w:line="360" w:lineRule="auto"/>
        <w:ind w:firstLine="420" w:firstLineChars="200"/>
      </w:pPr>
      <w:r>
        <w:t>2、验证表达式的运算规则，验证各类数据的取值范围及精度</w:t>
      </w:r>
      <w:r>
        <w:rPr>
          <w:rFonts w:hint="eastAsia"/>
        </w:rPr>
        <w:t>；</w:t>
      </w:r>
    </w:p>
    <w:p>
      <w:pPr>
        <w:adjustRightInd w:val="0"/>
        <w:snapToGrid w:val="0"/>
        <w:spacing w:line="360" w:lineRule="auto"/>
        <w:ind w:firstLine="420" w:firstLineChars="200"/>
      </w:pPr>
      <w:r>
        <w:t>3、验证类型转换规则及进制转换规则</w:t>
      </w:r>
      <w:r>
        <w:rPr>
          <w:rFonts w:hint="eastAsia"/>
        </w:rPr>
        <w:t>。</w:t>
      </w:r>
    </w:p>
    <w:p>
      <w:pPr>
        <w:adjustRightInd w:val="0"/>
        <w:snapToGrid w:val="0"/>
        <w:spacing w:line="360" w:lineRule="auto"/>
        <w:ind w:firstLine="420" w:firstLineChars="200"/>
      </w:pPr>
      <w:r>
        <w:t>基本要求：初步掌握win-tc的上机环境及编辑、编译、链接的过程TC语言上机步骤；掌握表达式的运算、各类数据的取值范围及精度，掌握类型转换规则及进制转换规则。</w:t>
      </w:r>
    </w:p>
    <w:p>
      <w:pPr>
        <w:adjustRightInd w:val="0"/>
        <w:snapToGrid w:val="0"/>
        <w:spacing w:line="360" w:lineRule="auto"/>
        <w:ind w:firstLine="420" w:firstLineChars="200"/>
        <w:rPr>
          <w:szCs w:val="21"/>
        </w:rPr>
      </w:pPr>
      <w:r>
        <w:rPr>
          <w:rFonts w:hint="eastAsia"/>
          <w:szCs w:val="21"/>
        </w:rPr>
        <w:t>本实验内容支撑课程目标1、</w:t>
      </w:r>
      <w:r>
        <w:rPr>
          <w:szCs w:val="21"/>
        </w:rPr>
        <w:t>2</w:t>
      </w:r>
      <w:r>
        <w:rPr>
          <w:rFonts w:hint="eastAsia"/>
          <w:szCs w:val="21"/>
        </w:rPr>
        <w:t>、3。</w:t>
      </w:r>
    </w:p>
    <w:p>
      <w:pPr>
        <w:adjustRightInd w:val="0"/>
        <w:snapToGrid w:val="0"/>
        <w:spacing w:line="360" w:lineRule="auto"/>
        <w:ind w:firstLine="420" w:firstLineChars="200"/>
        <w:rPr>
          <w:rFonts w:ascii="黑体" w:hAnsi="黑体" w:eastAsia="黑体"/>
          <w:b/>
          <w:bCs/>
          <w:szCs w:val="21"/>
        </w:rPr>
      </w:pPr>
      <w:r>
        <w:rPr>
          <w:rFonts w:eastAsia="黑体"/>
        </w:rPr>
        <w:t>实验二</w:t>
      </w:r>
      <w:r>
        <w:rPr>
          <w:rFonts w:hint="eastAsia" w:eastAsia="黑体"/>
        </w:rPr>
        <w:t>：</w:t>
      </w:r>
      <w:r>
        <w:rPr>
          <w:rFonts w:eastAsia="黑体"/>
        </w:rPr>
        <w:t>vc环境及顺序结构程序设计实验</w:t>
      </w:r>
      <w:r>
        <w:rPr>
          <w:rFonts w:hint="eastAsia" w:ascii="黑体" w:hAnsi="黑体" w:eastAsia="黑体"/>
          <w:szCs w:val="21"/>
        </w:rPr>
        <w:t>（2学时）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1、验证I/O函数的使用</w:t>
      </w:r>
      <w:r>
        <w:rPr>
          <w:rFonts w:hint="eastAsia"/>
        </w:rPr>
        <w:t>；</w:t>
      </w:r>
    </w:p>
    <w:p>
      <w:pPr>
        <w:adjustRightInd w:val="0"/>
        <w:snapToGrid w:val="0"/>
        <w:spacing w:line="360" w:lineRule="auto"/>
        <w:ind w:firstLine="420" w:firstLineChars="200"/>
      </w:pPr>
      <w:r>
        <w:t>2、在程序中验证常用的数学式子</w:t>
      </w:r>
      <w:r>
        <w:rPr>
          <w:rFonts w:hint="eastAsia"/>
        </w:rPr>
        <w:t>；</w:t>
      </w:r>
    </w:p>
    <w:p>
      <w:pPr>
        <w:adjustRightInd w:val="0"/>
        <w:snapToGrid w:val="0"/>
        <w:spacing w:line="360" w:lineRule="auto"/>
        <w:ind w:firstLine="420" w:firstLineChars="200"/>
      </w:pPr>
      <w:r>
        <w:t>3、编写顺序结构程序</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顺序结构程序设计的基本思路熟练，熟练输入输出函数的使用，</w:t>
      </w:r>
      <w:r>
        <w:rPr>
          <w:rFonts w:hint="eastAsia"/>
          <w:snapToGrid w:val="0"/>
          <w:kern w:val="0"/>
          <w:szCs w:val="21"/>
        </w:rPr>
        <w:t>领会</w:t>
      </w:r>
      <w:r>
        <w:t>数学式子的C语言的表示。</w:t>
      </w:r>
    </w:p>
    <w:p>
      <w:pPr>
        <w:adjustRightInd w:val="0"/>
        <w:snapToGrid w:val="0"/>
        <w:spacing w:line="360" w:lineRule="auto"/>
        <w:ind w:firstLine="420" w:firstLineChars="200"/>
        <w:rPr>
          <w:szCs w:val="21"/>
        </w:rPr>
      </w:pPr>
      <w:r>
        <w:rPr>
          <w:rFonts w:hint="eastAsia"/>
          <w:szCs w:val="21"/>
        </w:rPr>
        <w:t>本实验内容支撑课程目标1、</w:t>
      </w:r>
      <w:r>
        <w:rPr>
          <w:szCs w:val="21"/>
        </w:rPr>
        <w:t>2</w:t>
      </w:r>
      <w:r>
        <w:rPr>
          <w:rFonts w:hint="eastAsia"/>
          <w:szCs w:val="21"/>
        </w:rPr>
        <w:t>、3。</w:t>
      </w:r>
    </w:p>
    <w:p>
      <w:pPr>
        <w:adjustRightInd w:val="0"/>
        <w:snapToGrid w:val="0"/>
        <w:spacing w:line="360" w:lineRule="auto"/>
        <w:ind w:firstLine="420" w:firstLineChars="200"/>
        <w:rPr>
          <w:rFonts w:ascii="黑体" w:hAnsi="黑体" w:eastAsia="黑体"/>
          <w:b/>
          <w:bCs/>
          <w:szCs w:val="21"/>
        </w:rPr>
      </w:pPr>
      <w:r>
        <w:rPr>
          <w:rFonts w:eastAsia="黑体"/>
        </w:rPr>
        <w:t>实验三：选择结构程序设计实验</w:t>
      </w:r>
      <w:r>
        <w:rPr>
          <w:rFonts w:hint="eastAsia" w:ascii="黑体" w:hAnsi="黑体" w:eastAsia="黑体"/>
          <w:szCs w:val="21"/>
        </w:rPr>
        <w:t>（2学时）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1、编写两条件、三条件及多条件的if结构程序</w:t>
      </w:r>
      <w:r>
        <w:rPr>
          <w:rFonts w:hint="eastAsia"/>
        </w:rPr>
        <w:t>；</w:t>
      </w:r>
    </w:p>
    <w:p>
      <w:pPr>
        <w:adjustRightInd w:val="0"/>
        <w:snapToGrid w:val="0"/>
        <w:spacing w:line="360" w:lineRule="auto"/>
        <w:ind w:firstLine="420" w:firstLineChars="200"/>
      </w:pPr>
      <w:r>
        <w:t>2、编写多条件的switch结构程序</w:t>
      </w:r>
      <w:r>
        <w:rPr>
          <w:rFonts w:hint="eastAsia"/>
        </w:rPr>
        <w:t>。</w:t>
      </w:r>
    </w:p>
    <w:p>
      <w:pPr>
        <w:adjustRightInd w:val="0"/>
        <w:snapToGrid w:val="0"/>
        <w:spacing w:line="360" w:lineRule="auto"/>
        <w:ind w:firstLine="420" w:firstLineChars="200"/>
      </w:pPr>
      <w:r>
        <w:t>基本要求：掌握选择结构程序设计方法，熟练多条件的划分，掌握if语句、switch语句的用法。</w:t>
      </w:r>
    </w:p>
    <w:p>
      <w:pPr>
        <w:adjustRightInd w:val="0"/>
        <w:snapToGrid w:val="0"/>
        <w:spacing w:line="360" w:lineRule="auto"/>
        <w:ind w:firstLine="420" w:firstLineChars="200"/>
        <w:rPr>
          <w:szCs w:val="21"/>
        </w:rPr>
      </w:pPr>
      <w:r>
        <w:rPr>
          <w:rFonts w:hint="eastAsia"/>
          <w:szCs w:val="21"/>
        </w:rPr>
        <w:t>本实验内容支撑课程目标1、</w:t>
      </w:r>
      <w:r>
        <w:rPr>
          <w:szCs w:val="21"/>
        </w:rPr>
        <w:t>2</w:t>
      </w:r>
      <w:r>
        <w:rPr>
          <w:rFonts w:hint="eastAsia"/>
          <w:szCs w:val="21"/>
        </w:rPr>
        <w:t>、3。</w:t>
      </w:r>
    </w:p>
    <w:p>
      <w:pPr>
        <w:adjustRightInd w:val="0"/>
        <w:snapToGrid w:val="0"/>
        <w:spacing w:line="360" w:lineRule="auto"/>
        <w:ind w:firstLine="420" w:firstLineChars="200"/>
        <w:rPr>
          <w:rFonts w:ascii="黑体" w:hAnsi="黑体" w:eastAsia="黑体"/>
          <w:b/>
          <w:bCs/>
          <w:szCs w:val="21"/>
        </w:rPr>
      </w:pPr>
      <w:r>
        <w:rPr>
          <w:rFonts w:eastAsia="黑体"/>
        </w:rPr>
        <w:t>实验四：循环结构程序设计实验</w:t>
      </w:r>
      <w:r>
        <w:rPr>
          <w:rFonts w:hint="eastAsia" w:ascii="黑体" w:hAnsi="黑体" w:eastAsia="黑体"/>
          <w:szCs w:val="21"/>
        </w:rPr>
        <w:t>（4学时）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1、验证while、do-while和for语句的执行过程</w:t>
      </w:r>
      <w:r>
        <w:rPr>
          <w:rFonts w:hint="eastAsia"/>
        </w:rPr>
        <w:t>；</w:t>
      </w:r>
    </w:p>
    <w:p>
      <w:pPr>
        <w:adjustRightInd w:val="0"/>
        <w:snapToGrid w:val="0"/>
        <w:spacing w:line="360" w:lineRule="auto"/>
        <w:ind w:firstLine="420" w:firstLineChars="200"/>
      </w:pPr>
      <w:r>
        <w:t>2、使用while、do-while和for语句编写循环、嵌套循环程序</w:t>
      </w:r>
      <w:r>
        <w:rPr>
          <w:rFonts w:hint="eastAsia"/>
        </w:rPr>
        <w:t>；</w:t>
      </w:r>
    </w:p>
    <w:p>
      <w:pPr>
        <w:adjustRightInd w:val="0"/>
        <w:snapToGrid w:val="0"/>
        <w:spacing w:line="360" w:lineRule="auto"/>
        <w:ind w:firstLine="420" w:firstLineChars="200"/>
      </w:pPr>
      <w:r>
        <w:t>3、编写常用的递归算法、梯形法、穷举法等算法的程序</w:t>
      </w:r>
      <w:r>
        <w:rPr>
          <w:rFonts w:hint="eastAsia"/>
        </w:rPr>
        <w:t>。</w:t>
      </w:r>
    </w:p>
    <w:p>
      <w:pPr>
        <w:adjustRightInd w:val="0"/>
        <w:snapToGrid w:val="0"/>
        <w:spacing w:line="360" w:lineRule="auto"/>
        <w:ind w:firstLine="420" w:firstLineChars="200"/>
      </w:pPr>
      <w:r>
        <w:t>基本要求：掌握循环结构程序设计的方法;掌握while、do-while和for语句的用法;学会循环结构设计的几种常用的方法。</w:t>
      </w:r>
    </w:p>
    <w:p>
      <w:pPr>
        <w:adjustRightInd w:val="0"/>
        <w:snapToGrid w:val="0"/>
        <w:spacing w:line="360" w:lineRule="auto"/>
        <w:ind w:firstLine="420" w:firstLineChars="200"/>
        <w:rPr>
          <w:szCs w:val="21"/>
        </w:rPr>
      </w:pPr>
      <w:r>
        <w:rPr>
          <w:rFonts w:hint="eastAsia"/>
          <w:szCs w:val="21"/>
        </w:rPr>
        <w:t>本实验内容支撑课程目标1、</w:t>
      </w:r>
      <w:r>
        <w:rPr>
          <w:szCs w:val="21"/>
        </w:rPr>
        <w:t>2</w:t>
      </w:r>
      <w:r>
        <w:rPr>
          <w:rFonts w:hint="eastAsia"/>
          <w:szCs w:val="21"/>
        </w:rPr>
        <w:t>、3。</w:t>
      </w:r>
    </w:p>
    <w:p>
      <w:pPr>
        <w:adjustRightInd w:val="0"/>
        <w:snapToGrid w:val="0"/>
        <w:spacing w:line="360" w:lineRule="auto"/>
        <w:ind w:firstLine="420" w:firstLineChars="200"/>
        <w:rPr>
          <w:rFonts w:ascii="黑体" w:hAnsi="黑体" w:eastAsia="黑体"/>
          <w:b/>
          <w:bCs/>
          <w:szCs w:val="21"/>
        </w:rPr>
      </w:pPr>
      <w:r>
        <w:rPr>
          <w:rFonts w:eastAsia="黑体"/>
        </w:rPr>
        <w:t>实验五：函数实验</w:t>
      </w:r>
      <w:r>
        <w:rPr>
          <w:rFonts w:hint="eastAsia" w:ascii="黑体" w:hAnsi="黑体" w:eastAsia="黑体"/>
          <w:szCs w:val="21"/>
        </w:rPr>
        <w:t>（2学时）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1、编写函数验证函数的定义、声明、调用</w:t>
      </w:r>
      <w:r>
        <w:rPr>
          <w:rFonts w:hint="eastAsia"/>
        </w:rPr>
        <w:t>；</w:t>
      </w:r>
    </w:p>
    <w:p>
      <w:pPr>
        <w:adjustRightInd w:val="0"/>
        <w:snapToGrid w:val="0"/>
        <w:spacing w:line="360" w:lineRule="auto"/>
        <w:ind w:firstLine="420" w:firstLineChars="200"/>
      </w:pPr>
      <w:r>
        <w:t>2、分析函数的调用过程</w:t>
      </w:r>
      <w:r>
        <w:rPr>
          <w:rFonts w:hint="eastAsia"/>
        </w:rPr>
        <w:t>；</w:t>
      </w:r>
    </w:p>
    <w:p>
      <w:pPr>
        <w:adjustRightInd w:val="0"/>
        <w:snapToGrid w:val="0"/>
        <w:spacing w:line="360" w:lineRule="auto"/>
        <w:ind w:firstLine="420" w:firstLineChars="200"/>
      </w:pPr>
      <w:r>
        <w:t>3、分析各类变量的作用域与生存期</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函数的定义、声明、调用方法；</w:t>
      </w:r>
      <w:r>
        <w:rPr>
          <w:rFonts w:hint="eastAsia"/>
          <w:snapToGrid w:val="0"/>
          <w:kern w:val="0"/>
          <w:szCs w:val="21"/>
        </w:rPr>
        <w:t>领会</w:t>
      </w:r>
      <w:r>
        <w:t>变量的作用域与生存期。</w:t>
      </w:r>
      <w:r>
        <w:rPr>
          <w:rFonts w:hint="eastAsia"/>
          <w:snapToGrid w:val="0"/>
          <w:kern w:val="0"/>
          <w:szCs w:val="21"/>
        </w:rPr>
        <w:t>领会</w:t>
      </w:r>
      <w:r>
        <w:t>一维数组、二维数组和字符数组的使用；</w:t>
      </w:r>
      <w:r>
        <w:rPr>
          <w:rFonts w:hint="eastAsia"/>
          <w:snapToGrid w:val="0"/>
          <w:kern w:val="0"/>
          <w:szCs w:val="21"/>
        </w:rPr>
        <w:t>领会</w:t>
      </w:r>
      <w:r>
        <w:t>数组典型应用算法；熟练使用字符串处理函数。</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b/>
          <w:bCs/>
          <w:szCs w:val="21"/>
        </w:rPr>
      </w:pPr>
      <w:r>
        <w:rPr>
          <w:rFonts w:eastAsia="黑体"/>
        </w:rPr>
        <w:t>实验六</w:t>
      </w:r>
      <w:r>
        <w:rPr>
          <w:rFonts w:hint="eastAsia" w:eastAsia="黑体"/>
        </w:rPr>
        <w:t>：</w:t>
      </w:r>
      <w:r>
        <w:rPr>
          <w:rFonts w:eastAsia="黑体"/>
        </w:rPr>
        <w:t>指针实验</w:t>
      </w:r>
      <w:r>
        <w:rPr>
          <w:rFonts w:hint="eastAsia" w:ascii="黑体" w:hAnsi="黑体" w:eastAsia="黑体"/>
          <w:szCs w:val="21"/>
        </w:rPr>
        <w:t>（2学时）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1、验证指针变量的定义、初始化及使用</w:t>
      </w:r>
      <w:r>
        <w:rPr>
          <w:rFonts w:hint="eastAsia"/>
        </w:rPr>
        <w:t>；</w:t>
      </w:r>
    </w:p>
    <w:p>
      <w:pPr>
        <w:adjustRightInd w:val="0"/>
        <w:snapToGrid w:val="0"/>
        <w:spacing w:line="360" w:lineRule="auto"/>
        <w:ind w:firstLine="420" w:firstLineChars="200"/>
      </w:pPr>
      <w:r>
        <w:t>2、用指针法实现数据的排序等算法</w:t>
      </w:r>
      <w:r>
        <w:rPr>
          <w:rFonts w:hint="eastAsia"/>
        </w:rPr>
        <w:t>；</w:t>
      </w:r>
    </w:p>
    <w:p>
      <w:pPr>
        <w:adjustRightInd w:val="0"/>
        <w:snapToGrid w:val="0"/>
        <w:spacing w:line="360" w:lineRule="auto"/>
        <w:ind w:firstLine="420" w:firstLineChars="200"/>
      </w:pPr>
      <w:r>
        <w:t>3、编写指针作为函数参数的程序</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间接访问方法；</w:t>
      </w:r>
      <w:r>
        <w:rPr>
          <w:rFonts w:hint="eastAsia"/>
          <w:snapToGrid w:val="0"/>
          <w:kern w:val="0"/>
          <w:szCs w:val="21"/>
        </w:rPr>
        <w:t>领会</w:t>
      </w:r>
      <w:r>
        <w:t>指针做函数参数的方法和意义；</w:t>
      </w:r>
      <w:r>
        <w:rPr>
          <w:rFonts w:hint="eastAsia"/>
          <w:snapToGrid w:val="0"/>
          <w:kern w:val="0"/>
          <w:szCs w:val="21"/>
        </w:rPr>
        <w:t>领会</w:t>
      </w:r>
      <w:r>
        <w:t>字符串指针和字符数组的关系。</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b/>
          <w:bCs/>
          <w:szCs w:val="21"/>
        </w:rPr>
      </w:pPr>
      <w:r>
        <w:rPr>
          <w:rFonts w:eastAsia="黑体"/>
        </w:rPr>
        <w:t>实验七：数组</w:t>
      </w:r>
      <w:r>
        <w:rPr>
          <w:rFonts w:hint="eastAsia" w:ascii="黑体" w:hAnsi="黑体" w:eastAsia="黑体"/>
          <w:szCs w:val="21"/>
        </w:rPr>
        <w:t>（4学时）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1、练习一维数组、二维数组和字符数组的定义、初始化及I/O</w:t>
      </w:r>
      <w:r>
        <w:rPr>
          <w:rFonts w:hint="eastAsia"/>
        </w:rPr>
        <w:t>；</w:t>
      </w:r>
    </w:p>
    <w:p>
      <w:pPr>
        <w:adjustRightInd w:val="0"/>
        <w:snapToGrid w:val="0"/>
        <w:spacing w:line="360" w:lineRule="auto"/>
        <w:ind w:firstLine="420" w:firstLineChars="200"/>
      </w:pPr>
      <w:r>
        <w:t>2、编写数据排序、插入、删除等算法的程序</w:t>
      </w:r>
      <w:r>
        <w:rPr>
          <w:rFonts w:hint="eastAsia"/>
        </w:rPr>
        <w:t>；</w:t>
      </w:r>
    </w:p>
    <w:p>
      <w:pPr>
        <w:adjustRightInd w:val="0"/>
        <w:snapToGrid w:val="0"/>
        <w:spacing w:line="360" w:lineRule="auto"/>
        <w:ind w:firstLine="420" w:firstLineChars="200"/>
      </w:pPr>
      <w:r>
        <w:t>3、编写指向数组元素的指针做函数参数及指向一维数组的指针做函数参数</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一维数组、二维数组；</w:t>
      </w:r>
      <w:r>
        <w:rPr>
          <w:rFonts w:hint="eastAsia"/>
          <w:snapToGrid w:val="0"/>
          <w:kern w:val="0"/>
          <w:szCs w:val="21"/>
        </w:rPr>
        <w:t>领会</w:t>
      </w:r>
      <w:r>
        <w:t>数组典型应用算法；</w:t>
      </w:r>
      <w:r>
        <w:rPr>
          <w:rFonts w:hint="eastAsia"/>
          <w:snapToGrid w:val="0"/>
          <w:kern w:val="0"/>
          <w:szCs w:val="21"/>
        </w:rPr>
        <w:t>领会</w:t>
      </w:r>
      <w:r>
        <w:t>指针和数组的关系；进一步</w:t>
      </w:r>
      <w:r>
        <w:rPr>
          <w:rFonts w:hint="eastAsia"/>
          <w:snapToGrid w:val="0"/>
          <w:kern w:val="0"/>
          <w:szCs w:val="21"/>
        </w:rPr>
        <w:t>了解</w:t>
      </w:r>
      <w:r>
        <w:t>指针做函数参数的作用。</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b/>
          <w:bCs/>
          <w:szCs w:val="21"/>
        </w:rPr>
      </w:pPr>
      <w:r>
        <w:rPr>
          <w:rFonts w:eastAsia="黑体"/>
        </w:rPr>
        <w:t>实验八</w:t>
      </w:r>
      <w:r>
        <w:rPr>
          <w:rFonts w:hint="eastAsia" w:eastAsia="黑体"/>
        </w:rPr>
        <w:t>：</w:t>
      </w:r>
      <w:r>
        <w:rPr>
          <w:rFonts w:eastAsia="黑体"/>
        </w:rPr>
        <w:t>字符串</w:t>
      </w:r>
      <w:r>
        <w:t>内容</w:t>
      </w:r>
      <w:r>
        <w:rPr>
          <w:rFonts w:hint="eastAsia" w:ascii="黑体" w:hAnsi="黑体" w:eastAsia="黑体"/>
          <w:szCs w:val="21"/>
        </w:rPr>
        <w:t>（2学时）</w:t>
      </w:r>
    </w:p>
    <w:p>
      <w:pPr>
        <w:adjustRightInd w:val="0"/>
        <w:snapToGrid w:val="0"/>
        <w:spacing w:line="360" w:lineRule="auto"/>
        <w:ind w:firstLine="420" w:firstLineChars="200"/>
      </w:pPr>
      <w:r>
        <w:t>1、验证字符串的输入和输出</w:t>
      </w:r>
      <w:r>
        <w:rPr>
          <w:rFonts w:hint="eastAsia"/>
        </w:rPr>
        <w:t>；</w:t>
      </w:r>
    </w:p>
    <w:p>
      <w:pPr>
        <w:adjustRightInd w:val="0"/>
        <w:snapToGrid w:val="0"/>
        <w:spacing w:line="360" w:lineRule="auto"/>
        <w:ind w:firstLine="420" w:firstLineChars="200"/>
      </w:pPr>
      <w:r>
        <w:t>2、验证字符串处理函数</w:t>
      </w:r>
      <w:r>
        <w:rPr>
          <w:rFonts w:hint="eastAsia"/>
        </w:rPr>
        <w:t>；</w:t>
      </w:r>
    </w:p>
    <w:p>
      <w:pPr>
        <w:adjustRightInd w:val="0"/>
        <w:snapToGrid w:val="0"/>
        <w:spacing w:line="360" w:lineRule="auto"/>
        <w:ind w:firstLine="420" w:firstLineChars="200"/>
      </w:pPr>
      <w:r>
        <w:t>3、编写指针作为函数参数处理字符串的程序</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使用一维数组和指向字符指针表示单个字符串的区别；</w:t>
      </w:r>
      <w:r>
        <w:rPr>
          <w:rFonts w:hint="eastAsia"/>
          <w:snapToGrid w:val="0"/>
          <w:kern w:val="0"/>
          <w:szCs w:val="21"/>
        </w:rPr>
        <w:t>领会</w:t>
      </w:r>
      <w:r>
        <w:t>二维数组和指针数组表示多个字符串的方法及区别；</w:t>
      </w:r>
      <w:r>
        <w:rPr>
          <w:rFonts w:hint="eastAsia"/>
          <w:snapToGrid w:val="0"/>
          <w:kern w:val="0"/>
          <w:szCs w:val="21"/>
        </w:rPr>
        <w:t>领会</w:t>
      </w:r>
      <w:r>
        <w:t>各类指针的应用。</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b/>
          <w:bCs/>
          <w:szCs w:val="21"/>
        </w:rPr>
      </w:pPr>
      <w:r>
        <w:rPr>
          <w:rFonts w:eastAsia="黑体"/>
        </w:rPr>
        <w:t>实验九</w:t>
      </w:r>
      <w:r>
        <w:rPr>
          <w:rFonts w:hint="eastAsia" w:eastAsia="黑体"/>
        </w:rPr>
        <w:t>：</w:t>
      </w:r>
      <w:r>
        <w:rPr>
          <w:rFonts w:eastAsia="黑体"/>
        </w:rPr>
        <w:t>结构体实验</w:t>
      </w:r>
      <w:r>
        <w:rPr>
          <w:rFonts w:hint="eastAsia" w:ascii="黑体" w:hAnsi="黑体" w:eastAsia="黑体"/>
          <w:szCs w:val="21"/>
        </w:rPr>
        <w:t>（2学时）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1、验证结构体、联合的定义与应用</w:t>
      </w:r>
      <w:r>
        <w:rPr>
          <w:rFonts w:hint="eastAsia"/>
        </w:rPr>
        <w:t>；</w:t>
      </w:r>
    </w:p>
    <w:p>
      <w:pPr>
        <w:adjustRightInd w:val="0"/>
        <w:snapToGrid w:val="0"/>
        <w:spacing w:line="360" w:lineRule="auto"/>
        <w:ind w:firstLine="420" w:firstLineChars="200"/>
      </w:pPr>
      <w:r>
        <w:t>2、编写程序是实现单向链表的建立、输出、插入和删除等操作</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结构体的定义与应用；</w:t>
      </w:r>
      <w:r>
        <w:rPr>
          <w:rFonts w:hint="eastAsia"/>
          <w:snapToGrid w:val="0"/>
          <w:kern w:val="0"/>
          <w:szCs w:val="21"/>
        </w:rPr>
        <w:t>领会</w:t>
      </w:r>
      <w:r>
        <w:t>单向链表的建立、输出、插入和删除等操作，认识使用结构体处理简单的数据库；</w:t>
      </w:r>
      <w:r>
        <w:rPr>
          <w:rFonts w:hint="eastAsia"/>
          <w:snapToGrid w:val="0"/>
          <w:kern w:val="0"/>
          <w:szCs w:val="21"/>
        </w:rPr>
        <w:t>学会</w:t>
      </w:r>
      <w:r>
        <w:t>联合及枚举的定义与应用。</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b/>
          <w:bCs/>
          <w:szCs w:val="21"/>
        </w:rPr>
      </w:pPr>
      <w:r>
        <w:rPr>
          <w:rFonts w:eastAsia="黑体"/>
        </w:rPr>
        <w:t>实验</w:t>
      </w:r>
      <w:r>
        <w:rPr>
          <w:rFonts w:hint="eastAsia" w:eastAsia="黑体"/>
        </w:rPr>
        <w:t>十：</w:t>
      </w:r>
      <w:r>
        <w:rPr>
          <w:rFonts w:eastAsia="黑体"/>
        </w:rPr>
        <w:t>文件实验</w:t>
      </w:r>
      <w:r>
        <w:rPr>
          <w:rFonts w:hint="eastAsia" w:ascii="黑体" w:hAnsi="黑体" w:eastAsia="黑体"/>
          <w:szCs w:val="21"/>
        </w:rPr>
        <w:t>（1学时）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1、验证文件的建立与打开</w:t>
      </w:r>
      <w:r>
        <w:rPr>
          <w:rFonts w:hint="eastAsia"/>
        </w:rPr>
        <w:t>；</w:t>
      </w:r>
    </w:p>
    <w:p>
      <w:pPr>
        <w:adjustRightInd w:val="0"/>
        <w:snapToGrid w:val="0"/>
        <w:spacing w:line="360" w:lineRule="auto"/>
        <w:ind w:firstLine="420" w:firstLineChars="200"/>
      </w:pPr>
      <w:r>
        <w:t>2、验证文件类函数</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文件的建立与打开；</w:t>
      </w:r>
      <w:r>
        <w:rPr>
          <w:rFonts w:hint="eastAsia"/>
          <w:snapToGrid w:val="0"/>
          <w:kern w:val="0"/>
          <w:szCs w:val="21"/>
        </w:rPr>
        <w:t>领会</w:t>
      </w:r>
      <w:r>
        <w:t>文件类函数的应用。</w:t>
      </w:r>
    </w:p>
    <w:p>
      <w:pPr>
        <w:adjustRightInd w:val="0"/>
        <w:snapToGrid w:val="0"/>
        <w:spacing w:line="360" w:lineRule="auto"/>
        <w:ind w:firstLine="420" w:firstLineChars="200"/>
        <w:rPr>
          <w:szCs w:val="21"/>
        </w:rPr>
      </w:pPr>
      <w:r>
        <w:rPr>
          <w:rFonts w:hint="eastAsia"/>
          <w:szCs w:val="21"/>
        </w:rPr>
        <w:t>本实验内容支撑课程目标1、2。</w:t>
      </w:r>
    </w:p>
    <w:p>
      <w:pPr>
        <w:adjustRightInd w:val="0"/>
        <w:snapToGrid w:val="0"/>
        <w:spacing w:line="360" w:lineRule="auto"/>
        <w:ind w:firstLine="420" w:firstLineChars="200"/>
        <w:rPr>
          <w:rFonts w:ascii="黑体" w:hAnsi="黑体" w:eastAsia="黑体"/>
          <w:b/>
          <w:bCs/>
          <w:szCs w:val="21"/>
        </w:rPr>
      </w:pPr>
      <w:r>
        <w:rPr>
          <w:rFonts w:eastAsia="黑体"/>
        </w:rPr>
        <w:t>实验十</w:t>
      </w:r>
      <w:r>
        <w:rPr>
          <w:rFonts w:hint="eastAsia" w:eastAsia="黑体"/>
        </w:rPr>
        <w:t>一：</w:t>
      </w:r>
      <w:r>
        <w:rPr>
          <w:rFonts w:eastAsia="黑体"/>
        </w:rPr>
        <w:t>编译预处理实验</w:t>
      </w:r>
      <w:r>
        <w:rPr>
          <w:rFonts w:hint="eastAsia" w:ascii="黑体" w:hAnsi="黑体" w:eastAsia="黑体"/>
          <w:szCs w:val="21"/>
        </w:rPr>
        <w:t>（1学时）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1、验证宏的定义与展开</w:t>
      </w:r>
      <w:r>
        <w:rPr>
          <w:rFonts w:hint="eastAsia"/>
        </w:rPr>
        <w:t>；</w:t>
      </w:r>
    </w:p>
    <w:p>
      <w:pPr>
        <w:adjustRightInd w:val="0"/>
        <w:snapToGrid w:val="0"/>
        <w:spacing w:line="360" w:lineRule="auto"/>
        <w:ind w:firstLine="420" w:firstLineChars="200"/>
      </w:pPr>
      <w:r>
        <w:t>2、验证条件编译</w:t>
      </w:r>
      <w:r>
        <w:rPr>
          <w:rFonts w:hint="eastAsia"/>
        </w:rPr>
        <w:t>。</w:t>
      </w:r>
    </w:p>
    <w:p>
      <w:pPr>
        <w:adjustRightInd w:val="0"/>
        <w:snapToGrid w:val="0"/>
        <w:spacing w:line="360" w:lineRule="auto"/>
        <w:ind w:firstLine="420" w:firstLineChars="200"/>
      </w:pPr>
      <w:r>
        <w:t>基本要求：</w:t>
      </w:r>
      <w:r>
        <w:rPr>
          <w:rFonts w:hint="eastAsia"/>
          <w:snapToGrid w:val="0"/>
          <w:kern w:val="0"/>
          <w:szCs w:val="21"/>
        </w:rPr>
        <w:t>了解</w:t>
      </w:r>
      <w:r>
        <w:t>宏的定义与展开；</w:t>
      </w:r>
      <w:r>
        <w:rPr>
          <w:rFonts w:hint="eastAsia"/>
          <w:snapToGrid w:val="0"/>
          <w:kern w:val="0"/>
          <w:szCs w:val="21"/>
        </w:rPr>
        <w:t>领会</w:t>
      </w:r>
      <w:r>
        <w:t>条件编译。</w:t>
      </w:r>
    </w:p>
    <w:p>
      <w:pPr>
        <w:adjustRightInd w:val="0"/>
        <w:snapToGrid w:val="0"/>
        <w:spacing w:line="360" w:lineRule="auto"/>
        <w:ind w:firstLine="420" w:firstLineChars="200"/>
        <w:rPr>
          <w:szCs w:val="21"/>
        </w:rPr>
      </w:pPr>
      <w:r>
        <w:rPr>
          <w:rFonts w:hint="eastAsia"/>
          <w:szCs w:val="21"/>
        </w:rPr>
        <w:t>本实验内容支撑课程目标1、2。</w:t>
      </w:r>
    </w:p>
    <w:p>
      <w:pPr>
        <w:adjustRightInd w:val="0"/>
        <w:snapToGrid w:val="0"/>
        <w:spacing w:line="360" w:lineRule="auto"/>
        <w:ind w:firstLine="420" w:firstLineChars="200"/>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1263"/>
        <w:gridCol w:w="1675"/>
        <w:gridCol w:w="1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adjustRightInd w:val="0"/>
              <w:snapToGrid w:val="0"/>
              <w:jc w:val="center"/>
              <w:rPr>
                <w:sz w:val="18"/>
                <w:szCs w:val="18"/>
              </w:rPr>
            </w:pPr>
            <w:r>
              <w:rPr>
                <w:rFonts w:hint="eastAsia"/>
                <w:sz w:val="18"/>
                <w:szCs w:val="18"/>
              </w:rPr>
              <w:t>知识点及内容</w:t>
            </w:r>
          </w:p>
        </w:tc>
        <w:tc>
          <w:tcPr>
            <w:tcW w:w="741" w:type="pct"/>
            <w:vAlign w:val="center"/>
          </w:tcPr>
          <w:p>
            <w:pPr>
              <w:adjustRightInd w:val="0"/>
              <w:snapToGrid w:val="0"/>
              <w:jc w:val="center"/>
              <w:rPr>
                <w:sz w:val="18"/>
                <w:szCs w:val="18"/>
              </w:rPr>
            </w:pPr>
            <w:r>
              <w:rPr>
                <w:rFonts w:hint="eastAsia"/>
                <w:sz w:val="18"/>
                <w:szCs w:val="18"/>
              </w:rPr>
              <w:t>讲授（学时）</w:t>
            </w:r>
          </w:p>
        </w:tc>
        <w:tc>
          <w:tcPr>
            <w:tcW w:w="983" w:type="pct"/>
            <w:vAlign w:val="center"/>
          </w:tcPr>
          <w:p>
            <w:pPr>
              <w:adjustRightInd w:val="0"/>
              <w:snapToGrid w:val="0"/>
              <w:jc w:val="center"/>
              <w:rPr>
                <w:sz w:val="18"/>
                <w:szCs w:val="18"/>
              </w:rPr>
            </w:pPr>
            <w:r>
              <w:rPr>
                <w:rFonts w:hint="eastAsia"/>
                <w:sz w:val="18"/>
                <w:szCs w:val="18"/>
              </w:rPr>
              <w:t>实验（学时）</w:t>
            </w:r>
          </w:p>
        </w:tc>
        <w:tc>
          <w:tcPr>
            <w:tcW w:w="804"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snapToGrid w:val="0"/>
                <w:kern w:val="0"/>
                <w:sz w:val="18"/>
                <w:szCs w:val="18"/>
              </w:rPr>
            </w:pPr>
            <w:r>
              <w:rPr>
                <w:rFonts w:hint="eastAsia" w:cs="宋体"/>
                <w:bCs/>
                <w:snapToGrid w:val="0"/>
                <w:kern w:val="0"/>
                <w:sz w:val="18"/>
                <w:szCs w:val="18"/>
              </w:rPr>
              <w:t>1、</w:t>
            </w:r>
            <w:r>
              <w:rPr>
                <w:sz w:val="18"/>
                <w:szCs w:val="18"/>
              </w:rPr>
              <w:t>基础知识</w:t>
            </w:r>
          </w:p>
        </w:tc>
        <w:tc>
          <w:tcPr>
            <w:tcW w:w="741" w:type="pct"/>
          </w:tcPr>
          <w:p>
            <w:pPr>
              <w:adjustRightInd w:val="0"/>
              <w:snapToGrid w:val="0"/>
              <w:jc w:val="center"/>
              <w:rPr>
                <w:rFonts w:cs="宋体"/>
                <w:kern w:val="0"/>
                <w:sz w:val="18"/>
                <w:szCs w:val="18"/>
              </w:rPr>
            </w:pPr>
            <w:r>
              <w:rPr>
                <w:rFonts w:hint="eastAsia"/>
                <w:sz w:val="18"/>
                <w:szCs w:val="18"/>
              </w:rPr>
              <w:t>2</w:t>
            </w:r>
          </w:p>
        </w:tc>
        <w:tc>
          <w:tcPr>
            <w:tcW w:w="983" w:type="pct"/>
          </w:tcPr>
          <w:p>
            <w:pPr>
              <w:adjustRightInd w:val="0"/>
              <w:snapToGrid w:val="0"/>
              <w:jc w:val="center"/>
              <w:rPr>
                <w:rFonts w:cs="宋体"/>
                <w:kern w:val="0"/>
                <w:sz w:val="18"/>
                <w:szCs w:val="18"/>
              </w:rPr>
            </w:pPr>
            <w:r>
              <w:rPr>
                <w:sz w:val="18"/>
                <w:szCs w:val="18"/>
              </w:rPr>
              <w:t>0</w:t>
            </w:r>
          </w:p>
        </w:tc>
        <w:tc>
          <w:tcPr>
            <w:tcW w:w="804" w:type="pct"/>
          </w:tcPr>
          <w:p>
            <w:pPr>
              <w:adjustRightInd w:val="0"/>
              <w:snapToGrid w:val="0"/>
              <w:jc w:val="center"/>
              <w:rPr>
                <w:rFonts w:cs="宋体"/>
                <w:kern w:val="0"/>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snapToGrid w:val="0"/>
                <w:kern w:val="0"/>
                <w:sz w:val="18"/>
                <w:szCs w:val="18"/>
              </w:rPr>
            </w:pPr>
            <w:r>
              <w:rPr>
                <w:rFonts w:hint="eastAsia" w:cs="宋体"/>
                <w:bCs/>
                <w:snapToGrid w:val="0"/>
                <w:kern w:val="0"/>
                <w:sz w:val="18"/>
                <w:szCs w:val="18"/>
              </w:rPr>
              <w:t>2、</w:t>
            </w:r>
            <w:r>
              <w:rPr>
                <w:sz w:val="18"/>
                <w:szCs w:val="18"/>
              </w:rPr>
              <w:t>数据及运算</w:t>
            </w:r>
          </w:p>
        </w:tc>
        <w:tc>
          <w:tcPr>
            <w:tcW w:w="741" w:type="pct"/>
          </w:tcPr>
          <w:p>
            <w:pPr>
              <w:adjustRightInd w:val="0"/>
              <w:snapToGrid w:val="0"/>
              <w:jc w:val="center"/>
              <w:rPr>
                <w:rFonts w:cs="宋体"/>
                <w:kern w:val="0"/>
                <w:sz w:val="18"/>
                <w:szCs w:val="18"/>
              </w:rPr>
            </w:pPr>
            <w:r>
              <w:rPr>
                <w:sz w:val="18"/>
                <w:szCs w:val="18"/>
              </w:rPr>
              <w:t>4</w:t>
            </w:r>
          </w:p>
        </w:tc>
        <w:tc>
          <w:tcPr>
            <w:tcW w:w="983" w:type="pct"/>
          </w:tcPr>
          <w:p>
            <w:pPr>
              <w:adjustRightInd w:val="0"/>
              <w:snapToGrid w:val="0"/>
              <w:jc w:val="center"/>
              <w:rPr>
                <w:rFonts w:cs="宋体"/>
                <w:kern w:val="0"/>
                <w:sz w:val="18"/>
                <w:szCs w:val="18"/>
              </w:rPr>
            </w:pPr>
            <w:r>
              <w:rPr>
                <w:rFonts w:hint="eastAsia"/>
                <w:sz w:val="18"/>
                <w:szCs w:val="18"/>
              </w:rPr>
              <w:t>2</w:t>
            </w:r>
          </w:p>
        </w:tc>
        <w:tc>
          <w:tcPr>
            <w:tcW w:w="804" w:type="pct"/>
          </w:tcPr>
          <w:p>
            <w:pPr>
              <w:adjustRightInd w:val="0"/>
              <w:snapToGrid w:val="0"/>
              <w:jc w:val="center"/>
              <w:rPr>
                <w:rFonts w:cs="宋体"/>
                <w:kern w:val="0"/>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snapToGrid w:val="0"/>
                <w:kern w:val="0"/>
                <w:sz w:val="18"/>
                <w:szCs w:val="18"/>
              </w:rPr>
              <w:t>3、</w:t>
            </w:r>
            <w:r>
              <w:rPr>
                <w:sz w:val="18"/>
                <w:szCs w:val="18"/>
              </w:rPr>
              <w:t>顺序结构程序设计</w:t>
            </w:r>
          </w:p>
        </w:tc>
        <w:tc>
          <w:tcPr>
            <w:tcW w:w="741" w:type="pct"/>
          </w:tcPr>
          <w:p>
            <w:pPr>
              <w:adjustRightInd w:val="0"/>
              <w:snapToGrid w:val="0"/>
              <w:jc w:val="center"/>
              <w:rPr>
                <w:rFonts w:cs="宋体"/>
                <w:kern w:val="0"/>
                <w:sz w:val="18"/>
                <w:szCs w:val="18"/>
              </w:rPr>
            </w:pPr>
            <w:r>
              <w:rPr>
                <w:sz w:val="18"/>
                <w:szCs w:val="18"/>
              </w:rPr>
              <w:t>4</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snapToGrid w:val="0"/>
                <w:kern w:val="0"/>
                <w:sz w:val="18"/>
                <w:szCs w:val="18"/>
              </w:rPr>
              <w:t>4、</w:t>
            </w:r>
            <w:r>
              <w:rPr>
                <w:sz w:val="18"/>
                <w:szCs w:val="18"/>
              </w:rPr>
              <w:t>选择结构程序设计</w:t>
            </w:r>
          </w:p>
        </w:tc>
        <w:tc>
          <w:tcPr>
            <w:tcW w:w="741" w:type="pct"/>
          </w:tcPr>
          <w:p>
            <w:pPr>
              <w:adjustRightInd w:val="0"/>
              <w:snapToGrid w:val="0"/>
              <w:jc w:val="center"/>
              <w:rPr>
                <w:rFonts w:cs="宋体"/>
                <w:kern w:val="0"/>
                <w:sz w:val="18"/>
                <w:szCs w:val="18"/>
              </w:rPr>
            </w:pPr>
            <w:r>
              <w:rPr>
                <w:rFonts w:hint="eastAsia"/>
                <w:sz w:val="18"/>
                <w:szCs w:val="18"/>
              </w:rPr>
              <w:t>4</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rFonts w:hint="eastAsia"/>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snapToGrid w:val="0"/>
                <w:kern w:val="0"/>
                <w:sz w:val="18"/>
                <w:szCs w:val="18"/>
              </w:rPr>
              <w:t>5、</w:t>
            </w:r>
            <w:r>
              <w:rPr>
                <w:sz w:val="18"/>
                <w:szCs w:val="18"/>
              </w:rPr>
              <w:t>循环结构程序设计</w:t>
            </w:r>
          </w:p>
        </w:tc>
        <w:tc>
          <w:tcPr>
            <w:tcW w:w="741" w:type="pct"/>
          </w:tcPr>
          <w:p>
            <w:pPr>
              <w:adjustRightInd w:val="0"/>
              <w:snapToGrid w:val="0"/>
              <w:jc w:val="center"/>
              <w:rPr>
                <w:rFonts w:cs="宋体"/>
                <w:kern w:val="0"/>
                <w:sz w:val="18"/>
                <w:szCs w:val="18"/>
              </w:rPr>
            </w:pPr>
            <w:r>
              <w:rPr>
                <w:rFonts w:hint="eastAsia"/>
                <w:sz w:val="18"/>
                <w:szCs w:val="18"/>
              </w:rPr>
              <w:t>5</w:t>
            </w:r>
          </w:p>
        </w:tc>
        <w:tc>
          <w:tcPr>
            <w:tcW w:w="983" w:type="pct"/>
          </w:tcPr>
          <w:p>
            <w:pPr>
              <w:adjustRightInd w:val="0"/>
              <w:snapToGrid w:val="0"/>
              <w:jc w:val="center"/>
              <w:rPr>
                <w:rFonts w:cs="宋体"/>
                <w:kern w:val="0"/>
                <w:sz w:val="18"/>
                <w:szCs w:val="18"/>
              </w:rPr>
            </w:pPr>
            <w:r>
              <w:rPr>
                <w:sz w:val="18"/>
                <w:szCs w:val="18"/>
              </w:rPr>
              <w:t>4</w:t>
            </w:r>
          </w:p>
        </w:tc>
        <w:tc>
          <w:tcPr>
            <w:tcW w:w="804" w:type="pct"/>
          </w:tcPr>
          <w:p>
            <w:pPr>
              <w:adjustRightInd w:val="0"/>
              <w:snapToGrid w:val="0"/>
              <w:jc w:val="center"/>
              <w:rPr>
                <w:rFonts w:cs="宋体"/>
                <w:kern w:val="0"/>
                <w:sz w:val="18"/>
                <w:szCs w:val="18"/>
              </w:rPr>
            </w:pPr>
            <w:r>
              <w:rPr>
                <w:rFonts w:hint="eastAsia"/>
                <w:sz w:val="18"/>
                <w:szCs w:val="18"/>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6、</w:t>
            </w:r>
            <w:r>
              <w:rPr>
                <w:sz w:val="18"/>
                <w:szCs w:val="18"/>
              </w:rPr>
              <w:t>函数</w:t>
            </w:r>
          </w:p>
        </w:tc>
        <w:tc>
          <w:tcPr>
            <w:tcW w:w="741" w:type="pct"/>
          </w:tcPr>
          <w:p>
            <w:pPr>
              <w:adjustRightInd w:val="0"/>
              <w:snapToGrid w:val="0"/>
              <w:jc w:val="center"/>
              <w:rPr>
                <w:rFonts w:cs="宋体"/>
                <w:kern w:val="0"/>
                <w:sz w:val="18"/>
                <w:szCs w:val="18"/>
              </w:rPr>
            </w:pPr>
            <w:r>
              <w:rPr>
                <w:sz w:val="18"/>
                <w:szCs w:val="18"/>
              </w:rPr>
              <w:t>4</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7、</w:t>
            </w:r>
            <w:r>
              <w:rPr>
                <w:sz w:val="18"/>
                <w:szCs w:val="18"/>
              </w:rPr>
              <w:t>指针</w:t>
            </w:r>
          </w:p>
        </w:tc>
        <w:tc>
          <w:tcPr>
            <w:tcW w:w="741" w:type="pct"/>
          </w:tcPr>
          <w:p>
            <w:pPr>
              <w:adjustRightInd w:val="0"/>
              <w:snapToGrid w:val="0"/>
              <w:jc w:val="center"/>
              <w:rPr>
                <w:rFonts w:cs="宋体"/>
                <w:kern w:val="0"/>
                <w:sz w:val="18"/>
                <w:szCs w:val="18"/>
              </w:rPr>
            </w:pPr>
            <w:r>
              <w:rPr>
                <w:sz w:val="18"/>
                <w:szCs w:val="18"/>
              </w:rPr>
              <w:t>4</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8、</w:t>
            </w:r>
            <w:r>
              <w:rPr>
                <w:sz w:val="18"/>
                <w:szCs w:val="18"/>
              </w:rPr>
              <w:t>数组</w:t>
            </w:r>
          </w:p>
        </w:tc>
        <w:tc>
          <w:tcPr>
            <w:tcW w:w="741" w:type="pct"/>
          </w:tcPr>
          <w:p>
            <w:pPr>
              <w:adjustRightInd w:val="0"/>
              <w:snapToGrid w:val="0"/>
              <w:jc w:val="center"/>
              <w:rPr>
                <w:rFonts w:cs="宋体"/>
                <w:kern w:val="0"/>
                <w:sz w:val="18"/>
                <w:szCs w:val="18"/>
              </w:rPr>
            </w:pPr>
            <w:r>
              <w:rPr>
                <w:rFonts w:hint="eastAsia"/>
                <w:sz w:val="18"/>
                <w:szCs w:val="18"/>
              </w:rPr>
              <w:t>5</w:t>
            </w:r>
          </w:p>
        </w:tc>
        <w:tc>
          <w:tcPr>
            <w:tcW w:w="983" w:type="pct"/>
          </w:tcPr>
          <w:p>
            <w:pPr>
              <w:adjustRightInd w:val="0"/>
              <w:snapToGrid w:val="0"/>
              <w:jc w:val="center"/>
              <w:rPr>
                <w:rFonts w:cs="宋体"/>
                <w:kern w:val="0"/>
                <w:sz w:val="18"/>
                <w:szCs w:val="18"/>
              </w:rPr>
            </w:pPr>
            <w:r>
              <w:rPr>
                <w:sz w:val="18"/>
                <w:szCs w:val="18"/>
              </w:rPr>
              <w:t>4</w:t>
            </w:r>
          </w:p>
        </w:tc>
        <w:tc>
          <w:tcPr>
            <w:tcW w:w="804" w:type="pct"/>
          </w:tcPr>
          <w:p>
            <w:pPr>
              <w:adjustRightInd w:val="0"/>
              <w:snapToGrid w:val="0"/>
              <w:jc w:val="center"/>
              <w:rPr>
                <w:rFonts w:cs="宋体"/>
                <w:kern w:val="0"/>
                <w:sz w:val="18"/>
                <w:szCs w:val="18"/>
              </w:rPr>
            </w:pPr>
            <w:r>
              <w:rPr>
                <w:rFonts w:hint="eastAsia"/>
                <w:sz w:val="18"/>
                <w:szCs w:val="18"/>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9、</w:t>
            </w:r>
            <w:r>
              <w:rPr>
                <w:sz w:val="18"/>
                <w:szCs w:val="18"/>
              </w:rPr>
              <w:t>字符串</w:t>
            </w:r>
          </w:p>
        </w:tc>
        <w:tc>
          <w:tcPr>
            <w:tcW w:w="741" w:type="pct"/>
          </w:tcPr>
          <w:p>
            <w:pPr>
              <w:adjustRightInd w:val="0"/>
              <w:snapToGrid w:val="0"/>
              <w:jc w:val="center"/>
              <w:rPr>
                <w:rFonts w:cs="宋体"/>
                <w:kern w:val="0"/>
                <w:sz w:val="18"/>
                <w:szCs w:val="18"/>
              </w:rPr>
            </w:pPr>
            <w:r>
              <w:rPr>
                <w:sz w:val="18"/>
                <w:szCs w:val="18"/>
              </w:rPr>
              <w:t>3</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10、</w:t>
            </w:r>
            <w:r>
              <w:rPr>
                <w:sz w:val="18"/>
                <w:szCs w:val="18"/>
              </w:rPr>
              <w:t>结构体、联合体和枚举</w:t>
            </w:r>
          </w:p>
        </w:tc>
        <w:tc>
          <w:tcPr>
            <w:tcW w:w="741" w:type="pct"/>
          </w:tcPr>
          <w:p>
            <w:pPr>
              <w:adjustRightInd w:val="0"/>
              <w:snapToGrid w:val="0"/>
              <w:jc w:val="center"/>
              <w:rPr>
                <w:rFonts w:cs="宋体"/>
                <w:kern w:val="0"/>
                <w:sz w:val="18"/>
                <w:szCs w:val="18"/>
              </w:rPr>
            </w:pPr>
            <w:r>
              <w:rPr>
                <w:rFonts w:hint="eastAsia"/>
                <w:sz w:val="18"/>
                <w:szCs w:val="18"/>
              </w:rPr>
              <w:t>3</w:t>
            </w:r>
          </w:p>
        </w:tc>
        <w:tc>
          <w:tcPr>
            <w:tcW w:w="983" w:type="pct"/>
          </w:tcPr>
          <w:p>
            <w:pPr>
              <w:adjustRightInd w:val="0"/>
              <w:snapToGrid w:val="0"/>
              <w:jc w:val="center"/>
              <w:rPr>
                <w:rFonts w:cs="宋体"/>
                <w:kern w:val="0"/>
                <w:sz w:val="18"/>
                <w:szCs w:val="18"/>
              </w:rPr>
            </w:pPr>
            <w:r>
              <w:rPr>
                <w:sz w:val="18"/>
                <w:szCs w:val="18"/>
              </w:rPr>
              <w:t>2</w:t>
            </w:r>
          </w:p>
        </w:tc>
        <w:tc>
          <w:tcPr>
            <w:tcW w:w="804" w:type="pct"/>
          </w:tcPr>
          <w:p>
            <w:pPr>
              <w:adjustRightInd w:val="0"/>
              <w:snapToGrid w:val="0"/>
              <w:jc w:val="center"/>
              <w:rPr>
                <w:rFonts w:cs="宋体"/>
                <w:kern w:val="0"/>
                <w:sz w:val="18"/>
                <w:szCs w:val="18"/>
              </w:rPr>
            </w:pPr>
            <w:r>
              <w:rPr>
                <w:rFonts w:hint="eastAsia"/>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11、</w:t>
            </w:r>
            <w:r>
              <w:rPr>
                <w:sz w:val="18"/>
                <w:szCs w:val="18"/>
              </w:rPr>
              <w:t>文件</w:t>
            </w:r>
          </w:p>
        </w:tc>
        <w:tc>
          <w:tcPr>
            <w:tcW w:w="741" w:type="pct"/>
          </w:tcPr>
          <w:p>
            <w:pPr>
              <w:adjustRightInd w:val="0"/>
              <w:snapToGrid w:val="0"/>
              <w:jc w:val="center"/>
              <w:rPr>
                <w:rFonts w:cs="宋体"/>
                <w:kern w:val="0"/>
                <w:sz w:val="18"/>
                <w:szCs w:val="18"/>
              </w:rPr>
            </w:pPr>
            <w:r>
              <w:rPr>
                <w:sz w:val="18"/>
                <w:szCs w:val="18"/>
              </w:rPr>
              <w:t>1</w:t>
            </w:r>
          </w:p>
        </w:tc>
        <w:tc>
          <w:tcPr>
            <w:tcW w:w="983" w:type="pct"/>
          </w:tcPr>
          <w:p>
            <w:pPr>
              <w:adjustRightInd w:val="0"/>
              <w:snapToGrid w:val="0"/>
              <w:jc w:val="center"/>
              <w:rPr>
                <w:rFonts w:cs="宋体"/>
                <w:kern w:val="0"/>
                <w:sz w:val="18"/>
                <w:szCs w:val="18"/>
              </w:rPr>
            </w:pPr>
            <w:r>
              <w:rPr>
                <w:sz w:val="18"/>
                <w:szCs w:val="18"/>
              </w:rPr>
              <w:t>1</w:t>
            </w:r>
          </w:p>
        </w:tc>
        <w:tc>
          <w:tcPr>
            <w:tcW w:w="804" w:type="pct"/>
          </w:tcPr>
          <w:p>
            <w:pPr>
              <w:adjustRightInd w:val="0"/>
              <w:snapToGrid w:val="0"/>
              <w:jc w:val="center"/>
              <w:rPr>
                <w:rFonts w:cs="宋体"/>
                <w:kern w:val="0"/>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cs="宋体"/>
                <w:kern w:val="0"/>
                <w:sz w:val="18"/>
                <w:szCs w:val="18"/>
              </w:rPr>
            </w:pPr>
            <w:r>
              <w:rPr>
                <w:rFonts w:hint="eastAsia" w:cs="宋体"/>
                <w:kern w:val="0"/>
                <w:sz w:val="18"/>
                <w:szCs w:val="18"/>
              </w:rPr>
              <w:t>12、</w:t>
            </w:r>
            <w:r>
              <w:rPr>
                <w:sz w:val="18"/>
                <w:szCs w:val="18"/>
              </w:rPr>
              <w:t>编译预处理</w:t>
            </w:r>
          </w:p>
        </w:tc>
        <w:tc>
          <w:tcPr>
            <w:tcW w:w="741" w:type="pct"/>
          </w:tcPr>
          <w:p>
            <w:pPr>
              <w:adjustRightInd w:val="0"/>
              <w:snapToGrid w:val="0"/>
              <w:jc w:val="center"/>
              <w:rPr>
                <w:rFonts w:cs="宋体"/>
                <w:kern w:val="0"/>
                <w:sz w:val="18"/>
                <w:szCs w:val="18"/>
              </w:rPr>
            </w:pPr>
            <w:r>
              <w:rPr>
                <w:sz w:val="18"/>
                <w:szCs w:val="18"/>
              </w:rPr>
              <w:t>1</w:t>
            </w:r>
          </w:p>
        </w:tc>
        <w:tc>
          <w:tcPr>
            <w:tcW w:w="983" w:type="pct"/>
          </w:tcPr>
          <w:p>
            <w:pPr>
              <w:adjustRightInd w:val="0"/>
              <w:snapToGrid w:val="0"/>
              <w:jc w:val="center"/>
              <w:rPr>
                <w:rFonts w:cs="宋体"/>
                <w:kern w:val="0"/>
                <w:sz w:val="18"/>
                <w:szCs w:val="18"/>
              </w:rPr>
            </w:pPr>
            <w:r>
              <w:rPr>
                <w:sz w:val="18"/>
                <w:szCs w:val="18"/>
              </w:rPr>
              <w:t>1</w:t>
            </w:r>
          </w:p>
        </w:tc>
        <w:tc>
          <w:tcPr>
            <w:tcW w:w="804" w:type="pct"/>
          </w:tcPr>
          <w:p>
            <w:pPr>
              <w:adjustRightInd w:val="0"/>
              <w:snapToGrid w:val="0"/>
              <w:jc w:val="center"/>
              <w:rPr>
                <w:rFonts w:cs="宋体"/>
                <w:kern w:val="0"/>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jc w:val="center"/>
              <w:rPr>
                <w:rFonts w:cs="宋体"/>
                <w:kern w:val="0"/>
                <w:sz w:val="18"/>
                <w:szCs w:val="18"/>
              </w:rPr>
            </w:pPr>
            <w:r>
              <w:rPr>
                <w:rFonts w:hint="eastAsia" w:cs="宋体"/>
                <w:kern w:val="0"/>
                <w:sz w:val="18"/>
                <w:szCs w:val="18"/>
              </w:rPr>
              <w:t>合  计</w:t>
            </w:r>
          </w:p>
        </w:tc>
        <w:tc>
          <w:tcPr>
            <w:tcW w:w="741" w:type="pct"/>
          </w:tcPr>
          <w:p>
            <w:pPr>
              <w:adjustRightInd w:val="0"/>
              <w:snapToGrid w:val="0"/>
              <w:jc w:val="center"/>
              <w:rPr>
                <w:rFonts w:cs="宋体"/>
                <w:kern w:val="0"/>
                <w:sz w:val="18"/>
                <w:szCs w:val="18"/>
              </w:rPr>
            </w:pPr>
            <w:r>
              <w:rPr>
                <w:rFonts w:hint="eastAsia"/>
                <w:sz w:val="18"/>
                <w:szCs w:val="18"/>
              </w:rPr>
              <w:t>42</w:t>
            </w:r>
          </w:p>
        </w:tc>
        <w:tc>
          <w:tcPr>
            <w:tcW w:w="983" w:type="pct"/>
          </w:tcPr>
          <w:p>
            <w:pPr>
              <w:adjustRightInd w:val="0"/>
              <w:snapToGrid w:val="0"/>
              <w:jc w:val="center"/>
              <w:rPr>
                <w:rFonts w:cs="宋体"/>
                <w:kern w:val="0"/>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24</w:t>
            </w:r>
            <w:r>
              <w:rPr>
                <w:sz w:val="18"/>
                <w:szCs w:val="18"/>
              </w:rPr>
              <w:fldChar w:fldCharType="end"/>
            </w:r>
          </w:p>
        </w:tc>
        <w:tc>
          <w:tcPr>
            <w:tcW w:w="804" w:type="pct"/>
          </w:tcPr>
          <w:p>
            <w:pPr>
              <w:adjustRightInd w:val="0"/>
              <w:snapToGrid w:val="0"/>
              <w:jc w:val="center"/>
              <w:rPr>
                <w:rFonts w:cs="宋体"/>
                <w:kern w:val="0"/>
                <w:sz w:val="18"/>
                <w:szCs w:val="18"/>
              </w:rPr>
            </w:pPr>
            <w:r>
              <w:rPr>
                <w:rFonts w:hint="eastAsia"/>
                <w:sz w:val="18"/>
                <w:szCs w:val="18"/>
              </w:rPr>
              <w:t>64</w:t>
            </w:r>
          </w:p>
        </w:tc>
      </w:tr>
    </w:tbl>
    <w:p>
      <w:pPr>
        <w:adjustRightInd w:val="0"/>
        <w:snapToGrid w:val="0"/>
        <w:spacing w:line="360" w:lineRule="auto"/>
      </w:pPr>
    </w:p>
    <w:p>
      <w:pPr>
        <w:tabs>
          <w:tab w:val="left" w:pos="420"/>
        </w:tabs>
        <w:adjustRightInd w:val="0"/>
        <w:snapToGrid w:val="0"/>
        <w:spacing w:line="360" w:lineRule="auto"/>
        <w:ind w:left="420" w:hanging="420"/>
        <w:rPr>
          <w:color w:val="0000FF"/>
          <w:szCs w:val="21"/>
        </w:rPr>
      </w:pPr>
      <w:r>
        <w:rPr>
          <w:rFonts w:hint="eastAsia" w:eastAsia="黑体"/>
        </w:rPr>
        <w:t>六、教材、补充教材及参考资料</w:t>
      </w:r>
    </w:p>
    <w:p>
      <w:pPr>
        <w:adjustRightInd w:val="0"/>
        <w:snapToGrid w:val="0"/>
        <w:spacing w:line="360" w:lineRule="auto"/>
        <w:ind w:firstLine="420" w:firstLineChars="200"/>
      </w:pPr>
      <w:r>
        <w:rPr>
          <w:szCs w:val="21"/>
        </w:rPr>
        <w:t>1</w:t>
      </w:r>
      <w:r>
        <w:rPr>
          <w:rFonts w:hint="eastAsia"/>
          <w:szCs w:val="21"/>
        </w:rPr>
        <w:t xml:space="preserve">. </w:t>
      </w:r>
      <w:r>
        <w:t>中北大学赵山林、高媛主编《</w:t>
      </w:r>
      <w:r>
        <w:rPr>
          <w:rFonts w:hint="eastAsia"/>
        </w:rPr>
        <w:t>C</w:t>
      </w:r>
      <w:r>
        <w:t>程序设计》</w:t>
      </w:r>
      <w:r>
        <w:rPr>
          <w:rFonts w:hint="eastAsia"/>
        </w:rPr>
        <w:t>。</w:t>
      </w:r>
    </w:p>
    <w:p>
      <w:pPr>
        <w:widowControl/>
        <w:adjustRightInd w:val="0"/>
        <w:snapToGrid w:val="0"/>
        <w:spacing w:line="360" w:lineRule="auto"/>
        <w:jc w:val="left"/>
        <w:rPr>
          <w:rFonts w:eastAsia="黑体"/>
        </w:rPr>
      </w:pPr>
      <w:r>
        <w:rPr>
          <w:rFonts w:hint="eastAsia" w:eastAsia="黑体"/>
        </w:rPr>
        <w:t>七</w:t>
      </w:r>
      <w:r>
        <w:rPr>
          <w:rFonts w:eastAsia="黑体"/>
        </w:rPr>
        <w:t>、课程目标达成评价的途径和措施</w:t>
      </w:r>
    </w:p>
    <w:p>
      <w:pPr>
        <w:adjustRightInd w:val="0"/>
        <w:snapToGrid w:val="0"/>
        <w:spacing w:line="360" w:lineRule="auto"/>
        <w:ind w:firstLine="420" w:firstLineChars="200"/>
      </w:pPr>
      <w:r>
        <w:t>1</w:t>
      </w:r>
      <w:r>
        <w:rPr>
          <w:rFonts w:hint="eastAsia"/>
        </w:rPr>
        <w:t xml:space="preserve">. </w:t>
      </w:r>
      <w:r>
        <w:t>考核方式：笔试考试、机试考试</w:t>
      </w:r>
      <w:r>
        <w:rPr>
          <w:rFonts w:hint="eastAsia"/>
        </w:rPr>
        <w:t>、课堂表现、</w:t>
      </w:r>
      <w:r>
        <w:t>平时作业和实验。</w:t>
      </w:r>
    </w:p>
    <w:p>
      <w:pPr>
        <w:adjustRightInd w:val="0"/>
        <w:snapToGrid w:val="0"/>
        <w:spacing w:line="360" w:lineRule="auto"/>
        <w:ind w:firstLine="420" w:firstLineChars="200"/>
      </w:pPr>
      <w:r>
        <w:t>2</w:t>
      </w:r>
      <w:r>
        <w:rPr>
          <w:rFonts w:hint="eastAsia"/>
        </w:rPr>
        <w:t>.</w:t>
      </w:r>
      <w:r>
        <w:t xml:space="preserve"> 考核目标：在考核学生对C语言语法句法规则的基础上，重点考核学生阅读程序、调试程序和编写程序解决实际问题的能力。</w:t>
      </w:r>
    </w:p>
    <w:p>
      <w:pPr>
        <w:adjustRightInd w:val="0"/>
        <w:snapToGrid w:val="0"/>
        <w:spacing w:line="360" w:lineRule="auto"/>
        <w:ind w:firstLine="420" w:firstLineChars="200"/>
        <w:rPr>
          <w:szCs w:val="21"/>
        </w:rPr>
      </w:pPr>
      <w:r>
        <w:rPr>
          <w:rFonts w:hint="eastAsia"/>
          <w:szCs w:val="21"/>
        </w:rPr>
        <w:t>3.</w:t>
      </w:r>
      <w:r>
        <w:rPr>
          <w:szCs w:val="21"/>
        </w:rPr>
        <w:t xml:space="preserve"> </w:t>
      </w:r>
      <w:r>
        <w:rPr>
          <w:rFonts w:hint="eastAsia"/>
          <w:szCs w:val="21"/>
        </w:rPr>
        <w:t>成绩构成：</w:t>
      </w:r>
    </w:p>
    <w:p>
      <w:pPr>
        <w:adjustRightInd w:val="0"/>
        <w:snapToGrid w:val="0"/>
        <w:spacing w:line="360" w:lineRule="auto"/>
        <w:ind w:firstLine="420" w:firstLineChars="200"/>
        <w:rPr>
          <w:szCs w:val="21"/>
        </w:rPr>
      </w:pPr>
      <w:r>
        <w:rPr>
          <w:rFonts w:hint="eastAsia"/>
          <w:szCs w:val="21"/>
        </w:rPr>
        <w:t>本课程通过“平时成绩”、“期末考试”、 “实验报告”和“期末实验考试”四种方式对课程目标达成进行评价，考核成绩计算公式如下（本大纲中成绩均采用百分制）：</w:t>
      </w:r>
    </w:p>
    <w:p>
      <w:pPr>
        <w:adjustRightInd w:val="0"/>
        <w:snapToGrid w:val="0"/>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00" w:type="pct"/>
            <w:vAlign w:val="center"/>
          </w:tcPr>
          <w:p>
            <w:pPr>
              <w:jc w:val="center"/>
              <w:rPr>
                <w:sz w:val="18"/>
                <w:szCs w:val="18"/>
              </w:rPr>
            </w:pPr>
            <w:r>
              <w:rPr>
                <w:sz w:val="18"/>
                <w:szCs w:val="18"/>
              </w:rPr>
              <w:t>作业</w:t>
            </w:r>
          </w:p>
          <w:p>
            <w:pPr>
              <w:jc w:val="center"/>
              <w:rPr>
                <w:sz w:val="18"/>
                <w:szCs w:val="18"/>
              </w:rPr>
            </w:pPr>
            <w:r>
              <w:rPr>
                <w:rFonts w:hint="eastAsia"/>
                <w:sz w:val="18"/>
                <w:szCs w:val="18"/>
              </w:rPr>
              <w:t>（平时）</w:t>
            </w:r>
          </w:p>
        </w:tc>
        <w:tc>
          <w:tcPr>
            <w:tcW w:w="1000" w:type="pct"/>
            <w:vAlign w:val="center"/>
          </w:tcPr>
          <w:p>
            <w:pPr>
              <w:jc w:val="center"/>
              <w:rPr>
                <w:sz w:val="18"/>
                <w:szCs w:val="18"/>
              </w:rPr>
            </w:pPr>
            <w:r>
              <w:rPr>
                <w:rFonts w:hint="eastAsia"/>
                <w:sz w:val="18"/>
                <w:szCs w:val="18"/>
              </w:rPr>
              <w:t>课堂表现</w:t>
            </w:r>
          </w:p>
          <w:p>
            <w:pPr>
              <w:jc w:val="center"/>
              <w:rPr>
                <w:sz w:val="18"/>
                <w:szCs w:val="18"/>
              </w:rPr>
            </w:pPr>
            <w:r>
              <w:rPr>
                <w:rFonts w:hint="eastAsia"/>
                <w:sz w:val="18"/>
                <w:szCs w:val="18"/>
              </w:rPr>
              <w:t>（平时）</w:t>
            </w:r>
          </w:p>
        </w:tc>
        <w:tc>
          <w:tcPr>
            <w:tcW w:w="1000" w:type="pct"/>
            <w:vAlign w:val="center"/>
          </w:tcPr>
          <w:p>
            <w:pPr>
              <w:jc w:val="center"/>
              <w:rPr>
                <w:sz w:val="18"/>
                <w:szCs w:val="18"/>
              </w:rPr>
            </w:pPr>
            <w:r>
              <w:rPr>
                <w:sz w:val="18"/>
                <w:szCs w:val="18"/>
              </w:rPr>
              <w:t>期末笔试考试</w:t>
            </w:r>
          </w:p>
        </w:tc>
        <w:tc>
          <w:tcPr>
            <w:tcW w:w="1000" w:type="pct"/>
            <w:vAlign w:val="center"/>
          </w:tcPr>
          <w:p>
            <w:pPr>
              <w:jc w:val="center"/>
              <w:rPr>
                <w:sz w:val="18"/>
                <w:szCs w:val="18"/>
              </w:rPr>
            </w:pPr>
            <w:r>
              <w:rPr>
                <w:sz w:val="18"/>
                <w:szCs w:val="18"/>
              </w:rPr>
              <w:t>实验报告</w:t>
            </w:r>
          </w:p>
        </w:tc>
        <w:tc>
          <w:tcPr>
            <w:tcW w:w="1000" w:type="pct"/>
            <w:vAlign w:val="center"/>
          </w:tcPr>
          <w:p>
            <w:pPr>
              <w:jc w:val="center"/>
              <w:rPr>
                <w:sz w:val="18"/>
                <w:szCs w:val="18"/>
              </w:rPr>
            </w:pPr>
            <w:r>
              <w:rPr>
                <w:sz w:val="18"/>
                <w:szCs w:val="18"/>
              </w:rPr>
              <w:t>期末实验考试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Pr>
          <w:p>
            <w:pPr>
              <w:jc w:val="center"/>
              <w:rPr>
                <w:sz w:val="18"/>
                <w:szCs w:val="18"/>
              </w:rPr>
            </w:pPr>
            <w:r>
              <w:rPr>
                <w:rFonts w:hint="eastAsia"/>
                <w:sz w:val="18"/>
                <w:szCs w:val="18"/>
              </w:rPr>
              <w:t>15</w:t>
            </w:r>
          </w:p>
        </w:tc>
        <w:tc>
          <w:tcPr>
            <w:tcW w:w="1000" w:type="pct"/>
          </w:tcPr>
          <w:p>
            <w:pPr>
              <w:jc w:val="center"/>
              <w:rPr>
                <w:sz w:val="18"/>
                <w:szCs w:val="18"/>
              </w:rPr>
            </w:pPr>
            <w:r>
              <w:rPr>
                <w:rFonts w:hint="eastAsia"/>
                <w:sz w:val="18"/>
                <w:szCs w:val="18"/>
              </w:rPr>
              <w:t>10</w:t>
            </w:r>
          </w:p>
        </w:tc>
        <w:tc>
          <w:tcPr>
            <w:tcW w:w="1000" w:type="pct"/>
          </w:tcPr>
          <w:p>
            <w:pPr>
              <w:jc w:val="center"/>
              <w:rPr>
                <w:sz w:val="18"/>
                <w:szCs w:val="18"/>
              </w:rPr>
            </w:pPr>
            <w:r>
              <w:rPr>
                <w:rFonts w:hint="eastAsia"/>
                <w:sz w:val="18"/>
                <w:szCs w:val="18"/>
              </w:rPr>
              <w:t>45</w:t>
            </w:r>
          </w:p>
        </w:tc>
        <w:tc>
          <w:tcPr>
            <w:tcW w:w="1000" w:type="pct"/>
          </w:tcPr>
          <w:p>
            <w:pPr>
              <w:jc w:val="center"/>
              <w:rPr>
                <w:sz w:val="18"/>
                <w:szCs w:val="18"/>
              </w:rPr>
            </w:pPr>
            <w:r>
              <w:rPr>
                <w:rFonts w:hint="eastAsia"/>
                <w:sz w:val="18"/>
                <w:szCs w:val="18"/>
              </w:rPr>
              <w:t>10</w:t>
            </w:r>
          </w:p>
        </w:tc>
        <w:tc>
          <w:tcPr>
            <w:tcW w:w="1000" w:type="pct"/>
          </w:tcPr>
          <w:p>
            <w:pPr>
              <w:jc w:val="center"/>
              <w:rPr>
                <w:sz w:val="18"/>
                <w:szCs w:val="18"/>
              </w:rPr>
            </w:pPr>
            <w:r>
              <w:rPr>
                <w:rFonts w:hint="eastAsia"/>
                <w:sz w:val="18"/>
                <w:szCs w:val="18"/>
              </w:rPr>
              <w:t>20</w:t>
            </w:r>
          </w:p>
        </w:tc>
      </w:tr>
    </w:tbl>
    <w:p>
      <w:pPr>
        <w:spacing w:line="360" w:lineRule="auto"/>
        <w:rPr>
          <w:szCs w:val="21"/>
        </w:rPr>
      </w:pPr>
    </w:p>
    <w:p>
      <w:pPr>
        <w:spacing w:line="360" w:lineRule="auto"/>
        <w:ind w:firstLine="420" w:firstLineChars="200"/>
        <w:rPr>
          <w:b/>
          <w:bCs/>
          <w:color w:val="1D41D5"/>
          <w:szCs w:val="21"/>
        </w:rPr>
      </w:pPr>
      <w:r>
        <w:rPr>
          <w:rFonts w:hint="eastAsia"/>
          <w:szCs w:val="21"/>
        </w:rPr>
        <w:t>指导性课程目标评价题目分数分配：</w:t>
      </w:r>
    </w:p>
    <w:tbl>
      <w:tblPr>
        <w:tblStyle w:val="22"/>
        <w:tblW w:w="5000" w:type="pct"/>
        <w:jc w:val="center"/>
        <w:tblLayout w:type="autofit"/>
        <w:tblCellMar>
          <w:top w:w="0" w:type="dxa"/>
          <w:left w:w="108" w:type="dxa"/>
          <w:bottom w:w="0" w:type="dxa"/>
          <w:right w:w="108" w:type="dxa"/>
        </w:tblCellMar>
      </w:tblPr>
      <w:tblGrid>
        <w:gridCol w:w="1183"/>
        <w:gridCol w:w="1403"/>
        <w:gridCol w:w="1406"/>
        <w:gridCol w:w="1626"/>
        <w:gridCol w:w="1406"/>
        <w:gridCol w:w="1498"/>
      </w:tblGrid>
      <w:tr>
        <w:tblPrEx>
          <w:tblCellMar>
            <w:top w:w="0" w:type="dxa"/>
            <w:left w:w="108" w:type="dxa"/>
            <w:bottom w:w="0" w:type="dxa"/>
            <w:right w:w="108" w:type="dxa"/>
          </w:tblCellMar>
        </w:tblPrEx>
        <w:trPr>
          <w:trHeight w:val="986" w:hRule="atLeast"/>
          <w:jc w:val="center"/>
        </w:trPr>
        <w:tc>
          <w:tcPr>
            <w:tcW w:w="694"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课程目标</w:t>
            </w:r>
          </w:p>
        </w:tc>
        <w:tc>
          <w:tcPr>
            <w:tcW w:w="8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作业（平时）</w:t>
            </w:r>
          </w:p>
          <w:p>
            <w:pPr>
              <w:adjustRightInd w:val="0"/>
              <w:snapToGrid w:val="0"/>
              <w:jc w:val="center"/>
              <w:rPr>
                <w:sz w:val="18"/>
                <w:szCs w:val="18"/>
              </w:rPr>
            </w:pPr>
            <w:r>
              <w:rPr>
                <w:rFonts w:hint="eastAsia"/>
                <w:sz w:val="18"/>
                <w:szCs w:val="18"/>
              </w:rPr>
              <w:t>W1</w:t>
            </w:r>
            <w:r>
              <w:rPr>
                <w:rFonts w:hint="eastAsia"/>
                <w:sz w:val="18"/>
                <w:szCs w:val="18"/>
                <w:vertAlign w:val="subscript"/>
              </w:rPr>
              <w:t>i</w:t>
            </w:r>
          </w:p>
        </w:tc>
        <w:tc>
          <w:tcPr>
            <w:tcW w:w="825"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90" w:firstLineChars="50"/>
              <w:jc w:val="center"/>
              <w:rPr>
                <w:sz w:val="18"/>
                <w:szCs w:val="18"/>
              </w:rPr>
            </w:pPr>
            <w:r>
              <w:rPr>
                <w:rFonts w:hint="eastAsia"/>
                <w:sz w:val="18"/>
                <w:szCs w:val="18"/>
              </w:rPr>
              <w:t>课堂表现</w:t>
            </w:r>
          </w:p>
          <w:p>
            <w:pPr>
              <w:adjustRightInd w:val="0"/>
              <w:snapToGrid w:val="0"/>
              <w:jc w:val="center"/>
              <w:rPr>
                <w:sz w:val="18"/>
                <w:szCs w:val="18"/>
              </w:rPr>
            </w:pPr>
            <w:r>
              <w:rPr>
                <w:rFonts w:hint="eastAsia"/>
                <w:sz w:val="18"/>
                <w:szCs w:val="18"/>
              </w:rPr>
              <w:t>（平时）</w:t>
            </w:r>
          </w:p>
          <w:p>
            <w:pPr>
              <w:adjustRightInd w:val="0"/>
              <w:snapToGrid w:val="0"/>
              <w:jc w:val="center"/>
              <w:rPr>
                <w:sz w:val="18"/>
                <w:szCs w:val="18"/>
              </w:rPr>
            </w:pPr>
            <w:r>
              <w:rPr>
                <w:rFonts w:hint="eastAsia"/>
                <w:sz w:val="18"/>
                <w:szCs w:val="18"/>
              </w:rPr>
              <w:t>W2</w:t>
            </w:r>
            <w:r>
              <w:rPr>
                <w:rFonts w:hint="eastAsia"/>
                <w:sz w:val="18"/>
                <w:szCs w:val="18"/>
                <w:vertAlign w:val="subscript"/>
              </w:rPr>
              <w:t>i</w:t>
            </w:r>
          </w:p>
        </w:tc>
        <w:tc>
          <w:tcPr>
            <w:tcW w:w="9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期末</w:t>
            </w:r>
            <w:r>
              <w:rPr>
                <w:sz w:val="18"/>
                <w:szCs w:val="18"/>
              </w:rPr>
              <w:t>笔试</w:t>
            </w:r>
            <w:r>
              <w:rPr>
                <w:rFonts w:hint="eastAsia"/>
                <w:sz w:val="18"/>
                <w:szCs w:val="18"/>
              </w:rPr>
              <w:t>考试</w:t>
            </w:r>
          </w:p>
          <w:p>
            <w:pPr>
              <w:adjustRightInd w:val="0"/>
              <w:snapToGrid w:val="0"/>
              <w:jc w:val="center"/>
              <w:rPr>
                <w:sz w:val="18"/>
                <w:szCs w:val="18"/>
              </w:rPr>
            </w:pPr>
            <w:r>
              <w:rPr>
                <w:rFonts w:hint="eastAsia"/>
                <w:sz w:val="18"/>
                <w:szCs w:val="18"/>
              </w:rPr>
              <w:t>W3</w:t>
            </w:r>
            <w:r>
              <w:rPr>
                <w:rFonts w:hint="eastAsia"/>
                <w:sz w:val="18"/>
                <w:szCs w:val="18"/>
                <w:vertAlign w:val="subscript"/>
              </w:rPr>
              <w:t>i</w:t>
            </w:r>
          </w:p>
        </w:tc>
        <w:tc>
          <w:tcPr>
            <w:tcW w:w="825"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rFonts w:hint="eastAsia"/>
                <w:sz w:val="18"/>
                <w:szCs w:val="18"/>
              </w:rPr>
              <w:t>实验报告</w:t>
            </w:r>
          </w:p>
          <w:p>
            <w:pPr>
              <w:adjustRightInd w:val="0"/>
              <w:snapToGrid w:val="0"/>
              <w:jc w:val="center"/>
              <w:rPr>
                <w:sz w:val="18"/>
                <w:szCs w:val="18"/>
              </w:rPr>
            </w:pPr>
            <w:r>
              <w:rPr>
                <w:rFonts w:hint="eastAsia"/>
                <w:sz w:val="18"/>
                <w:szCs w:val="18"/>
              </w:rPr>
              <w:t>W4</w:t>
            </w:r>
            <w:r>
              <w:rPr>
                <w:rFonts w:hint="eastAsia"/>
                <w:sz w:val="18"/>
                <w:szCs w:val="18"/>
                <w:vertAlign w:val="subscript"/>
              </w:rPr>
              <w:t>i</w:t>
            </w:r>
          </w:p>
        </w:tc>
        <w:tc>
          <w:tcPr>
            <w:tcW w:w="87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p>
          <w:p>
            <w:pPr>
              <w:adjustRightInd w:val="0"/>
              <w:snapToGrid w:val="0"/>
              <w:jc w:val="center"/>
              <w:rPr>
                <w:sz w:val="18"/>
                <w:szCs w:val="18"/>
              </w:rPr>
            </w:pPr>
            <w:r>
              <w:rPr>
                <w:rFonts w:hint="eastAsia"/>
                <w:sz w:val="18"/>
                <w:szCs w:val="18"/>
              </w:rPr>
              <w:t>期末</w:t>
            </w:r>
            <w:r>
              <w:rPr>
                <w:sz w:val="18"/>
                <w:szCs w:val="18"/>
              </w:rPr>
              <w:t>实验考试</w:t>
            </w:r>
          </w:p>
          <w:p>
            <w:pPr>
              <w:adjustRightInd w:val="0"/>
              <w:snapToGrid w:val="0"/>
              <w:jc w:val="center"/>
              <w:rPr>
                <w:sz w:val="18"/>
                <w:szCs w:val="18"/>
              </w:rPr>
            </w:pPr>
            <w:r>
              <w:rPr>
                <w:rFonts w:hint="eastAsia"/>
                <w:sz w:val="18"/>
                <w:szCs w:val="18"/>
              </w:rPr>
              <w:t>W</w:t>
            </w:r>
            <w:r>
              <w:rPr>
                <w:sz w:val="18"/>
                <w:szCs w:val="18"/>
              </w:rPr>
              <w:t>5</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694" w:type="pct"/>
            <w:tcBorders>
              <w:top w:val="nil"/>
              <w:left w:val="nil"/>
              <w:bottom w:val="single" w:color="auto" w:sz="4" w:space="0"/>
              <w:right w:val="single" w:color="auto" w:sz="4" w:space="0"/>
            </w:tcBorders>
            <w:vAlign w:val="center"/>
          </w:tcPr>
          <w:p>
            <w:pPr>
              <w:adjustRightInd w:val="0"/>
              <w:snapToGrid w:val="0"/>
              <w:jc w:val="center"/>
            </w:pPr>
            <w:r>
              <w:t>1</w:t>
            </w:r>
          </w:p>
        </w:tc>
        <w:tc>
          <w:tcPr>
            <w:tcW w:w="8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30—40</w:t>
            </w:r>
          </w:p>
        </w:tc>
        <w:tc>
          <w:tcPr>
            <w:tcW w:w="825" w:type="pct"/>
            <w:tcBorders>
              <w:top w:val="single" w:color="auto" w:sz="4" w:space="0"/>
              <w:left w:val="single" w:color="auto" w:sz="4" w:space="0"/>
              <w:bottom w:val="single" w:color="auto" w:sz="4" w:space="0"/>
              <w:right w:val="single" w:color="auto" w:sz="4" w:space="0"/>
            </w:tcBorders>
          </w:tcPr>
          <w:p>
            <w:pPr>
              <w:adjustRightInd w:val="0"/>
              <w:snapToGrid w:val="0"/>
              <w:jc w:val="center"/>
            </w:pPr>
            <w:r>
              <w:rPr>
                <w:rFonts w:hint="eastAsia"/>
              </w:rPr>
              <w:t>20—30</w:t>
            </w:r>
          </w:p>
        </w:tc>
        <w:tc>
          <w:tcPr>
            <w:tcW w:w="9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30—40</w:t>
            </w:r>
          </w:p>
        </w:tc>
        <w:tc>
          <w:tcPr>
            <w:tcW w:w="825"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10—20</w:t>
            </w:r>
          </w:p>
        </w:tc>
        <w:tc>
          <w:tcPr>
            <w:tcW w:w="878"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30—40</w:t>
            </w:r>
          </w:p>
        </w:tc>
      </w:tr>
      <w:tr>
        <w:tblPrEx>
          <w:tblCellMar>
            <w:top w:w="0" w:type="dxa"/>
            <w:left w:w="108" w:type="dxa"/>
            <w:bottom w:w="0" w:type="dxa"/>
            <w:right w:w="108" w:type="dxa"/>
          </w:tblCellMar>
        </w:tblPrEx>
        <w:trPr>
          <w:jc w:val="center"/>
        </w:trPr>
        <w:tc>
          <w:tcPr>
            <w:tcW w:w="694" w:type="pct"/>
            <w:tcBorders>
              <w:top w:val="nil"/>
              <w:left w:val="nil"/>
              <w:bottom w:val="single" w:color="auto" w:sz="4" w:space="0"/>
              <w:right w:val="single" w:color="auto" w:sz="4" w:space="0"/>
            </w:tcBorders>
            <w:vAlign w:val="center"/>
          </w:tcPr>
          <w:p>
            <w:pPr>
              <w:adjustRightInd w:val="0"/>
              <w:snapToGrid w:val="0"/>
              <w:jc w:val="center"/>
            </w:pPr>
            <w:r>
              <w:t>2</w:t>
            </w:r>
          </w:p>
        </w:tc>
        <w:tc>
          <w:tcPr>
            <w:tcW w:w="8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50—60</w:t>
            </w:r>
          </w:p>
        </w:tc>
        <w:tc>
          <w:tcPr>
            <w:tcW w:w="825" w:type="pct"/>
            <w:tcBorders>
              <w:top w:val="single" w:color="auto" w:sz="4" w:space="0"/>
              <w:left w:val="single" w:color="auto" w:sz="4" w:space="0"/>
              <w:bottom w:val="single" w:color="auto" w:sz="4" w:space="0"/>
              <w:right w:val="single" w:color="auto" w:sz="4" w:space="0"/>
            </w:tcBorders>
          </w:tcPr>
          <w:p>
            <w:pPr>
              <w:adjustRightInd w:val="0"/>
              <w:snapToGrid w:val="0"/>
              <w:jc w:val="center"/>
            </w:pPr>
            <w:r>
              <w:rPr>
                <w:rFonts w:hint="eastAsia"/>
              </w:rPr>
              <w:t>50—60</w:t>
            </w:r>
          </w:p>
        </w:tc>
        <w:tc>
          <w:tcPr>
            <w:tcW w:w="9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50—60</w:t>
            </w:r>
          </w:p>
        </w:tc>
        <w:tc>
          <w:tcPr>
            <w:tcW w:w="825"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40—50</w:t>
            </w:r>
          </w:p>
        </w:tc>
        <w:tc>
          <w:tcPr>
            <w:tcW w:w="878"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40—50</w:t>
            </w:r>
          </w:p>
        </w:tc>
      </w:tr>
      <w:tr>
        <w:tblPrEx>
          <w:tblCellMar>
            <w:top w:w="0" w:type="dxa"/>
            <w:left w:w="108" w:type="dxa"/>
            <w:bottom w:w="0" w:type="dxa"/>
            <w:right w:w="108" w:type="dxa"/>
          </w:tblCellMar>
        </w:tblPrEx>
        <w:trPr>
          <w:jc w:val="center"/>
        </w:trPr>
        <w:tc>
          <w:tcPr>
            <w:tcW w:w="694" w:type="pct"/>
            <w:tcBorders>
              <w:top w:val="single" w:color="auto" w:sz="4" w:space="0"/>
              <w:left w:val="nil"/>
              <w:bottom w:val="single" w:color="auto" w:sz="4" w:space="0"/>
              <w:right w:val="single" w:color="auto" w:sz="4" w:space="0"/>
            </w:tcBorders>
            <w:vAlign w:val="center"/>
          </w:tcPr>
          <w:p>
            <w:pPr>
              <w:adjustRightInd w:val="0"/>
              <w:snapToGrid w:val="0"/>
              <w:jc w:val="center"/>
            </w:pPr>
            <w:r>
              <w:rPr>
                <w:rFonts w:hint="eastAsia"/>
              </w:rPr>
              <w:t>3</w:t>
            </w:r>
          </w:p>
        </w:tc>
        <w:tc>
          <w:tcPr>
            <w:tcW w:w="8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10—20</w:t>
            </w:r>
          </w:p>
        </w:tc>
        <w:tc>
          <w:tcPr>
            <w:tcW w:w="825" w:type="pct"/>
            <w:tcBorders>
              <w:top w:val="single" w:color="auto" w:sz="4" w:space="0"/>
              <w:left w:val="single" w:color="auto" w:sz="4" w:space="0"/>
              <w:bottom w:val="single" w:color="auto" w:sz="4" w:space="0"/>
              <w:right w:val="single" w:color="auto" w:sz="4" w:space="0"/>
            </w:tcBorders>
          </w:tcPr>
          <w:p>
            <w:pPr>
              <w:adjustRightInd w:val="0"/>
              <w:snapToGrid w:val="0"/>
              <w:jc w:val="center"/>
            </w:pPr>
            <w:r>
              <w:rPr>
                <w:rFonts w:hint="eastAsia"/>
              </w:rPr>
              <w:t>20—30</w:t>
            </w:r>
          </w:p>
        </w:tc>
        <w:tc>
          <w:tcPr>
            <w:tcW w:w="9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10—20</w:t>
            </w:r>
          </w:p>
        </w:tc>
        <w:tc>
          <w:tcPr>
            <w:tcW w:w="825"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30—40</w:t>
            </w:r>
          </w:p>
        </w:tc>
        <w:tc>
          <w:tcPr>
            <w:tcW w:w="878" w:type="pct"/>
            <w:tcBorders>
              <w:top w:val="single" w:color="auto" w:sz="4" w:space="0"/>
              <w:left w:val="single" w:color="auto" w:sz="4" w:space="0"/>
              <w:bottom w:val="single" w:color="auto" w:sz="4" w:space="0"/>
              <w:right w:val="nil"/>
            </w:tcBorders>
            <w:vAlign w:val="center"/>
          </w:tcPr>
          <w:p>
            <w:pPr>
              <w:adjustRightInd w:val="0"/>
              <w:snapToGrid w:val="0"/>
              <w:jc w:val="center"/>
            </w:pPr>
            <w:r>
              <w:rPr>
                <w:rFonts w:hint="eastAsia"/>
              </w:rPr>
              <w:t>20—30</w:t>
            </w:r>
          </w:p>
        </w:tc>
      </w:tr>
    </w:tbl>
    <w:p>
      <w:pPr>
        <w:spacing w:line="360" w:lineRule="auto"/>
        <w:rPr>
          <w:szCs w:val="21"/>
        </w:rPr>
      </w:pPr>
    </w:p>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pStyle w:val="45"/>
      </w:pPr>
    </w:p>
    <w:p>
      <w:pPr>
        <w:pStyle w:val="45"/>
      </w:pPr>
    </w:p>
    <w:p>
      <w:pPr>
        <w:pStyle w:val="45"/>
      </w:pPr>
    </w:p>
    <w:p>
      <w:pPr>
        <w:pStyle w:val="45"/>
      </w:pPr>
    </w:p>
    <w:p>
      <w:pPr>
        <w:pStyle w:val="45"/>
      </w:pPr>
    </w:p>
    <w:p>
      <w:pPr>
        <w:widowControl/>
        <w:jc w:val="left"/>
        <w:rPr>
          <w:rFonts w:eastAsia="黑体" w:asciiTheme="majorHAnsi" w:hAnsiTheme="majorHAnsi" w:cstheme="majorBidi"/>
          <w:bCs/>
          <w:sz w:val="28"/>
          <w:szCs w:val="32"/>
        </w:rPr>
      </w:pPr>
      <w:r>
        <w:br w:type="page"/>
      </w:r>
    </w:p>
    <w:p>
      <w:pPr>
        <w:pStyle w:val="20"/>
        <w:spacing w:before="312" w:after="468"/>
      </w:pPr>
      <w:bookmarkStart w:id="4" w:name="_Toc1613"/>
      <w:r>
        <w:rPr>
          <w:rFonts w:hint="eastAsia"/>
        </w:rPr>
        <w:t>《</w:t>
      </w:r>
      <w:r>
        <w:t>X01090001</w:t>
      </w:r>
      <w:r>
        <w:rPr>
          <w:rFonts w:hint="eastAsia"/>
        </w:rPr>
        <w:t>-创业基础》教学大纲</w:t>
      </w:r>
      <w:bookmarkEnd w:id="4"/>
    </w:p>
    <w:p>
      <w:pPr>
        <w:adjustRightInd w:val="0"/>
        <w:snapToGrid w:val="0"/>
        <w:spacing w:line="360" w:lineRule="auto"/>
        <w:rPr>
          <w:bCs/>
          <w:kern w:val="0"/>
        </w:rPr>
      </w:pPr>
      <w:r>
        <w:rPr>
          <w:rFonts w:hint="eastAsia" w:eastAsia="黑体"/>
          <w:szCs w:val="21"/>
        </w:rPr>
        <w:t>课程编号：</w:t>
      </w:r>
      <w:r>
        <w:rPr>
          <w:rFonts w:eastAsia="黑体"/>
          <w:szCs w:val="21"/>
        </w:rPr>
        <w:t>X01090001</w:t>
      </w:r>
    </w:p>
    <w:p>
      <w:pPr>
        <w:adjustRightInd w:val="0"/>
        <w:snapToGrid w:val="0"/>
        <w:spacing w:line="360" w:lineRule="auto"/>
        <w:rPr>
          <w:snapToGrid w:val="0"/>
          <w:kern w:val="0"/>
          <w:szCs w:val="21"/>
        </w:rPr>
      </w:pPr>
      <w:r>
        <w:rPr>
          <w:rFonts w:hint="eastAsia" w:eastAsia="黑体"/>
          <w:szCs w:val="21"/>
        </w:rPr>
        <w:t>课程名称：</w:t>
      </w:r>
      <w:r>
        <w:rPr>
          <w:rFonts w:hint="eastAsia" w:ascii="宋体" w:hAnsi="宋体" w:cs="宋体"/>
          <w:szCs w:val="21"/>
        </w:rPr>
        <w:t>创业基础</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经济与管理学院</w:t>
      </w:r>
    </w:p>
    <w:p>
      <w:pPr>
        <w:adjustRightInd w:val="0"/>
        <w:snapToGrid w:val="0"/>
        <w:spacing w:line="360" w:lineRule="auto"/>
        <w:rPr>
          <w:rFonts w:eastAsia="黑体"/>
          <w:szCs w:val="21"/>
        </w:rPr>
      </w:pPr>
      <w:r>
        <w:rPr>
          <w:rFonts w:hint="eastAsia" w:eastAsia="黑体"/>
          <w:szCs w:val="21"/>
        </w:rPr>
        <w:t>总 学 时：</w:t>
      </w:r>
      <w:r>
        <w:rPr>
          <w:rFonts w:eastAsia="黑体"/>
          <w:szCs w:val="21"/>
        </w:rPr>
        <w:t>32</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1</w:t>
      </w:r>
    </w:p>
    <w:p>
      <w:pPr>
        <w:adjustRightInd w:val="0"/>
        <w:snapToGrid w:val="0"/>
        <w:spacing w:line="360" w:lineRule="auto"/>
        <w:rPr>
          <w:rFonts w:eastAsia="黑体"/>
          <w:szCs w:val="21"/>
        </w:rPr>
      </w:pPr>
      <w:r>
        <w:rPr>
          <w:rFonts w:hint="eastAsia" w:eastAsia="黑体"/>
          <w:szCs w:val="21"/>
        </w:rPr>
        <w:t>适用专业：</w:t>
      </w:r>
      <w:r>
        <w:rPr>
          <w:rFonts w:hint="eastAsia"/>
          <w:szCs w:val="21"/>
        </w:rPr>
        <w:t>工程类各专业</w:t>
      </w:r>
    </w:p>
    <w:p>
      <w:pPr>
        <w:adjustRightInd w:val="0"/>
        <w:snapToGrid w:val="0"/>
        <w:spacing w:line="360" w:lineRule="auto"/>
        <w:rPr>
          <w:rFonts w:eastAsia="黑体"/>
          <w:szCs w:val="21"/>
        </w:rPr>
      </w:pPr>
      <w:r>
        <w:rPr>
          <w:rFonts w:hint="eastAsia" w:eastAsia="黑体"/>
          <w:szCs w:val="21"/>
        </w:rPr>
        <w:t>先修课程：</w:t>
      </w:r>
      <w:r>
        <w:rPr>
          <w:rFonts w:hint="eastAsia" w:ascii="宋体" w:hAnsi="宋体" w:cs="宋体"/>
          <w:szCs w:val="21"/>
        </w:rPr>
        <w:t>无</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eastAsiaTheme="minorEastAsia"/>
          <w:szCs w:val="21"/>
        </w:rPr>
        <w:t>2019</w:t>
      </w:r>
      <w:r>
        <w:rPr>
          <w:rFonts w:hint="eastAsia" w:ascii="宋体" w:hAnsi="宋体" w:cs="宋体"/>
          <w:szCs w:val="21"/>
        </w:rPr>
        <w:t>年</w:t>
      </w:r>
      <w:r>
        <w:rPr>
          <w:rFonts w:eastAsiaTheme="minorEastAsia"/>
          <w:szCs w:val="21"/>
        </w:rPr>
        <w:t>4</w:t>
      </w:r>
      <w:r>
        <w:rPr>
          <w:rFonts w:hint="eastAsia" w:ascii="宋体" w:hAnsi="宋体" w:cs="宋体"/>
          <w:szCs w:val="21"/>
        </w:rPr>
        <w:t>月</w:t>
      </w:r>
    </w:p>
    <w:p>
      <w:pPr>
        <w:adjustRightInd w:val="0"/>
        <w:snapToGrid w:val="0"/>
        <w:spacing w:line="360" w:lineRule="auto"/>
        <w:rPr>
          <w:rFonts w:eastAsia="黑体"/>
          <w:color w:val="000000"/>
        </w:rPr>
      </w:pPr>
    </w:p>
    <w:p>
      <w:pPr>
        <w:adjustRightInd w:val="0"/>
        <w:snapToGrid w:val="0"/>
        <w:spacing w:line="360" w:lineRule="auto"/>
        <w:rPr>
          <w:rFonts w:eastAsia="黑体"/>
          <w:color w:val="000000"/>
        </w:rPr>
      </w:pPr>
      <w:bookmarkStart w:id="5" w:name="_Toc47282682"/>
      <w:bookmarkStart w:id="6" w:name="_Toc47282950"/>
      <w:bookmarkStart w:id="7" w:name="_Toc47282490"/>
      <w:r>
        <w:rPr>
          <w:rFonts w:hint="eastAsia" w:eastAsia="黑体"/>
          <w:color w:val="000000"/>
        </w:rPr>
        <w:t>一、</w:t>
      </w:r>
      <w:r>
        <w:rPr>
          <w:rFonts w:eastAsia="黑体"/>
          <w:color w:val="000000"/>
        </w:rPr>
        <w:t>课程在教学计划中的地位、作用</w:t>
      </w:r>
      <w:bookmarkEnd w:id="5"/>
      <w:bookmarkEnd w:id="6"/>
      <w:bookmarkEnd w:id="7"/>
    </w:p>
    <w:p>
      <w:pPr>
        <w:adjustRightInd w:val="0"/>
        <w:snapToGrid w:val="0"/>
        <w:spacing w:line="360" w:lineRule="auto"/>
        <w:ind w:firstLine="420" w:firstLineChars="200"/>
        <w:rPr>
          <w:rFonts w:ascii="宋体" w:hAnsi="宋体"/>
          <w:color w:val="000000"/>
        </w:rPr>
      </w:pPr>
      <w:r>
        <w:rPr>
          <w:rFonts w:hint="eastAsia" w:ascii="宋体" w:hAnsi="宋体"/>
          <w:color w:val="000000"/>
        </w:rPr>
        <w:t>在普通高等学校开展创业教育，是服务国家加快转变经济发展方式、建设创新型国家和人力资源强国的战略举措，是深化高等教育教学改革、提高人才培养质量、促进大学生全面发展的重要途径，是落实以创业带动就业、促进高校毕业生充分就业的重要措施。根据国家有关要求开设的《创业基础》课程，是大学本科生的通识和基础教育课程。</w:t>
      </w:r>
    </w:p>
    <w:p>
      <w:pPr>
        <w:adjustRightInd w:val="0"/>
        <w:snapToGrid w:val="0"/>
        <w:spacing w:line="360" w:lineRule="auto"/>
        <w:ind w:firstLine="420" w:firstLineChars="200"/>
        <w:rPr>
          <w:rFonts w:ascii="宋体" w:hAnsi="宋体"/>
          <w:color w:val="000000"/>
        </w:rPr>
      </w:pPr>
      <w:r>
        <w:rPr>
          <w:rFonts w:hint="eastAsia" w:ascii="宋体" w:hAnsi="宋体"/>
          <w:color w:val="000000"/>
        </w:rPr>
        <w:t>创业基础主要研究和介绍创业一般概念和理论，创业与创新精神，创业技能与创业实践方法等内容。通过这门课程的学习，学生将着重了解和掌握创业过程与基本要素；了解并培育创业与创新精神，掌握商业机会分析与商业模式设计，掌握创业资源整合与获取，了解创业计划书的设计与撰写，了解新企业的开办与管理。</w:t>
      </w:r>
    </w:p>
    <w:p>
      <w:pPr>
        <w:adjustRightInd w:val="0"/>
        <w:snapToGrid w:val="0"/>
        <w:spacing w:line="360" w:lineRule="auto"/>
        <w:rPr>
          <w:rFonts w:eastAsia="黑体"/>
          <w:color w:val="000000"/>
        </w:rPr>
      </w:pPr>
    </w:p>
    <w:p>
      <w:pPr>
        <w:adjustRightInd w:val="0"/>
        <w:snapToGrid w:val="0"/>
        <w:spacing w:line="360" w:lineRule="auto"/>
        <w:rPr>
          <w:rFonts w:eastAsia="黑体"/>
          <w:color w:val="000000"/>
        </w:rPr>
      </w:pPr>
      <w:bookmarkStart w:id="8" w:name="_Toc47282683"/>
      <w:bookmarkStart w:id="9" w:name="_Toc47282951"/>
      <w:bookmarkStart w:id="10" w:name="_Toc47282491"/>
      <w:r>
        <w:rPr>
          <w:rFonts w:hint="eastAsia" w:eastAsia="黑体"/>
          <w:color w:val="000000"/>
        </w:rPr>
        <w:t>二、课程目标</w:t>
      </w:r>
      <w:bookmarkEnd w:id="8"/>
      <w:bookmarkEnd w:id="9"/>
      <w:bookmarkEnd w:id="10"/>
    </w:p>
    <w:p>
      <w:pPr>
        <w:adjustRightInd w:val="0"/>
        <w:snapToGrid w:val="0"/>
        <w:spacing w:line="360" w:lineRule="auto"/>
        <w:ind w:firstLine="420" w:firstLineChars="200"/>
        <w:rPr>
          <w:rFonts w:ascii="宋体" w:hAnsi="宋体"/>
          <w:color w:val="000000"/>
        </w:rPr>
      </w:pPr>
      <w:bookmarkStart w:id="11" w:name="_Toc47282952"/>
      <w:bookmarkStart w:id="12" w:name="_Toc47282492"/>
      <w:bookmarkStart w:id="13" w:name="_Toc47282684"/>
      <w:r>
        <w:rPr>
          <w:rFonts w:hint="eastAsia" w:ascii="宋体" w:hAnsi="宋体"/>
          <w:color w:val="000000"/>
        </w:rPr>
        <w:t>本大纲适用于工程类专业选择使用，专业在选用时要关注本课程目标是否与专业培养方案设定的能力矩阵一致。通过本课程的学习，应该在教授创业知识、锻炼创业能力和培养创业精神等方面达到以下目标：</w:t>
      </w:r>
      <w:bookmarkEnd w:id="11"/>
      <w:bookmarkEnd w:id="12"/>
      <w:bookmarkEnd w:id="13"/>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928"/>
        <w:gridCol w:w="38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3"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304"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72"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3" w:type="pct"/>
            <w:vAlign w:val="center"/>
          </w:tcPr>
          <w:p>
            <w:pPr>
              <w:adjustRightInd w:val="0"/>
              <w:snapToGrid w:val="0"/>
              <w:spacing w:line="360" w:lineRule="auto"/>
              <w:jc w:val="center"/>
              <w:rPr>
                <w:sz w:val="18"/>
                <w:szCs w:val="18"/>
              </w:rPr>
            </w:pPr>
            <w:r>
              <w:rPr>
                <w:rFonts w:hint="eastAsia"/>
                <w:sz w:val="18"/>
                <w:szCs w:val="18"/>
              </w:rPr>
              <w:t>1</w:t>
            </w:r>
          </w:p>
        </w:tc>
        <w:tc>
          <w:tcPr>
            <w:tcW w:w="2304" w:type="pct"/>
          </w:tcPr>
          <w:p>
            <w:pPr>
              <w:adjustRightInd w:val="0"/>
              <w:snapToGrid w:val="0"/>
              <w:spacing w:line="360" w:lineRule="auto"/>
              <w:rPr>
                <w:sz w:val="18"/>
                <w:szCs w:val="18"/>
              </w:rPr>
            </w:pPr>
            <w:r>
              <w:rPr>
                <w:rFonts w:hint="eastAsia"/>
                <w:bCs/>
                <w:sz w:val="18"/>
                <w:szCs w:val="18"/>
              </w:rPr>
              <w:t>掌握开展创业活动所需要的基本知识，培育形成开展创业活动所必需的基本能力；能够对创业项目进行商业模式的设计和分析。培育良好的创业与创新精神；</w:t>
            </w:r>
          </w:p>
        </w:tc>
        <w:tc>
          <w:tcPr>
            <w:tcW w:w="2272" w:type="pct"/>
          </w:tcPr>
          <w:p>
            <w:pPr>
              <w:adjustRightInd w:val="0"/>
              <w:snapToGrid w:val="0"/>
              <w:spacing w:line="360" w:lineRule="auto"/>
              <w:rPr>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3" w:type="pct"/>
            <w:vAlign w:val="center"/>
          </w:tcPr>
          <w:p>
            <w:pPr>
              <w:adjustRightInd w:val="0"/>
              <w:snapToGrid w:val="0"/>
              <w:spacing w:line="360" w:lineRule="auto"/>
              <w:jc w:val="center"/>
              <w:rPr>
                <w:sz w:val="18"/>
                <w:szCs w:val="18"/>
              </w:rPr>
            </w:pPr>
            <w:r>
              <w:rPr>
                <w:rFonts w:hint="eastAsia"/>
                <w:sz w:val="18"/>
                <w:szCs w:val="18"/>
              </w:rPr>
              <w:t>2</w:t>
            </w:r>
          </w:p>
        </w:tc>
        <w:tc>
          <w:tcPr>
            <w:tcW w:w="2304" w:type="pct"/>
          </w:tcPr>
          <w:p>
            <w:pPr>
              <w:adjustRightInd w:val="0"/>
              <w:snapToGrid w:val="0"/>
              <w:spacing w:line="360" w:lineRule="auto"/>
              <w:rPr>
                <w:bCs/>
                <w:sz w:val="18"/>
                <w:szCs w:val="18"/>
              </w:rPr>
            </w:pPr>
            <w:r>
              <w:rPr>
                <w:rFonts w:hint="eastAsia"/>
                <w:bCs/>
                <w:sz w:val="18"/>
                <w:szCs w:val="18"/>
              </w:rPr>
              <w:t>能够对创业项目进行创业计划书的撰写和展示；具备一定的沟通和表达能力，培养良好的团队协作精神。</w:t>
            </w:r>
          </w:p>
        </w:tc>
        <w:tc>
          <w:tcPr>
            <w:tcW w:w="2272" w:type="pct"/>
          </w:tcPr>
          <w:p>
            <w:pPr>
              <w:adjustRightInd w:val="0"/>
              <w:snapToGrid w:val="0"/>
              <w:spacing w:line="360" w:lineRule="auto"/>
              <w:rPr>
                <w:sz w:val="18"/>
                <w:szCs w:val="18"/>
              </w:rPr>
            </w:pPr>
            <w:r>
              <w:rPr>
                <w:b/>
                <w:bCs/>
                <w:sz w:val="18"/>
                <w:szCs w:val="18"/>
              </w:rPr>
              <w:t>毕业要求9个人和团队：</w:t>
            </w:r>
            <w:r>
              <w:rPr>
                <w:sz w:val="18"/>
                <w:szCs w:val="18"/>
              </w:rPr>
              <w:t>能够在多学科背景下的团队中承担个体、团队成员以及负责人的角色。</w:t>
            </w:r>
          </w:p>
        </w:tc>
      </w:tr>
    </w:tbl>
    <w:p>
      <w:pPr>
        <w:spacing w:line="360" w:lineRule="auto"/>
        <w:ind w:left="1281" w:hanging="1281" w:hangingChars="610"/>
        <w:outlineLvl w:val="0"/>
        <w:rPr>
          <w:szCs w:val="21"/>
        </w:rPr>
        <w:sectPr>
          <w:headerReference r:id="rId5" w:type="default"/>
          <w:footerReference r:id="rId6" w:type="default"/>
          <w:pgSz w:w="11906" w:h="16838"/>
          <w:pgMar w:top="1440" w:right="1800" w:bottom="1440" w:left="1800" w:header="851" w:footer="992" w:gutter="0"/>
          <w:cols w:space="720" w:num="1"/>
          <w:docGrid w:type="lines" w:linePitch="312" w:charSpace="0"/>
        </w:sectPr>
      </w:pPr>
    </w:p>
    <w:p>
      <w:pPr>
        <w:spacing w:line="360" w:lineRule="auto"/>
        <w:rPr>
          <w:rFonts w:eastAsia="黑体"/>
          <w:szCs w:val="21"/>
        </w:rPr>
      </w:pPr>
      <w:r>
        <w:rPr>
          <w:rFonts w:hint="eastAsia" w:eastAsia="黑体"/>
          <w:szCs w:val="21"/>
        </w:rPr>
        <w:t>三、课程内容、</w:t>
      </w:r>
      <w:r>
        <w:rPr>
          <w:rFonts w:eastAsia="黑体"/>
          <w:szCs w:val="21"/>
        </w:rPr>
        <w:t>学时分配及对支撑</w:t>
      </w:r>
      <w:r>
        <w:rPr>
          <w:rFonts w:hint="eastAsia" w:eastAsia="黑体"/>
          <w:szCs w:val="21"/>
        </w:rPr>
        <w:t>课程目标</w:t>
      </w:r>
    </w:p>
    <w:p>
      <w:pPr>
        <w:spacing w:line="360" w:lineRule="auto"/>
        <w:ind w:firstLine="420" w:firstLineChars="200"/>
        <w:rPr>
          <w:rFonts w:ascii="黑体" w:hAnsi="黑体" w:eastAsia="黑体" w:cs="黑体"/>
          <w:szCs w:val="21"/>
        </w:rPr>
      </w:pPr>
      <w:r>
        <w:rPr>
          <w:rFonts w:hint="eastAsia" w:eastAsia="黑体"/>
          <w:szCs w:val="21"/>
        </w:rPr>
        <w:t>第一章 创业导论（3学时）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 了解创业活动的含义、类型及创业活动的本质。熟悉创业活动的一般过程；</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 了解创业与创新的关系；</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 了解世界各国创业活动和创业教育概况；</w:t>
      </w:r>
    </w:p>
    <w:p>
      <w:pPr>
        <w:spacing w:line="360" w:lineRule="auto"/>
        <w:ind w:firstLine="420" w:firstLineChars="200"/>
        <w:rPr>
          <w:rFonts w:ascii="宋体" w:hAnsi="宋体" w:cs="宋体"/>
          <w:szCs w:val="21"/>
        </w:rPr>
      </w:pPr>
      <w:r>
        <w:rPr>
          <w:rFonts w:hint="eastAsia" w:ascii="宋体" w:hAnsi="宋体" w:cs="宋体"/>
          <w:color w:val="000000"/>
          <w:szCs w:val="21"/>
        </w:rPr>
        <w:t>4. 掌握创业活动的要素和基本过程（重点）。</w:t>
      </w:r>
    </w:p>
    <w:p>
      <w:pPr>
        <w:spacing w:line="360" w:lineRule="auto"/>
        <w:ind w:firstLine="420" w:firstLineChars="200"/>
        <w:rPr>
          <w:szCs w:val="21"/>
        </w:rPr>
      </w:pPr>
      <w:r>
        <w:rPr>
          <w:rFonts w:hint="eastAsia" w:ascii="宋体" w:hAnsi="宋体" w:cs="宋体"/>
          <w:szCs w:val="21"/>
        </w:rPr>
        <w:t>本章节内容支撑课程目标 1。</w:t>
      </w:r>
    </w:p>
    <w:p>
      <w:pPr>
        <w:spacing w:line="360" w:lineRule="auto"/>
        <w:ind w:firstLine="420" w:firstLineChars="200"/>
        <w:rPr>
          <w:rFonts w:eastAsia="黑体"/>
          <w:szCs w:val="21"/>
        </w:rPr>
      </w:pPr>
      <w:r>
        <w:rPr>
          <w:rFonts w:hint="eastAsia" w:eastAsia="黑体"/>
          <w:szCs w:val="21"/>
        </w:rPr>
        <w:t>第二章 创业者与创业团队（2学时）</w:t>
      </w:r>
    </w:p>
    <w:p>
      <w:pPr>
        <w:pStyle w:val="19"/>
        <w:spacing w:before="0" w:beforeAutospacing="0" w:after="0" w:afterAutospacing="0" w:line="360" w:lineRule="auto"/>
        <w:ind w:firstLine="420" w:firstLineChars="200"/>
        <w:jc w:val="both"/>
        <w:rPr>
          <w:color w:val="000000"/>
          <w:sz w:val="21"/>
          <w:szCs w:val="21"/>
        </w:rPr>
      </w:pPr>
      <w:r>
        <w:rPr>
          <w:rFonts w:hint="eastAsia"/>
          <w:color w:val="000000"/>
          <w:sz w:val="21"/>
          <w:szCs w:val="21"/>
        </w:rPr>
        <w:t>1. 了解创业者的概念掌握创业者素质与能力（重点）；</w:t>
      </w:r>
    </w:p>
    <w:p>
      <w:pPr>
        <w:pStyle w:val="19"/>
        <w:spacing w:before="0" w:beforeAutospacing="0" w:after="0" w:afterAutospacing="0" w:line="360" w:lineRule="auto"/>
        <w:ind w:firstLine="420" w:firstLineChars="200"/>
        <w:jc w:val="both"/>
        <w:rPr>
          <w:color w:val="000000"/>
          <w:sz w:val="21"/>
          <w:szCs w:val="21"/>
        </w:rPr>
      </w:pPr>
      <w:r>
        <w:rPr>
          <w:rFonts w:hint="eastAsia"/>
          <w:color w:val="000000"/>
          <w:sz w:val="21"/>
          <w:szCs w:val="21"/>
        </w:rPr>
        <w:t>2. 掌握创业动机的含义与分类；了解创业团队及其对创业的重要性；</w:t>
      </w:r>
    </w:p>
    <w:p>
      <w:pPr>
        <w:pStyle w:val="19"/>
        <w:spacing w:before="0" w:beforeAutospacing="0" w:after="0" w:afterAutospacing="0" w:line="360" w:lineRule="auto"/>
        <w:ind w:firstLine="420" w:firstLineChars="200"/>
        <w:jc w:val="both"/>
        <w:rPr>
          <w:color w:val="000000"/>
          <w:sz w:val="21"/>
          <w:szCs w:val="21"/>
        </w:rPr>
      </w:pPr>
      <w:r>
        <w:rPr>
          <w:rFonts w:hint="eastAsia"/>
          <w:color w:val="000000"/>
          <w:sz w:val="21"/>
          <w:szCs w:val="21"/>
        </w:rPr>
        <w:t>3. 掌握组建创业团队的策略及其后续影响；</w:t>
      </w:r>
    </w:p>
    <w:p>
      <w:pPr>
        <w:pStyle w:val="19"/>
        <w:spacing w:before="0" w:beforeAutospacing="0" w:after="0" w:afterAutospacing="0" w:line="360" w:lineRule="auto"/>
        <w:ind w:firstLine="420" w:firstLineChars="200"/>
        <w:jc w:val="both"/>
        <w:rPr>
          <w:color w:val="000000"/>
          <w:sz w:val="21"/>
          <w:szCs w:val="21"/>
        </w:rPr>
      </w:pPr>
      <w:r>
        <w:rPr>
          <w:rFonts w:hint="eastAsia"/>
          <w:color w:val="000000"/>
          <w:sz w:val="21"/>
          <w:szCs w:val="21"/>
        </w:rPr>
        <w:t>4. 掌握创业团队的管理技巧和策略（重点、难点）；</w:t>
      </w:r>
    </w:p>
    <w:p>
      <w:pPr>
        <w:pStyle w:val="19"/>
        <w:spacing w:before="0" w:beforeAutospacing="0" w:after="0" w:afterAutospacing="0" w:line="360" w:lineRule="auto"/>
        <w:ind w:firstLine="420" w:firstLineChars="200"/>
        <w:jc w:val="both"/>
        <w:rPr>
          <w:rFonts w:ascii="Times New Roman" w:hAnsi="Times New Roman"/>
          <w:color w:val="000000"/>
          <w:sz w:val="18"/>
          <w:szCs w:val="18"/>
        </w:rPr>
      </w:pPr>
      <w:r>
        <w:rPr>
          <w:rFonts w:hint="eastAsia"/>
          <w:color w:val="000000"/>
          <w:sz w:val="21"/>
          <w:szCs w:val="21"/>
        </w:rPr>
        <w:t>5. 分析创业与创新精神。</w:t>
      </w:r>
    </w:p>
    <w:p>
      <w:pPr>
        <w:pStyle w:val="19"/>
        <w:spacing w:before="0" w:beforeAutospacing="0" w:after="0" w:afterAutospacing="0" w:line="360" w:lineRule="auto"/>
        <w:ind w:firstLine="420" w:firstLineChars="200"/>
        <w:jc w:val="both"/>
        <w:rPr>
          <w:rFonts w:ascii="Times New Roman" w:hAnsi="Times New Roman"/>
          <w:color w:val="000000"/>
          <w:sz w:val="18"/>
          <w:szCs w:val="18"/>
        </w:rPr>
      </w:pPr>
      <w:r>
        <w:rPr>
          <w:rFonts w:hint="eastAsia"/>
          <w:sz w:val="21"/>
          <w:szCs w:val="21"/>
        </w:rPr>
        <w:t>本章节内容支撑课程目标 1、2。</w:t>
      </w:r>
    </w:p>
    <w:p>
      <w:pPr>
        <w:spacing w:line="360" w:lineRule="auto"/>
        <w:ind w:firstLine="420" w:firstLineChars="200"/>
        <w:rPr>
          <w:rFonts w:eastAsia="黑体"/>
          <w:szCs w:val="21"/>
        </w:rPr>
      </w:pPr>
      <w:r>
        <w:rPr>
          <w:rFonts w:hint="eastAsia" w:eastAsia="黑体"/>
          <w:szCs w:val="21"/>
        </w:rPr>
        <w:t>第三章 创业机会分析与识别（3学时）</w:t>
      </w:r>
    </w:p>
    <w:p>
      <w:pPr>
        <w:spacing w:line="360" w:lineRule="auto"/>
        <w:ind w:firstLine="420" w:firstLineChars="200"/>
        <w:rPr>
          <w:rFonts w:cs="宋体"/>
          <w:color w:val="000000"/>
          <w:szCs w:val="21"/>
        </w:rPr>
      </w:pPr>
      <w:r>
        <w:rPr>
          <w:rFonts w:hint="eastAsia" w:ascii="宋体" w:hAnsi="宋体" w:cs="宋体"/>
          <w:color w:val="000000"/>
          <w:szCs w:val="21"/>
        </w:rPr>
        <w:t xml:space="preserve">1. </w:t>
      </w:r>
      <w:r>
        <w:rPr>
          <w:rFonts w:hint="eastAsia" w:cs="宋体"/>
          <w:color w:val="000000"/>
          <w:szCs w:val="21"/>
        </w:rPr>
        <w:t>了解创业机会的含义及特征；</w:t>
      </w:r>
    </w:p>
    <w:p>
      <w:pPr>
        <w:spacing w:line="360" w:lineRule="auto"/>
        <w:ind w:firstLine="420" w:firstLineChars="200"/>
        <w:rPr>
          <w:rFonts w:cs="宋体"/>
          <w:color w:val="000000"/>
          <w:szCs w:val="21"/>
        </w:rPr>
      </w:pPr>
      <w:r>
        <w:rPr>
          <w:rFonts w:hint="eastAsia" w:cs="宋体"/>
          <w:color w:val="000000"/>
          <w:szCs w:val="21"/>
        </w:rPr>
        <w:t>2. 熟悉创业机会的主要表现形式；</w:t>
      </w:r>
    </w:p>
    <w:p>
      <w:pPr>
        <w:spacing w:line="360" w:lineRule="auto"/>
        <w:ind w:firstLine="420" w:firstLineChars="200"/>
        <w:rPr>
          <w:rFonts w:cs="宋体"/>
          <w:color w:val="000000"/>
          <w:szCs w:val="21"/>
        </w:rPr>
      </w:pPr>
      <w:r>
        <w:rPr>
          <w:rFonts w:hint="eastAsia" w:cs="宋体"/>
          <w:color w:val="000000"/>
          <w:szCs w:val="21"/>
        </w:rPr>
        <w:t>3. 掌握创业机会的主要的来源（重点）；</w:t>
      </w:r>
    </w:p>
    <w:p>
      <w:pPr>
        <w:spacing w:line="360" w:lineRule="auto"/>
        <w:ind w:firstLine="420" w:firstLineChars="200"/>
        <w:rPr>
          <w:rFonts w:cs="宋体"/>
          <w:color w:val="000000"/>
          <w:szCs w:val="21"/>
        </w:rPr>
      </w:pPr>
      <w:r>
        <w:rPr>
          <w:rFonts w:hint="eastAsia" w:cs="宋体"/>
          <w:color w:val="000000"/>
          <w:szCs w:val="21"/>
        </w:rPr>
        <w:t>4. 熟悉市场信息搜集和市场调查方法；</w:t>
      </w:r>
    </w:p>
    <w:p>
      <w:pPr>
        <w:spacing w:line="360" w:lineRule="auto"/>
        <w:ind w:firstLine="420" w:firstLineChars="200"/>
        <w:rPr>
          <w:rFonts w:cs="宋体"/>
          <w:color w:val="000000"/>
          <w:szCs w:val="21"/>
        </w:rPr>
      </w:pPr>
      <w:r>
        <w:rPr>
          <w:rFonts w:hint="eastAsia" w:cs="宋体"/>
          <w:color w:val="000000"/>
          <w:szCs w:val="21"/>
        </w:rPr>
        <w:t>5. 了解创业机会识别的主要影响因素；</w:t>
      </w:r>
    </w:p>
    <w:p>
      <w:pPr>
        <w:spacing w:line="360" w:lineRule="auto"/>
        <w:ind w:firstLine="420" w:firstLineChars="200"/>
        <w:rPr>
          <w:rFonts w:cs="宋体"/>
          <w:color w:val="000000"/>
          <w:szCs w:val="21"/>
        </w:rPr>
      </w:pPr>
      <w:r>
        <w:rPr>
          <w:rFonts w:hint="eastAsia" w:cs="宋体"/>
          <w:color w:val="000000"/>
          <w:szCs w:val="21"/>
        </w:rPr>
        <w:t>6. 熟悉创业机会识别的主要过程和主要方法。</w:t>
      </w:r>
    </w:p>
    <w:p>
      <w:pPr>
        <w:spacing w:line="360" w:lineRule="auto"/>
        <w:ind w:firstLine="420" w:firstLineChars="200"/>
        <w:rPr>
          <w:rFonts w:ascii="宋体" w:hAnsi="宋体" w:cs="宋体"/>
          <w:szCs w:val="21"/>
        </w:rPr>
      </w:pPr>
      <w:r>
        <w:rPr>
          <w:rFonts w:hint="eastAsia" w:cs="宋体"/>
          <w:color w:val="000000"/>
          <w:szCs w:val="21"/>
        </w:rPr>
        <w:t>7. 掌握创业机会评价的原则和基本方法（难点）。</w:t>
      </w:r>
    </w:p>
    <w:p>
      <w:pPr>
        <w:spacing w:line="360" w:lineRule="auto"/>
        <w:ind w:firstLine="420" w:firstLineChars="200"/>
        <w:rPr>
          <w:rFonts w:ascii="宋体" w:hAnsi="宋体" w:cs="宋体"/>
          <w:szCs w:val="21"/>
        </w:rPr>
      </w:pPr>
      <w:r>
        <w:rPr>
          <w:rFonts w:hint="eastAsia" w:ascii="宋体" w:hAnsi="宋体" w:cs="宋体"/>
          <w:szCs w:val="21"/>
        </w:rPr>
        <w:t>本章节内容支撑课程目标 1。</w:t>
      </w:r>
    </w:p>
    <w:p>
      <w:pPr>
        <w:spacing w:line="360" w:lineRule="auto"/>
        <w:ind w:firstLine="420" w:firstLineChars="200"/>
        <w:rPr>
          <w:rFonts w:eastAsia="黑体"/>
          <w:szCs w:val="21"/>
        </w:rPr>
      </w:pPr>
      <w:r>
        <w:rPr>
          <w:rFonts w:hint="eastAsia" w:eastAsia="黑体"/>
          <w:szCs w:val="21"/>
        </w:rPr>
        <w:t>第四章 商业模式设计与创新（12学时）</w:t>
      </w:r>
    </w:p>
    <w:p>
      <w:pPr>
        <w:spacing w:line="360" w:lineRule="auto"/>
        <w:ind w:firstLine="420" w:firstLineChars="200"/>
        <w:rPr>
          <w:rFonts w:cs="宋体"/>
          <w:color w:val="000000"/>
          <w:szCs w:val="21"/>
        </w:rPr>
      </w:pPr>
      <w:r>
        <w:rPr>
          <w:rFonts w:hint="eastAsia" w:ascii="宋体" w:hAnsi="宋体" w:cs="宋体"/>
          <w:color w:val="000000"/>
          <w:szCs w:val="21"/>
        </w:rPr>
        <w:t xml:space="preserve">1. </w:t>
      </w:r>
      <w:r>
        <w:rPr>
          <w:rFonts w:hint="eastAsia" w:cs="宋体"/>
          <w:color w:val="000000"/>
          <w:szCs w:val="21"/>
        </w:rPr>
        <w:t>熟悉商业模式的内涵以及构成要素（重点）；</w:t>
      </w:r>
    </w:p>
    <w:p>
      <w:pPr>
        <w:spacing w:line="360" w:lineRule="auto"/>
        <w:ind w:firstLine="420" w:firstLineChars="200"/>
        <w:rPr>
          <w:rFonts w:cs="宋体"/>
          <w:color w:val="000000"/>
          <w:szCs w:val="21"/>
        </w:rPr>
      </w:pPr>
      <w:r>
        <w:rPr>
          <w:rFonts w:hint="eastAsia" w:cs="宋体"/>
          <w:color w:val="000000"/>
          <w:szCs w:val="21"/>
        </w:rPr>
        <w:t>2. 掌握商业模式的类型及特征；</w:t>
      </w:r>
    </w:p>
    <w:p>
      <w:pPr>
        <w:spacing w:line="360" w:lineRule="auto"/>
        <w:ind w:firstLine="420" w:firstLineChars="200"/>
        <w:rPr>
          <w:rFonts w:cs="宋体"/>
          <w:color w:val="000000"/>
          <w:szCs w:val="21"/>
        </w:rPr>
      </w:pPr>
      <w:r>
        <w:rPr>
          <w:rFonts w:hint="eastAsia" w:cs="宋体"/>
          <w:color w:val="000000"/>
          <w:szCs w:val="21"/>
        </w:rPr>
        <w:t>3. 明确商业模式的设计思路与方法（难点）；</w:t>
      </w:r>
    </w:p>
    <w:p>
      <w:pPr>
        <w:spacing w:line="360" w:lineRule="auto"/>
        <w:ind w:firstLine="420" w:firstLineChars="200"/>
        <w:rPr>
          <w:rFonts w:cs="宋体"/>
          <w:color w:val="000000"/>
          <w:szCs w:val="21"/>
        </w:rPr>
      </w:pPr>
      <w:r>
        <w:rPr>
          <w:rFonts w:hint="eastAsia" w:cs="宋体"/>
          <w:color w:val="000000"/>
          <w:szCs w:val="21"/>
        </w:rPr>
        <w:t>4. 了解商业模式优化与创新；</w:t>
      </w:r>
    </w:p>
    <w:p>
      <w:pPr>
        <w:spacing w:line="360" w:lineRule="auto"/>
        <w:ind w:firstLine="420" w:firstLineChars="200"/>
        <w:rPr>
          <w:rFonts w:cs="宋体"/>
          <w:color w:val="000000"/>
          <w:szCs w:val="21"/>
        </w:rPr>
      </w:pPr>
      <w:r>
        <w:rPr>
          <w:rFonts w:hint="eastAsia" w:cs="宋体"/>
          <w:color w:val="000000"/>
          <w:szCs w:val="21"/>
        </w:rPr>
        <w:t>5. 能够为商业项目设计商业模式。</w:t>
      </w:r>
    </w:p>
    <w:p>
      <w:pPr>
        <w:spacing w:line="360" w:lineRule="auto"/>
        <w:ind w:firstLine="420" w:firstLineChars="200"/>
        <w:rPr>
          <w:rFonts w:ascii="宋体" w:hAnsi="宋体" w:cs="宋体"/>
          <w:szCs w:val="21"/>
        </w:rPr>
      </w:pPr>
      <w:r>
        <w:rPr>
          <w:rFonts w:hint="eastAsia" w:cs="宋体"/>
          <w:color w:val="000000"/>
          <w:szCs w:val="21"/>
        </w:rPr>
        <w:t>注：本讲内容使用自建慕课《商业模式设计与创新》进行学习，教师进行指导、作业批改和答疑。学生还要在网上进行商业模式的设计与分析实验和测试。</w:t>
      </w:r>
    </w:p>
    <w:p>
      <w:pPr>
        <w:spacing w:line="360" w:lineRule="auto"/>
        <w:ind w:firstLine="420" w:firstLineChars="200"/>
        <w:rPr>
          <w:rFonts w:ascii="宋体" w:hAnsi="宋体" w:cs="宋体"/>
          <w:szCs w:val="21"/>
        </w:rPr>
      </w:pPr>
      <w:r>
        <w:rPr>
          <w:rFonts w:hint="eastAsia" w:ascii="宋体" w:hAnsi="宋体" w:cs="宋体"/>
          <w:szCs w:val="21"/>
        </w:rPr>
        <w:t>本章节内容支撑课程目标 1、2。</w:t>
      </w:r>
    </w:p>
    <w:p>
      <w:pPr>
        <w:spacing w:line="360" w:lineRule="auto"/>
        <w:ind w:firstLine="420" w:firstLineChars="200"/>
        <w:rPr>
          <w:rFonts w:ascii="黑体" w:hAnsi="黑体" w:eastAsia="黑体" w:cs="黑体"/>
          <w:szCs w:val="21"/>
        </w:rPr>
      </w:pPr>
      <w:r>
        <w:rPr>
          <w:rFonts w:hint="eastAsia" w:eastAsia="黑体"/>
          <w:szCs w:val="21"/>
        </w:rPr>
        <w:t>第五章 创业资源获取与整合（2学时）</w:t>
      </w:r>
    </w:p>
    <w:p>
      <w:pPr>
        <w:spacing w:line="360" w:lineRule="auto"/>
        <w:ind w:firstLine="420" w:firstLineChars="200"/>
        <w:rPr>
          <w:rFonts w:cs="宋体"/>
          <w:color w:val="000000"/>
          <w:szCs w:val="21"/>
        </w:rPr>
      </w:pPr>
      <w:r>
        <w:rPr>
          <w:rFonts w:hint="eastAsia" w:cs="宋体"/>
          <w:color w:val="000000"/>
          <w:szCs w:val="21"/>
        </w:rPr>
        <w:t>1. 熟悉创业资源的内涵及类型；</w:t>
      </w:r>
    </w:p>
    <w:p>
      <w:pPr>
        <w:spacing w:line="360" w:lineRule="auto"/>
        <w:ind w:firstLine="420" w:firstLineChars="200"/>
        <w:rPr>
          <w:rFonts w:cs="宋体"/>
          <w:color w:val="000000"/>
          <w:szCs w:val="21"/>
        </w:rPr>
      </w:pPr>
      <w:r>
        <w:rPr>
          <w:rFonts w:hint="eastAsia" w:cs="宋体"/>
          <w:color w:val="000000"/>
          <w:szCs w:val="21"/>
        </w:rPr>
        <w:t>2. 理解创业资源与创业过程的关系；</w:t>
      </w:r>
    </w:p>
    <w:p>
      <w:pPr>
        <w:spacing w:line="360" w:lineRule="auto"/>
        <w:ind w:firstLine="420" w:firstLineChars="200"/>
        <w:rPr>
          <w:rFonts w:cs="宋体"/>
          <w:color w:val="000000"/>
          <w:szCs w:val="21"/>
        </w:rPr>
      </w:pPr>
      <w:r>
        <w:rPr>
          <w:rFonts w:hint="eastAsia" w:cs="宋体"/>
          <w:color w:val="000000"/>
          <w:szCs w:val="21"/>
        </w:rPr>
        <w:t>3. 理解创业资源的重要性掌握创业资源的获取方法（重点）；</w:t>
      </w:r>
    </w:p>
    <w:p>
      <w:pPr>
        <w:spacing w:line="360" w:lineRule="auto"/>
        <w:ind w:firstLine="420" w:firstLineChars="200"/>
        <w:rPr>
          <w:rFonts w:ascii="宋体" w:hAnsi="宋体" w:cs="宋体"/>
          <w:szCs w:val="21"/>
        </w:rPr>
      </w:pPr>
      <w:r>
        <w:rPr>
          <w:rFonts w:hint="eastAsia" w:cs="宋体"/>
          <w:color w:val="000000"/>
          <w:szCs w:val="21"/>
        </w:rPr>
        <w:t>4. 了解创业资源整合的含义，掌握创业资源整合的方式。</w:t>
      </w:r>
    </w:p>
    <w:p>
      <w:pPr>
        <w:spacing w:line="360" w:lineRule="auto"/>
        <w:ind w:firstLine="420" w:firstLineChars="200"/>
        <w:rPr>
          <w:rFonts w:ascii="宋体" w:hAnsi="宋体" w:cs="宋体"/>
          <w:szCs w:val="21"/>
        </w:rPr>
      </w:pPr>
      <w:r>
        <w:rPr>
          <w:rFonts w:hint="eastAsia" w:ascii="宋体" w:hAnsi="宋体" w:cs="宋体"/>
          <w:szCs w:val="21"/>
        </w:rPr>
        <w:t>本章节内容支撑课程目标 1、2。</w:t>
      </w:r>
    </w:p>
    <w:p>
      <w:pPr>
        <w:spacing w:line="360" w:lineRule="auto"/>
        <w:ind w:firstLine="420" w:firstLineChars="200"/>
        <w:rPr>
          <w:rFonts w:ascii="黑体" w:hAnsi="黑体" w:eastAsia="黑体" w:cs="黑体"/>
          <w:szCs w:val="21"/>
        </w:rPr>
      </w:pPr>
      <w:r>
        <w:rPr>
          <w:rFonts w:hint="eastAsia" w:eastAsia="黑体"/>
          <w:szCs w:val="21"/>
        </w:rPr>
        <w:t>第六章 创业融资（2学时）</w:t>
      </w:r>
    </w:p>
    <w:p>
      <w:pPr>
        <w:spacing w:line="360" w:lineRule="auto"/>
        <w:ind w:firstLine="420" w:firstLineChars="200"/>
        <w:rPr>
          <w:rFonts w:cs="宋体"/>
          <w:color w:val="000000"/>
          <w:szCs w:val="21"/>
        </w:rPr>
      </w:pPr>
      <w:r>
        <w:rPr>
          <w:rFonts w:hint="eastAsia" w:ascii="宋体" w:hAnsi="宋体" w:cs="宋体"/>
          <w:color w:val="000000"/>
          <w:szCs w:val="21"/>
        </w:rPr>
        <w:t xml:space="preserve">1. </w:t>
      </w:r>
      <w:r>
        <w:rPr>
          <w:rFonts w:hint="eastAsia" w:cs="宋体"/>
          <w:color w:val="000000"/>
          <w:szCs w:val="21"/>
        </w:rPr>
        <w:t>了解创业融资困境的原因，熟悉创业企业不同阶段的融资需求；</w:t>
      </w:r>
    </w:p>
    <w:p>
      <w:pPr>
        <w:spacing w:line="360" w:lineRule="auto"/>
        <w:ind w:firstLine="420" w:firstLineChars="200"/>
        <w:rPr>
          <w:rFonts w:cs="宋体"/>
          <w:color w:val="000000"/>
          <w:szCs w:val="21"/>
        </w:rPr>
      </w:pPr>
      <w:r>
        <w:rPr>
          <w:rFonts w:hint="eastAsia" w:cs="宋体"/>
          <w:color w:val="000000"/>
          <w:szCs w:val="21"/>
        </w:rPr>
        <w:t>2. 掌握创业融资的渠道（重点）；</w:t>
      </w:r>
    </w:p>
    <w:p>
      <w:pPr>
        <w:spacing w:line="360" w:lineRule="auto"/>
        <w:ind w:firstLine="420" w:firstLineChars="200"/>
        <w:rPr>
          <w:rFonts w:ascii="宋体" w:hAnsi="宋体" w:cs="宋体"/>
          <w:szCs w:val="21"/>
        </w:rPr>
      </w:pPr>
      <w:r>
        <w:rPr>
          <w:rFonts w:hint="eastAsia" w:cs="宋体"/>
          <w:color w:val="000000"/>
          <w:szCs w:val="21"/>
        </w:rPr>
        <w:t>3. 熟悉创业融资的流程。</w:t>
      </w:r>
    </w:p>
    <w:p>
      <w:pPr>
        <w:spacing w:line="360" w:lineRule="auto"/>
        <w:ind w:firstLine="420" w:firstLineChars="200"/>
        <w:rPr>
          <w:rFonts w:ascii="宋体" w:hAnsi="宋体" w:cs="宋体"/>
          <w:szCs w:val="21"/>
        </w:rPr>
      </w:pPr>
      <w:r>
        <w:rPr>
          <w:rFonts w:hint="eastAsia" w:ascii="宋体" w:hAnsi="宋体" w:cs="宋体"/>
          <w:szCs w:val="21"/>
        </w:rPr>
        <w:t>本章节内容支撑课程目标 1、2。</w:t>
      </w:r>
    </w:p>
    <w:p>
      <w:pPr>
        <w:spacing w:line="360" w:lineRule="auto"/>
        <w:ind w:firstLine="420" w:firstLineChars="200"/>
        <w:rPr>
          <w:rFonts w:ascii="黑体" w:hAnsi="黑体" w:eastAsia="黑体" w:cs="黑体"/>
          <w:szCs w:val="21"/>
        </w:rPr>
      </w:pPr>
      <w:r>
        <w:rPr>
          <w:rFonts w:hint="eastAsia" w:eastAsia="黑体"/>
          <w:szCs w:val="21"/>
        </w:rPr>
        <w:t>第七章 创业计划书撰写（6学时）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 了解创业计划及作用；</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 掌握创业计划的内容和基本结构；</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 重点掌握创业计划书的撰写与展示（重点、难点）；</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注：老师要指导学生进行商业计划书的书写和分析、展示（实践内容）；</w:t>
      </w:r>
    </w:p>
    <w:p>
      <w:pPr>
        <w:spacing w:line="360" w:lineRule="auto"/>
        <w:ind w:firstLine="420" w:firstLineChars="200"/>
        <w:rPr>
          <w:rFonts w:cs="宋体"/>
          <w:color w:val="000000"/>
          <w:szCs w:val="21"/>
        </w:rPr>
      </w:pPr>
      <w:r>
        <w:rPr>
          <w:rFonts w:hint="eastAsia" w:ascii="宋体" w:hAnsi="宋体" w:cs="宋体"/>
          <w:szCs w:val="21"/>
        </w:rPr>
        <w:t>本章节内容支撑课程目标 1、2。</w:t>
      </w:r>
    </w:p>
    <w:p>
      <w:pPr>
        <w:spacing w:line="360" w:lineRule="auto"/>
        <w:ind w:firstLine="420" w:firstLineChars="200"/>
        <w:rPr>
          <w:rFonts w:ascii="黑体" w:hAnsi="黑体" w:eastAsia="黑体" w:cs="黑体"/>
          <w:szCs w:val="21"/>
        </w:rPr>
      </w:pPr>
      <w:r>
        <w:rPr>
          <w:rFonts w:hint="eastAsia" w:eastAsia="黑体"/>
          <w:szCs w:val="21"/>
        </w:rPr>
        <w:t>第八章 新企业的开办与管理（2学时）</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1. 了解新企业的注册流程；</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2. 掌握新企业的市场进入模式以及各自特点（难点）；</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3. 了解创建新企业的法律组织形式和相关法律问题；</w:t>
      </w:r>
    </w:p>
    <w:p>
      <w:pPr>
        <w:spacing w:line="360" w:lineRule="auto"/>
        <w:ind w:firstLine="420" w:firstLineChars="200"/>
        <w:rPr>
          <w:rFonts w:ascii="宋体" w:hAnsi="宋体" w:cs="宋体"/>
          <w:szCs w:val="21"/>
        </w:rPr>
      </w:pPr>
      <w:r>
        <w:rPr>
          <w:rFonts w:hint="eastAsia" w:ascii="宋体" w:hAnsi="宋体" w:cs="宋体"/>
          <w:color w:val="000000"/>
          <w:szCs w:val="21"/>
        </w:rPr>
        <w:t>4. 掌握新企业开展营销活动的决策。</w:t>
      </w:r>
    </w:p>
    <w:p>
      <w:pPr>
        <w:spacing w:line="360" w:lineRule="auto"/>
        <w:ind w:firstLine="420" w:firstLineChars="200"/>
        <w:rPr>
          <w:rFonts w:cs="宋体"/>
          <w:kern w:val="0"/>
          <w:szCs w:val="21"/>
          <w:highlight w:val="yellow"/>
        </w:rPr>
      </w:pPr>
      <w:r>
        <w:rPr>
          <w:rFonts w:hint="eastAsia" w:ascii="宋体" w:hAnsi="宋体" w:cs="宋体"/>
          <w:szCs w:val="21"/>
        </w:rPr>
        <w:t>本章节内容支撑课程目标 1。</w:t>
      </w:r>
    </w:p>
    <w:p>
      <w:pPr>
        <w:spacing w:line="360" w:lineRule="auto"/>
        <w:ind w:firstLine="424"/>
        <w:rPr>
          <w:rFonts w:cs="宋体"/>
          <w:kern w:val="0"/>
          <w:szCs w:val="21"/>
          <w:highlight w:val="yellow"/>
        </w:rPr>
      </w:pPr>
    </w:p>
    <w:p>
      <w:pPr>
        <w:tabs>
          <w:tab w:val="left" w:pos="420"/>
        </w:tabs>
        <w:adjustRightInd w:val="0"/>
        <w:snapToGrid w:val="0"/>
        <w:spacing w:line="360" w:lineRule="auto"/>
        <w:ind w:left="420" w:hanging="420"/>
        <w:rPr>
          <w:szCs w:val="21"/>
        </w:rPr>
      </w:pPr>
      <w:bookmarkStart w:id="14" w:name="_Toc11428"/>
      <w:r>
        <w:rPr>
          <w:rFonts w:hint="eastAsia" w:eastAsia="黑体"/>
          <w:szCs w:val="24"/>
        </w:rPr>
        <w:t>四</w:t>
      </w:r>
      <w:r>
        <w:rPr>
          <w:rFonts w:eastAsia="黑体"/>
          <w:szCs w:val="24"/>
        </w:rPr>
        <w:t>、</w:t>
      </w:r>
      <w:bookmarkEnd w:id="14"/>
      <w:r>
        <w:rPr>
          <w:rFonts w:hint="eastAsia" w:eastAsia="黑体"/>
          <w:szCs w:val="24"/>
        </w:rPr>
        <w:t>实验教学内容</w:t>
      </w:r>
    </w:p>
    <w:p>
      <w:pPr>
        <w:widowControl/>
        <w:spacing w:line="360" w:lineRule="auto"/>
        <w:ind w:firstLine="420" w:firstLineChars="200"/>
        <w:jc w:val="left"/>
        <w:rPr>
          <w:rFonts w:ascii="宋体" w:hAnsi="宋体" w:cs="宋体"/>
        </w:rPr>
      </w:pPr>
      <w:r>
        <w:rPr>
          <w:rFonts w:hint="eastAsia" w:ascii="宋体" w:hAnsi="宋体" w:cs="宋体"/>
          <w:color w:val="000000"/>
          <w:szCs w:val="21"/>
        </w:rPr>
        <w:t>课程相应的实验学时为8学时。</w:t>
      </w:r>
    </w:p>
    <w:p>
      <w:pPr>
        <w:spacing w:line="360" w:lineRule="auto"/>
        <w:rPr>
          <w:rFonts w:cs="宋体"/>
          <w:kern w:val="0"/>
          <w:szCs w:val="21"/>
          <w:highlight w:val="yellow"/>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2"/>
        <w:gridCol w:w="2007"/>
        <w:gridCol w:w="1913"/>
        <w:gridCol w:w="16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005" w:type="pct"/>
            <w:tcBorders>
              <w:tl2br w:val="nil"/>
              <w:tr2bl w:val="nil"/>
            </w:tcBorders>
            <w:vAlign w:val="center"/>
          </w:tcPr>
          <w:p>
            <w:pPr>
              <w:adjustRightInd w:val="0"/>
              <w:snapToGrid w:val="0"/>
              <w:jc w:val="center"/>
              <w:rPr>
                <w:sz w:val="18"/>
                <w:szCs w:val="18"/>
              </w:rPr>
            </w:pPr>
            <w:r>
              <w:rPr>
                <w:sz w:val="18"/>
                <w:szCs w:val="18"/>
              </w:rPr>
              <w:t>章节名称</w:t>
            </w:r>
          </w:p>
        </w:tc>
        <w:tc>
          <w:tcPr>
            <w:tcW w:w="1081" w:type="pct"/>
            <w:tcBorders>
              <w:tl2br w:val="nil"/>
              <w:tr2bl w:val="nil"/>
            </w:tcBorders>
            <w:vAlign w:val="center"/>
          </w:tcPr>
          <w:p>
            <w:pPr>
              <w:adjustRightInd w:val="0"/>
              <w:snapToGrid w:val="0"/>
              <w:jc w:val="center"/>
              <w:rPr>
                <w:sz w:val="18"/>
                <w:szCs w:val="18"/>
              </w:rPr>
            </w:pPr>
            <w:r>
              <w:rPr>
                <w:sz w:val="18"/>
                <w:szCs w:val="18"/>
              </w:rPr>
              <w:t>讲授（学时）</w:t>
            </w:r>
          </w:p>
        </w:tc>
        <w:tc>
          <w:tcPr>
            <w:tcW w:w="1030" w:type="pct"/>
            <w:tcBorders>
              <w:tl2br w:val="nil"/>
              <w:tr2bl w:val="nil"/>
            </w:tcBorders>
            <w:vAlign w:val="center"/>
          </w:tcPr>
          <w:p>
            <w:pPr>
              <w:adjustRightInd w:val="0"/>
              <w:snapToGrid w:val="0"/>
              <w:jc w:val="center"/>
              <w:rPr>
                <w:sz w:val="18"/>
                <w:szCs w:val="18"/>
              </w:rPr>
            </w:pPr>
            <w:r>
              <w:rPr>
                <w:sz w:val="18"/>
                <w:szCs w:val="18"/>
              </w:rPr>
              <w:t>实验（学时）</w:t>
            </w:r>
          </w:p>
        </w:tc>
        <w:tc>
          <w:tcPr>
            <w:tcW w:w="883" w:type="pct"/>
            <w:tcBorders>
              <w:tl2br w:val="nil"/>
              <w:tr2bl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第一章  </w:t>
            </w:r>
            <w:r>
              <w:rPr>
                <w:rFonts w:hint="eastAsia"/>
                <w:bCs/>
                <w:sz w:val="18"/>
                <w:szCs w:val="18"/>
              </w:rPr>
              <w:t>创业导论</w:t>
            </w:r>
          </w:p>
        </w:tc>
        <w:tc>
          <w:tcPr>
            <w:tcW w:w="1081" w:type="pct"/>
            <w:tcBorders>
              <w:tl2br w:val="nil"/>
              <w:tr2bl w:val="nil"/>
            </w:tcBorders>
            <w:vAlign w:val="center"/>
          </w:tcPr>
          <w:p>
            <w:pPr>
              <w:jc w:val="center"/>
              <w:rPr>
                <w:bCs/>
                <w:sz w:val="18"/>
                <w:szCs w:val="18"/>
              </w:rPr>
            </w:pPr>
            <w:r>
              <w:rPr>
                <w:rFonts w:eastAsia="黑体"/>
                <w:color w:val="000000"/>
                <w:sz w:val="18"/>
                <w:szCs w:val="18"/>
              </w:rPr>
              <w:t>3</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第二章  </w:t>
            </w:r>
            <w:r>
              <w:rPr>
                <w:rFonts w:hint="eastAsia"/>
                <w:bCs/>
                <w:sz w:val="18"/>
                <w:szCs w:val="18"/>
              </w:rPr>
              <w:t>创业者与创业团队</w:t>
            </w:r>
          </w:p>
        </w:tc>
        <w:tc>
          <w:tcPr>
            <w:tcW w:w="1081" w:type="pct"/>
            <w:tcBorders>
              <w:tl2br w:val="nil"/>
              <w:tr2bl w:val="nil"/>
            </w:tcBorders>
            <w:vAlign w:val="center"/>
          </w:tcPr>
          <w:p>
            <w:pPr>
              <w:jc w:val="center"/>
              <w:rPr>
                <w:bCs/>
                <w:sz w:val="18"/>
                <w:szCs w:val="18"/>
              </w:rPr>
            </w:pPr>
            <w:r>
              <w:rPr>
                <w:rFonts w:eastAsia="黑体"/>
                <w:color w:val="000000"/>
                <w:sz w:val="18"/>
                <w:szCs w:val="18"/>
              </w:rPr>
              <w:t>2</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第三章  </w:t>
            </w:r>
            <w:r>
              <w:rPr>
                <w:rFonts w:hint="eastAsia"/>
                <w:bCs/>
                <w:sz w:val="18"/>
                <w:szCs w:val="18"/>
              </w:rPr>
              <w:t>创业机会分析与识别</w:t>
            </w:r>
          </w:p>
        </w:tc>
        <w:tc>
          <w:tcPr>
            <w:tcW w:w="1081" w:type="pct"/>
            <w:tcBorders>
              <w:tl2br w:val="nil"/>
              <w:tr2bl w:val="nil"/>
            </w:tcBorders>
            <w:vAlign w:val="center"/>
          </w:tcPr>
          <w:p>
            <w:pPr>
              <w:jc w:val="center"/>
              <w:rPr>
                <w:bCs/>
                <w:sz w:val="18"/>
                <w:szCs w:val="18"/>
              </w:rPr>
            </w:pPr>
            <w:r>
              <w:rPr>
                <w:rFonts w:eastAsia="黑体"/>
                <w:color w:val="000000"/>
                <w:sz w:val="18"/>
                <w:szCs w:val="18"/>
              </w:rPr>
              <w:t>3</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第四章  </w:t>
            </w:r>
            <w:r>
              <w:rPr>
                <w:rFonts w:hint="eastAsia"/>
                <w:bCs/>
                <w:sz w:val="18"/>
                <w:szCs w:val="18"/>
              </w:rPr>
              <w:t>商业模式设计与创新</w:t>
            </w:r>
          </w:p>
        </w:tc>
        <w:tc>
          <w:tcPr>
            <w:tcW w:w="1081" w:type="pct"/>
            <w:tcBorders>
              <w:tl2br w:val="nil"/>
              <w:tr2bl w:val="nil"/>
            </w:tcBorders>
            <w:vAlign w:val="center"/>
          </w:tcPr>
          <w:p>
            <w:pPr>
              <w:jc w:val="center"/>
              <w:rPr>
                <w:bCs/>
                <w:sz w:val="18"/>
                <w:szCs w:val="18"/>
              </w:rPr>
            </w:pPr>
            <w:r>
              <w:rPr>
                <w:rFonts w:eastAsia="黑体"/>
                <w:color w:val="000000"/>
                <w:sz w:val="18"/>
                <w:szCs w:val="18"/>
              </w:rPr>
              <w:t>8</w:t>
            </w:r>
          </w:p>
        </w:tc>
        <w:tc>
          <w:tcPr>
            <w:tcW w:w="1030" w:type="pct"/>
            <w:tcBorders>
              <w:tl2br w:val="nil"/>
              <w:tr2bl w:val="nil"/>
            </w:tcBorders>
            <w:vAlign w:val="center"/>
          </w:tcPr>
          <w:p>
            <w:pPr>
              <w:adjustRightInd w:val="0"/>
              <w:snapToGrid w:val="0"/>
              <w:jc w:val="center"/>
              <w:rPr>
                <w:bCs/>
                <w:sz w:val="18"/>
                <w:szCs w:val="18"/>
              </w:rPr>
            </w:pPr>
            <w:r>
              <w:rPr>
                <w:bCs/>
                <w:sz w:val="18"/>
                <w:szCs w:val="18"/>
              </w:rPr>
              <w:t>4</w:t>
            </w:r>
          </w:p>
        </w:tc>
        <w:tc>
          <w:tcPr>
            <w:tcW w:w="883" w:type="pct"/>
            <w:tcBorders>
              <w:tl2br w:val="nil"/>
              <w:tr2bl w:val="nil"/>
            </w:tcBorders>
            <w:vAlign w:val="center"/>
          </w:tcPr>
          <w:p>
            <w:pPr>
              <w:jc w:val="center"/>
              <w:rPr>
                <w:bCs/>
                <w:sz w:val="18"/>
                <w:szCs w:val="18"/>
              </w:rPr>
            </w:pPr>
            <w:r>
              <w:rPr>
                <w:rFonts w:eastAsia="黑体"/>
                <w:color w:val="00000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第五章  </w:t>
            </w:r>
            <w:r>
              <w:rPr>
                <w:rFonts w:hint="eastAsia"/>
                <w:bCs/>
                <w:sz w:val="18"/>
                <w:szCs w:val="18"/>
              </w:rPr>
              <w:t>创业资源获取与整合</w:t>
            </w:r>
          </w:p>
        </w:tc>
        <w:tc>
          <w:tcPr>
            <w:tcW w:w="1081" w:type="pct"/>
            <w:tcBorders>
              <w:tl2br w:val="nil"/>
              <w:tr2bl w:val="nil"/>
            </w:tcBorders>
            <w:vAlign w:val="center"/>
          </w:tcPr>
          <w:p>
            <w:pPr>
              <w:jc w:val="center"/>
              <w:rPr>
                <w:bCs/>
                <w:sz w:val="18"/>
                <w:szCs w:val="18"/>
              </w:rPr>
            </w:pPr>
            <w:r>
              <w:rPr>
                <w:rFonts w:eastAsia="黑体"/>
                <w:color w:val="000000"/>
                <w:sz w:val="18"/>
                <w:szCs w:val="18"/>
              </w:rPr>
              <w:t>2</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第六章  </w:t>
            </w:r>
            <w:r>
              <w:rPr>
                <w:rFonts w:hint="eastAsia"/>
                <w:bCs/>
                <w:sz w:val="18"/>
                <w:szCs w:val="18"/>
              </w:rPr>
              <w:t>创业融资</w:t>
            </w:r>
          </w:p>
        </w:tc>
        <w:tc>
          <w:tcPr>
            <w:tcW w:w="1081" w:type="pct"/>
            <w:tcBorders>
              <w:tl2br w:val="nil"/>
              <w:tr2bl w:val="nil"/>
            </w:tcBorders>
            <w:vAlign w:val="center"/>
          </w:tcPr>
          <w:p>
            <w:pPr>
              <w:jc w:val="center"/>
              <w:rPr>
                <w:bCs/>
                <w:sz w:val="18"/>
                <w:szCs w:val="18"/>
              </w:rPr>
            </w:pPr>
            <w:r>
              <w:rPr>
                <w:rFonts w:eastAsia="黑体"/>
                <w:color w:val="000000"/>
                <w:sz w:val="18"/>
                <w:szCs w:val="18"/>
              </w:rPr>
              <w:t>2</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第七章  </w:t>
            </w:r>
            <w:r>
              <w:rPr>
                <w:rFonts w:hint="eastAsia"/>
                <w:bCs/>
                <w:sz w:val="18"/>
                <w:szCs w:val="18"/>
              </w:rPr>
              <w:t>创业计划书撰写</w:t>
            </w:r>
          </w:p>
        </w:tc>
        <w:tc>
          <w:tcPr>
            <w:tcW w:w="1081" w:type="pct"/>
            <w:tcBorders>
              <w:tl2br w:val="nil"/>
              <w:tr2bl w:val="nil"/>
            </w:tcBorders>
            <w:vAlign w:val="center"/>
          </w:tcPr>
          <w:p>
            <w:pPr>
              <w:jc w:val="center"/>
              <w:rPr>
                <w:bCs/>
                <w:sz w:val="18"/>
                <w:szCs w:val="18"/>
              </w:rPr>
            </w:pPr>
            <w:r>
              <w:rPr>
                <w:rFonts w:eastAsia="黑体"/>
                <w:color w:val="000000"/>
                <w:sz w:val="18"/>
                <w:szCs w:val="18"/>
              </w:rPr>
              <w:t>2</w:t>
            </w:r>
          </w:p>
        </w:tc>
        <w:tc>
          <w:tcPr>
            <w:tcW w:w="1030" w:type="pct"/>
            <w:tcBorders>
              <w:tl2br w:val="nil"/>
              <w:tr2bl w:val="nil"/>
            </w:tcBorders>
            <w:vAlign w:val="center"/>
          </w:tcPr>
          <w:p>
            <w:pPr>
              <w:adjustRightInd w:val="0"/>
              <w:snapToGrid w:val="0"/>
              <w:jc w:val="center"/>
              <w:rPr>
                <w:bCs/>
                <w:sz w:val="18"/>
                <w:szCs w:val="18"/>
              </w:rPr>
            </w:pPr>
            <w:r>
              <w:rPr>
                <w:bCs/>
                <w:sz w:val="18"/>
                <w:szCs w:val="18"/>
              </w:rPr>
              <w:t>4</w:t>
            </w:r>
          </w:p>
        </w:tc>
        <w:tc>
          <w:tcPr>
            <w:tcW w:w="883" w:type="pct"/>
            <w:tcBorders>
              <w:tl2br w:val="nil"/>
              <w:tr2bl w:val="nil"/>
            </w:tcBorders>
            <w:vAlign w:val="center"/>
          </w:tcPr>
          <w:p>
            <w:pPr>
              <w:jc w:val="center"/>
              <w:rPr>
                <w:bCs/>
                <w:sz w:val="18"/>
                <w:szCs w:val="18"/>
              </w:rPr>
            </w:pPr>
            <w:r>
              <w:rPr>
                <w:rFonts w:eastAsia="黑体"/>
                <w:color w:val="00000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005" w:type="pct"/>
            <w:tcBorders>
              <w:tl2br w:val="nil"/>
              <w:tr2bl w:val="nil"/>
            </w:tcBorders>
            <w:vAlign w:val="center"/>
          </w:tcPr>
          <w:p>
            <w:pPr>
              <w:adjustRightInd w:val="0"/>
              <w:snapToGrid w:val="0"/>
              <w:ind w:left="218" w:leftChars="104"/>
              <w:rPr>
                <w:bCs/>
                <w:sz w:val="18"/>
                <w:szCs w:val="18"/>
              </w:rPr>
            </w:pPr>
            <w:r>
              <w:rPr>
                <w:bCs/>
                <w:sz w:val="18"/>
                <w:szCs w:val="18"/>
              </w:rPr>
              <w:t xml:space="preserve">第八章  </w:t>
            </w:r>
            <w:r>
              <w:rPr>
                <w:rFonts w:hint="eastAsia"/>
                <w:bCs/>
                <w:sz w:val="18"/>
                <w:szCs w:val="18"/>
              </w:rPr>
              <w:t>新企业的开办与管理</w:t>
            </w:r>
          </w:p>
        </w:tc>
        <w:tc>
          <w:tcPr>
            <w:tcW w:w="1081" w:type="pct"/>
            <w:tcBorders>
              <w:tl2br w:val="nil"/>
              <w:tr2bl w:val="nil"/>
            </w:tcBorders>
            <w:vAlign w:val="center"/>
          </w:tcPr>
          <w:p>
            <w:pPr>
              <w:jc w:val="center"/>
              <w:rPr>
                <w:bCs/>
                <w:sz w:val="18"/>
                <w:szCs w:val="18"/>
              </w:rPr>
            </w:pPr>
            <w:r>
              <w:rPr>
                <w:rFonts w:eastAsia="黑体"/>
                <w:color w:val="000000"/>
                <w:sz w:val="18"/>
                <w:szCs w:val="18"/>
              </w:rPr>
              <w:t>2</w:t>
            </w:r>
          </w:p>
        </w:tc>
        <w:tc>
          <w:tcPr>
            <w:tcW w:w="1030" w:type="pct"/>
            <w:tcBorders>
              <w:tl2br w:val="nil"/>
              <w:tr2bl w:val="nil"/>
            </w:tcBorders>
            <w:vAlign w:val="center"/>
          </w:tcPr>
          <w:p>
            <w:pPr>
              <w:adjustRightInd w:val="0"/>
              <w:snapToGrid w:val="0"/>
              <w:jc w:val="center"/>
              <w:rPr>
                <w:bCs/>
                <w:sz w:val="18"/>
                <w:szCs w:val="18"/>
              </w:rPr>
            </w:pPr>
            <w:r>
              <w:rPr>
                <w:bCs/>
                <w:sz w:val="18"/>
                <w:szCs w:val="18"/>
              </w:rPr>
              <w:t>0</w:t>
            </w:r>
          </w:p>
        </w:tc>
        <w:tc>
          <w:tcPr>
            <w:tcW w:w="883" w:type="pct"/>
            <w:tcBorders>
              <w:tl2br w:val="nil"/>
              <w:tr2bl w:val="nil"/>
            </w:tcBorders>
            <w:vAlign w:val="center"/>
          </w:tcPr>
          <w:p>
            <w:pPr>
              <w:jc w:val="center"/>
              <w:rPr>
                <w:bCs/>
                <w:sz w:val="18"/>
                <w:szCs w:val="18"/>
              </w:rPr>
            </w:pPr>
            <w:r>
              <w:rPr>
                <w:rFonts w:eastAsia="黑体"/>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05" w:type="pct"/>
            <w:tcBorders>
              <w:tl2br w:val="nil"/>
              <w:tr2bl w:val="nil"/>
            </w:tcBorders>
            <w:vAlign w:val="center"/>
          </w:tcPr>
          <w:p>
            <w:pPr>
              <w:adjustRightInd w:val="0"/>
              <w:snapToGrid w:val="0"/>
              <w:jc w:val="center"/>
              <w:rPr>
                <w:sz w:val="18"/>
                <w:szCs w:val="18"/>
              </w:rPr>
            </w:pPr>
            <w:r>
              <w:rPr>
                <w:sz w:val="18"/>
                <w:szCs w:val="18"/>
              </w:rPr>
              <w:t>合计</w:t>
            </w:r>
          </w:p>
        </w:tc>
        <w:tc>
          <w:tcPr>
            <w:tcW w:w="1081" w:type="pct"/>
            <w:tcBorders>
              <w:tl2br w:val="nil"/>
              <w:tr2bl w:val="nil"/>
            </w:tcBorders>
            <w:vAlign w:val="center"/>
          </w:tcPr>
          <w:p>
            <w:pPr>
              <w:jc w:val="center"/>
              <w:rPr>
                <w:sz w:val="18"/>
                <w:szCs w:val="18"/>
              </w:rPr>
            </w:pPr>
            <w:r>
              <w:rPr>
                <w:rFonts w:eastAsia="黑体"/>
                <w:color w:val="000000"/>
                <w:sz w:val="18"/>
                <w:szCs w:val="18"/>
              </w:rPr>
              <w:t>24</w:t>
            </w:r>
          </w:p>
        </w:tc>
        <w:tc>
          <w:tcPr>
            <w:tcW w:w="1030" w:type="pct"/>
            <w:tcBorders>
              <w:tl2br w:val="nil"/>
              <w:tr2bl w:val="nil"/>
            </w:tcBorders>
            <w:vAlign w:val="center"/>
          </w:tcPr>
          <w:p>
            <w:pPr>
              <w:adjustRightInd w:val="0"/>
              <w:snapToGrid w:val="0"/>
              <w:jc w:val="center"/>
              <w:rPr>
                <w:sz w:val="18"/>
                <w:szCs w:val="18"/>
              </w:rPr>
            </w:pPr>
            <w:r>
              <w:rPr>
                <w:sz w:val="18"/>
                <w:szCs w:val="18"/>
              </w:rPr>
              <w:t>8</w:t>
            </w:r>
          </w:p>
        </w:tc>
        <w:tc>
          <w:tcPr>
            <w:tcW w:w="883" w:type="pct"/>
            <w:tcBorders>
              <w:tl2br w:val="nil"/>
              <w:tr2bl w:val="nil"/>
            </w:tcBorders>
            <w:vAlign w:val="center"/>
          </w:tcPr>
          <w:p>
            <w:pPr>
              <w:jc w:val="center"/>
              <w:rPr>
                <w:sz w:val="18"/>
                <w:szCs w:val="18"/>
              </w:rPr>
            </w:pPr>
            <w:r>
              <w:rPr>
                <w:rFonts w:eastAsia="黑体"/>
                <w:color w:val="000000"/>
                <w:sz w:val="18"/>
                <w:szCs w:val="18"/>
              </w:rPr>
              <w:t>32</w:t>
            </w:r>
          </w:p>
        </w:tc>
      </w:tr>
    </w:tbl>
    <w:p>
      <w:pPr>
        <w:spacing w:line="360" w:lineRule="auto"/>
        <w:rPr>
          <w:rFonts w:cs="宋体"/>
          <w:kern w:val="0"/>
          <w:szCs w:val="21"/>
          <w:highlight w:val="yellow"/>
        </w:rPr>
      </w:pPr>
    </w:p>
    <w:p>
      <w:pPr>
        <w:spacing w:line="360" w:lineRule="auto"/>
        <w:rPr>
          <w:rFonts w:eastAsia="黑体"/>
          <w:sz w:val="28"/>
        </w:rPr>
      </w:pPr>
      <w:r>
        <w:rPr>
          <w:rFonts w:hint="eastAsia" w:eastAsia="黑体"/>
          <w:szCs w:val="21"/>
        </w:rPr>
        <w:t>六、</w:t>
      </w:r>
      <w:r>
        <w:rPr>
          <w:rFonts w:eastAsia="黑体"/>
          <w:szCs w:val="21"/>
        </w:rPr>
        <w:t>参考书目及学习资料</w:t>
      </w:r>
      <w:r>
        <w:rPr>
          <w:rFonts w:hint="eastAsia" w:eastAsia="黑体"/>
          <w:color w:val="000000"/>
          <w:szCs w:val="21"/>
        </w:rPr>
        <w:t>（</w:t>
      </w:r>
      <w:r>
        <w:rPr>
          <w:rFonts w:hint="eastAsia"/>
          <w:color w:val="000000"/>
          <w:szCs w:val="21"/>
        </w:rPr>
        <w:t>书</w:t>
      </w:r>
      <w:r>
        <w:rPr>
          <w:rFonts w:hint="eastAsia"/>
          <w:szCs w:val="21"/>
        </w:rPr>
        <w:t>名，主编，出版社，出版时间及版次</w:t>
      </w:r>
      <w:r>
        <w:rPr>
          <w:rFonts w:hint="eastAsia" w:eastAsia="黑体"/>
          <w:szCs w:val="21"/>
        </w:rPr>
        <w:t>）</w:t>
      </w:r>
    </w:p>
    <w:p>
      <w:pPr>
        <w:spacing w:line="360" w:lineRule="auto"/>
        <w:ind w:firstLine="420"/>
        <w:rPr>
          <w:color w:val="000000"/>
          <w:szCs w:val="21"/>
        </w:rPr>
      </w:pPr>
      <w:r>
        <w:rPr>
          <w:rFonts w:hint="eastAsia"/>
          <w:color w:val="000000"/>
          <w:szCs w:val="21"/>
        </w:rPr>
        <w:t>1、赵公民，刘俊生等.创业基础----理论与实务.人民邮电出版社，2017。</w:t>
      </w:r>
    </w:p>
    <w:p>
      <w:pPr>
        <w:spacing w:line="360" w:lineRule="auto"/>
        <w:ind w:firstLine="420"/>
        <w:rPr>
          <w:color w:val="000000"/>
          <w:szCs w:val="21"/>
        </w:rPr>
      </w:pPr>
      <w:r>
        <w:rPr>
          <w:rFonts w:hint="eastAsia"/>
          <w:color w:val="000000"/>
          <w:szCs w:val="21"/>
        </w:rPr>
        <w:t>2、赵公民，刘俊生.创业基础教程.国防工业出版社，2014。</w:t>
      </w:r>
    </w:p>
    <w:p>
      <w:pPr>
        <w:spacing w:line="360" w:lineRule="auto"/>
        <w:ind w:firstLine="420"/>
        <w:rPr>
          <w:color w:val="000000"/>
          <w:szCs w:val="21"/>
        </w:rPr>
      </w:pPr>
      <w:r>
        <w:rPr>
          <w:rFonts w:hint="eastAsia"/>
          <w:color w:val="000000"/>
          <w:szCs w:val="21"/>
        </w:rPr>
        <w:t>3、张玉利，陈寒松.创业管理（第二版）.北京：机械工业出版社，2011。</w:t>
      </w:r>
    </w:p>
    <w:p>
      <w:pPr>
        <w:spacing w:line="360" w:lineRule="auto"/>
        <w:ind w:firstLine="420"/>
        <w:rPr>
          <w:rFonts w:ascii="黑体" w:hAnsi="黑体" w:eastAsia="黑体" w:cs="黑体"/>
          <w:color w:val="000000"/>
          <w:szCs w:val="21"/>
        </w:rPr>
      </w:pPr>
    </w:p>
    <w:p>
      <w:pPr>
        <w:spacing w:line="360" w:lineRule="auto"/>
        <w:rPr>
          <w:color w:val="000000"/>
          <w:szCs w:val="21"/>
        </w:rPr>
      </w:pPr>
      <w:r>
        <w:rPr>
          <w:rFonts w:hint="eastAsia" w:ascii="黑体" w:hAnsi="黑体" w:eastAsia="黑体" w:cs="黑体"/>
          <w:color w:val="000000"/>
          <w:szCs w:val="21"/>
        </w:rPr>
        <w:t>七、达成课程目标的途径和措施</w:t>
      </w:r>
    </w:p>
    <w:p>
      <w:pPr>
        <w:spacing w:line="360" w:lineRule="auto"/>
        <w:ind w:firstLine="420" w:firstLineChars="200"/>
        <w:rPr>
          <w:szCs w:val="21"/>
          <w:highlight w:val="yellow"/>
        </w:rPr>
      </w:pPr>
      <w:r>
        <w:rPr>
          <w:rFonts w:hint="eastAsia"/>
          <w:szCs w:val="21"/>
        </w:rPr>
        <w:t>1、考核方式：过程表现、创业计划书写作与展示、课程论文。</w:t>
      </w:r>
    </w:p>
    <w:p>
      <w:pPr>
        <w:spacing w:line="360" w:lineRule="auto"/>
        <w:ind w:firstLine="420" w:firstLineChars="200"/>
        <w:rPr>
          <w:b/>
          <w:bCs/>
          <w:color w:val="1D41D5"/>
          <w:szCs w:val="21"/>
          <w:highlight w:val="yellow"/>
        </w:rPr>
      </w:pPr>
      <w:r>
        <w:rPr>
          <w:rFonts w:hint="eastAsia"/>
          <w:color w:val="000000"/>
          <w:szCs w:val="21"/>
        </w:rPr>
        <w:t>2、考核目标：</w:t>
      </w:r>
      <w:r>
        <w:rPr>
          <w:color w:val="000000"/>
          <w:szCs w:val="21"/>
        </w:rPr>
        <w:t>把握主线，</w:t>
      </w:r>
      <w:r>
        <w:rPr>
          <w:rFonts w:hint="eastAsia"/>
          <w:color w:val="000000"/>
          <w:szCs w:val="21"/>
        </w:rPr>
        <w:t>通过课题教学</w:t>
      </w:r>
      <w:r>
        <w:rPr>
          <w:color w:val="000000"/>
          <w:szCs w:val="21"/>
        </w:rPr>
        <w:t>引导学生掌握</w:t>
      </w:r>
      <w:r>
        <w:rPr>
          <w:rFonts w:hint="eastAsia"/>
          <w:color w:val="000000"/>
          <w:szCs w:val="21"/>
        </w:rPr>
        <w:t>创业基础</w:t>
      </w:r>
      <w:r>
        <w:rPr>
          <w:color w:val="000000"/>
          <w:szCs w:val="21"/>
        </w:rPr>
        <w:t>的相关概念与</w:t>
      </w:r>
      <w:r>
        <w:rPr>
          <w:rFonts w:hint="eastAsia"/>
          <w:color w:val="000000"/>
          <w:szCs w:val="21"/>
        </w:rPr>
        <w:t>创业技能</w:t>
      </w:r>
      <w:r>
        <w:rPr>
          <w:color w:val="000000"/>
          <w:szCs w:val="21"/>
        </w:rPr>
        <w:t>，</w:t>
      </w:r>
      <w:r>
        <w:rPr>
          <w:rFonts w:hint="eastAsia"/>
          <w:color w:val="000000"/>
          <w:szCs w:val="21"/>
        </w:rPr>
        <w:t>帮助学生初步了解创业基础知识，培育创业与创新精神。</w:t>
      </w:r>
    </w:p>
    <w:p>
      <w:pPr>
        <w:spacing w:line="360" w:lineRule="auto"/>
        <w:ind w:firstLine="420" w:firstLineChars="200"/>
        <w:rPr>
          <w:szCs w:val="21"/>
          <w:highlight w:val="yellow"/>
        </w:rPr>
      </w:pPr>
      <w:r>
        <w:rPr>
          <w:rFonts w:hint="eastAsia"/>
          <w:szCs w:val="21"/>
        </w:rPr>
        <w:t>3、成绩构成：</w:t>
      </w:r>
    </w:p>
    <w:p>
      <w:pPr>
        <w:spacing w:line="360" w:lineRule="auto"/>
        <w:ind w:firstLine="420" w:firstLineChars="200"/>
        <w:rPr>
          <w:szCs w:val="21"/>
        </w:rPr>
      </w:pPr>
      <w:r>
        <w:rPr>
          <w:rFonts w:hint="eastAsia"/>
          <w:szCs w:val="21"/>
        </w:rPr>
        <w:t>本课程通过“平时成绩”和“期末考试”两种方式对课程目标达成进行评价（本大纲中成绩均采用百分制）：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4767"/>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4"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过程表现（平时）</w:t>
            </w:r>
          </w:p>
        </w:tc>
        <w:tc>
          <w:tcPr>
            <w:tcW w:w="25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创业计划书写作与展示（平时）</w:t>
            </w:r>
          </w:p>
        </w:tc>
        <w:tc>
          <w:tcPr>
            <w:tcW w:w="87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课程论文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10</w:t>
            </w:r>
          </w:p>
        </w:tc>
        <w:tc>
          <w:tcPr>
            <w:tcW w:w="25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87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80</w:t>
            </w:r>
          </w:p>
        </w:tc>
      </w:tr>
    </w:tbl>
    <w:p>
      <w:pPr>
        <w:spacing w:line="360" w:lineRule="auto"/>
        <w:ind w:firstLine="420" w:firstLineChars="200"/>
        <w:rPr>
          <w:b/>
          <w:bCs/>
          <w:color w:val="1D41D5"/>
          <w:szCs w:val="21"/>
        </w:rPr>
      </w:pPr>
      <w:r>
        <w:rPr>
          <w:rFonts w:hint="eastAsia"/>
          <w:szCs w:val="21"/>
        </w:rPr>
        <w:t>指导性课程目标评价题目分数分配：</w:t>
      </w:r>
    </w:p>
    <w:tbl>
      <w:tblPr>
        <w:tblStyle w:val="22"/>
        <w:tblW w:w="4997" w:type="pct"/>
        <w:jc w:val="center"/>
        <w:tblLayout w:type="autofit"/>
        <w:tblCellMar>
          <w:top w:w="0" w:type="dxa"/>
          <w:left w:w="108" w:type="dxa"/>
          <w:bottom w:w="0" w:type="dxa"/>
          <w:right w:w="108" w:type="dxa"/>
        </w:tblCellMar>
      </w:tblPr>
      <w:tblGrid>
        <w:gridCol w:w="1806"/>
        <w:gridCol w:w="2119"/>
        <w:gridCol w:w="3704"/>
        <w:gridCol w:w="1651"/>
      </w:tblGrid>
      <w:tr>
        <w:tblPrEx>
          <w:tblCellMar>
            <w:top w:w="0" w:type="dxa"/>
            <w:left w:w="108" w:type="dxa"/>
            <w:bottom w:w="0" w:type="dxa"/>
            <w:right w:w="108" w:type="dxa"/>
          </w:tblCellMar>
        </w:tblPrEx>
        <w:trPr>
          <w:trHeight w:val="23" w:hRule="atLeast"/>
          <w:jc w:val="center"/>
        </w:trPr>
        <w:tc>
          <w:tcPr>
            <w:tcW w:w="973" w:type="pct"/>
            <w:tcBorders>
              <w:top w:val="single" w:color="auto" w:sz="4" w:space="0"/>
              <w:left w:val="nil"/>
              <w:bottom w:val="single" w:color="auto" w:sz="4" w:space="0"/>
              <w:right w:val="single" w:color="auto" w:sz="4" w:space="0"/>
            </w:tcBorders>
            <w:vAlign w:val="center"/>
          </w:tcPr>
          <w:p>
            <w:pPr>
              <w:widowControl/>
              <w:jc w:val="center"/>
              <w:rPr>
                <w:rFonts w:cs="宋体"/>
                <w:kern w:val="0"/>
                <w:sz w:val="18"/>
                <w:szCs w:val="18"/>
              </w:rPr>
            </w:pPr>
            <w:bookmarkStart w:id="15" w:name="OLE_LINK3" w:colFirst="0" w:colLast="6"/>
            <w:r>
              <w:rPr>
                <w:rFonts w:hint="eastAsia" w:cs="宋体"/>
                <w:kern w:val="0"/>
                <w:sz w:val="18"/>
                <w:szCs w:val="18"/>
              </w:rPr>
              <w:t>课程目标</w:t>
            </w:r>
          </w:p>
        </w:tc>
        <w:tc>
          <w:tcPr>
            <w:tcW w:w="114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过程表现（平时）</w:t>
            </w:r>
          </w:p>
          <w:p>
            <w:pPr>
              <w:jc w:val="center"/>
              <w:rPr>
                <w:sz w:val="18"/>
                <w:szCs w:val="18"/>
              </w:rPr>
            </w:pPr>
            <w:r>
              <w:rPr>
                <w:sz w:val="18"/>
                <w:szCs w:val="18"/>
              </w:rPr>
              <w:t>W1</w:t>
            </w:r>
            <w:r>
              <w:rPr>
                <w:sz w:val="18"/>
                <w:szCs w:val="18"/>
                <w:vertAlign w:val="subscript"/>
              </w:rPr>
              <w:t>i</w:t>
            </w:r>
          </w:p>
        </w:tc>
        <w:tc>
          <w:tcPr>
            <w:tcW w:w="19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创业计划书写作与展示（平时）</w:t>
            </w:r>
          </w:p>
          <w:p>
            <w:pPr>
              <w:jc w:val="center"/>
              <w:rPr>
                <w:sz w:val="18"/>
                <w:szCs w:val="18"/>
              </w:rPr>
            </w:pPr>
            <w:r>
              <w:rPr>
                <w:sz w:val="18"/>
                <w:szCs w:val="18"/>
              </w:rPr>
              <w:t>W2</w:t>
            </w:r>
            <w:r>
              <w:rPr>
                <w:sz w:val="18"/>
                <w:szCs w:val="18"/>
                <w:vertAlign w:val="subscript"/>
              </w:rPr>
              <w:t>i</w:t>
            </w:r>
          </w:p>
        </w:tc>
        <w:tc>
          <w:tcPr>
            <w:tcW w:w="889"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课程论文</w:t>
            </w:r>
          </w:p>
          <w:p>
            <w:pPr>
              <w:jc w:val="center"/>
              <w:rPr>
                <w:sz w:val="18"/>
                <w:szCs w:val="18"/>
              </w:rPr>
            </w:pPr>
            <w:r>
              <w:rPr>
                <w:sz w:val="18"/>
                <w:szCs w:val="18"/>
              </w:rPr>
              <w:t>W</w:t>
            </w:r>
            <w:r>
              <w:rPr>
                <w:rFonts w:hint="eastAsia"/>
                <w:sz w:val="18"/>
                <w:szCs w:val="18"/>
              </w:rPr>
              <w:t>3</w:t>
            </w:r>
            <w:r>
              <w:rPr>
                <w:sz w:val="18"/>
                <w:szCs w:val="18"/>
                <w:vertAlign w:val="subscript"/>
              </w:rPr>
              <w:t>i</w:t>
            </w:r>
          </w:p>
        </w:tc>
      </w:tr>
      <w:tr>
        <w:tblPrEx>
          <w:tblCellMar>
            <w:top w:w="0" w:type="dxa"/>
            <w:left w:w="108" w:type="dxa"/>
            <w:bottom w:w="0" w:type="dxa"/>
            <w:right w:w="108" w:type="dxa"/>
          </w:tblCellMar>
        </w:tblPrEx>
        <w:trPr>
          <w:trHeight w:val="23" w:hRule="atLeast"/>
          <w:jc w:val="center"/>
        </w:trPr>
        <w:tc>
          <w:tcPr>
            <w:tcW w:w="973"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1</w:t>
            </w:r>
          </w:p>
        </w:tc>
        <w:tc>
          <w:tcPr>
            <w:tcW w:w="1141"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60-70</w:t>
            </w:r>
          </w:p>
        </w:tc>
        <w:tc>
          <w:tcPr>
            <w:tcW w:w="199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40-50</w:t>
            </w:r>
          </w:p>
        </w:tc>
        <w:tc>
          <w:tcPr>
            <w:tcW w:w="889" w:type="pct"/>
            <w:tcBorders>
              <w:top w:val="single" w:color="auto" w:sz="4" w:space="0"/>
              <w:left w:val="single" w:color="auto" w:sz="4" w:space="0"/>
              <w:bottom w:val="single" w:color="auto" w:sz="4" w:space="0"/>
              <w:right w:val="nil"/>
            </w:tcBorders>
            <w:vAlign w:val="center"/>
          </w:tcPr>
          <w:p>
            <w:pPr>
              <w:jc w:val="center"/>
              <w:rPr>
                <w:bCs/>
                <w:sz w:val="18"/>
                <w:szCs w:val="18"/>
              </w:rPr>
            </w:pPr>
            <w:r>
              <w:rPr>
                <w:bCs/>
                <w:sz w:val="18"/>
                <w:szCs w:val="18"/>
              </w:rPr>
              <w:t>70-80</w:t>
            </w:r>
          </w:p>
        </w:tc>
      </w:tr>
      <w:tr>
        <w:tblPrEx>
          <w:tblCellMar>
            <w:top w:w="0" w:type="dxa"/>
            <w:left w:w="108" w:type="dxa"/>
            <w:bottom w:w="0" w:type="dxa"/>
            <w:right w:w="108" w:type="dxa"/>
          </w:tblCellMar>
        </w:tblPrEx>
        <w:trPr>
          <w:trHeight w:val="23" w:hRule="atLeast"/>
          <w:jc w:val="center"/>
        </w:trPr>
        <w:tc>
          <w:tcPr>
            <w:tcW w:w="973"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2</w:t>
            </w:r>
          </w:p>
        </w:tc>
        <w:tc>
          <w:tcPr>
            <w:tcW w:w="1141"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30-40</w:t>
            </w:r>
          </w:p>
        </w:tc>
        <w:tc>
          <w:tcPr>
            <w:tcW w:w="199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50-60</w:t>
            </w:r>
          </w:p>
        </w:tc>
        <w:tc>
          <w:tcPr>
            <w:tcW w:w="889" w:type="pct"/>
            <w:tcBorders>
              <w:top w:val="single" w:color="auto" w:sz="4" w:space="0"/>
              <w:left w:val="single" w:color="auto" w:sz="4" w:space="0"/>
              <w:bottom w:val="single" w:color="auto" w:sz="4" w:space="0"/>
              <w:right w:val="nil"/>
            </w:tcBorders>
            <w:vAlign w:val="center"/>
          </w:tcPr>
          <w:p>
            <w:pPr>
              <w:jc w:val="center"/>
              <w:rPr>
                <w:bCs/>
                <w:sz w:val="18"/>
                <w:szCs w:val="18"/>
              </w:rPr>
            </w:pPr>
            <w:r>
              <w:rPr>
                <w:bCs/>
                <w:sz w:val="18"/>
                <w:szCs w:val="18"/>
              </w:rPr>
              <w:t>20-30</w:t>
            </w:r>
          </w:p>
        </w:tc>
      </w:tr>
      <w:bookmarkEnd w:id="15"/>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rPr>
          <w:rFonts w:cs="宋体"/>
          <w:color w:val="000000"/>
          <w:szCs w:val="21"/>
        </w:rPr>
      </w:pPr>
      <w:r>
        <w:rPr>
          <w:rFonts w:hint="eastAsia" w:ascii="黑体" w:hAnsi="黑体" w:eastAsia="黑体" w:cs="黑体"/>
          <w:color w:val="000000"/>
          <w:szCs w:val="21"/>
        </w:rPr>
        <w:t>八：评价标准</w:t>
      </w:r>
    </w:p>
    <w:p>
      <w:pPr>
        <w:spacing w:line="360" w:lineRule="auto"/>
        <w:ind w:firstLine="420" w:firstLineChars="200"/>
        <w:rPr>
          <w:rFonts w:cs="宋体"/>
          <w:color w:val="000000"/>
          <w:szCs w:val="21"/>
        </w:rPr>
      </w:pPr>
      <w:r>
        <w:rPr>
          <w:color w:val="000000"/>
          <w:szCs w:val="21"/>
        </w:rPr>
        <w:t>1</w:t>
      </w:r>
      <w:r>
        <w:rPr>
          <w:rFonts w:hint="eastAsia" w:cs="宋体"/>
          <w:color w:val="000000"/>
          <w:szCs w:val="21"/>
        </w:rPr>
        <w:t>、过程表现情况评价标准</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581"/>
        <w:gridCol w:w="1581"/>
        <w:gridCol w:w="1581"/>
        <w:gridCol w:w="1404"/>
        <w:gridCol w:w="7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restart"/>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基本要求</w:t>
            </w:r>
          </w:p>
        </w:tc>
        <w:tc>
          <w:tcPr>
            <w:tcW w:w="3309" w:type="pct"/>
            <w:gridSpan w:val="4"/>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评价标准</w:t>
            </w:r>
          </w:p>
        </w:tc>
        <w:tc>
          <w:tcPr>
            <w:tcW w:w="428" w:type="pct"/>
            <w:vMerge w:val="restart"/>
            <w:tcBorders>
              <w:tl2br w:val="nil"/>
              <w:tr2bl w:val="nil"/>
            </w:tcBorders>
            <w:shd w:val="clear" w:color="auto" w:fill="F2F2F2"/>
            <w:vAlign w:val="center"/>
          </w:tcPr>
          <w:p>
            <w:pPr>
              <w:jc w:val="center"/>
              <w:rPr>
                <w:b/>
                <w:color w:val="000000"/>
                <w:sz w:val="18"/>
                <w:szCs w:val="18"/>
              </w:rPr>
            </w:pPr>
            <w:r>
              <w:rPr>
                <w:rFonts w:hint="eastAsia"/>
                <w:bCs/>
                <w:color w:val="000000"/>
                <w:sz w:val="18"/>
                <w:szCs w:val="18"/>
              </w:rPr>
              <w:t>权重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continue"/>
            <w:tcBorders>
              <w:tl2br w:val="nil"/>
              <w:tr2bl w:val="nil"/>
            </w:tcBorders>
            <w:shd w:val="clear" w:color="auto" w:fill="F2F2F2"/>
            <w:vAlign w:val="center"/>
          </w:tcPr>
          <w:p>
            <w:pPr>
              <w:jc w:val="center"/>
              <w:rPr>
                <w:bCs/>
                <w:color w:val="000000"/>
                <w:szCs w:val="21"/>
              </w:rPr>
            </w:pPr>
          </w:p>
        </w:tc>
        <w:tc>
          <w:tcPr>
            <w:tcW w:w="851" w:type="pct"/>
            <w:tcBorders>
              <w:tl2br w:val="nil"/>
              <w:tr2bl w:val="nil"/>
            </w:tcBorders>
            <w:shd w:val="clear" w:color="auto" w:fill="F2F2F2"/>
            <w:vAlign w:val="center"/>
          </w:tcPr>
          <w:p>
            <w:pPr>
              <w:jc w:val="center"/>
              <w:rPr>
                <w:bCs/>
                <w:color w:val="000000"/>
                <w:sz w:val="18"/>
                <w:szCs w:val="18"/>
              </w:rPr>
            </w:pPr>
            <w:r>
              <w:rPr>
                <w:bCs/>
                <w:color w:val="000000"/>
                <w:sz w:val="18"/>
                <w:szCs w:val="18"/>
              </w:rPr>
              <w:t>90-100</w:t>
            </w:r>
            <w:r>
              <w:rPr>
                <w:rFonts w:hint="eastAsia"/>
                <w:bCs/>
                <w:color w:val="000000"/>
                <w:sz w:val="18"/>
                <w:szCs w:val="18"/>
              </w:rPr>
              <w:t>分</w:t>
            </w:r>
          </w:p>
        </w:tc>
        <w:tc>
          <w:tcPr>
            <w:tcW w:w="851" w:type="pct"/>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75-89分</w:t>
            </w:r>
          </w:p>
        </w:tc>
        <w:tc>
          <w:tcPr>
            <w:tcW w:w="851" w:type="pct"/>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60-74分</w:t>
            </w:r>
          </w:p>
        </w:tc>
        <w:tc>
          <w:tcPr>
            <w:tcW w:w="754" w:type="pct"/>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0-59分</w:t>
            </w:r>
          </w:p>
        </w:tc>
        <w:tc>
          <w:tcPr>
            <w:tcW w:w="428" w:type="pct"/>
            <w:vMerge w:val="continue"/>
            <w:tcBorders>
              <w:tl2br w:val="nil"/>
              <w:tr2bl w:val="nil"/>
            </w:tcBorders>
            <w:shd w:val="clear" w:color="auto" w:fill="F2F2F2"/>
            <w:vAlign w:val="center"/>
          </w:tcPr>
          <w:p>
            <w:pPr>
              <w:jc w:val="center"/>
              <w:rPr>
                <w:b/>
                <w:bCs/>
                <w:color w:val="C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tcBorders>
              <w:tl2br w:val="nil"/>
              <w:tr2bl w:val="nil"/>
            </w:tcBorders>
            <w:vAlign w:val="center"/>
          </w:tcPr>
          <w:p>
            <w:pPr>
              <w:adjustRightInd w:val="0"/>
              <w:snapToGrid w:val="0"/>
              <w:jc w:val="center"/>
              <w:rPr>
                <w:rFonts w:cs="宋体"/>
                <w:color w:val="000000"/>
                <w:kern w:val="0"/>
                <w:sz w:val="18"/>
                <w:szCs w:val="18"/>
              </w:rPr>
            </w:pPr>
            <w:r>
              <w:rPr>
                <w:rFonts w:hint="eastAsia" w:cs="宋体"/>
                <w:color w:val="000000"/>
                <w:kern w:val="0"/>
                <w:sz w:val="18"/>
                <w:szCs w:val="18"/>
              </w:rPr>
              <w:t>平时上课情况</w:t>
            </w:r>
          </w:p>
          <w:p>
            <w:pPr>
              <w:adjustRightInd w:val="0"/>
              <w:snapToGrid w:val="0"/>
              <w:jc w:val="center"/>
              <w:rPr>
                <w:rFonts w:cs="宋体"/>
                <w:color w:val="000000"/>
                <w:kern w:val="0"/>
                <w:sz w:val="18"/>
                <w:szCs w:val="18"/>
              </w:rPr>
            </w:pPr>
            <w:r>
              <w:rPr>
                <w:rFonts w:hint="eastAsia"/>
                <w:sz w:val="18"/>
                <w:szCs w:val="18"/>
              </w:rPr>
              <w:t>（支撑课程目标</w:t>
            </w:r>
            <w:r>
              <w:rPr>
                <w:sz w:val="18"/>
                <w:szCs w:val="18"/>
              </w:rPr>
              <w:t>1</w:t>
            </w:r>
            <w:r>
              <w:rPr>
                <w:rFonts w:hint="eastAsia"/>
                <w:sz w:val="18"/>
                <w:szCs w:val="18"/>
              </w:rPr>
              <w:t>）</w:t>
            </w:r>
          </w:p>
        </w:tc>
        <w:tc>
          <w:tcPr>
            <w:tcW w:w="851" w:type="pct"/>
            <w:tcBorders>
              <w:tl2br w:val="nil"/>
              <w:tr2bl w:val="nil"/>
            </w:tcBorders>
            <w:vAlign w:val="center"/>
          </w:tcPr>
          <w:p>
            <w:pPr>
              <w:jc w:val="center"/>
              <w:rPr>
                <w:bCs/>
                <w:color w:val="7030A0"/>
                <w:sz w:val="18"/>
                <w:szCs w:val="18"/>
              </w:rPr>
            </w:pPr>
            <w:r>
              <w:rPr>
                <w:rFonts w:hint="eastAsia" w:cs="宋体"/>
                <w:color w:val="000000"/>
                <w:kern w:val="0"/>
                <w:sz w:val="18"/>
                <w:szCs w:val="18"/>
              </w:rPr>
              <w:t>没有缺课且能主动回答问题</w:t>
            </w:r>
          </w:p>
        </w:tc>
        <w:tc>
          <w:tcPr>
            <w:tcW w:w="851" w:type="pct"/>
            <w:tcBorders>
              <w:tl2br w:val="nil"/>
              <w:tr2bl w:val="nil"/>
            </w:tcBorders>
            <w:vAlign w:val="center"/>
          </w:tcPr>
          <w:p>
            <w:pPr>
              <w:jc w:val="center"/>
              <w:rPr>
                <w:bCs/>
                <w:color w:val="7030A0"/>
                <w:sz w:val="18"/>
                <w:szCs w:val="18"/>
              </w:rPr>
            </w:pPr>
            <w:r>
              <w:rPr>
                <w:rFonts w:hint="eastAsia" w:cs="宋体"/>
                <w:color w:val="000000"/>
                <w:kern w:val="0"/>
                <w:sz w:val="18"/>
                <w:szCs w:val="18"/>
              </w:rPr>
              <w:t>基本没有缺课且能主动回答问题</w:t>
            </w:r>
          </w:p>
        </w:tc>
        <w:tc>
          <w:tcPr>
            <w:tcW w:w="851" w:type="pct"/>
            <w:tcBorders>
              <w:tl2br w:val="nil"/>
              <w:tr2bl w:val="nil"/>
            </w:tcBorders>
            <w:vAlign w:val="center"/>
          </w:tcPr>
          <w:p>
            <w:pPr>
              <w:jc w:val="center"/>
              <w:rPr>
                <w:bCs/>
                <w:color w:val="7030A0"/>
                <w:sz w:val="18"/>
                <w:szCs w:val="18"/>
              </w:rPr>
            </w:pPr>
            <w:r>
              <w:rPr>
                <w:rFonts w:hint="eastAsia" w:cs="宋体"/>
                <w:color w:val="000000"/>
                <w:kern w:val="0"/>
                <w:sz w:val="18"/>
                <w:szCs w:val="18"/>
              </w:rPr>
              <w:t>缺课1/8且遵守课堂纪律</w:t>
            </w:r>
          </w:p>
        </w:tc>
        <w:tc>
          <w:tcPr>
            <w:tcW w:w="754" w:type="pct"/>
            <w:tcBorders>
              <w:tl2br w:val="nil"/>
              <w:tr2bl w:val="nil"/>
            </w:tcBorders>
            <w:vAlign w:val="center"/>
          </w:tcPr>
          <w:p>
            <w:pPr>
              <w:jc w:val="center"/>
              <w:rPr>
                <w:bCs/>
                <w:color w:val="7030A0"/>
                <w:sz w:val="18"/>
                <w:szCs w:val="18"/>
              </w:rPr>
            </w:pPr>
            <w:r>
              <w:rPr>
                <w:rFonts w:hint="eastAsia" w:cs="宋体"/>
                <w:color w:val="000000"/>
                <w:kern w:val="0"/>
                <w:sz w:val="18"/>
                <w:szCs w:val="18"/>
              </w:rPr>
              <w:t>缺课3/以上且违反课堂纪律</w:t>
            </w:r>
          </w:p>
        </w:tc>
        <w:tc>
          <w:tcPr>
            <w:tcW w:w="428" w:type="pct"/>
            <w:tcBorders>
              <w:tl2br w:val="nil"/>
              <w:tr2bl w:val="nil"/>
            </w:tcBorders>
            <w:vAlign w:val="center"/>
          </w:tcPr>
          <w:p>
            <w:pPr>
              <w:jc w:val="center"/>
              <w:rPr>
                <w:rFonts w:cs="宋体"/>
                <w:color w:val="000000"/>
                <w:kern w:val="0"/>
                <w:szCs w:val="21"/>
                <w:highlight w:val="yellow"/>
              </w:rPr>
            </w:pPr>
            <w:r>
              <w:rPr>
                <w:rFonts w:hint="eastAsia" w:cs="宋体"/>
                <w:color w:val="000000"/>
                <w:kern w:val="0"/>
                <w:sz w:val="18"/>
                <w:szCs w:val="18"/>
              </w:rPr>
              <w:t>10</w:t>
            </w:r>
          </w:p>
        </w:tc>
      </w:tr>
    </w:tbl>
    <w:p>
      <w:pPr>
        <w:spacing w:line="360" w:lineRule="auto"/>
        <w:ind w:firstLine="420" w:firstLineChars="200"/>
        <w:rPr>
          <w:rFonts w:cs="宋体"/>
          <w:color w:val="000000"/>
          <w:szCs w:val="21"/>
        </w:rPr>
      </w:pPr>
      <w:r>
        <w:rPr>
          <w:color w:val="000000"/>
          <w:szCs w:val="21"/>
        </w:rPr>
        <w:t>2、</w:t>
      </w:r>
      <w:r>
        <w:rPr>
          <w:rFonts w:hint="eastAsia" w:cs="宋体"/>
          <w:color w:val="000000"/>
          <w:szCs w:val="21"/>
        </w:rPr>
        <w:t>创业计划书评价标准</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581"/>
        <w:gridCol w:w="1581"/>
        <w:gridCol w:w="1581"/>
        <w:gridCol w:w="140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restart"/>
            <w:tcBorders>
              <w:left w:val="nil"/>
            </w:tcBorders>
            <w:shd w:val="clear" w:color="auto" w:fill="F2F2F2"/>
            <w:vAlign w:val="center"/>
          </w:tcPr>
          <w:p>
            <w:pPr>
              <w:jc w:val="center"/>
              <w:rPr>
                <w:bCs/>
                <w:color w:val="000000"/>
                <w:sz w:val="18"/>
                <w:szCs w:val="18"/>
              </w:rPr>
            </w:pPr>
            <w:r>
              <w:rPr>
                <w:rFonts w:hint="eastAsia"/>
                <w:bCs/>
                <w:color w:val="000000"/>
                <w:sz w:val="18"/>
                <w:szCs w:val="18"/>
              </w:rPr>
              <w:t>基本要求</w:t>
            </w:r>
          </w:p>
        </w:tc>
        <w:tc>
          <w:tcPr>
            <w:tcW w:w="3309" w:type="pct"/>
            <w:gridSpan w:val="4"/>
            <w:shd w:val="clear" w:color="auto" w:fill="F2F2F2"/>
            <w:vAlign w:val="center"/>
          </w:tcPr>
          <w:p>
            <w:pPr>
              <w:jc w:val="center"/>
              <w:rPr>
                <w:bCs/>
                <w:color w:val="000000"/>
                <w:sz w:val="18"/>
                <w:szCs w:val="18"/>
              </w:rPr>
            </w:pPr>
            <w:r>
              <w:rPr>
                <w:rFonts w:hint="eastAsia"/>
                <w:bCs/>
                <w:color w:val="000000"/>
                <w:sz w:val="18"/>
                <w:szCs w:val="18"/>
              </w:rPr>
              <w:t>评价标准</w:t>
            </w:r>
          </w:p>
        </w:tc>
        <w:tc>
          <w:tcPr>
            <w:tcW w:w="428" w:type="pct"/>
            <w:vMerge w:val="restart"/>
            <w:tcBorders>
              <w:right w:val="nil"/>
            </w:tcBorders>
            <w:shd w:val="clear" w:color="auto" w:fill="F2F2F2"/>
            <w:vAlign w:val="center"/>
          </w:tcPr>
          <w:p>
            <w:pPr>
              <w:jc w:val="center"/>
              <w:rPr>
                <w:b/>
                <w:color w:val="000000"/>
                <w:sz w:val="18"/>
                <w:szCs w:val="18"/>
              </w:rPr>
            </w:pPr>
            <w:r>
              <w:rPr>
                <w:rFonts w:hint="eastAsia"/>
                <w:bCs/>
                <w:color w:val="000000"/>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continue"/>
            <w:tcBorders>
              <w:left w:val="nil"/>
            </w:tcBorders>
            <w:shd w:val="clear" w:color="auto" w:fill="F2F2F2"/>
            <w:vAlign w:val="center"/>
          </w:tcPr>
          <w:p>
            <w:pPr>
              <w:jc w:val="center"/>
              <w:rPr>
                <w:bCs/>
                <w:color w:val="000000"/>
                <w:sz w:val="18"/>
                <w:szCs w:val="18"/>
              </w:rPr>
            </w:pPr>
          </w:p>
        </w:tc>
        <w:tc>
          <w:tcPr>
            <w:tcW w:w="851" w:type="pct"/>
            <w:shd w:val="clear" w:color="auto" w:fill="F2F2F2"/>
            <w:vAlign w:val="center"/>
          </w:tcPr>
          <w:p>
            <w:pPr>
              <w:jc w:val="center"/>
              <w:rPr>
                <w:bCs/>
                <w:color w:val="000000"/>
                <w:sz w:val="18"/>
                <w:szCs w:val="18"/>
              </w:rPr>
            </w:pPr>
            <w:r>
              <w:rPr>
                <w:bCs/>
                <w:color w:val="000000"/>
                <w:sz w:val="18"/>
                <w:szCs w:val="18"/>
              </w:rPr>
              <w:t>90-100</w:t>
            </w:r>
            <w:r>
              <w:rPr>
                <w:rFonts w:hint="eastAsia"/>
                <w:bCs/>
                <w:color w:val="000000"/>
                <w:sz w:val="18"/>
                <w:szCs w:val="18"/>
              </w:rPr>
              <w:t>分</w:t>
            </w:r>
          </w:p>
        </w:tc>
        <w:tc>
          <w:tcPr>
            <w:tcW w:w="851" w:type="pct"/>
            <w:shd w:val="clear" w:color="auto" w:fill="F2F2F2"/>
            <w:vAlign w:val="center"/>
          </w:tcPr>
          <w:p>
            <w:pPr>
              <w:jc w:val="center"/>
              <w:rPr>
                <w:bCs/>
                <w:color w:val="000000"/>
                <w:sz w:val="18"/>
                <w:szCs w:val="18"/>
              </w:rPr>
            </w:pPr>
            <w:r>
              <w:rPr>
                <w:bCs/>
                <w:color w:val="000000"/>
                <w:sz w:val="18"/>
                <w:szCs w:val="18"/>
              </w:rPr>
              <w:t>80-90</w:t>
            </w:r>
            <w:r>
              <w:rPr>
                <w:rFonts w:hint="eastAsia"/>
                <w:bCs/>
                <w:color w:val="000000"/>
                <w:sz w:val="18"/>
                <w:szCs w:val="18"/>
              </w:rPr>
              <w:t>分</w:t>
            </w:r>
          </w:p>
        </w:tc>
        <w:tc>
          <w:tcPr>
            <w:tcW w:w="851" w:type="pct"/>
            <w:shd w:val="clear" w:color="auto" w:fill="F2F2F2"/>
            <w:vAlign w:val="center"/>
          </w:tcPr>
          <w:p>
            <w:pPr>
              <w:jc w:val="center"/>
              <w:rPr>
                <w:bCs/>
                <w:color w:val="000000"/>
                <w:sz w:val="18"/>
                <w:szCs w:val="18"/>
              </w:rPr>
            </w:pPr>
            <w:r>
              <w:rPr>
                <w:bCs/>
                <w:color w:val="000000"/>
                <w:sz w:val="18"/>
                <w:szCs w:val="18"/>
              </w:rPr>
              <w:t>60-74</w:t>
            </w:r>
            <w:r>
              <w:rPr>
                <w:rFonts w:hint="eastAsia"/>
                <w:bCs/>
                <w:color w:val="000000"/>
                <w:sz w:val="18"/>
                <w:szCs w:val="18"/>
              </w:rPr>
              <w:t>分</w:t>
            </w:r>
          </w:p>
        </w:tc>
        <w:tc>
          <w:tcPr>
            <w:tcW w:w="754" w:type="pct"/>
            <w:shd w:val="clear" w:color="auto" w:fill="F2F2F2"/>
            <w:vAlign w:val="center"/>
          </w:tcPr>
          <w:p>
            <w:pPr>
              <w:jc w:val="center"/>
              <w:rPr>
                <w:bCs/>
                <w:color w:val="000000"/>
                <w:sz w:val="18"/>
                <w:szCs w:val="18"/>
              </w:rPr>
            </w:pPr>
            <w:r>
              <w:rPr>
                <w:bCs/>
                <w:color w:val="000000"/>
                <w:sz w:val="18"/>
                <w:szCs w:val="18"/>
              </w:rPr>
              <w:t>0-59</w:t>
            </w:r>
            <w:r>
              <w:rPr>
                <w:rFonts w:hint="eastAsia"/>
                <w:bCs/>
                <w:color w:val="000000"/>
                <w:sz w:val="18"/>
                <w:szCs w:val="18"/>
              </w:rPr>
              <w:t>分</w:t>
            </w:r>
          </w:p>
        </w:tc>
        <w:tc>
          <w:tcPr>
            <w:tcW w:w="428" w:type="pct"/>
            <w:vMerge w:val="continue"/>
            <w:tcBorders>
              <w:right w:val="nil"/>
            </w:tcBorders>
            <w:shd w:val="clear" w:color="auto" w:fill="F2F2F2"/>
            <w:vAlign w:val="center"/>
          </w:tcPr>
          <w:p>
            <w:pPr>
              <w:jc w:val="center"/>
              <w:rPr>
                <w:b/>
                <w:bCs/>
                <w:color w:val="C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tcBorders>
              <w:left w:val="nil"/>
            </w:tcBorders>
            <w:vAlign w:val="center"/>
          </w:tcPr>
          <w:p>
            <w:pPr>
              <w:widowControl/>
              <w:adjustRightInd w:val="0"/>
              <w:snapToGrid w:val="0"/>
              <w:jc w:val="center"/>
              <w:rPr>
                <w:rFonts w:cs="宋体"/>
                <w:color w:val="000000"/>
                <w:kern w:val="0"/>
                <w:sz w:val="18"/>
                <w:szCs w:val="18"/>
              </w:rPr>
            </w:pPr>
            <w:r>
              <w:rPr>
                <w:rFonts w:hint="eastAsia" w:cs="宋体"/>
                <w:color w:val="000000"/>
                <w:kern w:val="0"/>
                <w:sz w:val="18"/>
                <w:szCs w:val="18"/>
              </w:rPr>
              <w:t>撰写创业计划书并进行展示。</w:t>
            </w:r>
            <w:r>
              <w:rPr>
                <w:rFonts w:hint="eastAsia"/>
                <w:sz w:val="18"/>
                <w:szCs w:val="18"/>
              </w:rPr>
              <w:t>（支撑课程目标</w:t>
            </w:r>
            <w:r>
              <w:rPr>
                <w:sz w:val="18"/>
                <w:szCs w:val="18"/>
              </w:rPr>
              <w:t>1</w:t>
            </w:r>
            <w:r>
              <w:rPr>
                <w:rFonts w:hint="eastAsia"/>
                <w:sz w:val="18"/>
                <w:szCs w:val="18"/>
              </w:rPr>
              <w:t>和目标</w:t>
            </w:r>
            <w:r>
              <w:rPr>
                <w:sz w:val="18"/>
                <w:szCs w:val="18"/>
              </w:rPr>
              <w:t>2</w:t>
            </w:r>
            <w:r>
              <w:rPr>
                <w:rFonts w:hint="eastAsia"/>
                <w:sz w:val="18"/>
                <w:szCs w:val="18"/>
              </w:rPr>
              <w:t>）</w:t>
            </w:r>
          </w:p>
        </w:tc>
        <w:tc>
          <w:tcPr>
            <w:tcW w:w="851" w:type="pct"/>
            <w:vAlign w:val="center"/>
          </w:tcPr>
          <w:p>
            <w:pPr>
              <w:widowControl/>
              <w:adjustRightInd w:val="0"/>
              <w:snapToGrid w:val="0"/>
              <w:jc w:val="center"/>
              <w:rPr>
                <w:bCs/>
                <w:color w:val="7030A0"/>
                <w:sz w:val="18"/>
                <w:szCs w:val="18"/>
              </w:rPr>
            </w:pPr>
            <w:r>
              <w:rPr>
                <w:rFonts w:hint="eastAsia" w:cs="宋体"/>
                <w:color w:val="000000"/>
                <w:kern w:val="0"/>
                <w:sz w:val="18"/>
                <w:szCs w:val="18"/>
              </w:rPr>
              <w:t>创业计划书撰写详细，格式正确，结构合理，展示优秀</w:t>
            </w:r>
          </w:p>
        </w:tc>
        <w:tc>
          <w:tcPr>
            <w:tcW w:w="851" w:type="pct"/>
            <w:vAlign w:val="center"/>
          </w:tcPr>
          <w:p>
            <w:pPr>
              <w:widowControl/>
              <w:adjustRightInd w:val="0"/>
              <w:snapToGrid w:val="0"/>
              <w:jc w:val="center"/>
              <w:rPr>
                <w:bCs/>
                <w:color w:val="7030A0"/>
                <w:sz w:val="18"/>
                <w:szCs w:val="18"/>
              </w:rPr>
            </w:pPr>
            <w:r>
              <w:rPr>
                <w:rFonts w:hint="eastAsia" w:cs="宋体"/>
                <w:color w:val="000000"/>
                <w:kern w:val="0"/>
                <w:sz w:val="18"/>
                <w:szCs w:val="18"/>
              </w:rPr>
              <w:t>创业计划书撰写比较详细，格式基本正确，结构合理，展示良好优秀</w:t>
            </w:r>
          </w:p>
        </w:tc>
        <w:tc>
          <w:tcPr>
            <w:tcW w:w="851" w:type="pct"/>
            <w:vAlign w:val="center"/>
          </w:tcPr>
          <w:p>
            <w:pPr>
              <w:widowControl/>
              <w:adjustRightInd w:val="0"/>
              <w:snapToGrid w:val="0"/>
              <w:jc w:val="center"/>
              <w:rPr>
                <w:bCs/>
                <w:color w:val="7030A0"/>
                <w:sz w:val="18"/>
                <w:szCs w:val="18"/>
              </w:rPr>
            </w:pPr>
            <w:r>
              <w:rPr>
                <w:rFonts w:hint="eastAsia" w:cs="宋体"/>
                <w:color w:val="000000"/>
                <w:kern w:val="0"/>
                <w:sz w:val="18"/>
                <w:szCs w:val="18"/>
              </w:rPr>
              <w:t>创业计划书撰写一般，格式基本正确，结构基本合理，展示一般</w:t>
            </w:r>
          </w:p>
        </w:tc>
        <w:tc>
          <w:tcPr>
            <w:tcW w:w="754" w:type="pct"/>
            <w:vAlign w:val="center"/>
          </w:tcPr>
          <w:p>
            <w:pPr>
              <w:widowControl/>
              <w:adjustRightInd w:val="0"/>
              <w:snapToGrid w:val="0"/>
              <w:jc w:val="center"/>
              <w:rPr>
                <w:bCs/>
                <w:color w:val="7030A0"/>
                <w:sz w:val="18"/>
                <w:szCs w:val="18"/>
              </w:rPr>
            </w:pPr>
            <w:r>
              <w:rPr>
                <w:rFonts w:hint="eastAsia" w:cs="宋体"/>
                <w:color w:val="000000"/>
                <w:kern w:val="0"/>
                <w:sz w:val="18"/>
                <w:szCs w:val="18"/>
              </w:rPr>
              <w:t>创业计划书撰写较差，格式错误较多，结构不够合理，展示一般</w:t>
            </w:r>
          </w:p>
        </w:tc>
        <w:tc>
          <w:tcPr>
            <w:tcW w:w="428" w:type="pct"/>
            <w:tcBorders>
              <w:right w:val="nil"/>
            </w:tcBorders>
            <w:vAlign w:val="center"/>
          </w:tcPr>
          <w:p>
            <w:pPr>
              <w:jc w:val="center"/>
              <w:rPr>
                <w:rFonts w:cs="宋体"/>
                <w:color w:val="000000"/>
                <w:kern w:val="0"/>
                <w:sz w:val="18"/>
                <w:szCs w:val="18"/>
              </w:rPr>
            </w:pPr>
            <w:r>
              <w:rPr>
                <w:rFonts w:hint="eastAsia" w:cs="宋体"/>
                <w:color w:val="000000"/>
                <w:kern w:val="0"/>
                <w:sz w:val="18"/>
                <w:szCs w:val="18"/>
              </w:rPr>
              <w:t>10</w:t>
            </w:r>
          </w:p>
        </w:tc>
      </w:tr>
    </w:tbl>
    <w:p>
      <w:pPr>
        <w:pStyle w:val="61"/>
        <w:spacing w:line="360" w:lineRule="auto"/>
        <w:rPr>
          <w:rFonts w:cs="宋体"/>
          <w:color w:val="000000"/>
          <w:szCs w:val="21"/>
        </w:rPr>
      </w:pPr>
      <w:r>
        <w:rPr>
          <w:color w:val="000000"/>
          <w:szCs w:val="21"/>
        </w:rPr>
        <w:t>3、</w:t>
      </w:r>
      <w:r>
        <w:rPr>
          <w:rFonts w:hint="eastAsia" w:cs="宋体"/>
          <w:color w:val="000000"/>
          <w:szCs w:val="21"/>
        </w:rPr>
        <w:t>慕课学习与测试考试评价标准</w:t>
      </w:r>
    </w:p>
    <w:p>
      <w:pPr>
        <w:pStyle w:val="61"/>
        <w:spacing w:line="360" w:lineRule="auto"/>
        <w:rPr>
          <w:bCs/>
          <w:szCs w:val="21"/>
        </w:rPr>
      </w:pPr>
      <w:r>
        <w:rPr>
          <w:rFonts w:hint="eastAsia"/>
          <w:bCs/>
          <w:szCs w:val="21"/>
        </w:rPr>
        <w:t>该部分成绩由慕课平台设定，此处不再赘述。</w:t>
      </w:r>
    </w:p>
    <w:p>
      <w:pPr>
        <w:pStyle w:val="61"/>
        <w:spacing w:line="360" w:lineRule="auto"/>
        <w:rPr>
          <w:rFonts w:cs="宋体"/>
          <w:color w:val="000000"/>
          <w:szCs w:val="21"/>
        </w:rPr>
      </w:pPr>
      <w:r>
        <w:rPr>
          <w:color w:val="000000"/>
          <w:szCs w:val="21"/>
        </w:rPr>
        <w:t>4</w:t>
      </w:r>
      <w:r>
        <w:rPr>
          <w:rFonts w:hint="eastAsia" w:cs="宋体"/>
          <w:color w:val="000000"/>
          <w:szCs w:val="21"/>
        </w:rPr>
        <w:t>、课程论文评价标准</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581"/>
        <w:gridCol w:w="1581"/>
        <w:gridCol w:w="1581"/>
        <w:gridCol w:w="140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restart"/>
            <w:tcBorders>
              <w:left w:val="nil"/>
            </w:tcBorders>
            <w:shd w:val="clear" w:color="auto" w:fill="F2F2F2"/>
            <w:vAlign w:val="center"/>
          </w:tcPr>
          <w:p>
            <w:pPr>
              <w:jc w:val="center"/>
              <w:rPr>
                <w:bCs/>
                <w:color w:val="000000"/>
                <w:sz w:val="18"/>
                <w:szCs w:val="18"/>
              </w:rPr>
            </w:pPr>
            <w:r>
              <w:rPr>
                <w:rFonts w:hint="eastAsia"/>
                <w:bCs/>
                <w:color w:val="000000"/>
                <w:sz w:val="18"/>
                <w:szCs w:val="18"/>
              </w:rPr>
              <w:t>基本要求</w:t>
            </w:r>
          </w:p>
        </w:tc>
        <w:tc>
          <w:tcPr>
            <w:tcW w:w="3309" w:type="pct"/>
            <w:gridSpan w:val="4"/>
            <w:shd w:val="clear" w:color="auto" w:fill="F2F2F2"/>
            <w:vAlign w:val="center"/>
          </w:tcPr>
          <w:p>
            <w:pPr>
              <w:jc w:val="center"/>
              <w:rPr>
                <w:bCs/>
                <w:color w:val="000000"/>
                <w:sz w:val="18"/>
                <w:szCs w:val="18"/>
              </w:rPr>
            </w:pPr>
            <w:r>
              <w:rPr>
                <w:rFonts w:hint="eastAsia"/>
                <w:bCs/>
                <w:color w:val="000000"/>
                <w:sz w:val="18"/>
                <w:szCs w:val="18"/>
              </w:rPr>
              <w:t>评价标准</w:t>
            </w:r>
          </w:p>
        </w:tc>
        <w:tc>
          <w:tcPr>
            <w:tcW w:w="428" w:type="pct"/>
            <w:vMerge w:val="restart"/>
            <w:tcBorders>
              <w:right w:val="nil"/>
            </w:tcBorders>
            <w:shd w:val="clear" w:color="auto" w:fill="F2F2F2"/>
            <w:vAlign w:val="center"/>
          </w:tcPr>
          <w:p>
            <w:pPr>
              <w:jc w:val="center"/>
              <w:rPr>
                <w:b/>
                <w:color w:val="000000"/>
                <w:sz w:val="18"/>
                <w:szCs w:val="18"/>
              </w:rPr>
            </w:pPr>
            <w:r>
              <w:rPr>
                <w:rFonts w:hint="eastAsia"/>
                <w:bCs/>
                <w:color w:val="000000"/>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vMerge w:val="continue"/>
            <w:tcBorders>
              <w:left w:val="nil"/>
            </w:tcBorders>
            <w:shd w:val="clear" w:color="auto" w:fill="F2F2F2"/>
            <w:vAlign w:val="center"/>
          </w:tcPr>
          <w:p>
            <w:pPr>
              <w:jc w:val="center"/>
              <w:rPr>
                <w:bCs/>
                <w:color w:val="000000"/>
                <w:sz w:val="18"/>
                <w:szCs w:val="18"/>
              </w:rPr>
            </w:pPr>
          </w:p>
        </w:tc>
        <w:tc>
          <w:tcPr>
            <w:tcW w:w="851" w:type="pct"/>
            <w:shd w:val="clear" w:color="auto" w:fill="F2F2F2"/>
            <w:vAlign w:val="center"/>
          </w:tcPr>
          <w:p>
            <w:pPr>
              <w:jc w:val="center"/>
              <w:rPr>
                <w:bCs/>
                <w:color w:val="000000"/>
                <w:sz w:val="18"/>
                <w:szCs w:val="18"/>
              </w:rPr>
            </w:pPr>
            <w:r>
              <w:rPr>
                <w:bCs/>
                <w:color w:val="000000"/>
                <w:sz w:val="18"/>
                <w:szCs w:val="18"/>
              </w:rPr>
              <w:t>90-100</w:t>
            </w:r>
            <w:r>
              <w:rPr>
                <w:rFonts w:hint="eastAsia"/>
                <w:bCs/>
                <w:color w:val="000000"/>
                <w:sz w:val="18"/>
                <w:szCs w:val="18"/>
              </w:rPr>
              <w:t>分</w:t>
            </w:r>
          </w:p>
        </w:tc>
        <w:tc>
          <w:tcPr>
            <w:tcW w:w="851" w:type="pct"/>
            <w:shd w:val="clear" w:color="auto" w:fill="F2F2F2"/>
            <w:vAlign w:val="center"/>
          </w:tcPr>
          <w:p>
            <w:pPr>
              <w:jc w:val="center"/>
              <w:rPr>
                <w:bCs/>
                <w:color w:val="000000"/>
                <w:sz w:val="18"/>
                <w:szCs w:val="18"/>
              </w:rPr>
            </w:pPr>
            <w:r>
              <w:rPr>
                <w:bCs/>
                <w:color w:val="000000"/>
                <w:sz w:val="18"/>
                <w:szCs w:val="18"/>
              </w:rPr>
              <w:t>75-89</w:t>
            </w:r>
            <w:r>
              <w:rPr>
                <w:rFonts w:hint="eastAsia"/>
                <w:bCs/>
                <w:color w:val="000000"/>
                <w:sz w:val="18"/>
                <w:szCs w:val="18"/>
              </w:rPr>
              <w:t>分</w:t>
            </w:r>
          </w:p>
        </w:tc>
        <w:tc>
          <w:tcPr>
            <w:tcW w:w="851" w:type="pct"/>
            <w:shd w:val="clear" w:color="auto" w:fill="F2F2F2"/>
            <w:vAlign w:val="center"/>
          </w:tcPr>
          <w:p>
            <w:pPr>
              <w:jc w:val="center"/>
              <w:rPr>
                <w:bCs/>
                <w:color w:val="000000"/>
                <w:sz w:val="18"/>
                <w:szCs w:val="18"/>
              </w:rPr>
            </w:pPr>
            <w:r>
              <w:rPr>
                <w:bCs/>
                <w:color w:val="000000"/>
                <w:sz w:val="18"/>
                <w:szCs w:val="18"/>
              </w:rPr>
              <w:t>60-74</w:t>
            </w:r>
            <w:r>
              <w:rPr>
                <w:rFonts w:hint="eastAsia"/>
                <w:bCs/>
                <w:color w:val="000000"/>
                <w:sz w:val="18"/>
                <w:szCs w:val="18"/>
              </w:rPr>
              <w:t>分</w:t>
            </w:r>
          </w:p>
        </w:tc>
        <w:tc>
          <w:tcPr>
            <w:tcW w:w="754" w:type="pct"/>
            <w:shd w:val="clear" w:color="auto" w:fill="F2F2F2"/>
            <w:vAlign w:val="center"/>
          </w:tcPr>
          <w:p>
            <w:pPr>
              <w:jc w:val="center"/>
              <w:rPr>
                <w:bCs/>
                <w:color w:val="000000"/>
                <w:sz w:val="18"/>
                <w:szCs w:val="18"/>
              </w:rPr>
            </w:pPr>
            <w:r>
              <w:rPr>
                <w:bCs/>
                <w:color w:val="000000"/>
                <w:sz w:val="18"/>
                <w:szCs w:val="18"/>
              </w:rPr>
              <w:t>0-59</w:t>
            </w:r>
            <w:r>
              <w:rPr>
                <w:rFonts w:hint="eastAsia"/>
                <w:bCs/>
                <w:color w:val="000000"/>
                <w:sz w:val="18"/>
                <w:szCs w:val="18"/>
              </w:rPr>
              <w:t>分</w:t>
            </w:r>
          </w:p>
        </w:tc>
        <w:tc>
          <w:tcPr>
            <w:tcW w:w="428" w:type="pct"/>
            <w:vMerge w:val="continue"/>
            <w:tcBorders>
              <w:right w:val="nil"/>
            </w:tcBorders>
            <w:shd w:val="clear" w:color="auto" w:fill="F2F2F2"/>
            <w:vAlign w:val="center"/>
          </w:tcPr>
          <w:p>
            <w:pPr>
              <w:jc w:val="center"/>
              <w:rPr>
                <w:b/>
                <w:bCs/>
                <w:color w:val="C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1" w:type="pct"/>
            <w:tcBorders>
              <w:left w:val="nil"/>
            </w:tcBorders>
            <w:vAlign w:val="center"/>
          </w:tcPr>
          <w:p>
            <w:pPr>
              <w:jc w:val="center"/>
              <w:rPr>
                <w:sz w:val="18"/>
                <w:szCs w:val="18"/>
              </w:rPr>
            </w:pPr>
            <w:r>
              <w:rPr>
                <w:rFonts w:hint="eastAsia"/>
                <w:sz w:val="18"/>
                <w:szCs w:val="18"/>
              </w:rPr>
              <w:t>结合所学课程知识，撰写小论文，探讨如何培育创业与创新精神，如何储备创业素质和能力</w:t>
            </w:r>
          </w:p>
          <w:p>
            <w:pPr>
              <w:jc w:val="center"/>
              <w:rPr>
                <w:sz w:val="18"/>
                <w:szCs w:val="18"/>
              </w:rPr>
            </w:pPr>
            <w:r>
              <w:rPr>
                <w:rFonts w:hint="eastAsia"/>
                <w:sz w:val="18"/>
                <w:szCs w:val="18"/>
              </w:rPr>
              <w:t>（支撑课程目标</w:t>
            </w:r>
            <w:r>
              <w:rPr>
                <w:sz w:val="18"/>
                <w:szCs w:val="18"/>
              </w:rPr>
              <w:t>1、2</w:t>
            </w:r>
            <w:r>
              <w:rPr>
                <w:rFonts w:hint="eastAsia"/>
                <w:sz w:val="18"/>
                <w:szCs w:val="18"/>
              </w:rPr>
              <w:t>）</w:t>
            </w:r>
          </w:p>
        </w:tc>
        <w:tc>
          <w:tcPr>
            <w:tcW w:w="851" w:type="pct"/>
            <w:vAlign w:val="center"/>
          </w:tcPr>
          <w:p>
            <w:pPr>
              <w:jc w:val="center"/>
              <w:rPr>
                <w:sz w:val="18"/>
                <w:szCs w:val="18"/>
              </w:rPr>
            </w:pPr>
            <w:r>
              <w:rPr>
                <w:rFonts w:hint="eastAsia"/>
                <w:sz w:val="18"/>
                <w:szCs w:val="18"/>
              </w:rPr>
              <w:t>论文撰写认真，观点正确，结构合理，内容充实</w:t>
            </w:r>
          </w:p>
        </w:tc>
        <w:tc>
          <w:tcPr>
            <w:tcW w:w="851" w:type="pct"/>
            <w:vAlign w:val="center"/>
          </w:tcPr>
          <w:p>
            <w:pPr>
              <w:jc w:val="center"/>
              <w:rPr>
                <w:sz w:val="18"/>
                <w:szCs w:val="18"/>
              </w:rPr>
            </w:pPr>
            <w:r>
              <w:rPr>
                <w:rFonts w:hint="eastAsia"/>
                <w:sz w:val="18"/>
                <w:szCs w:val="18"/>
              </w:rPr>
              <w:t>论文撰写比较认真，观点正确，结构相对合理，内容较为充实</w:t>
            </w:r>
          </w:p>
        </w:tc>
        <w:tc>
          <w:tcPr>
            <w:tcW w:w="851" w:type="pct"/>
            <w:vAlign w:val="center"/>
          </w:tcPr>
          <w:p>
            <w:pPr>
              <w:jc w:val="center"/>
              <w:rPr>
                <w:sz w:val="18"/>
                <w:szCs w:val="18"/>
              </w:rPr>
            </w:pPr>
            <w:r>
              <w:rPr>
                <w:rFonts w:hint="eastAsia"/>
                <w:sz w:val="18"/>
                <w:szCs w:val="18"/>
              </w:rPr>
              <w:t>论文撰写态度一般，观点基本正确，结构一般，内容一般</w:t>
            </w:r>
          </w:p>
        </w:tc>
        <w:tc>
          <w:tcPr>
            <w:tcW w:w="754" w:type="pct"/>
            <w:vAlign w:val="center"/>
          </w:tcPr>
          <w:p>
            <w:pPr>
              <w:jc w:val="center"/>
              <w:rPr>
                <w:sz w:val="18"/>
                <w:szCs w:val="18"/>
              </w:rPr>
            </w:pPr>
            <w:r>
              <w:rPr>
                <w:rFonts w:hint="eastAsia"/>
                <w:sz w:val="18"/>
                <w:szCs w:val="18"/>
              </w:rPr>
              <w:t>论文态度差，观点错误，结构不合理，内容差</w:t>
            </w:r>
          </w:p>
        </w:tc>
        <w:tc>
          <w:tcPr>
            <w:tcW w:w="428" w:type="pct"/>
            <w:tcBorders>
              <w:right w:val="nil"/>
            </w:tcBorders>
            <w:vAlign w:val="center"/>
          </w:tcPr>
          <w:p>
            <w:pPr>
              <w:jc w:val="center"/>
              <w:rPr>
                <w:sz w:val="18"/>
                <w:szCs w:val="18"/>
              </w:rPr>
            </w:pPr>
            <w:r>
              <w:rPr>
                <w:rFonts w:hint="eastAsia"/>
                <w:sz w:val="18"/>
                <w:szCs w:val="18"/>
              </w:rPr>
              <w:t>80</w:t>
            </w:r>
          </w:p>
        </w:tc>
      </w:tr>
    </w:tbl>
    <w:p>
      <w:pPr>
        <w:spacing w:line="360" w:lineRule="auto"/>
        <w:rPr>
          <w:rFonts w:eastAsia="黑体"/>
          <w:szCs w:val="21"/>
        </w:rPr>
        <w:sectPr>
          <w:pgSz w:w="11906" w:h="16838"/>
          <w:pgMar w:top="1440" w:right="1418" w:bottom="1440" w:left="1418" w:header="851" w:footer="992" w:gutter="0"/>
          <w:cols w:space="720" w:num="1"/>
          <w:docGrid w:type="linesAndChars" w:linePitch="312" w:charSpace="0"/>
        </w:sectPr>
      </w:pPr>
    </w:p>
    <w:p>
      <w:pPr>
        <w:pStyle w:val="20"/>
        <w:spacing w:before="312" w:after="468"/>
      </w:pPr>
      <w:bookmarkStart w:id="16" w:name="_Toc9070"/>
      <w:r>
        <w:t>《X01100001-思想道德修养与法律基础》教学大纲</w:t>
      </w:r>
      <w:bookmarkEnd w:id="16"/>
      <w:r>
        <w:t xml:space="preserve"> </w:t>
      </w:r>
    </w:p>
    <w:p>
      <w:pPr>
        <w:adjustRightInd w:val="0"/>
        <w:snapToGrid w:val="0"/>
        <w:spacing w:line="360" w:lineRule="auto"/>
        <w:rPr>
          <w:rFonts w:eastAsiaTheme="majorEastAsia"/>
        </w:rPr>
      </w:pPr>
      <w:r>
        <w:rPr>
          <w:rFonts w:eastAsia="黑体"/>
          <w:szCs w:val="21"/>
        </w:rPr>
        <w:t>课程编号：</w:t>
      </w:r>
      <w:r>
        <w:rPr>
          <w:rFonts w:eastAsiaTheme="majorEastAsia"/>
        </w:rPr>
        <w:t>X01100001</w:t>
      </w:r>
    </w:p>
    <w:p>
      <w:pPr>
        <w:snapToGrid w:val="0"/>
        <w:spacing w:line="360" w:lineRule="auto"/>
        <w:rPr>
          <w:snapToGrid w:val="0"/>
          <w:kern w:val="0"/>
          <w:szCs w:val="21"/>
        </w:rPr>
      </w:pPr>
      <w:r>
        <w:rPr>
          <w:rFonts w:eastAsia="黑体"/>
          <w:szCs w:val="21"/>
        </w:rPr>
        <w:t>课程名称：</w:t>
      </w:r>
      <w:r>
        <w:rPr>
          <w:szCs w:val="21"/>
        </w:rPr>
        <w:t>思想道德修养与法律基础</w:t>
      </w:r>
      <w:r>
        <w:rPr>
          <w:szCs w:val="21"/>
        </w:rPr>
        <w:tab/>
      </w:r>
      <w:r>
        <w:rPr>
          <w:szCs w:val="21"/>
        </w:rPr>
        <w:tab/>
      </w:r>
      <w:r>
        <w:rPr>
          <w:rFonts w:eastAsia="黑体"/>
          <w:szCs w:val="21"/>
        </w:rPr>
        <w:t>开课单位：</w:t>
      </w:r>
      <w:r>
        <w:rPr>
          <w:rFonts w:eastAsiaTheme="majorEastAsia"/>
        </w:rPr>
        <w:t>马克思主义学院</w:t>
      </w:r>
      <w:r>
        <w:rPr>
          <w:rFonts w:eastAsia="黑体"/>
          <w:b/>
        </w:rPr>
        <w:t xml:space="preserve"> </w:t>
      </w:r>
    </w:p>
    <w:p>
      <w:pPr>
        <w:adjustRightInd w:val="0"/>
        <w:snapToGrid w:val="0"/>
        <w:spacing w:line="360" w:lineRule="auto"/>
        <w:rPr>
          <w:rFonts w:eastAsia="黑体"/>
          <w:szCs w:val="21"/>
        </w:rPr>
      </w:pPr>
      <w:r>
        <w:rPr>
          <w:rFonts w:eastAsia="黑体"/>
          <w:szCs w:val="21"/>
        </w:rPr>
        <w:t>总 学 时：</w:t>
      </w:r>
      <w:r>
        <w:rPr>
          <w:szCs w:val="21"/>
        </w:rPr>
        <w:t>40</w:t>
      </w:r>
      <w:r>
        <w:rPr>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学    分：</w:t>
      </w:r>
      <w:r>
        <w:rPr>
          <w:szCs w:val="21"/>
        </w:rPr>
        <w:t>2.5</w:t>
      </w:r>
    </w:p>
    <w:p>
      <w:pPr>
        <w:adjustRightInd w:val="0"/>
        <w:snapToGrid w:val="0"/>
        <w:spacing w:line="360" w:lineRule="auto"/>
        <w:rPr>
          <w:rFonts w:eastAsia="黑体"/>
          <w:szCs w:val="21"/>
        </w:rPr>
      </w:pPr>
      <w:r>
        <w:rPr>
          <w:rFonts w:eastAsia="黑体"/>
          <w:szCs w:val="21"/>
        </w:rPr>
        <w:t>适用专业：</w:t>
      </w:r>
      <w:r>
        <w:rPr>
          <w:rFonts w:eastAsiaTheme="majorEastAsia"/>
          <w:szCs w:val="21"/>
        </w:rPr>
        <w:t>工程类各专业</w:t>
      </w:r>
    </w:p>
    <w:p>
      <w:pPr>
        <w:snapToGrid w:val="0"/>
        <w:spacing w:line="360" w:lineRule="auto"/>
        <w:rPr>
          <w:rFonts w:eastAsia="黑体"/>
          <w:szCs w:val="21"/>
        </w:rPr>
      </w:pPr>
      <w:r>
        <w:rPr>
          <w:rFonts w:eastAsia="黑体"/>
          <w:szCs w:val="21"/>
        </w:rPr>
        <w:t>先修课程：</w:t>
      </w:r>
      <w:r>
        <w:rPr>
          <w:rFonts w:eastAsiaTheme="majorEastAsia"/>
          <w:szCs w:val="21"/>
        </w:rPr>
        <w:t>无</w:t>
      </w:r>
    </w:p>
    <w:p>
      <w:pPr>
        <w:adjustRightInd w:val="0"/>
        <w:snapToGrid w:val="0"/>
        <w:spacing w:line="360" w:lineRule="auto"/>
        <w:rPr>
          <w:rFonts w:eastAsiaTheme="minorEastAsia"/>
          <w:szCs w:val="21"/>
        </w:rPr>
      </w:pPr>
      <w:r>
        <w:rPr>
          <w:rFonts w:eastAsia="黑体"/>
          <w:szCs w:val="21"/>
        </w:rPr>
        <w:t>大纲编写（修订）时间：</w:t>
      </w:r>
      <w:r>
        <w:rPr>
          <w:rFonts w:eastAsiaTheme="minorEastAsia"/>
          <w:szCs w:val="21"/>
        </w:rPr>
        <w:t>2019年4月</w:t>
      </w:r>
    </w:p>
    <w:p>
      <w:pPr>
        <w:adjustRightInd w:val="0"/>
        <w:snapToGrid w:val="0"/>
        <w:spacing w:line="360" w:lineRule="auto"/>
      </w:pPr>
    </w:p>
    <w:p>
      <w:pPr>
        <w:snapToGrid w:val="0"/>
        <w:spacing w:line="360" w:lineRule="auto"/>
        <w:rPr>
          <w:b/>
          <w:szCs w:val="21"/>
        </w:rPr>
      </w:pPr>
      <w:r>
        <w:rPr>
          <w:rFonts w:eastAsia="黑体"/>
          <w:szCs w:val="21"/>
        </w:rPr>
        <w:t>一、课程在教学计划中地位、作用</w:t>
      </w:r>
    </w:p>
    <w:p>
      <w:pPr>
        <w:snapToGrid w:val="0"/>
        <w:spacing w:line="360" w:lineRule="auto"/>
        <w:ind w:firstLine="420" w:firstLineChars="200"/>
        <w:rPr>
          <w:b/>
          <w:szCs w:val="21"/>
        </w:rPr>
      </w:pPr>
      <w:r>
        <w:rPr>
          <w:szCs w:val="21"/>
        </w:rPr>
        <w:t>本课程是公共必修课，课程以马克思主义毛泽东思想、邓小平理论为指导，以社会主义核心价值体系为主线，根据大学生成长的基本规律，以本科生的成才为核心以人生观、价值观、道德观、职业观和与学生成才有关的法律知识为主要内容，帮助大学生加强自身思想道德修养，增强法律意识的一门课程。主要进行社会主义道德教育和法制教育，以正确的世界观、人生观、价值观和道德观、法制观教育为主线和内容，以社会主义荣辱观贯穿和统领，通过理论学习和实践体验，帮助大学生提高思想道德素质和法律素质，解决大学生成长成才过程中遇到的实际问题。</w:t>
      </w:r>
    </w:p>
    <w:p>
      <w:pPr>
        <w:snapToGrid w:val="0"/>
        <w:spacing w:line="360" w:lineRule="auto"/>
        <w:rPr>
          <w:rFonts w:eastAsia="黑体"/>
          <w:szCs w:val="21"/>
        </w:rPr>
      </w:pPr>
    </w:p>
    <w:p>
      <w:pPr>
        <w:snapToGrid w:val="0"/>
        <w:spacing w:line="360" w:lineRule="auto"/>
        <w:rPr>
          <w:rFonts w:eastAsia="黑体"/>
          <w:szCs w:val="21"/>
        </w:rPr>
      </w:pPr>
      <w:r>
        <w:rPr>
          <w:rFonts w:eastAsia="黑体"/>
          <w:szCs w:val="21"/>
        </w:rPr>
        <w:t>二、课程目标</w:t>
      </w:r>
    </w:p>
    <w:p>
      <w:pPr>
        <w:snapToGrid w:val="0"/>
        <w:spacing w:line="360" w:lineRule="auto"/>
        <w:ind w:firstLine="420" w:firstLineChars="200"/>
        <w:rPr>
          <w:szCs w:val="21"/>
        </w:rPr>
      </w:pPr>
      <w:r>
        <w:rPr>
          <w:szCs w:val="21"/>
        </w:rPr>
        <w:t>本大纲适用于工程类专业选择使用，专业在选用时要关注本课程目标是否与专业培养方案设定的能力矩阵一致。</w:t>
      </w:r>
    </w:p>
    <w:tbl>
      <w:tblPr>
        <w:tblStyle w:val="22"/>
        <w:tblW w:w="8170" w:type="dxa"/>
        <w:tblInd w:w="13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848"/>
        <w:gridCol w:w="36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15" w:hRule="atLeast"/>
        </w:trPr>
        <w:tc>
          <w:tcPr>
            <w:tcW w:w="660" w:type="dxa"/>
            <w:vAlign w:val="center"/>
          </w:tcPr>
          <w:p>
            <w:pPr>
              <w:spacing w:line="360" w:lineRule="auto"/>
              <w:jc w:val="center"/>
              <w:rPr>
                <w:sz w:val="18"/>
                <w:szCs w:val="18"/>
              </w:rPr>
            </w:pPr>
            <w:r>
              <w:rPr>
                <w:sz w:val="18"/>
                <w:szCs w:val="18"/>
              </w:rPr>
              <w:t>序号</w:t>
            </w:r>
          </w:p>
        </w:tc>
        <w:tc>
          <w:tcPr>
            <w:tcW w:w="3848" w:type="dxa"/>
            <w:vAlign w:val="center"/>
          </w:tcPr>
          <w:p>
            <w:pPr>
              <w:spacing w:line="360" w:lineRule="auto"/>
              <w:jc w:val="center"/>
              <w:rPr>
                <w:sz w:val="18"/>
                <w:szCs w:val="18"/>
              </w:rPr>
            </w:pPr>
            <w:r>
              <w:rPr>
                <w:sz w:val="18"/>
                <w:szCs w:val="18"/>
              </w:rPr>
              <w:t>课程目标</w:t>
            </w:r>
          </w:p>
        </w:tc>
        <w:tc>
          <w:tcPr>
            <w:tcW w:w="3662" w:type="dxa"/>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snapToGrid w:val="0"/>
              <w:spacing w:line="360" w:lineRule="auto"/>
              <w:jc w:val="center"/>
              <w:rPr>
                <w:sz w:val="18"/>
                <w:szCs w:val="18"/>
              </w:rPr>
            </w:pPr>
            <w:r>
              <w:rPr>
                <w:sz w:val="18"/>
                <w:szCs w:val="18"/>
              </w:rPr>
              <w:t>1</w:t>
            </w:r>
          </w:p>
        </w:tc>
        <w:tc>
          <w:tcPr>
            <w:tcW w:w="3848" w:type="dxa"/>
          </w:tcPr>
          <w:p>
            <w:pPr>
              <w:snapToGrid w:val="0"/>
              <w:spacing w:line="360" w:lineRule="auto"/>
              <w:rPr>
                <w:sz w:val="18"/>
                <w:szCs w:val="18"/>
              </w:rPr>
            </w:pPr>
            <w:r>
              <w:rPr>
                <w:sz w:val="18"/>
                <w:szCs w:val="18"/>
              </w:rPr>
              <w:t>使大学生形成正确的人生价值观，树立崇高的理想信念。引导学生在全球化的背景下，弘扬以爱国主义为核心的民族精神和以改革创新为核心的时代精神，做坚定的爱国者。根据公民道德建设的主要内容、基本要求和大学生思想道德现状，培养大学生良好的道德品质。</w:t>
            </w:r>
          </w:p>
        </w:tc>
        <w:tc>
          <w:tcPr>
            <w:tcW w:w="3662" w:type="dxa"/>
          </w:tcPr>
          <w:p>
            <w:pPr>
              <w:snapToGrid w:val="0"/>
              <w:spacing w:line="360" w:lineRule="auto"/>
              <w:rPr>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p>
            <w:pPr>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snapToGrid w:val="0"/>
              <w:spacing w:line="360" w:lineRule="auto"/>
              <w:jc w:val="center"/>
              <w:rPr>
                <w:sz w:val="18"/>
                <w:szCs w:val="18"/>
              </w:rPr>
            </w:pPr>
            <w:r>
              <w:rPr>
                <w:sz w:val="18"/>
                <w:szCs w:val="18"/>
              </w:rPr>
              <w:t>2</w:t>
            </w:r>
          </w:p>
        </w:tc>
        <w:tc>
          <w:tcPr>
            <w:tcW w:w="3848" w:type="dxa"/>
          </w:tcPr>
          <w:p>
            <w:pPr>
              <w:snapToGrid w:val="0"/>
              <w:spacing w:line="360" w:lineRule="auto"/>
              <w:rPr>
                <w:sz w:val="18"/>
                <w:szCs w:val="18"/>
              </w:rPr>
            </w:pPr>
            <w:r>
              <w:rPr>
                <w:sz w:val="18"/>
                <w:szCs w:val="18"/>
              </w:rPr>
              <w:t>帮助大学生掌握马克思主义法学的基本观点，了解我国宪法和有关基本法律的精神和规定，增强大学生的社会主义法制观念和法律意识。</w:t>
            </w:r>
          </w:p>
        </w:tc>
        <w:tc>
          <w:tcPr>
            <w:tcW w:w="3662" w:type="dxa"/>
          </w:tcPr>
          <w:p>
            <w:pPr>
              <w:snapToGrid w:val="0"/>
              <w:spacing w:line="360" w:lineRule="auto"/>
              <w:rPr>
                <w:kern w:val="0"/>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tc>
      </w:tr>
    </w:tbl>
    <w:p>
      <w:pPr>
        <w:snapToGrid w:val="0"/>
        <w:spacing w:line="360" w:lineRule="auto"/>
        <w:rPr>
          <w:rFonts w:eastAsia="黑体"/>
          <w:szCs w:val="21"/>
        </w:rPr>
      </w:pPr>
    </w:p>
    <w:p>
      <w:pPr>
        <w:snapToGrid w:val="0"/>
        <w:spacing w:line="360" w:lineRule="auto"/>
        <w:rPr>
          <w:rFonts w:eastAsia="黑体"/>
          <w:szCs w:val="21"/>
        </w:rPr>
      </w:pPr>
      <w:r>
        <w:rPr>
          <w:rFonts w:eastAsia="黑体"/>
          <w:szCs w:val="21"/>
        </w:rPr>
        <w:t>三、教学内容及基本要求</w:t>
      </w:r>
    </w:p>
    <w:p>
      <w:pPr>
        <w:adjustRightInd w:val="0"/>
        <w:snapToGrid w:val="0"/>
        <w:spacing w:line="360" w:lineRule="auto"/>
        <w:ind w:left="420" w:leftChars="200"/>
        <w:rPr>
          <w:rFonts w:eastAsiaTheme="majorEastAsia"/>
          <w:b/>
          <w:bCs/>
          <w:szCs w:val="21"/>
        </w:rPr>
      </w:pPr>
      <w:r>
        <w:rPr>
          <w:rFonts w:eastAsia="黑体"/>
          <w:szCs w:val="21"/>
        </w:rPr>
        <w:t>绪言（4学时）</w:t>
      </w:r>
    </w:p>
    <w:p>
      <w:pPr>
        <w:numPr>
          <w:ilvl w:val="0"/>
          <w:numId w:val="2"/>
        </w:numPr>
        <w:snapToGrid w:val="0"/>
        <w:spacing w:line="360" w:lineRule="auto"/>
        <w:ind w:firstLine="420" w:firstLineChars="200"/>
        <w:rPr>
          <w:szCs w:val="21"/>
        </w:rPr>
      </w:pPr>
      <w:r>
        <w:rPr>
          <w:szCs w:val="21"/>
        </w:rPr>
        <w:t>我们处在中国特色社会主义新时代</w:t>
      </w:r>
    </w:p>
    <w:p>
      <w:pPr>
        <w:snapToGrid w:val="0"/>
        <w:spacing w:line="360" w:lineRule="auto"/>
        <w:ind w:firstLine="420" w:firstLineChars="200"/>
        <w:rPr>
          <w:szCs w:val="21"/>
        </w:rPr>
      </w:pPr>
      <w:r>
        <w:rPr>
          <w:szCs w:val="21"/>
        </w:rPr>
        <w:t>2. 时代新人要以民族复兴为己任</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left="420" w:leftChars="200"/>
        <w:rPr>
          <w:rFonts w:eastAsia="黑体"/>
          <w:bCs/>
          <w:szCs w:val="21"/>
        </w:rPr>
      </w:pPr>
      <w:r>
        <w:rPr>
          <w:rFonts w:eastAsia="黑体"/>
          <w:bCs/>
          <w:szCs w:val="21"/>
        </w:rPr>
        <w:t>第一章  人生的青春之问</w:t>
      </w:r>
      <w:r>
        <w:rPr>
          <w:rFonts w:eastAsia="黑体"/>
          <w:szCs w:val="21"/>
        </w:rPr>
        <w:t>（6学时）</w:t>
      </w:r>
    </w:p>
    <w:p>
      <w:pPr>
        <w:snapToGrid w:val="0"/>
        <w:spacing w:line="360" w:lineRule="auto"/>
        <w:ind w:firstLine="420" w:firstLineChars="200"/>
        <w:rPr>
          <w:szCs w:val="21"/>
        </w:rPr>
      </w:pPr>
      <w:r>
        <w:rPr>
          <w:szCs w:val="21"/>
        </w:rPr>
        <w:t xml:space="preserve">1. 人生观是对人生的总看法 </w:t>
      </w:r>
    </w:p>
    <w:p>
      <w:pPr>
        <w:snapToGrid w:val="0"/>
        <w:spacing w:line="360" w:lineRule="auto"/>
        <w:ind w:firstLine="420" w:firstLineChars="200"/>
        <w:rPr>
          <w:szCs w:val="21"/>
        </w:rPr>
      </w:pPr>
      <w:r>
        <w:rPr>
          <w:szCs w:val="21"/>
        </w:rPr>
        <w:t>2. 正确的人生观</w:t>
      </w:r>
    </w:p>
    <w:p>
      <w:pPr>
        <w:snapToGrid w:val="0"/>
        <w:spacing w:line="360" w:lineRule="auto"/>
        <w:ind w:firstLine="420" w:firstLineChars="200"/>
        <w:rPr>
          <w:szCs w:val="21"/>
        </w:rPr>
      </w:pPr>
      <w:r>
        <w:rPr>
          <w:szCs w:val="21"/>
        </w:rPr>
        <w:t>3. 人生价值的评价与实现</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left="420" w:leftChars="200"/>
        <w:rPr>
          <w:szCs w:val="21"/>
        </w:rPr>
      </w:pPr>
      <w:r>
        <w:rPr>
          <w:rFonts w:eastAsia="黑体"/>
          <w:szCs w:val="21"/>
        </w:rPr>
        <w:t>第二章 坚定理想信念（6学时）</w:t>
      </w:r>
    </w:p>
    <w:p>
      <w:pPr>
        <w:snapToGrid w:val="0"/>
        <w:spacing w:line="360" w:lineRule="auto"/>
        <w:ind w:firstLine="420" w:firstLineChars="200"/>
        <w:rPr>
          <w:szCs w:val="21"/>
        </w:rPr>
      </w:pPr>
      <w:r>
        <w:rPr>
          <w:szCs w:val="21"/>
        </w:rPr>
        <w:t>1. 理想信念的内涵及重要性</w:t>
      </w:r>
    </w:p>
    <w:p>
      <w:pPr>
        <w:snapToGrid w:val="0"/>
        <w:spacing w:line="360" w:lineRule="auto"/>
        <w:ind w:firstLine="420" w:firstLineChars="200"/>
        <w:rPr>
          <w:szCs w:val="21"/>
        </w:rPr>
      </w:pPr>
      <w:r>
        <w:rPr>
          <w:szCs w:val="21"/>
        </w:rPr>
        <w:t>2. 崇高的理想信念</w:t>
      </w:r>
    </w:p>
    <w:p>
      <w:pPr>
        <w:snapToGrid w:val="0"/>
        <w:spacing w:line="360" w:lineRule="auto"/>
        <w:ind w:firstLine="420" w:firstLineChars="200"/>
        <w:rPr>
          <w:szCs w:val="21"/>
        </w:rPr>
      </w:pPr>
      <w:r>
        <w:rPr>
          <w:szCs w:val="21"/>
        </w:rPr>
        <w:t>3. 在实现中国梦的实践中放飞青春梦想</w:t>
      </w:r>
    </w:p>
    <w:p>
      <w:pPr>
        <w:adjustRightInd w:val="0"/>
        <w:snapToGrid w:val="0"/>
        <w:spacing w:line="360" w:lineRule="auto"/>
        <w:ind w:firstLine="420" w:firstLineChars="200"/>
        <w:rPr>
          <w:b/>
          <w:szCs w:val="21"/>
        </w:rPr>
      </w:pPr>
      <w:r>
        <w:rPr>
          <w:szCs w:val="21"/>
        </w:rPr>
        <w:t>本章节内容支撑课程目标 1。</w:t>
      </w:r>
    </w:p>
    <w:p>
      <w:pPr>
        <w:snapToGrid w:val="0"/>
        <w:spacing w:line="360" w:lineRule="auto"/>
        <w:ind w:left="420" w:leftChars="200"/>
        <w:rPr>
          <w:szCs w:val="21"/>
        </w:rPr>
      </w:pPr>
      <w:r>
        <w:rPr>
          <w:rFonts w:eastAsia="黑体"/>
          <w:bCs/>
          <w:szCs w:val="21"/>
        </w:rPr>
        <w:t xml:space="preserve">第三章 </w:t>
      </w:r>
      <w:r>
        <w:rPr>
          <w:rFonts w:eastAsia="黑体"/>
          <w:szCs w:val="21"/>
        </w:rPr>
        <w:t>弘扬中国精神（6学时）</w:t>
      </w:r>
    </w:p>
    <w:p>
      <w:pPr>
        <w:snapToGrid w:val="0"/>
        <w:spacing w:line="360" w:lineRule="auto"/>
        <w:ind w:firstLine="420" w:firstLineChars="200"/>
        <w:rPr>
          <w:szCs w:val="21"/>
        </w:rPr>
      </w:pPr>
      <w:r>
        <w:rPr>
          <w:szCs w:val="21"/>
        </w:rPr>
        <w:t xml:space="preserve">1. 中国精神是兴国强国之魂 </w:t>
      </w:r>
    </w:p>
    <w:p>
      <w:pPr>
        <w:snapToGrid w:val="0"/>
        <w:spacing w:line="360" w:lineRule="auto"/>
        <w:ind w:firstLine="420" w:firstLineChars="200"/>
        <w:rPr>
          <w:szCs w:val="21"/>
        </w:rPr>
      </w:pPr>
      <w:r>
        <w:rPr>
          <w:szCs w:val="21"/>
        </w:rPr>
        <w:t>2. 爱国主义及其时代要求</w:t>
      </w:r>
    </w:p>
    <w:p>
      <w:pPr>
        <w:snapToGrid w:val="0"/>
        <w:spacing w:line="360" w:lineRule="auto"/>
        <w:ind w:firstLine="420" w:firstLineChars="200"/>
        <w:rPr>
          <w:szCs w:val="21"/>
        </w:rPr>
      </w:pPr>
      <w:r>
        <w:rPr>
          <w:szCs w:val="21"/>
        </w:rPr>
        <w:t>3. 让改革创新成为青春远航的动力</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left="420" w:leftChars="200"/>
        <w:rPr>
          <w:szCs w:val="21"/>
        </w:rPr>
      </w:pPr>
      <w:r>
        <w:rPr>
          <w:rFonts w:eastAsia="黑体"/>
          <w:szCs w:val="21"/>
        </w:rPr>
        <w:t>第四章 践行社会主义核心价值观（4学时）</w:t>
      </w:r>
    </w:p>
    <w:p>
      <w:pPr>
        <w:adjustRightInd w:val="0"/>
        <w:snapToGrid w:val="0"/>
        <w:spacing w:line="360" w:lineRule="auto"/>
        <w:ind w:firstLine="420" w:firstLineChars="200"/>
        <w:rPr>
          <w:szCs w:val="21"/>
        </w:rPr>
      </w:pPr>
      <w:r>
        <w:rPr>
          <w:szCs w:val="21"/>
        </w:rPr>
        <w:t xml:space="preserve">1. 全体人民共同价值追求 </w:t>
      </w:r>
    </w:p>
    <w:p>
      <w:pPr>
        <w:adjustRightInd w:val="0"/>
        <w:snapToGrid w:val="0"/>
        <w:spacing w:line="360" w:lineRule="auto"/>
        <w:ind w:firstLine="420" w:firstLineChars="200"/>
        <w:rPr>
          <w:szCs w:val="21"/>
        </w:rPr>
      </w:pPr>
      <w:r>
        <w:rPr>
          <w:szCs w:val="21"/>
        </w:rPr>
        <w:t>2. 坚定价值观自信</w:t>
      </w:r>
    </w:p>
    <w:p>
      <w:pPr>
        <w:adjustRightInd w:val="0"/>
        <w:snapToGrid w:val="0"/>
        <w:spacing w:line="360" w:lineRule="auto"/>
        <w:ind w:firstLine="420" w:firstLineChars="200"/>
        <w:rPr>
          <w:szCs w:val="21"/>
        </w:rPr>
      </w:pPr>
      <w:r>
        <w:rPr>
          <w:szCs w:val="21"/>
        </w:rPr>
        <w:t>3. 做社会主义核心价值观践行者</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left="420" w:leftChars="200"/>
        <w:rPr>
          <w:rFonts w:eastAsia="黑体"/>
          <w:szCs w:val="21"/>
        </w:rPr>
      </w:pPr>
      <w:r>
        <w:rPr>
          <w:rFonts w:eastAsia="黑体"/>
          <w:szCs w:val="21"/>
        </w:rPr>
        <w:t>第五章 明大德守公德严私德（7学时）</w:t>
      </w:r>
    </w:p>
    <w:p>
      <w:pPr>
        <w:snapToGrid w:val="0"/>
        <w:spacing w:line="360" w:lineRule="auto"/>
        <w:ind w:firstLine="420" w:firstLineChars="200"/>
        <w:rPr>
          <w:rFonts w:eastAsiaTheme="majorEastAsia"/>
          <w:szCs w:val="21"/>
        </w:rPr>
      </w:pPr>
      <w:r>
        <w:rPr>
          <w:rFonts w:eastAsiaTheme="majorEastAsia"/>
          <w:szCs w:val="21"/>
        </w:rPr>
        <w:t xml:space="preserve">1. 道德及其变化发展 </w:t>
      </w:r>
    </w:p>
    <w:p>
      <w:pPr>
        <w:snapToGrid w:val="0"/>
        <w:spacing w:line="360" w:lineRule="auto"/>
        <w:ind w:firstLine="420" w:firstLineChars="200"/>
        <w:rPr>
          <w:rFonts w:eastAsiaTheme="majorEastAsia"/>
          <w:szCs w:val="21"/>
        </w:rPr>
      </w:pPr>
      <w:r>
        <w:rPr>
          <w:rFonts w:eastAsiaTheme="majorEastAsia"/>
          <w:szCs w:val="21"/>
        </w:rPr>
        <w:t>2. 吸收借鉴优秀道德成果</w:t>
      </w:r>
    </w:p>
    <w:p>
      <w:pPr>
        <w:snapToGrid w:val="0"/>
        <w:spacing w:line="360" w:lineRule="auto"/>
        <w:ind w:firstLine="420" w:firstLineChars="200"/>
        <w:rPr>
          <w:rFonts w:eastAsiaTheme="majorEastAsia"/>
          <w:szCs w:val="21"/>
        </w:rPr>
      </w:pPr>
      <w:r>
        <w:rPr>
          <w:rFonts w:eastAsiaTheme="majorEastAsia"/>
          <w:szCs w:val="21"/>
        </w:rPr>
        <w:t>3. 遵守公民道德准则</w:t>
      </w:r>
    </w:p>
    <w:p>
      <w:pPr>
        <w:snapToGrid w:val="0"/>
        <w:spacing w:line="360" w:lineRule="auto"/>
        <w:ind w:firstLine="420" w:firstLineChars="200"/>
        <w:rPr>
          <w:rFonts w:eastAsiaTheme="majorEastAsia"/>
          <w:szCs w:val="21"/>
        </w:rPr>
      </w:pPr>
      <w:r>
        <w:rPr>
          <w:rFonts w:eastAsiaTheme="majorEastAsia"/>
          <w:szCs w:val="21"/>
        </w:rPr>
        <w:t>4. 向上向善、知行合一</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left="420" w:leftChars="200"/>
        <w:rPr>
          <w:rFonts w:eastAsia="黑体"/>
          <w:szCs w:val="21"/>
        </w:rPr>
      </w:pPr>
      <w:r>
        <w:rPr>
          <w:rFonts w:eastAsia="黑体"/>
          <w:szCs w:val="21"/>
        </w:rPr>
        <w:t xml:space="preserve">第六章 </w:t>
      </w:r>
      <w:r>
        <w:rPr>
          <w:rFonts w:eastAsia="黑体"/>
        </w:rPr>
        <w:t>尊法学法守法用法</w:t>
      </w:r>
      <w:r>
        <w:rPr>
          <w:rFonts w:eastAsia="黑体"/>
          <w:szCs w:val="21"/>
        </w:rPr>
        <w:t>（7学时）</w:t>
      </w:r>
    </w:p>
    <w:p>
      <w:pPr>
        <w:snapToGrid w:val="0"/>
        <w:spacing w:line="360" w:lineRule="auto"/>
        <w:ind w:firstLine="420" w:firstLineChars="200"/>
        <w:rPr>
          <w:szCs w:val="21"/>
        </w:rPr>
      </w:pPr>
      <w:r>
        <w:rPr>
          <w:szCs w:val="21"/>
        </w:rPr>
        <w:t>1. 社会主义法律的特征和运行</w:t>
      </w:r>
    </w:p>
    <w:p>
      <w:pPr>
        <w:snapToGrid w:val="0"/>
        <w:spacing w:line="360" w:lineRule="auto"/>
        <w:ind w:firstLine="420" w:firstLineChars="200"/>
        <w:rPr>
          <w:szCs w:val="21"/>
        </w:rPr>
      </w:pPr>
      <w:r>
        <w:rPr>
          <w:szCs w:val="21"/>
        </w:rPr>
        <w:t>2. 宪法为核心的中国特色社会主义法律体系</w:t>
      </w:r>
    </w:p>
    <w:p>
      <w:pPr>
        <w:snapToGrid w:val="0"/>
        <w:spacing w:line="360" w:lineRule="auto"/>
        <w:ind w:firstLine="420" w:firstLineChars="200"/>
        <w:rPr>
          <w:szCs w:val="21"/>
        </w:rPr>
      </w:pPr>
      <w:r>
        <w:rPr>
          <w:szCs w:val="21"/>
        </w:rPr>
        <w:t xml:space="preserve">3. 建设中国特色社会主义法治体系 </w:t>
      </w:r>
    </w:p>
    <w:p>
      <w:pPr>
        <w:snapToGrid w:val="0"/>
        <w:spacing w:line="360" w:lineRule="auto"/>
        <w:ind w:firstLine="420" w:firstLineChars="200"/>
        <w:rPr>
          <w:szCs w:val="21"/>
        </w:rPr>
      </w:pPr>
      <w:r>
        <w:rPr>
          <w:szCs w:val="21"/>
        </w:rPr>
        <w:t>4. 坚持走中国特色社会主义法治道路</w:t>
      </w:r>
    </w:p>
    <w:p>
      <w:pPr>
        <w:snapToGrid w:val="0"/>
        <w:spacing w:line="360" w:lineRule="auto"/>
        <w:ind w:firstLine="420" w:firstLineChars="200"/>
        <w:rPr>
          <w:szCs w:val="21"/>
        </w:rPr>
      </w:pPr>
      <w:r>
        <w:rPr>
          <w:szCs w:val="21"/>
        </w:rPr>
        <w:t>5. 培养法治思维</w:t>
      </w:r>
    </w:p>
    <w:p>
      <w:pPr>
        <w:snapToGrid w:val="0"/>
        <w:spacing w:line="360" w:lineRule="auto"/>
        <w:ind w:firstLine="420" w:firstLineChars="200"/>
        <w:rPr>
          <w:szCs w:val="21"/>
        </w:rPr>
      </w:pPr>
      <w:r>
        <w:rPr>
          <w:szCs w:val="21"/>
        </w:rPr>
        <w:t>6. 依法行使权利与履行义务</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szCs w:val="21"/>
        </w:rPr>
      </w:pPr>
    </w:p>
    <w:p>
      <w:pPr>
        <w:numPr>
          <w:ilvl w:val="0"/>
          <w:numId w:val="3"/>
        </w:numPr>
        <w:tabs>
          <w:tab w:val="left" w:pos="420"/>
        </w:tabs>
        <w:snapToGrid w:val="0"/>
        <w:spacing w:line="360" w:lineRule="auto"/>
        <w:ind w:left="420" w:hanging="420"/>
        <w:rPr>
          <w:rFonts w:eastAsia="黑体"/>
          <w:szCs w:val="21"/>
        </w:rPr>
      </w:pPr>
      <w:r>
        <w:rPr>
          <w:rFonts w:eastAsia="黑体"/>
          <w:szCs w:val="21"/>
        </w:rPr>
        <w:t>实验教学内容</w:t>
      </w:r>
    </w:p>
    <w:p>
      <w:pPr>
        <w:snapToGrid w:val="0"/>
        <w:spacing w:line="360" w:lineRule="auto"/>
        <w:ind w:firstLine="424"/>
        <w:rPr>
          <w:kern w:val="0"/>
          <w:szCs w:val="21"/>
        </w:rPr>
      </w:pPr>
      <w:r>
        <w:rPr>
          <w:kern w:val="0"/>
          <w:szCs w:val="21"/>
        </w:rPr>
        <w:t>无。</w:t>
      </w:r>
    </w:p>
    <w:p>
      <w:pPr>
        <w:snapToGrid w:val="0"/>
        <w:spacing w:line="360" w:lineRule="auto"/>
        <w:rPr>
          <w:rFonts w:eastAsia="黑体"/>
          <w:szCs w:val="21"/>
        </w:rPr>
      </w:pPr>
    </w:p>
    <w:p>
      <w:pPr>
        <w:snapToGrid w:val="0"/>
        <w:spacing w:line="360" w:lineRule="auto"/>
        <w:rPr>
          <w:rFonts w:eastAsia="黑体"/>
          <w:szCs w:val="21"/>
        </w:rPr>
      </w:pPr>
      <w:r>
        <w:rPr>
          <w:rFonts w:eastAsia="黑体"/>
          <w:szCs w:val="21"/>
        </w:rPr>
        <w:t>五、学时分配</w:t>
      </w:r>
    </w:p>
    <w:tbl>
      <w:tblPr>
        <w:tblStyle w:val="2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2"/>
        <w:gridCol w:w="1585"/>
        <w:gridCol w:w="1716"/>
        <w:gridCol w:w="8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372" w:type="dxa"/>
            <w:tcBorders>
              <w:tl2br w:val="nil"/>
              <w:tr2bl w:val="nil"/>
            </w:tcBorders>
            <w:vAlign w:val="center"/>
          </w:tcPr>
          <w:p>
            <w:pPr>
              <w:adjustRightInd w:val="0"/>
              <w:jc w:val="center"/>
              <w:rPr>
                <w:sz w:val="18"/>
                <w:szCs w:val="18"/>
              </w:rPr>
            </w:pPr>
            <w:r>
              <w:rPr>
                <w:sz w:val="18"/>
                <w:szCs w:val="18"/>
              </w:rPr>
              <w:t>章节名称</w:t>
            </w:r>
          </w:p>
        </w:tc>
        <w:tc>
          <w:tcPr>
            <w:tcW w:w="1585" w:type="dxa"/>
            <w:tcBorders>
              <w:tl2br w:val="nil"/>
              <w:tr2bl w:val="nil"/>
            </w:tcBorders>
            <w:vAlign w:val="center"/>
          </w:tcPr>
          <w:p>
            <w:pPr>
              <w:adjustRightInd w:val="0"/>
              <w:jc w:val="center"/>
              <w:rPr>
                <w:sz w:val="18"/>
                <w:szCs w:val="18"/>
              </w:rPr>
            </w:pPr>
            <w:r>
              <w:rPr>
                <w:sz w:val="18"/>
                <w:szCs w:val="18"/>
              </w:rPr>
              <w:t>讲授（学时）</w:t>
            </w:r>
          </w:p>
        </w:tc>
        <w:tc>
          <w:tcPr>
            <w:tcW w:w="1716" w:type="dxa"/>
            <w:tcBorders>
              <w:tl2br w:val="nil"/>
              <w:tr2bl w:val="nil"/>
            </w:tcBorders>
            <w:vAlign w:val="center"/>
          </w:tcPr>
          <w:p>
            <w:pPr>
              <w:adjustRightInd w:val="0"/>
              <w:jc w:val="center"/>
              <w:rPr>
                <w:sz w:val="18"/>
                <w:szCs w:val="18"/>
              </w:rPr>
            </w:pPr>
            <w:r>
              <w:rPr>
                <w:sz w:val="18"/>
                <w:szCs w:val="18"/>
              </w:rPr>
              <w:t>实验（学时）</w:t>
            </w:r>
          </w:p>
        </w:tc>
        <w:tc>
          <w:tcPr>
            <w:tcW w:w="849" w:type="dxa"/>
            <w:tcBorders>
              <w:tl2br w:val="nil"/>
              <w:tr2bl w:val="nil"/>
            </w:tcBorders>
            <w:vAlign w:val="center"/>
          </w:tcPr>
          <w:p>
            <w:pPr>
              <w:adjustRightIn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绪论</w:t>
            </w:r>
          </w:p>
        </w:tc>
        <w:tc>
          <w:tcPr>
            <w:tcW w:w="1585" w:type="dxa"/>
            <w:tcBorders>
              <w:tl2br w:val="nil"/>
              <w:tr2bl w:val="nil"/>
            </w:tcBorders>
            <w:vAlign w:val="center"/>
          </w:tcPr>
          <w:p>
            <w:pPr>
              <w:adjustRightInd w:val="0"/>
              <w:jc w:val="center"/>
              <w:rPr>
                <w:bCs/>
                <w:sz w:val="18"/>
                <w:szCs w:val="18"/>
              </w:rPr>
            </w:pPr>
            <w:r>
              <w:rPr>
                <w:bCs/>
                <w:sz w:val="18"/>
                <w:szCs w:val="18"/>
              </w:rPr>
              <w:t>4</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第一章  人生的青春之问</w:t>
            </w:r>
          </w:p>
        </w:tc>
        <w:tc>
          <w:tcPr>
            <w:tcW w:w="1585" w:type="dxa"/>
            <w:tcBorders>
              <w:tl2br w:val="nil"/>
              <w:tr2bl w:val="nil"/>
            </w:tcBorders>
            <w:vAlign w:val="center"/>
          </w:tcPr>
          <w:p>
            <w:pPr>
              <w:adjustRightInd w:val="0"/>
              <w:jc w:val="center"/>
              <w:rPr>
                <w:bCs/>
                <w:sz w:val="18"/>
                <w:szCs w:val="18"/>
              </w:rPr>
            </w:pPr>
            <w:r>
              <w:rPr>
                <w:bCs/>
                <w:sz w:val="18"/>
                <w:szCs w:val="18"/>
              </w:rPr>
              <w:t>6</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第二章  坚定理想信念</w:t>
            </w:r>
          </w:p>
        </w:tc>
        <w:tc>
          <w:tcPr>
            <w:tcW w:w="1585" w:type="dxa"/>
            <w:tcBorders>
              <w:tl2br w:val="nil"/>
              <w:tr2bl w:val="nil"/>
            </w:tcBorders>
            <w:vAlign w:val="center"/>
          </w:tcPr>
          <w:p>
            <w:pPr>
              <w:adjustRightInd w:val="0"/>
              <w:jc w:val="center"/>
              <w:rPr>
                <w:bCs/>
                <w:sz w:val="18"/>
                <w:szCs w:val="18"/>
              </w:rPr>
            </w:pPr>
            <w:r>
              <w:rPr>
                <w:bCs/>
                <w:sz w:val="18"/>
                <w:szCs w:val="18"/>
              </w:rPr>
              <w:t>6</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第三章  弘扬中国精神</w:t>
            </w:r>
          </w:p>
        </w:tc>
        <w:tc>
          <w:tcPr>
            <w:tcW w:w="1585" w:type="dxa"/>
            <w:tcBorders>
              <w:tl2br w:val="nil"/>
              <w:tr2bl w:val="nil"/>
            </w:tcBorders>
            <w:vAlign w:val="center"/>
          </w:tcPr>
          <w:p>
            <w:pPr>
              <w:adjustRightInd w:val="0"/>
              <w:jc w:val="center"/>
              <w:rPr>
                <w:bCs/>
                <w:sz w:val="18"/>
                <w:szCs w:val="18"/>
              </w:rPr>
            </w:pPr>
            <w:r>
              <w:rPr>
                <w:bCs/>
                <w:sz w:val="18"/>
                <w:szCs w:val="18"/>
              </w:rPr>
              <w:t>6</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第四章  践行社会主义核心价值观</w:t>
            </w:r>
          </w:p>
        </w:tc>
        <w:tc>
          <w:tcPr>
            <w:tcW w:w="1585" w:type="dxa"/>
            <w:tcBorders>
              <w:tl2br w:val="nil"/>
              <w:tr2bl w:val="nil"/>
            </w:tcBorders>
            <w:vAlign w:val="center"/>
          </w:tcPr>
          <w:p>
            <w:pPr>
              <w:adjustRightInd w:val="0"/>
              <w:jc w:val="center"/>
              <w:rPr>
                <w:bCs/>
                <w:sz w:val="18"/>
                <w:szCs w:val="18"/>
              </w:rPr>
            </w:pPr>
            <w:r>
              <w:rPr>
                <w:bCs/>
                <w:sz w:val="18"/>
                <w:szCs w:val="18"/>
              </w:rPr>
              <w:t>4</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第五章  明大德守公德严私德</w:t>
            </w:r>
          </w:p>
        </w:tc>
        <w:tc>
          <w:tcPr>
            <w:tcW w:w="1585" w:type="dxa"/>
            <w:tcBorders>
              <w:tl2br w:val="nil"/>
              <w:tr2bl w:val="nil"/>
            </w:tcBorders>
            <w:vAlign w:val="center"/>
          </w:tcPr>
          <w:p>
            <w:pPr>
              <w:adjustRightInd w:val="0"/>
              <w:jc w:val="center"/>
              <w:rPr>
                <w:bCs/>
                <w:sz w:val="18"/>
                <w:szCs w:val="18"/>
              </w:rPr>
            </w:pPr>
            <w:r>
              <w:rPr>
                <w:bCs/>
                <w:sz w:val="18"/>
                <w:szCs w:val="18"/>
              </w:rPr>
              <w:t>7</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72" w:type="dxa"/>
            <w:tcBorders>
              <w:tl2br w:val="nil"/>
              <w:tr2bl w:val="nil"/>
            </w:tcBorders>
            <w:vAlign w:val="center"/>
          </w:tcPr>
          <w:p>
            <w:pPr>
              <w:adjustRightInd w:val="0"/>
              <w:ind w:left="210" w:leftChars="100"/>
              <w:rPr>
                <w:bCs/>
                <w:sz w:val="18"/>
                <w:szCs w:val="18"/>
              </w:rPr>
            </w:pPr>
            <w:r>
              <w:rPr>
                <w:bCs/>
                <w:sz w:val="18"/>
                <w:szCs w:val="18"/>
              </w:rPr>
              <w:t>第六章  尊法学法守法用法</w:t>
            </w:r>
          </w:p>
        </w:tc>
        <w:tc>
          <w:tcPr>
            <w:tcW w:w="1585" w:type="dxa"/>
            <w:tcBorders>
              <w:tl2br w:val="nil"/>
              <w:tr2bl w:val="nil"/>
            </w:tcBorders>
            <w:vAlign w:val="center"/>
          </w:tcPr>
          <w:p>
            <w:pPr>
              <w:adjustRightInd w:val="0"/>
              <w:jc w:val="center"/>
              <w:rPr>
                <w:bCs/>
                <w:sz w:val="18"/>
                <w:szCs w:val="18"/>
              </w:rPr>
            </w:pPr>
            <w:r>
              <w:rPr>
                <w:bCs/>
                <w:sz w:val="18"/>
                <w:szCs w:val="18"/>
              </w:rPr>
              <w:t>7</w:t>
            </w:r>
          </w:p>
        </w:tc>
        <w:tc>
          <w:tcPr>
            <w:tcW w:w="1716"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372" w:type="dxa"/>
            <w:tcBorders>
              <w:tl2br w:val="nil"/>
              <w:tr2bl w:val="nil"/>
            </w:tcBorders>
            <w:vAlign w:val="center"/>
          </w:tcPr>
          <w:p>
            <w:pPr>
              <w:adjustRightInd w:val="0"/>
              <w:jc w:val="center"/>
              <w:rPr>
                <w:sz w:val="18"/>
                <w:szCs w:val="18"/>
              </w:rPr>
            </w:pPr>
            <w:r>
              <w:rPr>
                <w:sz w:val="18"/>
                <w:szCs w:val="18"/>
              </w:rPr>
              <w:t>合计</w:t>
            </w:r>
          </w:p>
        </w:tc>
        <w:tc>
          <w:tcPr>
            <w:tcW w:w="1585" w:type="dxa"/>
            <w:tcBorders>
              <w:tl2br w:val="nil"/>
              <w:tr2bl w:val="nil"/>
            </w:tcBorders>
            <w:vAlign w:val="center"/>
          </w:tcPr>
          <w:p>
            <w:pPr>
              <w:adjustRightInd w:val="0"/>
              <w:jc w:val="center"/>
              <w:rPr>
                <w:sz w:val="18"/>
                <w:szCs w:val="18"/>
              </w:rPr>
            </w:pPr>
            <w:r>
              <w:rPr>
                <w:sz w:val="18"/>
                <w:szCs w:val="18"/>
              </w:rPr>
              <w:t>40</w:t>
            </w:r>
          </w:p>
        </w:tc>
        <w:tc>
          <w:tcPr>
            <w:tcW w:w="1716" w:type="dxa"/>
            <w:tcBorders>
              <w:tl2br w:val="nil"/>
              <w:tr2bl w:val="nil"/>
            </w:tcBorders>
            <w:vAlign w:val="center"/>
          </w:tcPr>
          <w:p>
            <w:pPr>
              <w:adjustRightInd w:val="0"/>
              <w:jc w:val="center"/>
              <w:rPr>
                <w:sz w:val="18"/>
                <w:szCs w:val="18"/>
              </w:rPr>
            </w:pPr>
            <w:r>
              <w:rPr>
                <w:sz w:val="18"/>
                <w:szCs w:val="18"/>
              </w:rPr>
              <w:t>0</w:t>
            </w:r>
          </w:p>
        </w:tc>
        <w:tc>
          <w:tcPr>
            <w:tcW w:w="849" w:type="dxa"/>
            <w:tcBorders>
              <w:tl2br w:val="nil"/>
              <w:tr2bl w:val="nil"/>
            </w:tcBorders>
            <w:vAlign w:val="center"/>
          </w:tcPr>
          <w:p>
            <w:pPr>
              <w:adjustRightInd w:val="0"/>
              <w:jc w:val="center"/>
              <w:rPr>
                <w:sz w:val="18"/>
                <w:szCs w:val="18"/>
              </w:rPr>
            </w:pPr>
            <w:r>
              <w:rPr>
                <w:sz w:val="18"/>
                <w:szCs w:val="18"/>
              </w:rPr>
              <w:t>40</w:t>
            </w:r>
          </w:p>
        </w:tc>
      </w:tr>
    </w:tbl>
    <w:p>
      <w:pPr>
        <w:tabs>
          <w:tab w:val="left" w:pos="420"/>
        </w:tabs>
        <w:snapToGrid w:val="0"/>
        <w:spacing w:line="360" w:lineRule="auto"/>
        <w:rPr>
          <w:rFonts w:eastAsiaTheme="majorEastAsia"/>
          <w:szCs w:val="21"/>
        </w:rPr>
      </w:pPr>
    </w:p>
    <w:p>
      <w:pPr>
        <w:tabs>
          <w:tab w:val="left" w:pos="420"/>
        </w:tabs>
        <w:snapToGrid w:val="0"/>
        <w:spacing w:line="360" w:lineRule="auto"/>
        <w:rPr>
          <w:rFonts w:eastAsia="黑体"/>
        </w:rPr>
      </w:pPr>
      <w:r>
        <w:rPr>
          <w:rFonts w:eastAsia="黑体"/>
        </w:rPr>
        <w:t>六、教材、补充教材及参考资料</w:t>
      </w:r>
    </w:p>
    <w:p>
      <w:pPr>
        <w:snapToGrid w:val="0"/>
        <w:spacing w:line="360" w:lineRule="auto"/>
        <w:ind w:firstLine="420" w:firstLineChars="200"/>
        <w:rPr>
          <w:szCs w:val="21"/>
        </w:rPr>
      </w:pPr>
      <w:r>
        <w:t>1、</w:t>
      </w:r>
      <w:r>
        <w:rPr>
          <w:szCs w:val="21"/>
        </w:rPr>
        <w:t xml:space="preserve">马克思、恩格斯：《共产党宣言》，人民出版社2018年版。 </w:t>
      </w:r>
    </w:p>
    <w:p>
      <w:pPr>
        <w:snapToGrid w:val="0"/>
        <w:spacing w:line="360" w:lineRule="auto"/>
        <w:ind w:firstLine="420" w:firstLineChars="200"/>
        <w:rPr>
          <w:szCs w:val="21"/>
        </w:rPr>
      </w:pPr>
      <w:r>
        <w:rPr>
          <w:szCs w:val="21"/>
        </w:rPr>
        <w:t xml:space="preserve">2、恩格斯：《社会主义从空想到科学的发展》，人民出版社2018年版。  </w:t>
      </w:r>
    </w:p>
    <w:p>
      <w:pPr>
        <w:snapToGrid w:val="0"/>
        <w:spacing w:line="360" w:lineRule="auto"/>
        <w:ind w:firstLine="420" w:firstLineChars="200"/>
        <w:rPr>
          <w:szCs w:val="21"/>
        </w:rPr>
      </w:pPr>
      <w:r>
        <w:rPr>
          <w:szCs w:val="21"/>
        </w:rPr>
        <w:t xml:space="preserve">3、爱因斯坦：《我的世界观》，商务印书馆2018年版。 </w:t>
      </w:r>
    </w:p>
    <w:p>
      <w:pPr>
        <w:snapToGrid w:val="0"/>
        <w:spacing w:line="360" w:lineRule="auto"/>
        <w:ind w:firstLine="420" w:firstLineChars="200"/>
        <w:rPr>
          <w:szCs w:val="21"/>
        </w:rPr>
      </w:pPr>
      <w:r>
        <w:rPr>
          <w:szCs w:val="21"/>
        </w:rPr>
        <w:t xml:space="preserve">4、毛泽东：《青年运动的方向》，《毛泽东选集》第2卷，人民出版社2008年版。 </w:t>
      </w:r>
    </w:p>
    <w:p>
      <w:pPr>
        <w:snapToGrid w:val="0"/>
        <w:spacing w:line="360" w:lineRule="auto"/>
        <w:ind w:left="315" w:leftChars="150" w:firstLine="105" w:firstLineChars="50"/>
        <w:rPr>
          <w:szCs w:val="21"/>
        </w:rPr>
      </w:pPr>
      <w:r>
        <w:rPr>
          <w:szCs w:val="21"/>
        </w:rPr>
        <w:t>5、毛泽东：《为人民服务》，《毛泽东选集》第3卷，人民出版社2008年版。</w:t>
      </w:r>
    </w:p>
    <w:p>
      <w:pPr>
        <w:snapToGrid w:val="0"/>
        <w:spacing w:line="360" w:lineRule="auto"/>
        <w:ind w:left="315" w:leftChars="150" w:firstLine="105" w:firstLineChars="50"/>
        <w:rPr>
          <w:szCs w:val="21"/>
        </w:rPr>
      </w:pPr>
      <w:r>
        <w:rPr>
          <w:szCs w:val="21"/>
        </w:rPr>
        <w:t>6、中央党校采访实录编辑室:《习近平的七年知青岁月》，中共中央党校出版社2017年版。</w:t>
      </w:r>
    </w:p>
    <w:p>
      <w:pPr>
        <w:widowControl/>
        <w:snapToGrid w:val="0"/>
        <w:spacing w:line="360" w:lineRule="auto"/>
        <w:jc w:val="left"/>
        <w:rPr>
          <w:rFonts w:eastAsia="黑体"/>
        </w:rPr>
      </w:pPr>
    </w:p>
    <w:p>
      <w:pPr>
        <w:widowControl/>
        <w:snapToGrid w:val="0"/>
        <w:spacing w:line="360" w:lineRule="auto"/>
        <w:jc w:val="left"/>
        <w:rPr>
          <w:rFonts w:eastAsia="黑体"/>
        </w:rPr>
      </w:pPr>
      <w:r>
        <w:rPr>
          <w:rFonts w:eastAsia="黑体"/>
        </w:rPr>
        <w:t>七、课程目标达成评价的途径和措施</w:t>
      </w:r>
    </w:p>
    <w:p>
      <w:pPr>
        <w:snapToGrid w:val="0"/>
        <w:spacing w:line="360" w:lineRule="auto"/>
        <w:ind w:firstLine="420" w:firstLineChars="200"/>
        <w:rPr>
          <w:szCs w:val="21"/>
        </w:rPr>
      </w:pPr>
      <w:r>
        <w:rPr>
          <w:szCs w:val="21"/>
        </w:rPr>
        <w:t>1. 考核方式：线上课堂点名、资料自学、课堂讨论、线上随堂测验、课后作业情况和期末考试。</w:t>
      </w:r>
    </w:p>
    <w:p>
      <w:pPr>
        <w:snapToGrid w:val="0"/>
        <w:spacing w:line="360" w:lineRule="auto"/>
        <w:ind w:firstLine="420" w:firstLineChars="200"/>
        <w:rPr>
          <w:szCs w:val="21"/>
        </w:rPr>
      </w:pPr>
      <w:r>
        <w:rPr>
          <w:szCs w:val="21"/>
        </w:rPr>
        <w:t>2.成绩构成：</w:t>
      </w:r>
    </w:p>
    <w:p>
      <w:pPr>
        <w:snapToGrid w:val="0"/>
        <w:spacing w:line="360" w:lineRule="auto"/>
        <w:ind w:firstLine="420" w:firstLineChars="200"/>
        <w:rPr>
          <w:szCs w:val="21"/>
        </w:rPr>
      </w:pPr>
      <w:r>
        <w:rPr>
          <w:szCs w:val="21"/>
        </w:rPr>
        <w:t>本课程通过“平时成绩”和“期末考试”两种方式对课程目标达成进行评价，考核成绩计算如下（本大纲中成绩均采用百分制）：</w:t>
      </w:r>
    </w:p>
    <w:p>
      <w:pPr>
        <w:snapToGrid w:val="0"/>
        <w:spacing w:line="360" w:lineRule="auto"/>
        <w:jc w:val="center"/>
        <w:rPr>
          <w:szCs w:val="21"/>
        </w:rPr>
      </w:pPr>
      <w:r>
        <w:rPr>
          <w:szCs w:val="21"/>
        </w:rPr>
        <w:t>各环节成绩评定占比%</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637"/>
        <w:gridCol w:w="1212"/>
        <w:gridCol w:w="1166"/>
        <w:gridCol w:w="1535"/>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361"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课堂点名（平时）</w:t>
            </w:r>
          </w:p>
        </w:tc>
        <w:tc>
          <w:tcPr>
            <w:tcW w:w="1637"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资料自学（平时）</w:t>
            </w:r>
          </w:p>
        </w:tc>
        <w:tc>
          <w:tcPr>
            <w:tcW w:w="1212" w:type="dxa"/>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课堂讨论（平时）</w:t>
            </w:r>
          </w:p>
        </w:tc>
        <w:tc>
          <w:tcPr>
            <w:tcW w:w="1166" w:type="dxa"/>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线上随堂测验（平时）</w:t>
            </w:r>
          </w:p>
        </w:tc>
        <w:tc>
          <w:tcPr>
            <w:tcW w:w="1535" w:type="dxa"/>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课后作业情况（平时）</w:t>
            </w:r>
          </w:p>
        </w:tc>
        <w:tc>
          <w:tcPr>
            <w:tcW w:w="1611" w:type="dxa"/>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61" w:type="dxa"/>
            <w:tcBorders>
              <w:top w:val="single" w:color="auto" w:sz="4" w:space="0"/>
              <w:left w:val="nil"/>
              <w:bottom w:val="single" w:color="auto" w:sz="4" w:space="0"/>
              <w:right w:val="single" w:color="auto" w:sz="4" w:space="0"/>
            </w:tcBorders>
            <w:vAlign w:val="center"/>
          </w:tcPr>
          <w:p>
            <w:pPr>
              <w:jc w:val="center"/>
              <w:rPr>
                <w:bCs/>
              </w:rPr>
            </w:pPr>
            <w:r>
              <w:rPr>
                <w:bCs/>
              </w:rPr>
              <w:t>5</w:t>
            </w:r>
          </w:p>
        </w:tc>
        <w:tc>
          <w:tcPr>
            <w:tcW w:w="1637" w:type="dxa"/>
            <w:tcBorders>
              <w:top w:val="single" w:color="auto" w:sz="4" w:space="0"/>
              <w:left w:val="single" w:color="auto" w:sz="4" w:space="0"/>
              <w:bottom w:val="single" w:color="auto" w:sz="4" w:space="0"/>
              <w:right w:val="single" w:color="auto" w:sz="4" w:space="0"/>
            </w:tcBorders>
            <w:vAlign w:val="center"/>
          </w:tcPr>
          <w:p>
            <w:pPr>
              <w:jc w:val="center"/>
              <w:rPr>
                <w:bCs/>
              </w:rPr>
            </w:pPr>
            <w:r>
              <w:rPr>
                <w:bCs/>
              </w:rPr>
              <w:t>5</w:t>
            </w:r>
          </w:p>
        </w:tc>
        <w:tc>
          <w:tcPr>
            <w:tcW w:w="1212" w:type="dxa"/>
            <w:tcBorders>
              <w:top w:val="single" w:color="auto" w:sz="4" w:space="0"/>
              <w:left w:val="single" w:color="auto" w:sz="4" w:space="0"/>
              <w:bottom w:val="single" w:color="auto" w:sz="4" w:space="0"/>
              <w:right w:val="nil"/>
            </w:tcBorders>
            <w:vAlign w:val="center"/>
          </w:tcPr>
          <w:p>
            <w:pPr>
              <w:jc w:val="center"/>
              <w:rPr>
                <w:bCs/>
              </w:rPr>
            </w:pPr>
            <w:r>
              <w:rPr>
                <w:bCs/>
              </w:rPr>
              <w:t>5</w:t>
            </w:r>
          </w:p>
        </w:tc>
        <w:tc>
          <w:tcPr>
            <w:tcW w:w="1166" w:type="dxa"/>
            <w:tcBorders>
              <w:top w:val="single" w:color="auto" w:sz="4" w:space="0"/>
              <w:left w:val="single" w:color="auto" w:sz="4" w:space="0"/>
              <w:bottom w:val="single" w:color="auto" w:sz="4" w:space="0"/>
              <w:right w:val="nil"/>
            </w:tcBorders>
            <w:vAlign w:val="center"/>
          </w:tcPr>
          <w:p>
            <w:pPr>
              <w:jc w:val="center"/>
              <w:rPr>
                <w:bCs/>
              </w:rPr>
            </w:pPr>
            <w:r>
              <w:rPr>
                <w:bCs/>
              </w:rPr>
              <w:t>5</w:t>
            </w:r>
          </w:p>
        </w:tc>
        <w:tc>
          <w:tcPr>
            <w:tcW w:w="1535" w:type="dxa"/>
            <w:tcBorders>
              <w:top w:val="single" w:color="auto" w:sz="4" w:space="0"/>
              <w:left w:val="single" w:color="auto" w:sz="4" w:space="0"/>
              <w:bottom w:val="single" w:color="auto" w:sz="4" w:space="0"/>
              <w:right w:val="nil"/>
            </w:tcBorders>
            <w:vAlign w:val="center"/>
          </w:tcPr>
          <w:p>
            <w:pPr>
              <w:jc w:val="center"/>
              <w:rPr>
                <w:bCs/>
              </w:rPr>
            </w:pPr>
            <w:r>
              <w:rPr>
                <w:bCs/>
              </w:rPr>
              <w:t>10</w:t>
            </w:r>
          </w:p>
        </w:tc>
        <w:tc>
          <w:tcPr>
            <w:tcW w:w="1611" w:type="dxa"/>
            <w:tcBorders>
              <w:top w:val="single" w:color="auto" w:sz="4" w:space="0"/>
              <w:left w:val="single" w:color="auto" w:sz="4" w:space="0"/>
              <w:bottom w:val="single" w:color="auto" w:sz="4" w:space="0"/>
              <w:right w:val="nil"/>
            </w:tcBorders>
            <w:vAlign w:val="center"/>
          </w:tcPr>
          <w:p>
            <w:pPr>
              <w:jc w:val="center"/>
              <w:rPr>
                <w:bCs/>
              </w:rPr>
            </w:pPr>
            <w:r>
              <w:rPr>
                <w:bCs/>
              </w:rPr>
              <w:t>70</w:t>
            </w:r>
          </w:p>
        </w:tc>
      </w:tr>
    </w:tbl>
    <w:p>
      <w:pPr>
        <w:snapToGrid w:val="0"/>
        <w:spacing w:line="360" w:lineRule="auto"/>
        <w:rPr>
          <w:szCs w:val="21"/>
        </w:rPr>
      </w:pPr>
    </w:p>
    <w:p>
      <w:pPr>
        <w:snapToGrid w:val="0"/>
        <w:spacing w:line="360" w:lineRule="auto"/>
        <w:ind w:firstLine="420" w:firstLineChars="200"/>
        <w:rPr>
          <w:b/>
          <w:bCs/>
          <w:szCs w:val="21"/>
        </w:rPr>
      </w:pPr>
      <w:r>
        <w:rPr>
          <w:szCs w:val="21"/>
        </w:rPr>
        <w:t>指导性课程目标评价题目分数分配：</w:t>
      </w:r>
    </w:p>
    <w:tbl>
      <w:tblPr>
        <w:tblStyle w:val="22"/>
        <w:tblW w:w="8522" w:type="dxa"/>
        <w:jc w:val="center"/>
        <w:tblLayout w:type="fixed"/>
        <w:tblCellMar>
          <w:top w:w="0" w:type="dxa"/>
          <w:left w:w="108" w:type="dxa"/>
          <w:bottom w:w="0" w:type="dxa"/>
          <w:right w:w="108" w:type="dxa"/>
        </w:tblCellMar>
      </w:tblPr>
      <w:tblGrid>
        <w:gridCol w:w="1166"/>
        <w:gridCol w:w="1195"/>
        <w:gridCol w:w="1168"/>
        <w:gridCol w:w="1098"/>
        <w:gridCol w:w="1296"/>
        <w:gridCol w:w="1222"/>
        <w:gridCol w:w="1377"/>
      </w:tblGrid>
      <w:tr>
        <w:tblPrEx>
          <w:tblCellMar>
            <w:top w:w="0" w:type="dxa"/>
            <w:left w:w="108" w:type="dxa"/>
            <w:bottom w:w="0" w:type="dxa"/>
            <w:right w:w="108" w:type="dxa"/>
          </w:tblCellMar>
        </w:tblPrEx>
        <w:trPr>
          <w:trHeight w:val="1000" w:hRule="atLeast"/>
          <w:jc w:val="center"/>
        </w:trPr>
        <w:tc>
          <w:tcPr>
            <w:tcW w:w="1166" w:type="dxa"/>
            <w:tcBorders>
              <w:top w:val="single" w:color="auto" w:sz="4" w:space="0"/>
              <w:left w:val="nil"/>
              <w:bottom w:val="single" w:color="auto" w:sz="4" w:space="0"/>
              <w:right w:val="single" w:color="auto" w:sz="4" w:space="0"/>
            </w:tcBorders>
            <w:vAlign w:val="center"/>
          </w:tcPr>
          <w:p>
            <w:pPr>
              <w:widowControl/>
              <w:snapToGrid w:val="0"/>
              <w:jc w:val="center"/>
              <w:rPr>
                <w:kern w:val="0"/>
                <w:sz w:val="18"/>
                <w:szCs w:val="18"/>
              </w:rPr>
            </w:pPr>
            <w:r>
              <w:rPr>
                <w:kern w:val="0"/>
                <w:sz w:val="18"/>
                <w:szCs w:val="18"/>
              </w:rPr>
              <w:t>课程目标</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课堂点名（平时）</w:t>
            </w:r>
          </w:p>
          <w:p>
            <w:pPr>
              <w:snapToGrid w:val="0"/>
              <w:jc w:val="center"/>
              <w:rPr>
                <w:sz w:val="18"/>
                <w:szCs w:val="18"/>
              </w:rPr>
            </w:pPr>
            <w:r>
              <w:rPr>
                <w:sz w:val="18"/>
                <w:szCs w:val="18"/>
              </w:rPr>
              <w:t>W1</w:t>
            </w:r>
            <w:r>
              <w:rPr>
                <w:sz w:val="18"/>
                <w:szCs w:val="18"/>
                <w:vertAlign w:val="subscript"/>
              </w:rPr>
              <w:t>i</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资料自学（平时）</w:t>
            </w:r>
          </w:p>
          <w:p>
            <w:pPr>
              <w:snapToGrid w:val="0"/>
              <w:jc w:val="center"/>
              <w:rPr>
                <w:sz w:val="18"/>
                <w:szCs w:val="18"/>
              </w:rPr>
            </w:pPr>
            <w:r>
              <w:rPr>
                <w:sz w:val="18"/>
                <w:szCs w:val="18"/>
              </w:rPr>
              <w:t>W2</w:t>
            </w:r>
            <w:r>
              <w:rPr>
                <w:sz w:val="18"/>
                <w:szCs w:val="18"/>
                <w:vertAlign w:val="subscript"/>
              </w:rPr>
              <w:t>i</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课堂讨论（平时）</w:t>
            </w:r>
          </w:p>
          <w:p>
            <w:pPr>
              <w:snapToGrid w:val="0"/>
              <w:jc w:val="center"/>
              <w:rPr>
                <w:sz w:val="18"/>
                <w:szCs w:val="18"/>
              </w:rPr>
            </w:pPr>
            <w:r>
              <w:rPr>
                <w:sz w:val="18"/>
                <w:szCs w:val="18"/>
              </w:rPr>
              <w:t>W3</w:t>
            </w:r>
            <w:r>
              <w:rPr>
                <w:sz w:val="18"/>
                <w:szCs w:val="18"/>
                <w:vertAlign w:val="subscript"/>
              </w:rPr>
              <w:t>i</w:t>
            </w:r>
          </w:p>
        </w:tc>
        <w:tc>
          <w:tcPr>
            <w:tcW w:w="1296"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线上随堂测验（平时）W4</w:t>
            </w:r>
            <w:r>
              <w:rPr>
                <w:sz w:val="18"/>
                <w:szCs w:val="18"/>
                <w:vertAlign w:val="subscript"/>
              </w:rPr>
              <w:t>i</w:t>
            </w:r>
          </w:p>
        </w:tc>
        <w:tc>
          <w:tcPr>
            <w:tcW w:w="1222"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课后作业情况（平时）W5</w:t>
            </w:r>
            <w:r>
              <w:rPr>
                <w:sz w:val="18"/>
                <w:szCs w:val="18"/>
                <w:vertAlign w:val="subscript"/>
              </w:rPr>
              <w:t>i</w:t>
            </w:r>
          </w:p>
        </w:tc>
        <w:tc>
          <w:tcPr>
            <w:tcW w:w="1377"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tc>
      </w:tr>
      <w:tr>
        <w:tblPrEx>
          <w:tblCellMar>
            <w:top w:w="0" w:type="dxa"/>
            <w:left w:w="108" w:type="dxa"/>
            <w:bottom w:w="0" w:type="dxa"/>
            <w:right w:w="108" w:type="dxa"/>
          </w:tblCellMar>
        </w:tblPrEx>
        <w:trPr>
          <w:trHeight w:val="521" w:hRule="atLeast"/>
          <w:jc w:val="center"/>
        </w:trPr>
        <w:tc>
          <w:tcPr>
            <w:tcW w:w="1166" w:type="dxa"/>
            <w:tcBorders>
              <w:top w:val="nil"/>
              <w:left w:val="nil"/>
              <w:bottom w:val="single" w:color="auto" w:sz="4" w:space="0"/>
              <w:right w:val="single" w:color="auto" w:sz="4" w:space="0"/>
            </w:tcBorders>
            <w:vAlign w:val="center"/>
          </w:tcPr>
          <w:p>
            <w:pPr>
              <w:snapToGrid w:val="0"/>
              <w:jc w:val="center"/>
              <w:rPr>
                <w:bCs/>
              </w:rPr>
            </w:pPr>
            <w:r>
              <w:rPr>
                <w:bCs/>
              </w:rPr>
              <w:t>1</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6</w:t>
            </w:r>
            <w:r>
              <w:rPr>
                <w:bCs/>
              </w:rPr>
              <w:t>0-</w:t>
            </w:r>
            <w:r>
              <w:rPr>
                <w:rFonts w:hint="eastAsia"/>
                <w:bCs/>
              </w:rPr>
              <w:t>8</w:t>
            </w:r>
            <w:r>
              <w:rPr>
                <w:bCs/>
              </w:rPr>
              <w:t>0</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7</w:t>
            </w:r>
            <w:r>
              <w:rPr>
                <w:bCs/>
              </w:rPr>
              <w:t>0-80</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6</w:t>
            </w:r>
            <w:r>
              <w:rPr>
                <w:bCs/>
              </w:rPr>
              <w:t>0-</w:t>
            </w:r>
            <w:r>
              <w:rPr>
                <w:rFonts w:hint="eastAsia"/>
                <w:bCs/>
              </w:rPr>
              <w:t>8</w:t>
            </w:r>
            <w:r>
              <w:rPr>
                <w:bCs/>
              </w:rPr>
              <w:t>0</w:t>
            </w:r>
          </w:p>
        </w:tc>
        <w:tc>
          <w:tcPr>
            <w:tcW w:w="1296"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4</w:t>
            </w:r>
            <w:r>
              <w:rPr>
                <w:bCs/>
              </w:rPr>
              <w:t>0-</w:t>
            </w:r>
            <w:r>
              <w:rPr>
                <w:rFonts w:hint="eastAsia"/>
                <w:bCs/>
              </w:rPr>
              <w:t>7</w:t>
            </w:r>
            <w:r>
              <w:rPr>
                <w:bCs/>
              </w:rPr>
              <w:t>0</w:t>
            </w:r>
          </w:p>
        </w:tc>
        <w:tc>
          <w:tcPr>
            <w:tcW w:w="1222" w:type="dxa"/>
            <w:tcBorders>
              <w:top w:val="single" w:color="auto" w:sz="4" w:space="0"/>
              <w:left w:val="single" w:color="auto" w:sz="4" w:space="0"/>
              <w:bottom w:val="single" w:color="auto" w:sz="4" w:space="0"/>
              <w:right w:val="nil"/>
            </w:tcBorders>
            <w:vAlign w:val="center"/>
          </w:tcPr>
          <w:p>
            <w:pPr>
              <w:snapToGrid w:val="0"/>
              <w:jc w:val="center"/>
              <w:rPr>
                <w:bCs/>
              </w:rPr>
            </w:pPr>
            <w:r>
              <w:rPr>
                <w:bCs/>
              </w:rPr>
              <w:t>20-70</w:t>
            </w:r>
          </w:p>
        </w:tc>
        <w:tc>
          <w:tcPr>
            <w:tcW w:w="1377"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5</w:t>
            </w:r>
            <w:r>
              <w:rPr>
                <w:bCs/>
              </w:rPr>
              <w:t>0-</w:t>
            </w:r>
            <w:r>
              <w:rPr>
                <w:rFonts w:hint="eastAsia"/>
                <w:bCs/>
              </w:rPr>
              <w:t>7</w:t>
            </w:r>
            <w:r>
              <w:rPr>
                <w:bCs/>
              </w:rPr>
              <w:t>0</w:t>
            </w:r>
          </w:p>
        </w:tc>
      </w:tr>
      <w:tr>
        <w:tblPrEx>
          <w:tblCellMar>
            <w:top w:w="0" w:type="dxa"/>
            <w:left w:w="108" w:type="dxa"/>
            <w:bottom w:w="0" w:type="dxa"/>
            <w:right w:w="108" w:type="dxa"/>
          </w:tblCellMar>
        </w:tblPrEx>
        <w:trPr>
          <w:trHeight w:val="569" w:hRule="atLeast"/>
          <w:jc w:val="center"/>
        </w:trPr>
        <w:tc>
          <w:tcPr>
            <w:tcW w:w="1166" w:type="dxa"/>
            <w:tcBorders>
              <w:top w:val="nil"/>
              <w:left w:val="nil"/>
              <w:bottom w:val="single" w:color="auto" w:sz="4" w:space="0"/>
              <w:right w:val="single" w:color="auto" w:sz="4" w:space="0"/>
            </w:tcBorders>
            <w:vAlign w:val="center"/>
          </w:tcPr>
          <w:p>
            <w:pPr>
              <w:snapToGrid w:val="0"/>
              <w:jc w:val="center"/>
              <w:rPr>
                <w:bCs/>
              </w:rPr>
            </w:pPr>
            <w:r>
              <w:rPr>
                <w:bCs/>
              </w:rPr>
              <w:t>2</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2</w:t>
            </w:r>
            <w:r>
              <w:rPr>
                <w:bCs/>
              </w:rPr>
              <w:t>0-40</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2</w:t>
            </w:r>
            <w:r>
              <w:rPr>
                <w:bCs/>
              </w:rPr>
              <w:t>0-30</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bCs/>
              </w:rPr>
              <w:t>20-40</w:t>
            </w:r>
          </w:p>
        </w:tc>
        <w:tc>
          <w:tcPr>
            <w:tcW w:w="1296"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3</w:t>
            </w:r>
            <w:r>
              <w:rPr>
                <w:bCs/>
              </w:rPr>
              <w:t>0-60</w:t>
            </w:r>
          </w:p>
        </w:tc>
        <w:tc>
          <w:tcPr>
            <w:tcW w:w="1222" w:type="dxa"/>
            <w:tcBorders>
              <w:top w:val="single" w:color="auto" w:sz="4" w:space="0"/>
              <w:left w:val="single" w:color="auto" w:sz="4" w:space="0"/>
              <w:bottom w:val="single" w:color="auto" w:sz="4" w:space="0"/>
              <w:right w:val="nil"/>
            </w:tcBorders>
            <w:vAlign w:val="center"/>
          </w:tcPr>
          <w:p>
            <w:pPr>
              <w:snapToGrid w:val="0"/>
              <w:jc w:val="center"/>
              <w:rPr>
                <w:bCs/>
              </w:rPr>
            </w:pPr>
            <w:r>
              <w:rPr>
                <w:bCs/>
              </w:rPr>
              <w:t>30-60</w:t>
            </w:r>
          </w:p>
        </w:tc>
        <w:tc>
          <w:tcPr>
            <w:tcW w:w="1377"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3</w:t>
            </w:r>
            <w:r>
              <w:rPr>
                <w:bCs/>
              </w:rPr>
              <w:t>0-</w:t>
            </w:r>
            <w:r>
              <w:rPr>
                <w:rFonts w:hint="eastAsia"/>
                <w:bCs/>
              </w:rPr>
              <w:t>5</w:t>
            </w:r>
            <w:r>
              <w:rPr>
                <w:bCs/>
              </w:rPr>
              <w:t>0</w:t>
            </w:r>
          </w:p>
        </w:tc>
      </w:tr>
    </w:tbl>
    <w:p>
      <w:pPr>
        <w:snapToGrid w:val="0"/>
        <w:spacing w:line="360" w:lineRule="auto"/>
        <w:rPr>
          <w:szCs w:val="21"/>
        </w:rPr>
      </w:pPr>
    </w:p>
    <w:p>
      <w:pPr>
        <w:snapToGrid w:val="0"/>
        <w:spacing w:line="360" w:lineRule="auto"/>
        <w:ind w:firstLine="420" w:firstLineChars="200"/>
        <w:rPr>
          <w:szCs w:val="21"/>
        </w:rPr>
      </w:pPr>
      <w:r>
        <w:rPr>
          <w:szCs w:val="21"/>
        </w:rPr>
        <w:t>分目标达成值由每个部分对应的实际得分与题目总分数相比后，各环节加权求和得到。</w:t>
      </w:r>
    </w:p>
    <w:p>
      <w:pPr>
        <w:snapToGrid w:val="0"/>
        <w:spacing w:line="360" w:lineRule="auto"/>
        <w:ind w:firstLine="420" w:firstLineChars="200"/>
        <w:rPr>
          <w:szCs w:val="21"/>
        </w:rPr>
      </w:pPr>
      <w:r>
        <w:rPr>
          <w:szCs w:val="21"/>
        </w:rPr>
        <w:t>总课程目标达成值由每个环节的总平均分，按照各环节加权求和得到。</w:t>
      </w:r>
    </w:p>
    <w:p>
      <w:pPr>
        <w:snapToGrid w:val="0"/>
        <w:spacing w:line="360" w:lineRule="auto"/>
        <w:ind w:firstLine="420" w:firstLineChars="200"/>
        <w:rPr>
          <w:szCs w:val="21"/>
        </w:rPr>
      </w:pPr>
      <w:r>
        <w:rPr>
          <w:szCs w:val="21"/>
        </w:rPr>
        <w:t>各环节的评价标准参见课程成绩分析报告。</w:t>
      </w:r>
    </w:p>
    <w:p>
      <w:pPr>
        <w:snapToGrid w:val="0"/>
        <w:spacing w:line="360" w:lineRule="auto"/>
        <w:rPr>
          <w:rFonts w:eastAsiaTheme="majorEastAsia"/>
          <w:sz w:val="18"/>
          <w:szCs w:val="18"/>
        </w:rPr>
      </w:pPr>
    </w:p>
    <w:p>
      <w:pPr>
        <w:rPr>
          <w:rFonts w:eastAsia="黑体"/>
          <w:sz w:val="28"/>
          <w:szCs w:val="24"/>
        </w:rPr>
      </w:pPr>
      <w:r>
        <w:rPr>
          <w:rFonts w:hint="eastAsia" w:eastAsia="黑体"/>
          <w:sz w:val="28"/>
          <w:szCs w:val="24"/>
        </w:rPr>
        <w:br w:type="page"/>
      </w:r>
    </w:p>
    <w:p>
      <w:pPr>
        <w:pStyle w:val="20"/>
        <w:spacing w:before="312" w:after="468"/>
      </w:pPr>
      <w:bookmarkStart w:id="17" w:name="_Toc5566"/>
      <w:r>
        <w:t>《X01100002-中国近现代史纲要》教学大纲</w:t>
      </w:r>
      <w:bookmarkEnd w:id="17"/>
      <w:r>
        <w:t xml:space="preserve"> </w:t>
      </w:r>
    </w:p>
    <w:p>
      <w:pPr>
        <w:adjustRightInd w:val="0"/>
        <w:snapToGrid w:val="0"/>
        <w:spacing w:line="360" w:lineRule="auto"/>
        <w:rPr>
          <w:rFonts w:eastAsiaTheme="majorEastAsia"/>
        </w:rPr>
      </w:pPr>
      <w:r>
        <w:rPr>
          <w:rFonts w:eastAsia="黑体"/>
          <w:szCs w:val="21"/>
        </w:rPr>
        <w:t>课程编号：</w:t>
      </w:r>
      <w:r>
        <w:rPr>
          <w:rFonts w:eastAsiaTheme="majorEastAsia"/>
        </w:rPr>
        <w:t xml:space="preserve">X01100002 </w:t>
      </w:r>
    </w:p>
    <w:p>
      <w:pPr>
        <w:snapToGrid w:val="0"/>
        <w:spacing w:line="360" w:lineRule="auto"/>
        <w:rPr>
          <w:rFonts w:eastAsia="黑体"/>
          <w:snapToGrid w:val="0"/>
          <w:kern w:val="0"/>
          <w:szCs w:val="21"/>
        </w:rPr>
      </w:pPr>
      <w:r>
        <w:rPr>
          <w:rFonts w:eastAsia="黑体"/>
          <w:szCs w:val="21"/>
        </w:rPr>
        <w:t>课程名称：</w:t>
      </w:r>
      <w:r>
        <w:rPr>
          <w:rFonts w:eastAsiaTheme="majorEastAsia"/>
          <w:bCs/>
          <w:szCs w:val="21"/>
        </w:rPr>
        <w:t>中国近现代史纲要</w:t>
      </w:r>
      <w:r>
        <w:rPr>
          <w:szCs w:val="21"/>
        </w:rPr>
        <w:tab/>
      </w:r>
      <w:r>
        <w:rPr>
          <w:szCs w:val="21"/>
        </w:rPr>
        <w:tab/>
      </w:r>
      <w:r>
        <w:rPr>
          <w:szCs w:val="21"/>
        </w:rPr>
        <w:t xml:space="preserve">        </w:t>
      </w:r>
      <w:r>
        <w:rPr>
          <w:rFonts w:eastAsia="黑体"/>
          <w:szCs w:val="21"/>
        </w:rPr>
        <w:t>开课单位：</w:t>
      </w:r>
      <w:r>
        <w:rPr>
          <w:rFonts w:eastAsiaTheme="majorEastAsia"/>
        </w:rPr>
        <w:t>马克思主义学院</w:t>
      </w:r>
      <w:r>
        <w:rPr>
          <w:rFonts w:eastAsia="黑体"/>
          <w:b/>
        </w:rPr>
        <w:t xml:space="preserve">  </w:t>
      </w:r>
    </w:p>
    <w:p>
      <w:pPr>
        <w:adjustRightInd w:val="0"/>
        <w:snapToGrid w:val="0"/>
        <w:spacing w:line="360" w:lineRule="auto"/>
        <w:rPr>
          <w:rFonts w:eastAsia="黑体"/>
          <w:szCs w:val="21"/>
        </w:rPr>
      </w:pPr>
      <w:r>
        <w:rPr>
          <w:rFonts w:eastAsia="黑体"/>
          <w:szCs w:val="21"/>
        </w:rPr>
        <w:t>总 学 时：</w:t>
      </w:r>
      <w:r>
        <w:rPr>
          <w:szCs w:val="21"/>
        </w:rPr>
        <w:t>40</w:t>
      </w:r>
      <w:r>
        <w:rPr>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学    分：</w:t>
      </w:r>
      <w:r>
        <w:rPr>
          <w:szCs w:val="21"/>
        </w:rPr>
        <w:t>2.5</w:t>
      </w:r>
    </w:p>
    <w:p>
      <w:pPr>
        <w:adjustRightInd w:val="0"/>
        <w:snapToGrid w:val="0"/>
        <w:spacing w:line="360" w:lineRule="auto"/>
        <w:rPr>
          <w:rFonts w:eastAsia="黑体"/>
          <w:szCs w:val="21"/>
        </w:rPr>
      </w:pPr>
      <w:r>
        <w:rPr>
          <w:rFonts w:eastAsia="黑体"/>
          <w:szCs w:val="21"/>
        </w:rPr>
        <w:t>适用专业：</w:t>
      </w:r>
      <w:r>
        <w:rPr>
          <w:rFonts w:eastAsiaTheme="majorEastAsia"/>
          <w:szCs w:val="21"/>
        </w:rPr>
        <w:t>工程类各专业</w:t>
      </w:r>
    </w:p>
    <w:p>
      <w:pPr>
        <w:snapToGrid w:val="0"/>
        <w:spacing w:line="360" w:lineRule="auto"/>
        <w:rPr>
          <w:rFonts w:eastAsia="黑体"/>
          <w:szCs w:val="21"/>
        </w:rPr>
      </w:pPr>
      <w:r>
        <w:rPr>
          <w:rFonts w:eastAsia="黑体"/>
          <w:szCs w:val="21"/>
        </w:rPr>
        <w:t>先修课程：</w:t>
      </w:r>
      <w:r>
        <w:rPr>
          <w:rFonts w:eastAsiaTheme="majorEastAsia"/>
          <w:szCs w:val="21"/>
        </w:rPr>
        <w:t>无</w:t>
      </w:r>
    </w:p>
    <w:p>
      <w:pPr>
        <w:adjustRightInd w:val="0"/>
        <w:snapToGrid w:val="0"/>
        <w:spacing w:line="360" w:lineRule="auto"/>
        <w:rPr>
          <w:rFonts w:eastAsiaTheme="minorEastAsia"/>
          <w:szCs w:val="21"/>
        </w:rPr>
      </w:pPr>
      <w:r>
        <w:rPr>
          <w:rFonts w:eastAsia="黑体"/>
          <w:szCs w:val="21"/>
        </w:rPr>
        <w:t>大纲编写（修订）时间：</w:t>
      </w:r>
      <w:r>
        <w:rPr>
          <w:rFonts w:eastAsiaTheme="minorEastAsia"/>
          <w:szCs w:val="21"/>
        </w:rPr>
        <w:t>2019年4月</w:t>
      </w:r>
    </w:p>
    <w:p>
      <w:pPr>
        <w:snapToGrid w:val="0"/>
        <w:spacing w:line="360" w:lineRule="auto"/>
        <w:rPr>
          <w:rFonts w:eastAsia="黑体"/>
          <w:szCs w:val="21"/>
        </w:rPr>
      </w:pPr>
    </w:p>
    <w:p>
      <w:pPr>
        <w:snapToGrid w:val="0"/>
        <w:spacing w:line="360" w:lineRule="auto"/>
        <w:rPr>
          <w:b/>
          <w:szCs w:val="21"/>
        </w:rPr>
      </w:pPr>
      <w:r>
        <w:rPr>
          <w:rFonts w:eastAsia="黑体"/>
          <w:szCs w:val="21"/>
        </w:rPr>
        <w:t>一、课程在教学计划中地位、作用</w:t>
      </w:r>
    </w:p>
    <w:p>
      <w:pPr>
        <w:snapToGrid w:val="0"/>
        <w:spacing w:line="360" w:lineRule="auto"/>
        <w:ind w:firstLine="420" w:firstLineChars="200"/>
        <w:rPr>
          <w:b/>
          <w:szCs w:val="21"/>
        </w:rPr>
      </w:pPr>
      <w:r>
        <w:rPr>
          <w:szCs w:val="21"/>
        </w:rPr>
        <w:t>本课程是公共必修课。其主要目的是通过讲授中国近代历史重大事件、人物、经济和文化变迁历程，帮助大学生了解国史、国情，自觉把握近现代中国社会发展和革命发展的历史进程及其内在规律性，确立并增强对中国共产党的领导、马克思主义的指导地位和社会主义道路的科学信念。</w:t>
      </w:r>
    </w:p>
    <w:p>
      <w:pPr>
        <w:snapToGrid w:val="0"/>
        <w:spacing w:line="360" w:lineRule="auto"/>
        <w:rPr>
          <w:rFonts w:eastAsia="黑体"/>
          <w:szCs w:val="21"/>
        </w:rPr>
      </w:pPr>
      <w:r>
        <w:rPr>
          <w:rFonts w:eastAsia="黑体"/>
          <w:szCs w:val="21"/>
        </w:rPr>
        <w:t>二、课程目标</w:t>
      </w:r>
    </w:p>
    <w:p>
      <w:pPr>
        <w:snapToGrid w:val="0"/>
        <w:spacing w:line="360" w:lineRule="auto"/>
        <w:ind w:firstLine="420" w:firstLineChars="200"/>
        <w:rPr>
          <w:szCs w:val="21"/>
        </w:rPr>
      </w:pPr>
      <w:r>
        <w:rPr>
          <w:szCs w:val="21"/>
        </w:rPr>
        <w:t>本大纲适用于工程类专业选择使用，专业在选用时要关注本课程目标是否与专业培养方案设定的能力矩阵一致。</w:t>
      </w:r>
    </w:p>
    <w:tbl>
      <w:tblPr>
        <w:tblStyle w:val="22"/>
        <w:tblW w:w="8215" w:type="dxa"/>
        <w:tblInd w:w="9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706"/>
        <w:gridCol w:w="38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14" w:type="dxa"/>
            <w:vAlign w:val="center"/>
          </w:tcPr>
          <w:p>
            <w:pPr>
              <w:spacing w:line="360" w:lineRule="auto"/>
              <w:jc w:val="center"/>
              <w:rPr>
                <w:sz w:val="18"/>
                <w:szCs w:val="18"/>
              </w:rPr>
            </w:pPr>
            <w:r>
              <w:rPr>
                <w:sz w:val="18"/>
                <w:szCs w:val="18"/>
              </w:rPr>
              <w:t>序号</w:t>
            </w:r>
          </w:p>
        </w:tc>
        <w:tc>
          <w:tcPr>
            <w:tcW w:w="3706" w:type="dxa"/>
            <w:vAlign w:val="center"/>
          </w:tcPr>
          <w:p>
            <w:pPr>
              <w:spacing w:line="360" w:lineRule="auto"/>
              <w:jc w:val="center"/>
              <w:rPr>
                <w:sz w:val="18"/>
                <w:szCs w:val="18"/>
              </w:rPr>
            </w:pPr>
            <w:r>
              <w:rPr>
                <w:sz w:val="18"/>
                <w:szCs w:val="18"/>
              </w:rPr>
              <w:t>课程目标</w:t>
            </w:r>
          </w:p>
        </w:tc>
        <w:tc>
          <w:tcPr>
            <w:tcW w:w="3895" w:type="dxa"/>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napToGrid w:val="0"/>
              <w:spacing w:line="360" w:lineRule="auto"/>
              <w:jc w:val="center"/>
              <w:rPr>
                <w:sz w:val="18"/>
                <w:szCs w:val="18"/>
              </w:rPr>
            </w:pPr>
            <w:r>
              <w:rPr>
                <w:sz w:val="18"/>
                <w:szCs w:val="18"/>
              </w:rPr>
              <w:t>1</w:t>
            </w:r>
          </w:p>
        </w:tc>
        <w:tc>
          <w:tcPr>
            <w:tcW w:w="3706" w:type="dxa"/>
          </w:tcPr>
          <w:p>
            <w:pPr>
              <w:adjustRightInd w:val="0"/>
              <w:snapToGrid w:val="0"/>
              <w:spacing w:line="360" w:lineRule="auto"/>
              <w:rPr>
                <w:sz w:val="18"/>
                <w:szCs w:val="18"/>
              </w:rPr>
            </w:pPr>
            <w:r>
              <w:rPr>
                <w:sz w:val="18"/>
                <w:szCs w:val="18"/>
              </w:rPr>
              <w:t>本课程要求学生了解资本-帝国主义入侵及其与中国封建势力相勾结造成的灾难，了解近代以来中国人民的两大历史性任务和革命的必要性、正义性。</w:t>
            </w:r>
          </w:p>
        </w:tc>
        <w:tc>
          <w:tcPr>
            <w:tcW w:w="3895" w:type="dxa"/>
          </w:tcPr>
          <w:p>
            <w:pPr>
              <w:adjustRightInd w:val="0"/>
              <w:snapToGrid w:val="0"/>
              <w:spacing w:line="360" w:lineRule="auto"/>
              <w:rPr>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p>
            <w:pPr>
              <w:adjustRightInd w:val="0"/>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napToGrid w:val="0"/>
              <w:spacing w:line="360" w:lineRule="auto"/>
              <w:jc w:val="center"/>
              <w:rPr>
                <w:sz w:val="18"/>
                <w:szCs w:val="18"/>
              </w:rPr>
            </w:pPr>
            <w:r>
              <w:rPr>
                <w:sz w:val="18"/>
                <w:szCs w:val="18"/>
              </w:rPr>
              <w:t>2</w:t>
            </w:r>
          </w:p>
        </w:tc>
        <w:tc>
          <w:tcPr>
            <w:tcW w:w="3706" w:type="dxa"/>
          </w:tcPr>
          <w:p>
            <w:pPr>
              <w:adjustRightInd w:val="0"/>
              <w:snapToGrid w:val="0"/>
              <w:spacing w:line="360" w:lineRule="auto"/>
              <w:rPr>
                <w:sz w:val="18"/>
                <w:szCs w:val="18"/>
              </w:rPr>
            </w:pPr>
            <w:r>
              <w:rPr>
                <w:sz w:val="18"/>
                <w:szCs w:val="18"/>
              </w:rPr>
              <w:t>了解近现代中国先进分子和人民群众为探求中国的出路和实现中国的发展的艰辛历程，懂得中国人民选择马克思主义、选择中国共产党的必然性和选择社会主义道路、选择改革开放的正确性。</w:t>
            </w:r>
          </w:p>
        </w:tc>
        <w:tc>
          <w:tcPr>
            <w:tcW w:w="3895" w:type="dxa"/>
          </w:tcPr>
          <w:p>
            <w:pPr>
              <w:adjustRightInd w:val="0"/>
              <w:snapToGrid w:val="0"/>
              <w:spacing w:line="360" w:lineRule="auto"/>
              <w:rPr>
                <w:kern w:val="0"/>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tc>
      </w:tr>
    </w:tbl>
    <w:p>
      <w:pPr>
        <w:snapToGrid w:val="0"/>
        <w:spacing w:line="360" w:lineRule="auto"/>
        <w:rPr>
          <w:rFonts w:eastAsia="黑体"/>
          <w:szCs w:val="21"/>
        </w:rPr>
      </w:pPr>
    </w:p>
    <w:p>
      <w:pPr>
        <w:snapToGrid w:val="0"/>
        <w:spacing w:line="360" w:lineRule="auto"/>
        <w:rPr>
          <w:rFonts w:eastAsia="黑体"/>
          <w:szCs w:val="21"/>
        </w:rPr>
      </w:pPr>
      <w:r>
        <w:rPr>
          <w:rFonts w:eastAsia="黑体"/>
          <w:szCs w:val="21"/>
        </w:rPr>
        <w:t>三、教学内容及基本要求</w:t>
      </w:r>
    </w:p>
    <w:p>
      <w:pPr>
        <w:snapToGrid w:val="0"/>
        <w:spacing w:line="360" w:lineRule="auto"/>
        <w:ind w:firstLine="420" w:firstLineChars="200"/>
        <w:rPr>
          <w:rFonts w:eastAsia="黑体"/>
          <w:b/>
          <w:bCs/>
          <w:szCs w:val="21"/>
        </w:rPr>
      </w:pPr>
      <w:r>
        <w:rPr>
          <w:rFonts w:eastAsia="黑体"/>
          <w:szCs w:val="21"/>
        </w:rPr>
        <w:t>绪言（4学时）</w:t>
      </w:r>
    </w:p>
    <w:p>
      <w:pPr>
        <w:adjustRightInd w:val="0"/>
        <w:snapToGrid w:val="0"/>
        <w:spacing w:line="360" w:lineRule="auto"/>
        <w:ind w:firstLine="420" w:firstLineChars="200"/>
        <w:rPr>
          <w:szCs w:val="21"/>
        </w:rPr>
      </w:pPr>
      <w:r>
        <w:rPr>
          <w:szCs w:val="21"/>
        </w:rPr>
        <w:t>上编综述 风云变幻的八十年</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rPr>
          <w:b/>
          <w:bCs/>
          <w:szCs w:val="21"/>
        </w:rPr>
      </w:pPr>
      <w:r>
        <w:rPr>
          <w:rFonts w:eastAsia="黑体"/>
          <w:szCs w:val="21"/>
        </w:rPr>
        <w:t>第一章 反对外国侵略的斗争（4学时）</w:t>
      </w:r>
    </w:p>
    <w:p>
      <w:pPr>
        <w:snapToGrid w:val="0"/>
        <w:spacing w:line="360" w:lineRule="auto"/>
        <w:ind w:firstLine="420" w:firstLineChars="200"/>
        <w:rPr>
          <w:szCs w:val="21"/>
        </w:rPr>
      </w:pPr>
      <w:r>
        <w:rPr>
          <w:szCs w:val="21"/>
        </w:rPr>
        <w:t xml:space="preserve">1. 资本-帝国主义对中国的侵略 </w:t>
      </w:r>
    </w:p>
    <w:p>
      <w:pPr>
        <w:snapToGrid w:val="0"/>
        <w:spacing w:line="360" w:lineRule="auto"/>
        <w:ind w:firstLine="420" w:firstLineChars="200"/>
        <w:rPr>
          <w:szCs w:val="21"/>
        </w:rPr>
      </w:pPr>
      <w:r>
        <w:rPr>
          <w:szCs w:val="21"/>
        </w:rPr>
        <w:t>2. 抵御外国武装侵略 争取民族独立的斗争</w:t>
      </w:r>
    </w:p>
    <w:p>
      <w:pPr>
        <w:snapToGrid w:val="0"/>
        <w:spacing w:line="360" w:lineRule="auto"/>
        <w:ind w:firstLine="420" w:firstLineChars="200"/>
        <w:rPr>
          <w:szCs w:val="21"/>
        </w:rPr>
      </w:pPr>
      <w:r>
        <w:rPr>
          <w:szCs w:val="21"/>
        </w:rPr>
        <w:t>3. 反侵略战争的失败与民族意识的觉醒</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rPr>
          <w:rFonts w:eastAsia="黑体"/>
          <w:szCs w:val="21"/>
        </w:rPr>
      </w:pPr>
      <w:r>
        <w:rPr>
          <w:rFonts w:eastAsia="黑体"/>
          <w:szCs w:val="21"/>
        </w:rPr>
        <w:t>第二章 对国家出路的早期探索（4学时）</w:t>
      </w:r>
    </w:p>
    <w:p>
      <w:pPr>
        <w:snapToGrid w:val="0"/>
        <w:spacing w:line="360" w:lineRule="auto"/>
        <w:ind w:firstLine="420" w:firstLineChars="200"/>
        <w:rPr>
          <w:szCs w:val="21"/>
        </w:rPr>
      </w:pPr>
      <w:r>
        <w:rPr>
          <w:szCs w:val="21"/>
        </w:rPr>
        <w:t>1. 农民群众斗争风暴的起落</w:t>
      </w:r>
    </w:p>
    <w:p>
      <w:pPr>
        <w:snapToGrid w:val="0"/>
        <w:spacing w:line="360" w:lineRule="auto"/>
        <w:ind w:firstLine="420" w:firstLineChars="200"/>
        <w:rPr>
          <w:szCs w:val="21"/>
        </w:rPr>
      </w:pPr>
      <w:r>
        <w:rPr>
          <w:szCs w:val="21"/>
        </w:rPr>
        <w:t>2. 洋务运动的兴衰</w:t>
      </w:r>
    </w:p>
    <w:p>
      <w:pPr>
        <w:snapToGrid w:val="0"/>
        <w:spacing w:line="360" w:lineRule="auto"/>
        <w:ind w:firstLine="420" w:firstLineChars="200"/>
        <w:rPr>
          <w:szCs w:val="21"/>
        </w:rPr>
      </w:pPr>
      <w:r>
        <w:rPr>
          <w:szCs w:val="21"/>
        </w:rPr>
        <w:t>3. 维新运动的兴起和夭折</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rPr>
          <w:rFonts w:eastAsia="黑体"/>
          <w:szCs w:val="21"/>
        </w:rPr>
      </w:pPr>
      <w:r>
        <w:rPr>
          <w:rFonts w:eastAsia="黑体"/>
          <w:szCs w:val="21"/>
        </w:rPr>
        <w:t>第三章 辛亥革命与君主专制制度的终结（4学时）</w:t>
      </w:r>
    </w:p>
    <w:p>
      <w:pPr>
        <w:snapToGrid w:val="0"/>
        <w:spacing w:line="360" w:lineRule="auto"/>
        <w:ind w:firstLine="420" w:firstLineChars="200"/>
        <w:rPr>
          <w:szCs w:val="21"/>
        </w:rPr>
      </w:pPr>
      <w:r>
        <w:rPr>
          <w:szCs w:val="21"/>
        </w:rPr>
        <w:t>1. 举起近代民族民主革命的旗帜</w:t>
      </w:r>
    </w:p>
    <w:p>
      <w:pPr>
        <w:snapToGrid w:val="0"/>
        <w:spacing w:line="360" w:lineRule="auto"/>
        <w:ind w:firstLine="420" w:firstLineChars="200"/>
        <w:rPr>
          <w:szCs w:val="21"/>
        </w:rPr>
      </w:pPr>
      <w:r>
        <w:rPr>
          <w:szCs w:val="21"/>
        </w:rPr>
        <w:t>2. 辛亥革命与建立民国</w:t>
      </w:r>
    </w:p>
    <w:p>
      <w:pPr>
        <w:adjustRightInd w:val="0"/>
        <w:snapToGrid w:val="0"/>
        <w:spacing w:line="360" w:lineRule="auto"/>
        <w:ind w:firstLine="420" w:firstLineChars="200"/>
        <w:rPr>
          <w:szCs w:val="21"/>
        </w:rPr>
      </w:pPr>
      <w:r>
        <w:rPr>
          <w:szCs w:val="21"/>
        </w:rPr>
        <w:t>3. 辛亥革命的失败</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rPr>
          <w:rFonts w:eastAsia="黑体"/>
          <w:szCs w:val="21"/>
        </w:rPr>
      </w:pPr>
      <w:r>
        <w:rPr>
          <w:rFonts w:eastAsia="黑体"/>
          <w:szCs w:val="21"/>
        </w:rPr>
        <w:t>中编综述 （2学时）</w:t>
      </w:r>
    </w:p>
    <w:p>
      <w:pPr>
        <w:adjustRightInd w:val="0"/>
        <w:snapToGrid w:val="0"/>
        <w:spacing w:line="360" w:lineRule="auto"/>
        <w:ind w:firstLine="420" w:firstLineChars="200"/>
        <w:rPr>
          <w:szCs w:val="21"/>
        </w:rPr>
      </w:pPr>
      <w:r>
        <w:rPr>
          <w:szCs w:val="21"/>
        </w:rPr>
        <w:t>翻天覆地的三十年</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rPr>
          <w:rFonts w:eastAsia="黑体"/>
          <w:szCs w:val="21"/>
        </w:rPr>
      </w:pPr>
      <w:r>
        <w:rPr>
          <w:rFonts w:eastAsia="黑体"/>
          <w:szCs w:val="21"/>
        </w:rPr>
        <w:t>第四章 开天辟地的大事变（4学时）</w:t>
      </w:r>
    </w:p>
    <w:p>
      <w:pPr>
        <w:snapToGrid w:val="0"/>
        <w:spacing w:line="360" w:lineRule="auto"/>
        <w:ind w:firstLine="420" w:firstLineChars="200"/>
        <w:rPr>
          <w:szCs w:val="21"/>
        </w:rPr>
      </w:pPr>
      <w:r>
        <w:rPr>
          <w:szCs w:val="21"/>
        </w:rPr>
        <w:t>1. 新文化运动和五四运动</w:t>
      </w:r>
    </w:p>
    <w:p>
      <w:pPr>
        <w:snapToGrid w:val="0"/>
        <w:spacing w:line="360" w:lineRule="auto"/>
        <w:ind w:firstLine="420" w:firstLineChars="200"/>
        <w:rPr>
          <w:szCs w:val="21"/>
        </w:rPr>
      </w:pPr>
      <w:r>
        <w:rPr>
          <w:szCs w:val="21"/>
        </w:rPr>
        <w:t>2. 马克思主义进一步传播与中国共产党诞生</w:t>
      </w:r>
    </w:p>
    <w:p>
      <w:pPr>
        <w:snapToGrid w:val="0"/>
        <w:spacing w:line="360" w:lineRule="auto"/>
        <w:ind w:firstLine="420" w:firstLineChars="200"/>
        <w:rPr>
          <w:szCs w:val="21"/>
        </w:rPr>
      </w:pPr>
      <w:r>
        <w:rPr>
          <w:szCs w:val="21"/>
        </w:rPr>
        <w:t>3. 中国革命的新局面</w:t>
      </w:r>
    </w:p>
    <w:p>
      <w:pPr>
        <w:adjustRightInd w:val="0"/>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第五章 中国革命的新道路（2学时）</w:t>
      </w:r>
    </w:p>
    <w:p>
      <w:pPr>
        <w:snapToGrid w:val="0"/>
        <w:spacing w:line="360" w:lineRule="auto"/>
        <w:ind w:firstLine="420" w:firstLineChars="200"/>
        <w:rPr>
          <w:szCs w:val="21"/>
        </w:rPr>
      </w:pPr>
      <w:r>
        <w:rPr>
          <w:szCs w:val="21"/>
        </w:rPr>
        <w:t>1. 对革命新道路的艰苦探索</w:t>
      </w:r>
    </w:p>
    <w:p>
      <w:pPr>
        <w:snapToGrid w:val="0"/>
        <w:spacing w:line="360" w:lineRule="auto"/>
        <w:ind w:firstLine="420" w:firstLineChars="200"/>
        <w:rPr>
          <w:szCs w:val="21"/>
        </w:rPr>
      </w:pPr>
      <w:r>
        <w:rPr>
          <w:szCs w:val="21"/>
        </w:rPr>
        <w:t>2. 中国革命在探索中曲折前进</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第六章 中华民族的抗日战争 （4学时）</w:t>
      </w:r>
    </w:p>
    <w:p>
      <w:pPr>
        <w:snapToGrid w:val="0"/>
        <w:spacing w:line="360" w:lineRule="auto"/>
        <w:ind w:firstLine="420" w:firstLineChars="200"/>
        <w:rPr>
          <w:szCs w:val="21"/>
        </w:rPr>
      </w:pPr>
      <w:r>
        <w:rPr>
          <w:szCs w:val="21"/>
        </w:rPr>
        <w:t>1. 日本发动灭亡中国的侵略战争</w:t>
      </w:r>
    </w:p>
    <w:p>
      <w:pPr>
        <w:snapToGrid w:val="0"/>
        <w:spacing w:line="360" w:lineRule="auto"/>
        <w:ind w:firstLine="420" w:firstLineChars="200"/>
        <w:rPr>
          <w:szCs w:val="21"/>
        </w:rPr>
      </w:pPr>
      <w:r>
        <w:rPr>
          <w:szCs w:val="21"/>
        </w:rPr>
        <w:t>2. 从局部抗战到全国性抗战</w:t>
      </w:r>
    </w:p>
    <w:p>
      <w:pPr>
        <w:snapToGrid w:val="0"/>
        <w:spacing w:line="360" w:lineRule="auto"/>
        <w:ind w:firstLine="420" w:firstLineChars="200"/>
        <w:rPr>
          <w:szCs w:val="21"/>
        </w:rPr>
      </w:pPr>
      <w:r>
        <w:rPr>
          <w:szCs w:val="21"/>
        </w:rPr>
        <w:t>3. 国民党与抗日的正面战场</w:t>
      </w:r>
    </w:p>
    <w:p>
      <w:pPr>
        <w:snapToGrid w:val="0"/>
        <w:spacing w:line="360" w:lineRule="auto"/>
        <w:ind w:firstLine="420" w:firstLineChars="200"/>
        <w:rPr>
          <w:szCs w:val="21"/>
        </w:rPr>
      </w:pPr>
      <w:r>
        <w:rPr>
          <w:szCs w:val="21"/>
        </w:rPr>
        <w:t>4. 中国共产党成为抗日战争的中流砥柱</w:t>
      </w:r>
    </w:p>
    <w:p>
      <w:pPr>
        <w:snapToGrid w:val="0"/>
        <w:spacing w:line="360" w:lineRule="auto"/>
        <w:ind w:firstLine="420" w:firstLineChars="200"/>
        <w:rPr>
          <w:szCs w:val="21"/>
        </w:rPr>
      </w:pPr>
      <w:r>
        <w:rPr>
          <w:szCs w:val="21"/>
        </w:rPr>
        <w:t>5. 抗日战争的胜利及其原因和意义</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第七章 为新中国而奋斗（2学时）</w:t>
      </w:r>
    </w:p>
    <w:p>
      <w:pPr>
        <w:snapToGrid w:val="0"/>
        <w:spacing w:line="360" w:lineRule="auto"/>
        <w:ind w:firstLine="420" w:firstLineChars="200"/>
        <w:rPr>
          <w:szCs w:val="21"/>
        </w:rPr>
      </w:pPr>
      <w:r>
        <w:rPr>
          <w:szCs w:val="21"/>
        </w:rPr>
        <w:t>1. 从争取和平民主到进行自卫战争</w:t>
      </w:r>
    </w:p>
    <w:p>
      <w:pPr>
        <w:snapToGrid w:val="0"/>
        <w:spacing w:line="360" w:lineRule="auto"/>
        <w:ind w:firstLine="420" w:firstLineChars="200"/>
        <w:rPr>
          <w:szCs w:val="21"/>
        </w:rPr>
      </w:pPr>
      <w:r>
        <w:rPr>
          <w:szCs w:val="21"/>
        </w:rPr>
        <w:t>2. 国民党政府处在全民的包围中</w:t>
      </w:r>
    </w:p>
    <w:p>
      <w:pPr>
        <w:snapToGrid w:val="0"/>
        <w:spacing w:line="360" w:lineRule="auto"/>
        <w:ind w:firstLine="420" w:firstLineChars="200"/>
        <w:rPr>
          <w:szCs w:val="21"/>
        </w:rPr>
      </w:pPr>
      <w:r>
        <w:rPr>
          <w:szCs w:val="21"/>
        </w:rPr>
        <w:t>3. 中国共产党与民主党派的合作</w:t>
      </w:r>
    </w:p>
    <w:p>
      <w:pPr>
        <w:snapToGrid w:val="0"/>
        <w:spacing w:line="360" w:lineRule="auto"/>
        <w:ind w:firstLine="420" w:firstLineChars="200"/>
        <w:rPr>
          <w:szCs w:val="21"/>
        </w:rPr>
      </w:pPr>
      <w:r>
        <w:rPr>
          <w:szCs w:val="21"/>
        </w:rPr>
        <w:t>4. 创建人民民主专政的新中国</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下编综述 （2学时）</w:t>
      </w:r>
    </w:p>
    <w:p>
      <w:pPr>
        <w:snapToGrid w:val="0"/>
        <w:spacing w:line="360" w:lineRule="auto"/>
        <w:ind w:firstLine="420" w:firstLineChars="200"/>
        <w:rPr>
          <w:szCs w:val="21"/>
        </w:rPr>
      </w:pPr>
      <w:r>
        <w:rPr>
          <w:szCs w:val="21"/>
        </w:rPr>
        <w:t>辉煌的历史进程</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第八章</w:t>
      </w:r>
      <w:r>
        <w:rPr>
          <w:rFonts w:eastAsia="黑体"/>
          <w:szCs w:val="21"/>
        </w:rPr>
        <w:tab/>
      </w:r>
      <w:r>
        <w:rPr>
          <w:rFonts w:eastAsia="黑体"/>
          <w:szCs w:val="21"/>
        </w:rPr>
        <w:t>社会主义基本制度在中国的确立（2学时）</w:t>
      </w:r>
    </w:p>
    <w:p>
      <w:pPr>
        <w:snapToGrid w:val="0"/>
        <w:spacing w:line="360" w:lineRule="auto"/>
        <w:ind w:firstLine="420" w:firstLineChars="200"/>
        <w:rPr>
          <w:szCs w:val="21"/>
        </w:rPr>
      </w:pPr>
      <w:r>
        <w:rPr>
          <w:szCs w:val="21"/>
        </w:rPr>
        <w:t>1. 从新民主主义向社会主义制度的过渡</w:t>
      </w:r>
    </w:p>
    <w:p>
      <w:pPr>
        <w:snapToGrid w:val="0"/>
        <w:spacing w:line="360" w:lineRule="auto"/>
        <w:ind w:firstLine="420" w:firstLineChars="200"/>
        <w:rPr>
          <w:szCs w:val="21"/>
        </w:rPr>
      </w:pPr>
      <w:r>
        <w:rPr>
          <w:szCs w:val="21"/>
        </w:rPr>
        <w:t>2. 社会主义道路：历史和人民的选择</w:t>
      </w:r>
    </w:p>
    <w:p>
      <w:pPr>
        <w:snapToGrid w:val="0"/>
        <w:spacing w:line="360" w:lineRule="auto"/>
        <w:ind w:firstLine="420" w:firstLineChars="200"/>
        <w:rPr>
          <w:szCs w:val="21"/>
        </w:rPr>
      </w:pPr>
      <w:r>
        <w:rPr>
          <w:szCs w:val="21"/>
        </w:rPr>
        <w:t>3. 有中国特点的向社会主义过渡的道路</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第九章</w:t>
      </w:r>
      <w:r>
        <w:rPr>
          <w:rFonts w:eastAsia="黑体"/>
          <w:szCs w:val="21"/>
        </w:rPr>
        <w:tab/>
      </w:r>
      <w:r>
        <w:rPr>
          <w:rFonts w:eastAsia="黑体"/>
          <w:szCs w:val="21"/>
        </w:rPr>
        <w:t>社会主义建设在探索中曲折发展（2学时）</w:t>
      </w:r>
    </w:p>
    <w:p>
      <w:pPr>
        <w:snapToGrid w:val="0"/>
        <w:spacing w:line="360" w:lineRule="auto"/>
        <w:ind w:firstLine="420" w:firstLineChars="200"/>
        <w:rPr>
          <w:szCs w:val="21"/>
        </w:rPr>
      </w:pPr>
      <w:r>
        <w:rPr>
          <w:szCs w:val="21"/>
        </w:rPr>
        <w:t>1. 良好的开局</w:t>
      </w:r>
    </w:p>
    <w:p>
      <w:pPr>
        <w:snapToGrid w:val="0"/>
        <w:spacing w:line="360" w:lineRule="auto"/>
        <w:ind w:firstLine="420" w:firstLineChars="200"/>
        <w:rPr>
          <w:szCs w:val="21"/>
        </w:rPr>
      </w:pPr>
      <w:r>
        <w:rPr>
          <w:szCs w:val="21"/>
        </w:rPr>
        <w:t>2. 探索中的严重曲折</w:t>
      </w:r>
    </w:p>
    <w:p>
      <w:pPr>
        <w:snapToGrid w:val="0"/>
        <w:spacing w:line="360" w:lineRule="auto"/>
        <w:ind w:firstLine="420" w:firstLineChars="200"/>
        <w:rPr>
          <w:szCs w:val="21"/>
        </w:rPr>
      </w:pPr>
      <w:r>
        <w:rPr>
          <w:szCs w:val="21"/>
        </w:rPr>
        <w:t>3. 建设的成就 探索的成果</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第十章</w:t>
      </w:r>
      <w:r>
        <w:rPr>
          <w:rFonts w:eastAsia="黑体"/>
          <w:szCs w:val="21"/>
        </w:rPr>
        <w:tab/>
      </w:r>
      <w:r>
        <w:rPr>
          <w:rFonts w:eastAsia="黑体"/>
          <w:szCs w:val="21"/>
        </w:rPr>
        <w:t>中国特色社会主义的开创与接续发展（2学时）</w:t>
      </w:r>
    </w:p>
    <w:p>
      <w:pPr>
        <w:snapToGrid w:val="0"/>
        <w:spacing w:line="360" w:lineRule="auto"/>
        <w:ind w:firstLine="420" w:firstLineChars="200"/>
        <w:rPr>
          <w:szCs w:val="21"/>
        </w:rPr>
      </w:pPr>
      <w:r>
        <w:rPr>
          <w:szCs w:val="21"/>
        </w:rPr>
        <w:t>1. 历史性的伟大转折和改革开放的起步</w:t>
      </w:r>
    </w:p>
    <w:p>
      <w:pPr>
        <w:snapToGrid w:val="0"/>
        <w:spacing w:line="360" w:lineRule="auto"/>
        <w:ind w:firstLine="420" w:firstLineChars="200"/>
        <w:rPr>
          <w:szCs w:val="21"/>
        </w:rPr>
      </w:pPr>
      <w:r>
        <w:rPr>
          <w:szCs w:val="21"/>
        </w:rPr>
        <w:t>2. 改革开放和现代化建设新局面的展开</w:t>
      </w:r>
    </w:p>
    <w:p>
      <w:pPr>
        <w:snapToGrid w:val="0"/>
        <w:spacing w:line="360" w:lineRule="auto"/>
        <w:ind w:firstLine="420" w:firstLineChars="200"/>
        <w:rPr>
          <w:szCs w:val="21"/>
        </w:rPr>
      </w:pPr>
      <w:r>
        <w:rPr>
          <w:szCs w:val="21"/>
        </w:rPr>
        <w:t>3. 中国特色社会主义事业的跨世纪发展</w:t>
      </w:r>
    </w:p>
    <w:p>
      <w:pPr>
        <w:snapToGrid w:val="0"/>
        <w:spacing w:line="360" w:lineRule="auto"/>
        <w:ind w:firstLine="420" w:firstLineChars="200"/>
        <w:rPr>
          <w:szCs w:val="21"/>
        </w:rPr>
      </w:pPr>
      <w:r>
        <w:rPr>
          <w:szCs w:val="21"/>
        </w:rPr>
        <w:t>4. 在新的历史起点上推进中国特色社会主义</w:t>
      </w:r>
    </w:p>
    <w:p>
      <w:pPr>
        <w:snapToGrid w:val="0"/>
        <w:spacing w:line="360" w:lineRule="auto"/>
        <w:ind w:firstLine="420" w:firstLineChars="200"/>
        <w:rPr>
          <w:szCs w:val="21"/>
        </w:rPr>
      </w:pPr>
      <w:r>
        <w:rPr>
          <w:szCs w:val="21"/>
        </w:rPr>
        <w:t>本章节内容支撑课程目标 2</w:t>
      </w:r>
    </w:p>
    <w:p>
      <w:pPr>
        <w:snapToGrid w:val="0"/>
        <w:spacing w:line="360" w:lineRule="auto"/>
        <w:ind w:firstLine="420" w:firstLineChars="200"/>
        <w:rPr>
          <w:rFonts w:eastAsia="黑体"/>
          <w:szCs w:val="21"/>
        </w:rPr>
      </w:pPr>
      <w:r>
        <w:rPr>
          <w:rFonts w:eastAsia="黑体"/>
          <w:szCs w:val="21"/>
        </w:rPr>
        <w:t>第十一章 中国特色社会主义进入新时代（2学时）</w:t>
      </w:r>
    </w:p>
    <w:p>
      <w:pPr>
        <w:snapToGrid w:val="0"/>
        <w:spacing w:line="360" w:lineRule="auto"/>
        <w:ind w:firstLine="420" w:firstLineChars="200"/>
        <w:rPr>
          <w:szCs w:val="21"/>
        </w:rPr>
      </w:pPr>
      <w:r>
        <w:rPr>
          <w:szCs w:val="21"/>
        </w:rPr>
        <w:t>1. 开拓中国特色社会主义更为广阔的发展前景</w:t>
      </w:r>
    </w:p>
    <w:p>
      <w:pPr>
        <w:snapToGrid w:val="0"/>
        <w:spacing w:line="360" w:lineRule="auto"/>
        <w:ind w:firstLine="420" w:firstLineChars="200"/>
        <w:rPr>
          <w:szCs w:val="21"/>
        </w:rPr>
      </w:pPr>
      <w:r>
        <w:rPr>
          <w:szCs w:val="21"/>
        </w:rPr>
        <w:t>2. 党和国家事业的历史性成就和历史性变革</w:t>
      </w:r>
    </w:p>
    <w:p>
      <w:pPr>
        <w:snapToGrid w:val="0"/>
        <w:spacing w:line="360" w:lineRule="auto"/>
        <w:ind w:firstLine="420" w:firstLineChars="200"/>
        <w:rPr>
          <w:szCs w:val="21"/>
        </w:rPr>
      </w:pPr>
      <w:r>
        <w:rPr>
          <w:szCs w:val="21"/>
        </w:rPr>
        <w:t>3. 夺取新时代中国特色社会主义伟大胜利</w:t>
      </w:r>
    </w:p>
    <w:p>
      <w:pPr>
        <w:snapToGrid w:val="0"/>
        <w:spacing w:line="360" w:lineRule="auto"/>
        <w:ind w:firstLine="420" w:firstLineChars="200"/>
        <w:rPr>
          <w:szCs w:val="21"/>
        </w:rPr>
      </w:pPr>
      <w:r>
        <w:rPr>
          <w:szCs w:val="21"/>
        </w:rPr>
        <w:t>本章节内容支撑课程目标 2</w:t>
      </w:r>
    </w:p>
    <w:p>
      <w:pPr>
        <w:tabs>
          <w:tab w:val="left" w:pos="420"/>
        </w:tabs>
        <w:snapToGrid w:val="0"/>
        <w:spacing w:line="360" w:lineRule="auto"/>
        <w:rPr>
          <w:rFonts w:eastAsia="黑体"/>
          <w:szCs w:val="21"/>
        </w:rPr>
      </w:pPr>
    </w:p>
    <w:p>
      <w:pPr>
        <w:tabs>
          <w:tab w:val="left" w:pos="420"/>
        </w:tabs>
        <w:snapToGrid w:val="0"/>
        <w:spacing w:line="360" w:lineRule="auto"/>
        <w:rPr>
          <w:rFonts w:eastAsia="黑体"/>
          <w:szCs w:val="21"/>
        </w:rPr>
      </w:pPr>
      <w:r>
        <w:rPr>
          <w:rFonts w:eastAsia="黑体"/>
          <w:szCs w:val="21"/>
        </w:rPr>
        <w:t>四、实验教学内容</w:t>
      </w:r>
    </w:p>
    <w:p>
      <w:pPr>
        <w:snapToGrid w:val="0"/>
        <w:spacing w:line="360" w:lineRule="auto"/>
        <w:ind w:firstLine="424"/>
        <w:rPr>
          <w:kern w:val="0"/>
          <w:szCs w:val="21"/>
        </w:rPr>
      </w:pPr>
      <w:r>
        <w:rPr>
          <w:kern w:val="0"/>
          <w:szCs w:val="21"/>
        </w:rPr>
        <w:t>无。</w:t>
      </w:r>
    </w:p>
    <w:p>
      <w:pPr>
        <w:snapToGrid w:val="0"/>
        <w:spacing w:line="360" w:lineRule="auto"/>
        <w:rPr>
          <w:rFonts w:eastAsia="黑体"/>
          <w:szCs w:val="21"/>
        </w:rPr>
      </w:pPr>
    </w:p>
    <w:p>
      <w:pPr>
        <w:snapToGrid w:val="0"/>
        <w:spacing w:line="360" w:lineRule="auto"/>
        <w:rPr>
          <w:rFonts w:eastAsia="黑体"/>
          <w:szCs w:val="21"/>
        </w:rPr>
      </w:pPr>
      <w:r>
        <w:rPr>
          <w:rFonts w:eastAsia="黑体"/>
          <w:szCs w:val="21"/>
        </w:rPr>
        <w:t>五、学时分配</w:t>
      </w:r>
    </w:p>
    <w:tbl>
      <w:tblPr>
        <w:tblStyle w:val="2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1"/>
        <w:gridCol w:w="1348"/>
        <w:gridCol w:w="1574"/>
        <w:gridCol w:w="8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751" w:type="dxa"/>
            <w:tcBorders>
              <w:tl2br w:val="nil"/>
              <w:tr2bl w:val="nil"/>
            </w:tcBorders>
            <w:vAlign w:val="center"/>
          </w:tcPr>
          <w:p>
            <w:pPr>
              <w:adjustRightInd w:val="0"/>
              <w:jc w:val="center"/>
              <w:rPr>
                <w:sz w:val="18"/>
                <w:szCs w:val="18"/>
              </w:rPr>
            </w:pPr>
            <w:r>
              <w:rPr>
                <w:sz w:val="18"/>
                <w:szCs w:val="18"/>
              </w:rPr>
              <w:t>章节名称</w:t>
            </w:r>
          </w:p>
        </w:tc>
        <w:tc>
          <w:tcPr>
            <w:tcW w:w="1348" w:type="dxa"/>
            <w:tcBorders>
              <w:tl2br w:val="nil"/>
              <w:tr2bl w:val="nil"/>
            </w:tcBorders>
            <w:vAlign w:val="center"/>
          </w:tcPr>
          <w:p>
            <w:pPr>
              <w:adjustRightInd w:val="0"/>
              <w:jc w:val="center"/>
              <w:rPr>
                <w:sz w:val="18"/>
                <w:szCs w:val="18"/>
              </w:rPr>
            </w:pPr>
            <w:r>
              <w:rPr>
                <w:sz w:val="18"/>
                <w:szCs w:val="18"/>
              </w:rPr>
              <w:t>讲授（学时）</w:t>
            </w:r>
          </w:p>
        </w:tc>
        <w:tc>
          <w:tcPr>
            <w:tcW w:w="1574" w:type="dxa"/>
            <w:tcBorders>
              <w:tl2br w:val="nil"/>
              <w:tr2bl w:val="nil"/>
            </w:tcBorders>
            <w:vAlign w:val="center"/>
          </w:tcPr>
          <w:p>
            <w:pPr>
              <w:adjustRightInd w:val="0"/>
              <w:jc w:val="center"/>
              <w:rPr>
                <w:sz w:val="18"/>
                <w:szCs w:val="18"/>
              </w:rPr>
            </w:pPr>
            <w:r>
              <w:rPr>
                <w:sz w:val="18"/>
                <w:szCs w:val="18"/>
              </w:rPr>
              <w:t>实验（学时）</w:t>
            </w:r>
          </w:p>
        </w:tc>
        <w:tc>
          <w:tcPr>
            <w:tcW w:w="849" w:type="dxa"/>
            <w:tcBorders>
              <w:tl2br w:val="nil"/>
              <w:tr2bl w:val="nil"/>
            </w:tcBorders>
            <w:vAlign w:val="center"/>
          </w:tcPr>
          <w:p>
            <w:pPr>
              <w:adjustRightIn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1" w:type="dxa"/>
            <w:tcBorders>
              <w:tl2br w:val="nil"/>
              <w:tr2bl w:val="nil"/>
            </w:tcBorders>
            <w:vAlign w:val="center"/>
          </w:tcPr>
          <w:p>
            <w:pPr>
              <w:adjustRightInd w:val="0"/>
              <w:ind w:left="210" w:leftChars="100"/>
              <w:rPr>
                <w:bCs/>
                <w:sz w:val="18"/>
                <w:szCs w:val="18"/>
              </w:rPr>
            </w:pPr>
            <w:r>
              <w:rPr>
                <w:bCs/>
                <w:sz w:val="18"/>
                <w:szCs w:val="18"/>
              </w:rPr>
              <w:t>绪论 上编综述 风云变幻的八十年</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第一章 反对外国侵略的斗争</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第二章  对国家出路的早期探索</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第三章 辛亥革命与君主专制制度的终结</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中编综述 翻天覆地的三十年</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第四章  开天辟地的大事变</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第五章  中国革命的新道路</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第六章  中华民族的抗日战争</w:t>
            </w:r>
          </w:p>
        </w:tc>
        <w:tc>
          <w:tcPr>
            <w:tcW w:w="1348" w:type="dxa"/>
            <w:tcBorders>
              <w:tl2br w:val="nil"/>
              <w:tr2bl w:val="nil"/>
            </w:tcBorders>
            <w:vAlign w:val="center"/>
          </w:tcPr>
          <w:p>
            <w:pPr>
              <w:adjustRightInd w:val="0"/>
              <w:jc w:val="center"/>
              <w:rPr>
                <w:bCs/>
                <w:sz w:val="18"/>
                <w:szCs w:val="18"/>
              </w:rPr>
            </w:pPr>
            <w:r>
              <w:rPr>
                <w:bCs/>
                <w:sz w:val="18"/>
                <w:szCs w:val="18"/>
              </w:rPr>
              <w:t>4</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第七章  为新中国而奋斗</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下编综述 辉煌的历史进程</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第八章  社会主义基本制度在中国的确立</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第九章  社会主义建设在探索中曲折发展</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第十章  中国特色社会主义的开创与接续发展</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51" w:type="dxa"/>
            <w:tcBorders>
              <w:tl2br w:val="nil"/>
              <w:tr2bl w:val="nil"/>
            </w:tcBorders>
            <w:vAlign w:val="center"/>
          </w:tcPr>
          <w:p>
            <w:pPr>
              <w:adjustRightInd w:val="0"/>
              <w:ind w:left="210" w:leftChars="100"/>
              <w:rPr>
                <w:bCs/>
                <w:sz w:val="18"/>
                <w:szCs w:val="18"/>
              </w:rPr>
            </w:pPr>
            <w:r>
              <w:rPr>
                <w:bCs/>
                <w:sz w:val="18"/>
                <w:szCs w:val="18"/>
              </w:rPr>
              <w:t>第十一章 中国特色社会主义进入新时代</w:t>
            </w:r>
          </w:p>
        </w:tc>
        <w:tc>
          <w:tcPr>
            <w:tcW w:w="1348" w:type="dxa"/>
            <w:tcBorders>
              <w:tl2br w:val="nil"/>
              <w:tr2bl w:val="nil"/>
            </w:tcBorders>
            <w:vAlign w:val="center"/>
          </w:tcPr>
          <w:p>
            <w:pPr>
              <w:adjustRightInd w:val="0"/>
              <w:jc w:val="center"/>
              <w:rPr>
                <w:bCs/>
                <w:sz w:val="18"/>
                <w:szCs w:val="18"/>
              </w:rPr>
            </w:pPr>
            <w:r>
              <w:rPr>
                <w:bCs/>
                <w:sz w:val="18"/>
                <w:szCs w:val="18"/>
              </w:rPr>
              <w:t>2</w:t>
            </w:r>
          </w:p>
        </w:tc>
        <w:tc>
          <w:tcPr>
            <w:tcW w:w="1574" w:type="dxa"/>
            <w:tcBorders>
              <w:tl2br w:val="nil"/>
              <w:tr2bl w:val="nil"/>
            </w:tcBorders>
            <w:vAlign w:val="center"/>
          </w:tcPr>
          <w:p>
            <w:pPr>
              <w:adjustRightInd w:val="0"/>
              <w:jc w:val="center"/>
              <w:rPr>
                <w:bCs/>
                <w:sz w:val="18"/>
                <w:szCs w:val="18"/>
              </w:rPr>
            </w:pPr>
            <w:r>
              <w:rPr>
                <w:bCs/>
                <w:sz w:val="18"/>
                <w:szCs w:val="18"/>
              </w:rPr>
              <w:t>0</w:t>
            </w:r>
          </w:p>
        </w:tc>
        <w:tc>
          <w:tcPr>
            <w:tcW w:w="849" w:type="dxa"/>
            <w:tcBorders>
              <w:tl2br w:val="nil"/>
              <w:tr2bl w:val="nil"/>
            </w:tcBorders>
            <w:vAlign w:val="center"/>
          </w:tcPr>
          <w:p>
            <w:pPr>
              <w:adjustRightIn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751" w:type="dxa"/>
            <w:tcBorders>
              <w:tl2br w:val="nil"/>
              <w:tr2bl w:val="nil"/>
            </w:tcBorders>
            <w:vAlign w:val="center"/>
          </w:tcPr>
          <w:p>
            <w:pPr>
              <w:adjustRightInd w:val="0"/>
              <w:jc w:val="center"/>
              <w:rPr>
                <w:sz w:val="18"/>
                <w:szCs w:val="18"/>
              </w:rPr>
            </w:pPr>
            <w:r>
              <w:rPr>
                <w:sz w:val="18"/>
                <w:szCs w:val="18"/>
              </w:rPr>
              <w:t>合计</w:t>
            </w:r>
          </w:p>
        </w:tc>
        <w:tc>
          <w:tcPr>
            <w:tcW w:w="1348" w:type="dxa"/>
            <w:tcBorders>
              <w:tl2br w:val="nil"/>
              <w:tr2bl w:val="nil"/>
            </w:tcBorders>
            <w:vAlign w:val="center"/>
          </w:tcPr>
          <w:p>
            <w:pPr>
              <w:adjustRightInd w:val="0"/>
              <w:jc w:val="center"/>
              <w:rPr>
                <w:sz w:val="18"/>
                <w:szCs w:val="18"/>
              </w:rPr>
            </w:pPr>
            <w:r>
              <w:rPr>
                <w:sz w:val="18"/>
                <w:szCs w:val="18"/>
              </w:rPr>
              <w:t>40</w:t>
            </w:r>
          </w:p>
        </w:tc>
        <w:tc>
          <w:tcPr>
            <w:tcW w:w="1574" w:type="dxa"/>
            <w:tcBorders>
              <w:tl2br w:val="nil"/>
              <w:tr2bl w:val="nil"/>
            </w:tcBorders>
            <w:vAlign w:val="center"/>
          </w:tcPr>
          <w:p>
            <w:pPr>
              <w:adjustRightInd w:val="0"/>
              <w:jc w:val="center"/>
              <w:rPr>
                <w:sz w:val="18"/>
                <w:szCs w:val="18"/>
              </w:rPr>
            </w:pPr>
            <w:r>
              <w:rPr>
                <w:sz w:val="18"/>
                <w:szCs w:val="18"/>
              </w:rPr>
              <w:t>0</w:t>
            </w:r>
          </w:p>
        </w:tc>
        <w:tc>
          <w:tcPr>
            <w:tcW w:w="849" w:type="dxa"/>
            <w:tcBorders>
              <w:tl2br w:val="nil"/>
              <w:tr2bl w:val="nil"/>
            </w:tcBorders>
            <w:vAlign w:val="center"/>
          </w:tcPr>
          <w:p>
            <w:pPr>
              <w:adjustRightInd w:val="0"/>
              <w:jc w:val="center"/>
              <w:rPr>
                <w:sz w:val="18"/>
                <w:szCs w:val="18"/>
              </w:rPr>
            </w:pPr>
            <w:r>
              <w:rPr>
                <w:sz w:val="18"/>
                <w:szCs w:val="18"/>
              </w:rPr>
              <w:t>40</w:t>
            </w:r>
          </w:p>
        </w:tc>
      </w:tr>
    </w:tbl>
    <w:p>
      <w:pPr>
        <w:snapToGrid w:val="0"/>
        <w:spacing w:line="360" w:lineRule="auto"/>
      </w:pPr>
    </w:p>
    <w:p>
      <w:pPr>
        <w:tabs>
          <w:tab w:val="left" w:pos="420"/>
        </w:tabs>
        <w:snapToGrid w:val="0"/>
        <w:spacing w:line="360" w:lineRule="auto"/>
        <w:ind w:left="420" w:hanging="420"/>
        <w:rPr>
          <w:szCs w:val="21"/>
        </w:rPr>
      </w:pPr>
      <w:r>
        <w:rPr>
          <w:rFonts w:eastAsia="黑体"/>
        </w:rPr>
        <w:t>六、教材、补充教材及参考资料</w:t>
      </w:r>
    </w:p>
    <w:p>
      <w:pPr>
        <w:snapToGrid w:val="0"/>
        <w:spacing w:line="360" w:lineRule="auto"/>
        <w:ind w:firstLine="420" w:firstLineChars="200"/>
        <w:rPr>
          <w:szCs w:val="21"/>
        </w:rPr>
      </w:pPr>
      <w:r>
        <w:t>1、</w:t>
      </w:r>
      <w:r>
        <w:rPr>
          <w:szCs w:val="21"/>
        </w:rPr>
        <w:t xml:space="preserve">马克思、恩格斯：《共产党宣言》，人民出版社2018年版。 </w:t>
      </w:r>
    </w:p>
    <w:p>
      <w:pPr>
        <w:snapToGrid w:val="0"/>
        <w:spacing w:line="360" w:lineRule="auto"/>
        <w:ind w:firstLine="420" w:firstLineChars="200"/>
        <w:rPr>
          <w:szCs w:val="21"/>
        </w:rPr>
      </w:pPr>
      <w:r>
        <w:rPr>
          <w:szCs w:val="21"/>
        </w:rPr>
        <w:t xml:space="preserve">2、恩格斯：《社会主义从空想到科学的发展》，人民出版社2018年版。  </w:t>
      </w:r>
    </w:p>
    <w:p>
      <w:pPr>
        <w:snapToGrid w:val="0"/>
        <w:spacing w:line="360" w:lineRule="auto"/>
        <w:ind w:firstLine="420" w:firstLineChars="200"/>
        <w:rPr>
          <w:szCs w:val="21"/>
        </w:rPr>
      </w:pPr>
      <w:r>
        <w:rPr>
          <w:szCs w:val="21"/>
        </w:rPr>
        <w:t>3、毛泽东：《毛泽东选集》，人民出版社1993年版。</w:t>
      </w:r>
    </w:p>
    <w:p>
      <w:pPr>
        <w:snapToGrid w:val="0"/>
        <w:spacing w:line="360" w:lineRule="auto"/>
        <w:ind w:firstLine="420" w:firstLineChars="200"/>
        <w:rPr>
          <w:szCs w:val="21"/>
        </w:rPr>
      </w:pPr>
      <w:r>
        <w:rPr>
          <w:szCs w:val="21"/>
        </w:rPr>
        <w:t>4、陈旭麓：《近代中国社会的新陈代谢》，生活·读书·新知三联书店2017版。</w:t>
      </w:r>
    </w:p>
    <w:p>
      <w:pPr>
        <w:snapToGrid w:val="0"/>
        <w:spacing w:line="360" w:lineRule="auto"/>
        <w:ind w:left="315" w:leftChars="150" w:firstLine="105" w:firstLineChars="50"/>
        <w:rPr>
          <w:szCs w:val="21"/>
        </w:rPr>
      </w:pPr>
      <w:r>
        <w:rPr>
          <w:szCs w:val="21"/>
        </w:rPr>
        <w:t>5、邓小平：《邓小平文选》，人民出版社，1994年版。</w:t>
      </w:r>
    </w:p>
    <w:p>
      <w:pPr>
        <w:snapToGrid w:val="0"/>
        <w:spacing w:line="360" w:lineRule="auto"/>
        <w:ind w:left="315" w:leftChars="150" w:firstLine="105" w:firstLineChars="50"/>
        <w:rPr>
          <w:szCs w:val="21"/>
        </w:rPr>
      </w:pPr>
      <w:r>
        <w:rPr>
          <w:szCs w:val="21"/>
        </w:rPr>
        <w:t>6、张维为:《中国超越：一个“文明型国家”的光荣与梦想》，世纪出版集团上海人民出版社，2014年版。</w:t>
      </w:r>
    </w:p>
    <w:p>
      <w:pPr>
        <w:widowControl/>
        <w:snapToGrid w:val="0"/>
        <w:spacing w:line="360" w:lineRule="auto"/>
        <w:jc w:val="left"/>
        <w:rPr>
          <w:rFonts w:eastAsia="黑体"/>
        </w:rPr>
      </w:pPr>
    </w:p>
    <w:p>
      <w:pPr>
        <w:widowControl/>
        <w:snapToGrid w:val="0"/>
        <w:spacing w:line="360" w:lineRule="auto"/>
        <w:jc w:val="left"/>
        <w:rPr>
          <w:rFonts w:eastAsia="黑体"/>
        </w:rPr>
      </w:pPr>
      <w:r>
        <w:rPr>
          <w:rFonts w:eastAsia="黑体"/>
        </w:rPr>
        <w:t>七、课程目标达成评价的途径和措施</w:t>
      </w:r>
    </w:p>
    <w:p>
      <w:pPr>
        <w:snapToGrid w:val="0"/>
        <w:spacing w:line="360" w:lineRule="auto"/>
        <w:ind w:firstLine="420" w:firstLineChars="200"/>
        <w:rPr>
          <w:szCs w:val="21"/>
        </w:rPr>
      </w:pPr>
      <w:r>
        <w:rPr>
          <w:szCs w:val="21"/>
        </w:rPr>
        <w:t>1. 考核方式：线上课堂点名、资料自学、课堂讨论、线上随堂测验、课后作业情况和期末考试。</w:t>
      </w:r>
    </w:p>
    <w:p>
      <w:pPr>
        <w:snapToGrid w:val="0"/>
        <w:spacing w:line="360" w:lineRule="auto"/>
        <w:ind w:firstLine="420" w:firstLineChars="200"/>
        <w:rPr>
          <w:szCs w:val="21"/>
        </w:rPr>
      </w:pPr>
      <w:r>
        <w:rPr>
          <w:szCs w:val="21"/>
        </w:rPr>
        <w:t>2.成绩构成：</w:t>
      </w:r>
    </w:p>
    <w:p>
      <w:pPr>
        <w:snapToGrid w:val="0"/>
        <w:spacing w:line="360" w:lineRule="auto"/>
        <w:ind w:firstLine="420" w:firstLineChars="200"/>
        <w:rPr>
          <w:szCs w:val="21"/>
        </w:rPr>
      </w:pPr>
      <w:r>
        <w:rPr>
          <w:szCs w:val="21"/>
        </w:rPr>
        <w:t>本课程通过“平时成绩”和“期末考试”两种方式对课程目标达成进行评价，考核成绩计算如下（本大纲中成绩均采用百分制）：</w:t>
      </w:r>
    </w:p>
    <w:p>
      <w:pPr>
        <w:snapToGrid w:val="0"/>
        <w:spacing w:line="360" w:lineRule="auto"/>
        <w:jc w:val="center"/>
      </w:pPr>
      <w:r>
        <w:rPr>
          <w:sz w:val="18"/>
          <w:szCs w:val="18"/>
        </w:rPr>
        <w:t>各环节成绩评定占比%</w:t>
      </w:r>
    </w:p>
    <w:tbl>
      <w:tblPr>
        <w:tblStyle w:val="2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419"/>
        <w:gridCol w:w="1421"/>
        <w:gridCol w:w="1421"/>
        <w:gridCol w:w="1422"/>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267" w:type="dxa"/>
            <w:tcBorders>
              <w:top w:val="single" w:color="auto" w:sz="4" w:space="0"/>
              <w:left w:val="nil"/>
              <w:bottom w:val="single" w:color="auto" w:sz="4" w:space="0"/>
              <w:right w:val="single" w:color="auto" w:sz="4" w:space="0"/>
            </w:tcBorders>
            <w:vAlign w:val="center"/>
          </w:tcPr>
          <w:p>
            <w:pPr>
              <w:snapToGrid w:val="0"/>
              <w:jc w:val="center"/>
              <w:rPr>
                <w:sz w:val="18"/>
                <w:szCs w:val="18"/>
              </w:rPr>
            </w:pPr>
            <w:r>
              <w:rPr>
                <w:sz w:val="18"/>
                <w:szCs w:val="18"/>
              </w:rPr>
              <w:t>课堂点名（平时）</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资料自学（平时）</w:t>
            </w:r>
          </w:p>
        </w:tc>
        <w:tc>
          <w:tcPr>
            <w:tcW w:w="1421"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课堂讨论（平时）</w:t>
            </w:r>
          </w:p>
        </w:tc>
        <w:tc>
          <w:tcPr>
            <w:tcW w:w="1421"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线上随堂测验（平时）</w:t>
            </w:r>
          </w:p>
        </w:tc>
        <w:tc>
          <w:tcPr>
            <w:tcW w:w="1422"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课后作业情况（平时）</w:t>
            </w:r>
          </w:p>
        </w:tc>
        <w:tc>
          <w:tcPr>
            <w:tcW w:w="1421"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67" w:type="dxa"/>
            <w:tcBorders>
              <w:top w:val="single" w:color="auto" w:sz="4" w:space="0"/>
              <w:left w:val="nil"/>
              <w:bottom w:val="single" w:color="auto" w:sz="4" w:space="0"/>
              <w:right w:val="single" w:color="auto" w:sz="4" w:space="0"/>
            </w:tcBorders>
            <w:vAlign w:val="center"/>
          </w:tcPr>
          <w:p>
            <w:pPr>
              <w:snapToGrid w:val="0"/>
              <w:jc w:val="center"/>
              <w:rPr>
                <w:bCs/>
              </w:rPr>
            </w:pPr>
            <w:r>
              <w:rPr>
                <w:bCs/>
              </w:rPr>
              <w:t>5</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bCs/>
              </w:rPr>
              <w:t>5</w:t>
            </w:r>
          </w:p>
        </w:tc>
        <w:tc>
          <w:tcPr>
            <w:tcW w:w="1421" w:type="dxa"/>
            <w:tcBorders>
              <w:top w:val="single" w:color="auto" w:sz="4" w:space="0"/>
              <w:left w:val="single" w:color="auto" w:sz="4" w:space="0"/>
              <w:bottom w:val="single" w:color="auto" w:sz="4" w:space="0"/>
              <w:right w:val="nil"/>
            </w:tcBorders>
            <w:vAlign w:val="center"/>
          </w:tcPr>
          <w:p>
            <w:pPr>
              <w:snapToGrid w:val="0"/>
              <w:jc w:val="center"/>
              <w:rPr>
                <w:bCs/>
              </w:rPr>
            </w:pPr>
            <w:r>
              <w:rPr>
                <w:bCs/>
              </w:rPr>
              <w:t>5</w:t>
            </w:r>
          </w:p>
        </w:tc>
        <w:tc>
          <w:tcPr>
            <w:tcW w:w="1421" w:type="dxa"/>
            <w:tcBorders>
              <w:top w:val="single" w:color="auto" w:sz="4" w:space="0"/>
              <w:left w:val="single" w:color="auto" w:sz="4" w:space="0"/>
              <w:bottom w:val="single" w:color="auto" w:sz="4" w:space="0"/>
              <w:right w:val="nil"/>
            </w:tcBorders>
            <w:vAlign w:val="center"/>
          </w:tcPr>
          <w:p>
            <w:pPr>
              <w:snapToGrid w:val="0"/>
              <w:jc w:val="center"/>
              <w:rPr>
                <w:bCs/>
              </w:rPr>
            </w:pPr>
            <w:r>
              <w:rPr>
                <w:bCs/>
              </w:rPr>
              <w:t>5</w:t>
            </w:r>
          </w:p>
        </w:tc>
        <w:tc>
          <w:tcPr>
            <w:tcW w:w="1422" w:type="dxa"/>
            <w:tcBorders>
              <w:top w:val="single" w:color="auto" w:sz="4" w:space="0"/>
              <w:left w:val="single" w:color="auto" w:sz="4" w:space="0"/>
              <w:bottom w:val="single" w:color="auto" w:sz="4" w:space="0"/>
              <w:right w:val="nil"/>
            </w:tcBorders>
            <w:vAlign w:val="center"/>
          </w:tcPr>
          <w:p>
            <w:pPr>
              <w:snapToGrid w:val="0"/>
              <w:jc w:val="center"/>
              <w:rPr>
                <w:bCs/>
              </w:rPr>
            </w:pPr>
            <w:r>
              <w:rPr>
                <w:bCs/>
              </w:rPr>
              <w:t>10</w:t>
            </w:r>
          </w:p>
        </w:tc>
        <w:tc>
          <w:tcPr>
            <w:tcW w:w="1421" w:type="dxa"/>
            <w:tcBorders>
              <w:top w:val="single" w:color="auto" w:sz="4" w:space="0"/>
              <w:left w:val="single" w:color="auto" w:sz="4" w:space="0"/>
              <w:bottom w:val="single" w:color="auto" w:sz="4" w:space="0"/>
              <w:right w:val="nil"/>
            </w:tcBorders>
            <w:vAlign w:val="center"/>
          </w:tcPr>
          <w:p>
            <w:pPr>
              <w:snapToGrid w:val="0"/>
              <w:jc w:val="center"/>
              <w:rPr>
                <w:bCs/>
              </w:rPr>
            </w:pPr>
            <w:r>
              <w:rPr>
                <w:bCs/>
              </w:rPr>
              <w:t>70</w:t>
            </w:r>
          </w:p>
        </w:tc>
      </w:tr>
    </w:tbl>
    <w:p>
      <w:pPr>
        <w:widowControl/>
        <w:snapToGrid w:val="0"/>
        <w:spacing w:line="360" w:lineRule="auto"/>
        <w:ind w:firstLine="1890" w:firstLineChars="900"/>
      </w:pPr>
    </w:p>
    <w:p>
      <w:pPr>
        <w:snapToGrid w:val="0"/>
        <w:spacing w:line="360" w:lineRule="auto"/>
        <w:ind w:firstLine="420" w:firstLineChars="200"/>
        <w:rPr>
          <w:b/>
          <w:bCs/>
          <w:szCs w:val="21"/>
        </w:rPr>
      </w:pPr>
      <w:r>
        <w:rPr>
          <w:szCs w:val="21"/>
        </w:rPr>
        <w:t>指导性课程目标评价题目分数分配：</w:t>
      </w:r>
    </w:p>
    <w:tbl>
      <w:tblPr>
        <w:tblStyle w:val="22"/>
        <w:tblW w:w="8522" w:type="dxa"/>
        <w:jc w:val="center"/>
        <w:tblLayout w:type="fixed"/>
        <w:tblCellMar>
          <w:top w:w="0" w:type="dxa"/>
          <w:left w:w="108" w:type="dxa"/>
          <w:bottom w:w="0" w:type="dxa"/>
          <w:right w:w="108" w:type="dxa"/>
        </w:tblCellMar>
      </w:tblPr>
      <w:tblGrid>
        <w:gridCol w:w="1166"/>
        <w:gridCol w:w="1195"/>
        <w:gridCol w:w="1168"/>
        <w:gridCol w:w="1098"/>
        <w:gridCol w:w="1296"/>
        <w:gridCol w:w="1222"/>
        <w:gridCol w:w="1377"/>
      </w:tblGrid>
      <w:tr>
        <w:tblPrEx>
          <w:tblCellMar>
            <w:top w:w="0" w:type="dxa"/>
            <w:left w:w="108" w:type="dxa"/>
            <w:bottom w:w="0" w:type="dxa"/>
            <w:right w:w="108" w:type="dxa"/>
          </w:tblCellMar>
        </w:tblPrEx>
        <w:trPr>
          <w:trHeight w:val="1000" w:hRule="atLeast"/>
          <w:jc w:val="center"/>
        </w:trPr>
        <w:tc>
          <w:tcPr>
            <w:tcW w:w="1166" w:type="dxa"/>
            <w:tcBorders>
              <w:top w:val="single" w:color="auto" w:sz="4" w:space="0"/>
              <w:left w:val="nil"/>
              <w:bottom w:val="single" w:color="auto" w:sz="4" w:space="0"/>
              <w:right w:val="single" w:color="auto" w:sz="4" w:space="0"/>
            </w:tcBorders>
            <w:vAlign w:val="center"/>
          </w:tcPr>
          <w:p>
            <w:pPr>
              <w:widowControl/>
              <w:snapToGrid w:val="0"/>
              <w:jc w:val="center"/>
              <w:rPr>
                <w:kern w:val="0"/>
                <w:sz w:val="18"/>
                <w:szCs w:val="18"/>
              </w:rPr>
            </w:pPr>
            <w:r>
              <w:rPr>
                <w:kern w:val="0"/>
                <w:sz w:val="18"/>
                <w:szCs w:val="18"/>
              </w:rPr>
              <w:t>课程目标</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课堂点名（平时）</w:t>
            </w:r>
          </w:p>
          <w:p>
            <w:pPr>
              <w:snapToGrid w:val="0"/>
              <w:jc w:val="center"/>
              <w:rPr>
                <w:sz w:val="18"/>
                <w:szCs w:val="18"/>
              </w:rPr>
            </w:pPr>
            <w:r>
              <w:rPr>
                <w:sz w:val="18"/>
                <w:szCs w:val="18"/>
              </w:rPr>
              <w:t>W1</w:t>
            </w:r>
            <w:r>
              <w:rPr>
                <w:sz w:val="18"/>
                <w:szCs w:val="18"/>
                <w:vertAlign w:val="subscript"/>
              </w:rPr>
              <w:t>i</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资料自学（平时）</w:t>
            </w:r>
          </w:p>
          <w:p>
            <w:pPr>
              <w:snapToGrid w:val="0"/>
              <w:jc w:val="center"/>
              <w:rPr>
                <w:sz w:val="18"/>
                <w:szCs w:val="18"/>
              </w:rPr>
            </w:pPr>
            <w:r>
              <w:rPr>
                <w:sz w:val="18"/>
                <w:szCs w:val="18"/>
              </w:rPr>
              <w:t>W2</w:t>
            </w:r>
            <w:r>
              <w:rPr>
                <w:sz w:val="18"/>
                <w:szCs w:val="18"/>
                <w:vertAlign w:val="subscript"/>
              </w:rPr>
              <w:t>i</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课堂讨论（平时）</w:t>
            </w:r>
          </w:p>
          <w:p>
            <w:pPr>
              <w:snapToGrid w:val="0"/>
              <w:jc w:val="center"/>
              <w:rPr>
                <w:sz w:val="18"/>
                <w:szCs w:val="18"/>
              </w:rPr>
            </w:pPr>
            <w:r>
              <w:rPr>
                <w:sz w:val="18"/>
                <w:szCs w:val="18"/>
              </w:rPr>
              <w:t>W3</w:t>
            </w:r>
            <w:r>
              <w:rPr>
                <w:sz w:val="18"/>
                <w:szCs w:val="18"/>
                <w:vertAlign w:val="subscript"/>
              </w:rPr>
              <w:t>i</w:t>
            </w:r>
          </w:p>
        </w:tc>
        <w:tc>
          <w:tcPr>
            <w:tcW w:w="1296"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线上随堂测验（平时）W4</w:t>
            </w:r>
            <w:r>
              <w:rPr>
                <w:sz w:val="18"/>
                <w:szCs w:val="18"/>
                <w:vertAlign w:val="subscript"/>
              </w:rPr>
              <w:t>i</w:t>
            </w:r>
          </w:p>
        </w:tc>
        <w:tc>
          <w:tcPr>
            <w:tcW w:w="1222"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课后作业情况（平时）W5</w:t>
            </w:r>
            <w:r>
              <w:rPr>
                <w:sz w:val="18"/>
                <w:szCs w:val="18"/>
                <w:vertAlign w:val="subscript"/>
              </w:rPr>
              <w:t>i</w:t>
            </w:r>
          </w:p>
        </w:tc>
        <w:tc>
          <w:tcPr>
            <w:tcW w:w="1377"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tc>
      </w:tr>
      <w:tr>
        <w:tblPrEx>
          <w:tblCellMar>
            <w:top w:w="0" w:type="dxa"/>
            <w:left w:w="108" w:type="dxa"/>
            <w:bottom w:w="0" w:type="dxa"/>
            <w:right w:w="108" w:type="dxa"/>
          </w:tblCellMar>
        </w:tblPrEx>
        <w:trPr>
          <w:trHeight w:val="521" w:hRule="atLeast"/>
          <w:jc w:val="center"/>
        </w:trPr>
        <w:tc>
          <w:tcPr>
            <w:tcW w:w="1166" w:type="dxa"/>
            <w:tcBorders>
              <w:top w:val="nil"/>
              <w:left w:val="nil"/>
              <w:bottom w:val="single" w:color="auto" w:sz="4" w:space="0"/>
              <w:right w:val="single" w:color="auto" w:sz="4" w:space="0"/>
            </w:tcBorders>
            <w:vAlign w:val="center"/>
          </w:tcPr>
          <w:p>
            <w:pPr>
              <w:snapToGrid w:val="0"/>
              <w:jc w:val="center"/>
              <w:rPr>
                <w:bCs/>
              </w:rPr>
            </w:pPr>
            <w:r>
              <w:rPr>
                <w:bCs/>
              </w:rPr>
              <w:t>1</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2</w:t>
            </w:r>
            <w:r>
              <w:rPr>
                <w:bCs/>
              </w:rPr>
              <w:t>0-40</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2</w:t>
            </w:r>
            <w:r>
              <w:rPr>
                <w:bCs/>
              </w:rPr>
              <w:t>0-30</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bCs/>
              </w:rPr>
              <w:t>20-40</w:t>
            </w:r>
          </w:p>
        </w:tc>
        <w:tc>
          <w:tcPr>
            <w:tcW w:w="1296"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1</w:t>
            </w:r>
            <w:r>
              <w:rPr>
                <w:bCs/>
              </w:rPr>
              <w:t>0-</w:t>
            </w:r>
            <w:r>
              <w:rPr>
                <w:rFonts w:hint="eastAsia"/>
                <w:bCs/>
              </w:rPr>
              <w:t>3</w:t>
            </w:r>
            <w:r>
              <w:rPr>
                <w:bCs/>
              </w:rPr>
              <w:t>0</w:t>
            </w:r>
          </w:p>
        </w:tc>
        <w:tc>
          <w:tcPr>
            <w:tcW w:w="1222" w:type="dxa"/>
            <w:tcBorders>
              <w:top w:val="single" w:color="auto" w:sz="4" w:space="0"/>
              <w:left w:val="single" w:color="auto" w:sz="4" w:space="0"/>
              <w:bottom w:val="single" w:color="auto" w:sz="4" w:space="0"/>
              <w:right w:val="nil"/>
            </w:tcBorders>
            <w:vAlign w:val="center"/>
          </w:tcPr>
          <w:p>
            <w:pPr>
              <w:snapToGrid w:val="0"/>
              <w:jc w:val="center"/>
              <w:rPr>
                <w:bCs/>
              </w:rPr>
            </w:pPr>
            <w:r>
              <w:rPr>
                <w:bCs/>
              </w:rPr>
              <w:t>30-60</w:t>
            </w:r>
          </w:p>
        </w:tc>
        <w:tc>
          <w:tcPr>
            <w:tcW w:w="1377" w:type="dxa"/>
            <w:tcBorders>
              <w:top w:val="single" w:color="auto" w:sz="4" w:space="0"/>
              <w:left w:val="single" w:color="auto" w:sz="4" w:space="0"/>
              <w:bottom w:val="single" w:color="auto" w:sz="4" w:space="0"/>
              <w:right w:val="nil"/>
            </w:tcBorders>
            <w:vAlign w:val="center"/>
          </w:tcPr>
          <w:p>
            <w:pPr>
              <w:snapToGrid w:val="0"/>
              <w:jc w:val="center"/>
              <w:rPr>
                <w:bCs/>
              </w:rPr>
            </w:pPr>
            <w:r>
              <w:rPr>
                <w:bCs/>
              </w:rPr>
              <w:t>30-</w:t>
            </w:r>
            <w:r>
              <w:rPr>
                <w:rFonts w:hint="eastAsia"/>
                <w:bCs/>
              </w:rPr>
              <w:t>5</w:t>
            </w:r>
            <w:r>
              <w:rPr>
                <w:bCs/>
              </w:rPr>
              <w:t>0</w:t>
            </w:r>
          </w:p>
        </w:tc>
      </w:tr>
      <w:tr>
        <w:tblPrEx>
          <w:tblCellMar>
            <w:top w:w="0" w:type="dxa"/>
            <w:left w:w="108" w:type="dxa"/>
            <w:bottom w:w="0" w:type="dxa"/>
            <w:right w:w="108" w:type="dxa"/>
          </w:tblCellMar>
        </w:tblPrEx>
        <w:trPr>
          <w:trHeight w:val="569" w:hRule="atLeast"/>
          <w:jc w:val="center"/>
        </w:trPr>
        <w:tc>
          <w:tcPr>
            <w:tcW w:w="1166" w:type="dxa"/>
            <w:tcBorders>
              <w:top w:val="nil"/>
              <w:left w:val="nil"/>
              <w:bottom w:val="single" w:color="auto" w:sz="4" w:space="0"/>
              <w:right w:val="single" w:color="auto" w:sz="4" w:space="0"/>
            </w:tcBorders>
            <w:vAlign w:val="center"/>
          </w:tcPr>
          <w:p>
            <w:pPr>
              <w:snapToGrid w:val="0"/>
              <w:jc w:val="center"/>
              <w:rPr>
                <w:bCs/>
              </w:rPr>
            </w:pPr>
            <w:r>
              <w:rPr>
                <w:bCs/>
              </w:rPr>
              <w:t>2</w:t>
            </w:r>
          </w:p>
        </w:tc>
        <w:tc>
          <w:tcPr>
            <w:tcW w:w="1195"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6</w:t>
            </w:r>
            <w:r>
              <w:rPr>
                <w:bCs/>
              </w:rPr>
              <w:t>0-</w:t>
            </w:r>
            <w:r>
              <w:rPr>
                <w:rFonts w:hint="eastAsia"/>
                <w:bCs/>
              </w:rPr>
              <w:t>8</w:t>
            </w:r>
            <w:r>
              <w:rPr>
                <w:bCs/>
              </w:rPr>
              <w:t>0</w:t>
            </w:r>
          </w:p>
        </w:tc>
        <w:tc>
          <w:tcPr>
            <w:tcW w:w="116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7</w:t>
            </w:r>
            <w:r>
              <w:rPr>
                <w:bCs/>
              </w:rPr>
              <w:t>0-80</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rFonts w:hint="eastAsia"/>
                <w:bCs/>
              </w:rPr>
              <w:t>6</w:t>
            </w:r>
            <w:r>
              <w:rPr>
                <w:bCs/>
              </w:rPr>
              <w:t>0-</w:t>
            </w:r>
            <w:r>
              <w:rPr>
                <w:rFonts w:hint="eastAsia"/>
                <w:bCs/>
              </w:rPr>
              <w:t>8</w:t>
            </w:r>
            <w:r>
              <w:rPr>
                <w:bCs/>
              </w:rPr>
              <w:t>0</w:t>
            </w:r>
          </w:p>
        </w:tc>
        <w:tc>
          <w:tcPr>
            <w:tcW w:w="1296"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7</w:t>
            </w:r>
            <w:r>
              <w:rPr>
                <w:bCs/>
              </w:rPr>
              <w:t>0-</w:t>
            </w:r>
            <w:r>
              <w:rPr>
                <w:rFonts w:hint="eastAsia"/>
                <w:bCs/>
              </w:rPr>
              <w:t>9</w:t>
            </w:r>
            <w:r>
              <w:rPr>
                <w:bCs/>
              </w:rPr>
              <w:t>0</w:t>
            </w:r>
          </w:p>
        </w:tc>
        <w:tc>
          <w:tcPr>
            <w:tcW w:w="1222"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4</w:t>
            </w:r>
            <w:r>
              <w:rPr>
                <w:bCs/>
              </w:rPr>
              <w:t>0-70</w:t>
            </w:r>
          </w:p>
        </w:tc>
        <w:tc>
          <w:tcPr>
            <w:tcW w:w="1377" w:type="dxa"/>
            <w:tcBorders>
              <w:top w:val="single" w:color="auto" w:sz="4" w:space="0"/>
              <w:left w:val="single" w:color="auto" w:sz="4" w:space="0"/>
              <w:bottom w:val="single" w:color="auto" w:sz="4" w:space="0"/>
              <w:right w:val="nil"/>
            </w:tcBorders>
            <w:vAlign w:val="center"/>
          </w:tcPr>
          <w:p>
            <w:pPr>
              <w:snapToGrid w:val="0"/>
              <w:jc w:val="center"/>
              <w:rPr>
                <w:bCs/>
              </w:rPr>
            </w:pPr>
            <w:r>
              <w:rPr>
                <w:rFonts w:hint="eastAsia"/>
                <w:bCs/>
              </w:rPr>
              <w:t>5</w:t>
            </w:r>
            <w:r>
              <w:rPr>
                <w:bCs/>
              </w:rPr>
              <w:t>0-</w:t>
            </w:r>
            <w:r>
              <w:rPr>
                <w:rFonts w:hint="eastAsia"/>
                <w:bCs/>
              </w:rPr>
              <w:t>7</w:t>
            </w:r>
            <w:r>
              <w:rPr>
                <w:bCs/>
              </w:rPr>
              <w:t>0</w:t>
            </w:r>
          </w:p>
        </w:tc>
      </w:tr>
    </w:tbl>
    <w:p>
      <w:pPr>
        <w:snapToGrid w:val="0"/>
        <w:spacing w:line="360" w:lineRule="auto"/>
        <w:rPr>
          <w:szCs w:val="21"/>
        </w:rPr>
      </w:pPr>
    </w:p>
    <w:p>
      <w:pPr>
        <w:snapToGrid w:val="0"/>
        <w:spacing w:line="360" w:lineRule="auto"/>
        <w:ind w:firstLine="420" w:firstLineChars="200"/>
        <w:rPr>
          <w:szCs w:val="21"/>
        </w:rPr>
      </w:pPr>
      <w:r>
        <w:rPr>
          <w:szCs w:val="21"/>
        </w:rPr>
        <w:t>分目标达成值由每个部分对应的实际得分与题目总分数相比后，各环节加权求和得到。</w:t>
      </w:r>
    </w:p>
    <w:p>
      <w:pPr>
        <w:snapToGrid w:val="0"/>
        <w:spacing w:line="360" w:lineRule="auto"/>
        <w:ind w:firstLine="420" w:firstLineChars="200"/>
        <w:rPr>
          <w:szCs w:val="21"/>
        </w:rPr>
      </w:pPr>
      <w:r>
        <w:rPr>
          <w:szCs w:val="21"/>
        </w:rPr>
        <w:t>总课程目标达成值由每个环节的总平均分，按照各环节加权求和得到。</w:t>
      </w:r>
    </w:p>
    <w:p>
      <w:pPr>
        <w:snapToGrid w:val="0"/>
        <w:spacing w:line="360" w:lineRule="auto"/>
        <w:ind w:firstLine="420" w:firstLineChars="200"/>
        <w:rPr>
          <w:szCs w:val="21"/>
        </w:rPr>
      </w:pPr>
      <w:r>
        <w:rPr>
          <w:szCs w:val="21"/>
        </w:rPr>
        <w:t>各环节的评价标准参见课程成绩分析报告。</w:t>
      </w:r>
    </w:p>
    <w:p>
      <w:pPr>
        <w:rPr>
          <w:rFonts w:eastAsia="黑体"/>
          <w:sz w:val="28"/>
          <w:szCs w:val="24"/>
        </w:rPr>
      </w:pPr>
      <w:r>
        <w:rPr>
          <w:rFonts w:hint="eastAsia" w:eastAsia="黑体"/>
          <w:sz w:val="28"/>
          <w:szCs w:val="24"/>
        </w:rPr>
        <w:br w:type="page"/>
      </w:r>
    </w:p>
    <w:p>
      <w:pPr>
        <w:pStyle w:val="20"/>
        <w:spacing w:before="312" w:after="468"/>
      </w:pPr>
      <w:bookmarkStart w:id="18" w:name="_Toc15339"/>
      <w:r>
        <w:t>《X01100003 -马克思主义基本原理概论》教学大纲</w:t>
      </w:r>
      <w:bookmarkEnd w:id="18"/>
    </w:p>
    <w:p>
      <w:pPr>
        <w:adjustRightInd w:val="0"/>
        <w:snapToGrid w:val="0"/>
        <w:spacing w:line="360" w:lineRule="auto"/>
        <w:rPr>
          <w:rFonts w:eastAsiaTheme="majorEastAsia"/>
        </w:rPr>
      </w:pPr>
      <w:r>
        <w:rPr>
          <w:rFonts w:eastAsia="黑体"/>
          <w:szCs w:val="21"/>
        </w:rPr>
        <w:t>课程编号：</w:t>
      </w:r>
      <w:r>
        <w:rPr>
          <w:rFonts w:eastAsiaTheme="majorEastAsia"/>
        </w:rPr>
        <w:t xml:space="preserve">X01100003 </w:t>
      </w:r>
    </w:p>
    <w:p>
      <w:pPr>
        <w:adjustRightInd w:val="0"/>
        <w:snapToGrid w:val="0"/>
        <w:spacing w:line="360" w:lineRule="auto"/>
        <w:rPr>
          <w:snapToGrid w:val="0"/>
          <w:kern w:val="0"/>
          <w:szCs w:val="21"/>
        </w:rPr>
      </w:pPr>
      <w:r>
        <w:rPr>
          <w:rFonts w:eastAsia="黑体"/>
          <w:szCs w:val="21"/>
        </w:rPr>
        <w:t>课程名称：</w:t>
      </w:r>
      <w:r>
        <w:rPr>
          <w:szCs w:val="21"/>
        </w:rPr>
        <w:t>马克思主义基本原理概论</w:t>
      </w:r>
      <w:r>
        <w:rPr>
          <w:szCs w:val="21"/>
        </w:rPr>
        <w:tab/>
      </w:r>
      <w:r>
        <w:rPr>
          <w:szCs w:val="21"/>
        </w:rPr>
        <w:tab/>
      </w:r>
      <w:r>
        <w:rPr>
          <w:rFonts w:eastAsia="黑体"/>
          <w:szCs w:val="21"/>
        </w:rPr>
        <w:t>开课单位：</w:t>
      </w:r>
      <w:r>
        <w:rPr>
          <w:rFonts w:eastAsiaTheme="majorEastAsia"/>
        </w:rPr>
        <w:t>马克思主义学院</w:t>
      </w:r>
      <w:r>
        <w:rPr>
          <w:rFonts w:eastAsia="黑体"/>
          <w:b/>
        </w:rPr>
        <w:t xml:space="preserve"> </w:t>
      </w:r>
    </w:p>
    <w:p>
      <w:pPr>
        <w:adjustRightInd w:val="0"/>
        <w:snapToGrid w:val="0"/>
        <w:spacing w:line="360" w:lineRule="auto"/>
        <w:rPr>
          <w:rFonts w:eastAsia="黑体"/>
          <w:szCs w:val="21"/>
        </w:rPr>
      </w:pPr>
      <w:r>
        <w:rPr>
          <w:rFonts w:eastAsia="黑体"/>
          <w:szCs w:val="21"/>
        </w:rPr>
        <w:t>总 学 时：</w:t>
      </w:r>
      <w:r>
        <w:rPr>
          <w:szCs w:val="21"/>
        </w:rPr>
        <w:t>48</w:t>
      </w:r>
      <w:r>
        <w:rPr>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学    分：</w:t>
      </w:r>
      <w:r>
        <w:rPr>
          <w:szCs w:val="21"/>
        </w:rPr>
        <w:t>3</w:t>
      </w:r>
    </w:p>
    <w:p>
      <w:pPr>
        <w:adjustRightInd w:val="0"/>
        <w:snapToGrid w:val="0"/>
        <w:spacing w:line="360" w:lineRule="auto"/>
        <w:rPr>
          <w:rFonts w:eastAsia="黑体"/>
          <w:szCs w:val="21"/>
        </w:rPr>
      </w:pPr>
      <w:r>
        <w:rPr>
          <w:rFonts w:eastAsia="黑体"/>
          <w:szCs w:val="21"/>
        </w:rPr>
        <w:t>适用专业：</w:t>
      </w:r>
      <w:r>
        <w:rPr>
          <w:rFonts w:eastAsiaTheme="majorEastAsia"/>
          <w:szCs w:val="21"/>
        </w:rPr>
        <w:t>工程类各专业</w:t>
      </w:r>
    </w:p>
    <w:p>
      <w:pPr>
        <w:snapToGrid w:val="0"/>
        <w:spacing w:line="360" w:lineRule="auto"/>
        <w:rPr>
          <w:rFonts w:eastAsia="黑体"/>
          <w:szCs w:val="21"/>
        </w:rPr>
      </w:pPr>
      <w:r>
        <w:rPr>
          <w:rFonts w:eastAsia="黑体"/>
          <w:szCs w:val="21"/>
        </w:rPr>
        <w:t>先修课程：</w:t>
      </w:r>
      <w:r>
        <w:rPr>
          <w:rFonts w:eastAsiaTheme="majorEastAsia"/>
          <w:szCs w:val="21"/>
        </w:rPr>
        <w:t>无</w:t>
      </w:r>
    </w:p>
    <w:p>
      <w:pPr>
        <w:adjustRightInd w:val="0"/>
        <w:snapToGrid w:val="0"/>
        <w:spacing w:line="360" w:lineRule="auto"/>
        <w:rPr>
          <w:rFonts w:eastAsiaTheme="minorEastAsia"/>
          <w:szCs w:val="21"/>
        </w:rPr>
      </w:pPr>
      <w:r>
        <w:rPr>
          <w:rFonts w:eastAsia="黑体"/>
          <w:szCs w:val="21"/>
        </w:rPr>
        <w:t>大纲编写（修订）时间：</w:t>
      </w:r>
      <w:r>
        <w:rPr>
          <w:rFonts w:eastAsiaTheme="minorEastAsia"/>
          <w:szCs w:val="21"/>
        </w:rPr>
        <w:t>2019年4月</w:t>
      </w:r>
    </w:p>
    <w:p>
      <w:pPr>
        <w:snapToGrid w:val="0"/>
        <w:spacing w:line="360" w:lineRule="auto"/>
        <w:rPr>
          <w:rFonts w:eastAsia="黑体"/>
          <w:szCs w:val="21"/>
        </w:rPr>
      </w:pPr>
    </w:p>
    <w:p>
      <w:pPr>
        <w:snapToGrid w:val="0"/>
        <w:spacing w:line="360" w:lineRule="auto"/>
        <w:rPr>
          <w:b/>
          <w:szCs w:val="21"/>
        </w:rPr>
      </w:pPr>
      <w:r>
        <w:rPr>
          <w:rFonts w:eastAsia="黑体"/>
          <w:szCs w:val="21"/>
        </w:rPr>
        <w:t>一、课程在教学计划中地位、作用</w:t>
      </w:r>
    </w:p>
    <w:p>
      <w:pPr>
        <w:snapToGrid w:val="0"/>
        <w:spacing w:line="360" w:lineRule="auto"/>
        <w:ind w:firstLine="315" w:firstLineChars="150"/>
        <w:jc w:val="left"/>
        <w:rPr>
          <w:kern w:val="0"/>
          <w:szCs w:val="21"/>
        </w:rPr>
      </w:pPr>
      <w:r>
        <w:rPr>
          <w:kern w:val="0"/>
          <w:szCs w:val="21"/>
        </w:rPr>
        <w:t>《马克思主义基本原理概论》课是按照中央宣传部、国家教育部2005年“两课”教学新方案要求，在原有的马克思主义哲学、马克思主义政治经济学和科学社会主义三门课程基础上进行新的整合后，所形成的一门公共必修课程。马克思主义基本原理概论课在整个思想政治课教育教学中发挥着基础、核心和灵魂的作用，在把新一代培养成为社会主义事业的建设者和接班人方面起着不可替代的重要作用。</w:t>
      </w:r>
    </w:p>
    <w:p>
      <w:pPr>
        <w:snapToGrid w:val="0"/>
        <w:spacing w:line="360" w:lineRule="auto"/>
        <w:ind w:firstLine="420" w:firstLineChars="200"/>
        <w:jc w:val="left"/>
        <w:rPr>
          <w:kern w:val="0"/>
          <w:szCs w:val="21"/>
        </w:rPr>
      </w:pPr>
      <w:r>
        <w:rPr>
          <w:kern w:val="0"/>
          <w:szCs w:val="21"/>
        </w:rPr>
        <w:t>本课程的目的是对学生进行系统的马克思主义的基本立场、基本观点和基本方法的教育，帮助大学生从整体上掌握马克思主义的科学内容和精神实质，学会运用马克思主义的世界观和方法论观察问题、分析问题和解决问题。</w:t>
      </w:r>
    </w:p>
    <w:p>
      <w:pPr>
        <w:snapToGrid w:val="0"/>
        <w:spacing w:line="360" w:lineRule="auto"/>
        <w:ind w:firstLine="420" w:firstLineChars="200"/>
        <w:jc w:val="left"/>
        <w:rPr>
          <w:kern w:val="0"/>
          <w:szCs w:val="21"/>
        </w:rPr>
      </w:pPr>
      <w:r>
        <w:rPr>
          <w:kern w:val="0"/>
          <w:szCs w:val="21"/>
        </w:rPr>
        <w:t>本课程的任务是通过学习使青年学生全面准确地掌握马克思主义的基本原理，树立马克思主义的世界观、人生观和价值观，正确认识人类社会发展的基本规律，为大学生确立建设中国特色社会主义的理想信念、自觉坚持党的基本理论、基本路线和基本纲领打下扎实的理论基础。</w:t>
      </w:r>
    </w:p>
    <w:p>
      <w:pPr>
        <w:snapToGrid w:val="0"/>
        <w:spacing w:line="360" w:lineRule="auto"/>
        <w:rPr>
          <w:rFonts w:eastAsia="黑体"/>
          <w:szCs w:val="21"/>
        </w:rPr>
      </w:pPr>
    </w:p>
    <w:p>
      <w:pPr>
        <w:snapToGrid w:val="0"/>
        <w:spacing w:line="360" w:lineRule="auto"/>
        <w:rPr>
          <w:rFonts w:eastAsia="黑体"/>
          <w:szCs w:val="21"/>
        </w:rPr>
      </w:pPr>
      <w:r>
        <w:rPr>
          <w:rFonts w:eastAsia="黑体"/>
          <w:szCs w:val="21"/>
        </w:rPr>
        <w:t>二、课程目标</w:t>
      </w:r>
    </w:p>
    <w:p>
      <w:pPr>
        <w:snapToGrid w:val="0"/>
        <w:spacing w:line="360" w:lineRule="auto"/>
        <w:ind w:firstLine="420" w:firstLineChars="200"/>
        <w:rPr>
          <w:szCs w:val="21"/>
        </w:rPr>
      </w:pPr>
      <w:r>
        <w:rPr>
          <w:szCs w:val="21"/>
        </w:rPr>
        <w:t>本大纲适用于工程类专业选择使用，专业在选用时要关注本课程目标是否与专业培养方案设定的能力矩阵一致。</w:t>
      </w:r>
    </w:p>
    <w:tbl>
      <w:tblPr>
        <w:tblStyle w:val="22"/>
        <w:tblW w:w="830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548"/>
        <w:gridCol w:w="4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05" w:type="dxa"/>
            <w:vAlign w:val="center"/>
          </w:tcPr>
          <w:p>
            <w:pPr>
              <w:spacing w:line="360" w:lineRule="auto"/>
              <w:jc w:val="center"/>
              <w:rPr>
                <w:sz w:val="18"/>
                <w:szCs w:val="18"/>
              </w:rPr>
            </w:pPr>
            <w:r>
              <w:rPr>
                <w:sz w:val="18"/>
                <w:szCs w:val="18"/>
              </w:rPr>
              <w:t>序号</w:t>
            </w:r>
          </w:p>
        </w:tc>
        <w:tc>
          <w:tcPr>
            <w:tcW w:w="3548" w:type="dxa"/>
            <w:vAlign w:val="center"/>
          </w:tcPr>
          <w:p>
            <w:pPr>
              <w:spacing w:line="360" w:lineRule="auto"/>
              <w:jc w:val="center"/>
              <w:rPr>
                <w:sz w:val="18"/>
                <w:szCs w:val="18"/>
              </w:rPr>
            </w:pPr>
            <w:r>
              <w:rPr>
                <w:sz w:val="18"/>
                <w:szCs w:val="18"/>
              </w:rPr>
              <w:t>课程目标</w:t>
            </w:r>
          </w:p>
        </w:tc>
        <w:tc>
          <w:tcPr>
            <w:tcW w:w="4053" w:type="dxa"/>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snapToGrid w:val="0"/>
              <w:spacing w:line="360" w:lineRule="auto"/>
              <w:jc w:val="center"/>
              <w:rPr>
                <w:sz w:val="18"/>
                <w:szCs w:val="18"/>
              </w:rPr>
            </w:pPr>
            <w:r>
              <w:rPr>
                <w:sz w:val="18"/>
                <w:szCs w:val="18"/>
              </w:rPr>
              <w:t>1</w:t>
            </w:r>
          </w:p>
        </w:tc>
        <w:tc>
          <w:tcPr>
            <w:tcW w:w="3548" w:type="dxa"/>
          </w:tcPr>
          <w:p>
            <w:pPr>
              <w:adjustRightInd w:val="0"/>
              <w:snapToGrid w:val="0"/>
              <w:spacing w:line="360" w:lineRule="auto"/>
              <w:rPr>
                <w:sz w:val="18"/>
                <w:szCs w:val="18"/>
              </w:rPr>
            </w:pPr>
            <w:r>
              <w:rPr>
                <w:sz w:val="18"/>
                <w:szCs w:val="18"/>
              </w:rPr>
              <w:t>通过本</w:t>
            </w:r>
            <w:r>
              <w:rPr>
                <w:kern w:val="0"/>
                <w:sz w:val="18"/>
                <w:szCs w:val="18"/>
              </w:rPr>
              <w:t>本课程紧紧围绕什么是马克思主义，为什么要始终坚持马克思主义，如何坚持和发展马克思主义这一主题，以阐述马克思主义世界观和方法论为重点，以人类社会发展的基本规律为主线，全面阐述马克思主义的基本原理，要求学生掌握和马克思主义哲学、马克思主义政治经济学和科学社会主义的基本原理，正确认识人类社会发展的客观规律，正确认识资本主义和社会主义在其自身发展历程中出现的各种新情况、新问题，树立为实现共产主义社会而奋斗的远大理想和坚定信念。</w:t>
            </w:r>
          </w:p>
        </w:tc>
        <w:tc>
          <w:tcPr>
            <w:tcW w:w="4053" w:type="dxa"/>
          </w:tcPr>
          <w:p>
            <w:pPr>
              <w:adjustRightInd w:val="0"/>
              <w:snapToGrid w:val="0"/>
              <w:spacing w:line="360" w:lineRule="auto"/>
              <w:rPr>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p>
            <w:pPr>
              <w:adjustRightInd w:val="0"/>
              <w:snapToGrid w:val="0"/>
              <w:spacing w:line="360" w:lineRule="auto"/>
              <w:rPr>
                <w:sz w:val="18"/>
                <w:szCs w:val="18"/>
              </w:rPr>
            </w:pPr>
          </w:p>
        </w:tc>
      </w:tr>
    </w:tbl>
    <w:p>
      <w:pPr>
        <w:snapToGrid w:val="0"/>
        <w:spacing w:line="360" w:lineRule="auto"/>
        <w:rPr>
          <w:rFonts w:eastAsia="黑体"/>
          <w:szCs w:val="21"/>
        </w:rPr>
      </w:pPr>
    </w:p>
    <w:p>
      <w:pPr>
        <w:snapToGrid w:val="0"/>
        <w:spacing w:line="360" w:lineRule="auto"/>
        <w:rPr>
          <w:rFonts w:eastAsia="黑体"/>
          <w:szCs w:val="21"/>
        </w:rPr>
      </w:pPr>
      <w:r>
        <w:rPr>
          <w:rFonts w:eastAsia="黑体"/>
          <w:szCs w:val="21"/>
        </w:rPr>
        <w:t>三、教学内容及基本要求</w:t>
      </w:r>
    </w:p>
    <w:p>
      <w:pPr>
        <w:adjustRightInd w:val="0"/>
        <w:snapToGrid w:val="0"/>
        <w:spacing w:line="360" w:lineRule="auto"/>
        <w:ind w:firstLine="420" w:firstLineChars="200"/>
        <w:rPr>
          <w:rFonts w:eastAsia="黑体"/>
          <w:b/>
          <w:bCs/>
          <w:szCs w:val="21"/>
        </w:rPr>
      </w:pPr>
      <w:r>
        <w:rPr>
          <w:rFonts w:eastAsia="黑体"/>
          <w:szCs w:val="21"/>
        </w:rPr>
        <w:t>绪言</w:t>
      </w:r>
      <w:r>
        <w:rPr>
          <w:rFonts w:eastAsia="黑体"/>
          <w:b/>
          <w:bCs/>
          <w:szCs w:val="21"/>
        </w:rPr>
        <w:t xml:space="preserve"> </w:t>
      </w:r>
      <w:r>
        <w:rPr>
          <w:rFonts w:eastAsia="黑体"/>
          <w:szCs w:val="21"/>
          <w:shd w:val="clear" w:color="auto" w:fill="FFFFFF"/>
        </w:rPr>
        <w:t>马克思主义是关于工人阶级和人类解放的科学</w:t>
      </w:r>
      <w:r>
        <w:rPr>
          <w:rFonts w:eastAsia="黑体"/>
          <w:szCs w:val="21"/>
        </w:rPr>
        <w:t>（4学时）</w:t>
      </w:r>
    </w:p>
    <w:p>
      <w:pPr>
        <w:numPr>
          <w:ilvl w:val="0"/>
          <w:numId w:val="4"/>
        </w:numPr>
        <w:adjustRightInd w:val="0"/>
        <w:snapToGrid w:val="0"/>
        <w:spacing w:line="360" w:lineRule="auto"/>
        <w:ind w:firstLine="420" w:firstLineChars="200"/>
        <w:rPr>
          <w:szCs w:val="21"/>
        </w:rPr>
      </w:pPr>
      <w:r>
        <w:rPr>
          <w:szCs w:val="21"/>
        </w:rPr>
        <w:t>马克思主义和马克思主义基本原理</w:t>
      </w:r>
    </w:p>
    <w:p>
      <w:pPr>
        <w:adjustRightInd w:val="0"/>
        <w:snapToGrid w:val="0"/>
        <w:spacing w:line="360" w:lineRule="auto"/>
        <w:ind w:firstLine="420" w:firstLineChars="200"/>
        <w:rPr>
          <w:szCs w:val="21"/>
        </w:rPr>
      </w:pPr>
      <w:r>
        <w:rPr>
          <w:szCs w:val="21"/>
        </w:rPr>
        <w:t>2. 马克思主义的创立和发展</w:t>
      </w:r>
    </w:p>
    <w:p>
      <w:pPr>
        <w:adjustRightInd w:val="0"/>
        <w:snapToGrid w:val="0"/>
        <w:spacing w:line="360" w:lineRule="auto"/>
        <w:ind w:firstLine="420" w:firstLineChars="200"/>
        <w:rPr>
          <w:szCs w:val="21"/>
        </w:rPr>
      </w:pPr>
      <w:r>
        <w:rPr>
          <w:szCs w:val="21"/>
        </w:rPr>
        <w:t>3. 马克思主义的鲜明特征</w:t>
      </w:r>
    </w:p>
    <w:p>
      <w:pPr>
        <w:adjustRightInd w:val="0"/>
        <w:snapToGrid w:val="0"/>
        <w:spacing w:line="360" w:lineRule="auto"/>
        <w:ind w:firstLine="420" w:firstLineChars="200"/>
        <w:rPr>
          <w:szCs w:val="21"/>
        </w:rPr>
      </w:pPr>
      <w:r>
        <w:rPr>
          <w:szCs w:val="21"/>
        </w:rPr>
        <w:t>本章节内容支撑课程目标 1。</w:t>
      </w:r>
    </w:p>
    <w:p>
      <w:pPr>
        <w:snapToGrid w:val="0"/>
        <w:spacing w:line="360" w:lineRule="auto"/>
        <w:ind w:firstLine="420" w:firstLineChars="200"/>
        <w:jc w:val="left"/>
        <w:rPr>
          <w:rFonts w:eastAsia="黑体"/>
          <w:szCs w:val="21"/>
        </w:rPr>
      </w:pPr>
      <w:r>
        <w:rPr>
          <w:rFonts w:eastAsia="黑体"/>
          <w:szCs w:val="21"/>
        </w:rPr>
        <w:t xml:space="preserve">第一章 </w:t>
      </w:r>
      <w:r>
        <w:rPr>
          <w:rFonts w:eastAsia="黑体"/>
          <w:bCs/>
          <w:szCs w:val="21"/>
        </w:rPr>
        <w:t>物质世界及其发展规律</w:t>
      </w:r>
      <w:r>
        <w:rPr>
          <w:rFonts w:eastAsia="黑体"/>
          <w:szCs w:val="21"/>
        </w:rPr>
        <w:t>（8学时）</w:t>
      </w:r>
    </w:p>
    <w:p>
      <w:pPr>
        <w:snapToGrid w:val="0"/>
        <w:spacing w:line="360" w:lineRule="auto"/>
        <w:ind w:firstLine="420" w:firstLineChars="200"/>
        <w:jc w:val="left"/>
        <w:rPr>
          <w:rFonts w:eastAsiaTheme="majorEastAsia"/>
          <w:szCs w:val="21"/>
        </w:rPr>
      </w:pPr>
      <w:r>
        <w:rPr>
          <w:rFonts w:eastAsiaTheme="majorEastAsia"/>
          <w:szCs w:val="21"/>
        </w:rPr>
        <w:t>1. 世界的物质性</w:t>
      </w:r>
    </w:p>
    <w:p>
      <w:pPr>
        <w:snapToGrid w:val="0"/>
        <w:spacing w:line="360" w:lineRule="auto"/>
        <w:ind w:firstLine="420" w:firstLineChars="200"/>
        <w:jc w:val="left"/>
        <w:rPr>
          <w:rFonts w:eastAsiaTheme="majorEastAsia"/>
          <w:szCs w:val="21"/>
        </w:rPr>
      </w:pPr>
      <w:r>
        <w:rPr>
          <w:rFonts w:eastAsiaTheme="majorEastAsia"/>
          <w:szCs w:val="21"/>
        </w:rPr>
        <w:t>2. 事物的普遍联系与永恒发展</w:t>
      </w:r>
    </w:p>
    <w:p>
      <w:pPr>
        <w:adjustRightInd w:val="0"/>
        <w:snapToGrid w:val="0"/>
        <w:spacing w:line="360" w:lineRule="auto"/>
        <w:ind w:firstLine="420" w:firstLineChars="200"/>
        <w:rPr>
          <w:rFonts w:eastAsiaTheme="majorEastAsia"/>
          <w:szCs w:val="21"/>
        </w:rPr>
      </w:pPr>
      <w:r>
        <w:rPr>
          <w:rFonts w:eastAsiaTheme="majorEastAsia"/>
          <w:szCs w:val="21"/>
        </w:rPr>
        <w:t>3. 唯物辩证法是认识世界和改造世界的根本方法</w:t>
      </w:r>
    </w:p>
    <w:p>
      <w:pPr>
        <w:adjustRightInd w:val="0"/>
        <w:snapToGrid w:val="0"/>
        <w:spacing w:line="360" w:lineRule="auto"/>
        <w:ind w:firstLine="420" w:firstLineChars="200"/>
        <w:rPr>
          <w:rFonts w:eastAsiaTheme="majorEastAsia"/>
          <w:szCs w:val="21"/>
        </w:rPr>
      </w:pPr>
      <w:r>
        <w:rPr>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第二章 认识世界和改造世界（8学时）</w:t>
      </w:r>
    </w:p>
    <w:p>
      <w:pPr>
        <w:snapToGrid w:val="0"/>
        <w:spacing w:line="360" w:lineRule="auto"/>
        <w:ind w:firstLine="420" w:firstLineChars="200"/>
        <w:jc w:val="left"/>
        <w:rPr>
          <w:rFonts w:eastAsiaTheme="majorEastAsia"/>
          <w:szCs w:val="21"/>
        </w:rPr>
      </w:pPr>
      <w:r>
        <w:rPr>
          <w:rFonts w:eastAsiaTheme="majorEastAsia"/>
          <w:szCs w:val="21"/>
        </w:rPr>
        <w:t>1. 认识的与实践</w:t>
      </w:r>
    </w:p>
    <w:p>
      <w:pPr>
        <w:snapToGrid w:val="0"/>
        <w:spacing w:line="360" w:lineRule="auto"/>
        <w:ind w:firstLine="420" w:firstLineChars="200"/>
        <w:jc w:val="left"/>
        <w:rPr>
          <w:rFonts w:eastAsiaTheme="majorEastAsia"/>
          <w:szCs w:val="21"/>
        </w:rPr>
      </w:pPr>
      <w:r>
        <w:rPr>
          <w:rFonts w:eastAsiaTheme="majorEastAsia"/>
          <w:szCs w:val="21"/>
        </w:rPr>
        <w:t>2. 真理与价值</w:t>
      </w:r>
    </w:p>
    <w:p>
      <w:pPr>
        <w:adjustRightInd w:val="0"/>
        <w:snapToGrid w:val="0"/>
        <w:spacing w:line="360" w:lineRule="auto"/>
        <w:ind w:firstLine="420" w:firstLineChars="200"/>
        <w:rPr>
          <w:rFonts w:eastAsiaTheme="majorEastAsia"/>
          <w:szCs w:val="21"/>
        </w:rPr>
      </w:pPr>
      <w:r>
        <w:rPr>
          <w:rFonts w:eastAsiaTheme="majorEastAsia"/>
          <w:szCs w:val="21"/>
        </w:rPr>
        <w:t>3. 认识世界和改造世界</w:t>
      </w:r>
    </w:p>
    <w:p>
      <w:pPr>
        <w:adjustRightInd w:val="0"/>
        <w:snapToGrid w:val="0"/>
        <w:spacing w:line="360" w:lineRule="auto"/>
        <w:ind w:firstLine="420" w:firstLineChars="200"/>
        <w:rPr>
          <w:rFonts w:eastAsiaTheme="majorEastAsia"/>
          <w:szCs w:val="21"/>
        </w:rPr>
      </w:pPr>
      <w:r>
        <w:rPr>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第三章 人类社会及其发展规律（7学时）</w:t>
      </w:r>
    </w:p>
    <w:p>
      <w:pPr>
        <w:snapToGrid w:val="0"/>
        <w:spacing w:line="360" w:lineRule="auto"/>
        <w:ind w:firstLine="420" w:firstLineChars="200"/>
        <w:jc w:val="left"/>
        <w:rPr>
          <w:rFonts w:eastAsiaTheme="majorEastAsia"/>
          <w:szCs w:val="21"/>
        </w:rPr>
      </w:pPr>
      <w:r>
        <w:rPr>
          <w:rFonts w:eastAsiaTheme="majorEastAsia"/>
          <w:szCs w:val="21"/>
        </w:rPr>
        <w:t>1. 社会基本矛盾及其运动规律</w:t>
      </w:r>
    </w:p>
    <w:p>
      <w:pPr>
        <w:snapToGrid w:val="0"/>
        <w:spacing w:line="360" w:lineRule="auto"/>
        <w:ind w:firstLine="420" w:firstLineChars="200"/>
        <w:jc w:val="left"/>
        <w:rPr>
          <w:rFonts w:eastAsiaTheme="majorEastAsia"/>
          <w:szCs w:val="21"/>
        </w:rPr>
      </w:pPr>
      <w:r>
        <w:rPr>
          <w:rFonts w:eastAsiaTheme="majorEastAsia"/>
          <w:szCs w:val="21"/>
        </w:rPr>
        <w:t>2. 社会历史发展的动力</w:t>
      </w:r>
    </w:p>
    <w:p>
      <w:pPr>
        <w:adjustRightInd w:val="0"/>
        <w:snapToGrid w:val="0"/>
        <w:spacing w:line="360" w:lineRule="auto"/>
        <w:ind w:firstLine="420" w:firstLineChars="200"/>
        <w:rPr>
          <w:rFonts w:eastAsiaTheme="majorEastAsia"/>
          <w:szCs w:val="21"/>
        </w:rPr>
      </w:pPr>
      <w:r>
        <w:rPr>
          <w:rFonts w:eastAsiaTheme="majorEastAsia"/>
          <w:szCs w:val="21"/>
        </w:rPr>
        <w:t>3. 人民群众在历史发展中的作用</w:t>
      </w:r>
    </w:p>
    <w:p>
      <w:pPr>
        <w:adjustRightInd w:val="0"/>
        <w:snapToGrid w:val="0"/>
        <w:spacing w:line="360" w:lineRule="auto"/>
        <w:ind w:firstLine="420" w:firstLineChars="200"/>
        <w:rPr>
          <w:rFonts w:eastAsiaTheme="majorEastAsia"/>
          <w:szCs w:val="21"/>
        </w:rPr>
      </w:pPr>
      <w:r>
        <w:rPr>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第四章 资本主义的形成及其本质（7学时）</w:t>
      </w:r>
    </w:p>
    <w:p>
      <w:pPr>
        <w:snapToGrid w:val="0"/>
        <w:spacing w:line="360" w:lineRule="auto"/>
        <w:ind w:firstLine="420" w:firstLineChars="200"/>
        <w:jc w:val="left"/>
        <w:rPr>
          <w:rFonts w:eastAsiaTheme="majorEastAsia"/>
          <w:szCs w:val="21"/>
        </w:rPr>
      </w:pPr>
      <w:r>
        <w:rPr>
          <w:rFonts w:eastAsiaTheme="majorEastAsia"/>
          <w:szCs w:val="21"/>
        </w:rPr>
        <w:t>1. 商品经济和价值规律</w:t>
      </w:r>
    </w:p>
    <w:p>
      <w:pPr>
        <w:snapToGrid w:val="0"/>
        <w:spacing w:line="360" w:lineRule="auto"/>
        <w:ind w:firstLine="420" w:firstLineChars="200"/>
        <w:jc w:val="left"/>
        <w:rPr>
          <w:rFonts w:eastAsiaTheme="majorEastAsia"/>
          <w:szCs w:val="21"/>
        </w:rPr>
      </w:pPr>
      <w:r>
        <w:rPr>
          <w:rFonts w:eastAsiaTheme="majorEastAsia"/>
          <w:szCs w:val="21"/>
        </w:rPr>
        <w:t>2. 资本主义经济制度的本质</w:t>
      </w:r>
    </w:p>
    <w:p>
      <w:pPr>
        <w:adjustRightInd w:val="0"/>
        <w:snapToGrid w:val="0"/>
        <w:spacing w:line="360" w:lineRule="auto"/>
        <w:ind w:firstLine="420" w:firstLineChars="200"/>
        <w:rPr>
          <w:rFonts w:eastAsiaTheme="majorEastAsia"/>
          <w:szCs w:val="21"/>
        </w:rPr>
      </w:pPr>
      <w:r>
        <w:rPr>
          <w:rFonts w:eastAsiaTheme="majorEastAsia"/>
          <w:szCs w:val="21"/>
        </w:rPr>
        <w:t>3. 资本主义的政治制度和意识形态</w:t>
      </w:r>
    </w:p>
    <w:p>
      <w:pPr>
        <w:adjustRightInd w:val="0"/>
        <w:snapToGrid w:val="0"/>
        <w:spacing w:line="360" w:lineRule="auto"/>
        <w:ind w:firstLine="420" w:firstLineChars="200"/>
        <w:rPr>
          <w:rFonts w:eastAsiaTheme="majorEastAsia"/>
          <w:szCs w:val="21"/>
        </w:rPr>
      </w:pPr>
      <w:r>
        <w:rPr>
          <w:rFonts w:eastAsiaTheme="majorEastAsia"/>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第五章 资本主义发展的历史进程（6学时）</w:t>
      </w:r>
    </w:p>
    <w:p>
      <w:pPr>
        <w:snapToGrid w:val="0"/>
        <w:spacing w:line="360" w:lineRule="auto"/>
        <w:ind w:firstLine="420" w:firstLineChars="200"/>
        <w:jc w:val="left"/>
        <w:rPr>
          <w:rFonts w:eastAsiaTheme="majorEastAsia"/>
          <w:szCs w:val="21"/>
        </w:rPr>
      </w:pPr>
      <w:r>
        <w:rPr>
          <w:rFonts w:eastAsiaTheme="majorEastAsia"/>
          <w:szCs w:val="21"/>
        </w:rPr>
        <w:t>1. 垄断资本主义的形成与发展</w:t>
      </w:r>
    </w:p>
    <w:p>
      <w:pPr>
        <w:snapToGrid w:val="0"/>
        <w:spacing w:line="360" w:lineRule="auto"/>
        <w:ind w:firstLine="420" w:firstLineChars="200"/>
        <w:jc w:val="left"/>
        <w:rPr>
          <w:rFonts w:eastAsiaTheme="majorEastAsia"/>
          <w:szCs w:val="21"/>
        </w:rPr>
      </w:pPr>
      <w:r>
        <w:rPr>
          <w:rFonts w:eastAsiaTheme="majorEastAsia"/>
          <w:szCs w:val="21"/>
        </w:rPr>
        <w:t>2. 正确认识当代资本主义的新变化</w:t>
      </w:r>
    </w:p>
    <w:p>
      <w:pPr>
        <w:adjustRightInd w:val="0"/>
        <w:snapToGrid w:val="0"/>
        <w:spacing w:line="360" w:lineRule="auto"/>
        <w:ind w:firstLine="420" w:firstLineChars="200"/>
        <w:rPr>
          <w:rFonts w:eastAsiaTheme="majorEastAsia"/>
          <w:szCs w:val="21"/>
        </w:rPr>
      </w:pPr>
      <w:r>
        <w:rPr>
          <w:rFonts w:eastAsiaTheme="majorEastAsia"/>
          <w:szCs w:val="21"/>
        </w:rPr>
        <w:t>3. 资本主义的历史地位和发展趋势</w:t>
      </w:r>
    </w:p>
    <w:p>
      <w:pPr>
        <w:adjustRightInd w:val="0"/>
        <w:snapToGrid w:val="0"/>
        <w:spacing w:line="360" w:lineRule="auto"/>
        <w:ind w:firstLine="420" w:firstLineChars="200"/>
        <w:rPr>
          <w:rFonts w:eastAsia="黑体"/>
          <w:szCs w:val="21"/>
        </w:rPr>
      </w:pPr>
      <w:r>
        <w:rPr>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第六章 社会主义社会及其发展（4学时）</w:t>
      </w:r>
    </w:p>
    <w:p>
      <w:pPr>
        <w:snapToGrid w:val="0"/>
        <w:spacing w:line="360" w:lineRule="auto"/>
        <w:ind w:firstLine="420" w:firstLineChars="200"/>
        <w:jc w:val="left"/>
        <w:rPr>
          <w:rFonts w:eastAsiaTheme="majorEastAsia"/>
          <w:szCs w:val="21"/>
        </w:rPr>
      </w:pPr>
      <w:r>
        <w:rPr>
          <w:rFonts w:eastAsiaTheme="majorEastAsia"/>
          <w:szCs w:val="21"/>
        </w:rPr>
        <w:t>1. 社会主义的产生和发展</w:t>
      </w:r>
    </w:p>
    <w:p>
      <w:pPr>
        <w:snapToGrid w:val="0"/>
        <w:spacing w:line="360" w:lineRule="auto"/>
        <w:ind w:firstLine="420" w:firstLineChars="200"/>
        <w:jc w:val="left"/>
        <w:rPr>
          <w:rFonts w:eastAsiaTheme="majorEastAsia"/>
          <w:szCs w:val="21"/>
        </w:rPr>
      </w:pPr>
      <w:r>
        <w:rPr>
          <w:rFonts w:eastAsiaTheme="majorEastAsia"/>
          <w:szCs w:val="21"/>
        </w:rPr>
        <w:t>2. 科学社会主义的基本原则</w:t>
      </w:r>
    </w:p>
    <w:p>
      <w:pPr>
        <w:adjustRightInd w:val="0"/>
        <w:snapToGrid w:val="0"/>
        <w:spacing w:line="360" w:lineRule="auto"/>
        <w:ind w:firstLine="420" w:firstLineChars="200"/>
        <w:rPr>
          <w:rFonts w:eastAsiaTheme="majorEastAsia"/>
          <w:szCs w:val="21"/>
        </w:rPr>
      </w:pPr>
      <w:r>
        <w:rPr>
          <w:rFonts w:eastAsiaTheme="majorEastAsia"/>
          <w:szCs w:val="21"/>
        </w:rPr>
        <w:t>3. 在实践中探索现实社会主义的发展规律</w:t>
      </w:r>
    </w:p>
    <w:p>
      <w:pPr>
        <w:adjustRightInd w:val="0"/>
        <w:snapToGrid w:val="0"/>
        <w:spacing w:line="360" w:lineRule="auto"/>
        <w:ind w:firstLine="420" w:firstLineChars="200"/>
        <w:rPr>
          <w:rFonts w:eastAsiaTheme="majorEastAsia"/>
          <w:szCs w:val="21"/>
        </w:rPr>
      </w:pPr>
      <w:r>
        <w:rPr>
          <w:rFonts w:eastAsiaTheme="majorEastAsia"/>
          <w:szCs w:val="21"/>
        </w:rPr>
        <w:t>本章节内容支撑课程目标 1。</w:t>
      </w:r>
    </w:p>
    <w:p>
      <w:pPr>
        <w:snapToGrid w:val="0"/>
        <w:spacing w:line="360" w:lineRule="auto"/>
        <w:ind w:firstLine="420" w:firstLineChars="200"/>
        <w:jc w:val="left"/>
        <w:rPr>
          <w:rFonts w:eastAsia="黑体"/>
          <w:szCs w:val="21"/>
        </w:rPr>
      </w:pPr>
      <w:r>
        <w:rPr>
          <w:rFonts w:eastAsia="黑体"/>
          <w:szCs w:val="21"/>
        </w:rPr>
        <w:t>第七章 共产主义社会是人类最崇高的社会理想（4学时）</w:t>
      </w:r>
    </w:p>
    <w:p>
      <w:pPr>
        <w:snapToGrid w:val="0"/>
        <w:spacing w:line="360" w:lineRule="auto"/>
        <w:ind w:firstLine="420" w:firstLineChars="200"/>
        <w:jc w:val="left"/>
        <w:rPr>
          <w:rFonts w:eastAsiaTheme="majorEastAsia"/>
          <w:szCs w:val="21"/>
        </w:rPr>
      </w:pPr>
      <w:r>
        <w:rPr>
          <w:rFonts w:eastAsiaTheme="majorEastAsia"/>
          <w:szCs w:val="21"/>
        </w:rPr>
        <w:t>1. 马克思主义经典作家对共产主义社会的展望</w:t>
      </w:r>
    </w:p>
    <w:p>
      <w:pPr>
        <w:adjustRightInd w:val="0"/>
        <w:snapToGrid w:val="0"/>
        <w:spacing w:line="360" w:lineRule="auto"/>
        <w:ind w:firstLine="420" w:firstLineChars="200"/>
        <w:rPr>
          <w:rFonts w:eastAsiaTheme="majorEastAsia"/>
          <w:szCs w:val="21"/>
        </w:rPr>
      </w:pPr>
      <w:r>
        <w:rPr>
          <w:rFonts w:eastAsiaTheme="majorEastAsia"/>
          <w:szCs w:val="21"/>
        </w:rPr>
        <w:t>2. 共产主义社会是历史发展的必然趋势</w:t>
      </w:r>
    </w:p>
    <w:p>
      <w:pPr>
        <w:adjustRightInd w:val="0"/>
        <w:snapToGrid w:val="0"/>
        <w:spacing w:line="360" w:lineRule="auto"/>
        <w:ind w:firstLine="420" w:firstLineChars="200"/>
        <w:rPr>
          <w:rFonts w:eastAsiaTheme="majorEastAsia"/>
          <w:szCs w:val="21"/>
        </w:rPr>
      </w:pPr>
      <w:r>
        <w:rPr>
          <w:rFonts w:eastAsiaTheme="majorEastAsia"/>
          <w:szCs w:val="21"/>
        </w:rPr>
        <w:t>本章节内容支撑课程目标 1。</w:t>
      </w:r>
    </w:p>
    <w:p>
      <w:pPr>
        <w:adjustRightInd w:val="0"/>
        <w:snapToGrid w:val="0"/>
        <w:spacing w:line="360" w:lineRule="auto"/>
        <w:ind w:firstLine="420" w:firstLineChars="200"/>
        <w:rPr>
          <w:rFonts w:eastAsiaTheme="majorEastAsia"/>
          <w:szCs w:val="21"/>
        </w:rPr>
      </w:pPr>
    </w:p>
    <w:p>
      <w:pPr>
        <w:tabs>
          <w:tab w:val="left" w:pos="420"/>
        </w:tabs>
        <w:snapToGrid w:val="0"/>
        <w:spacing w:line="360" w:lineRule="auto"/>
        <w:ind w:left="420" w:hanging="420"/>
        <w:rPr>
          <w:rFonts w:eastAsia="黑体"/>
          <w:szCs w:val="21"/>
        </w:rPr>
      </w:pPr>
      <w:r>
        <w:rPr>
          <w:rFonts w:eastAsia="黑体"/>
          <w:szCs w:val="21"/>
        </w:rPr>
        <w:t>四、实验教学内容</w:t>
      </w:r>
    </w:p>
    <w:p>
      <w:pPr>
        <w:snapToGrid w:val="0"/>
        <w:spacing w:line="360" w:lineRule="auto"/>
        <w:ind w:firstLine="424"/>
        <w:rPr>
          <w:kern w:val="0"/>
          <w:szCs w:val="21"/>
        </w:rPr>
      </w:pPr>
      <w:r>
        <w:rPr>
          <w:kern w:val="0"/>
          <w:szCs w:val="21"/>
        </w:rPr>
        <w:t>无。</w:t>
      </w:r>
    </w:p>
    <w:p>
      <w:pPr>
        <w:snapToGrid w:val="0"/>
        <w:spacing w:line="360" w:lineRule="auto"/>
        <w:ind w:firstLine="424"/>
        <w:rPr>
          <w:kern w:val="0"/>
          <w:szCs w:val="21"/>
        </w:rPr>
      </w:pPr>
    </w:p>
    <w:p>
      <w:pPr>
        <w:snapToGrid w:val="0"/>
        <w:spacing w:line="360" w:lineRule="auto"/>
        <w:rPr>
          <w:rFonts w:eastAsia="黑体"/>
          <w:szCs w:val="21"/>
        </w:rPr>
      </w:pPr>
      <w:r>
        <w:rPr>
          <w:rFonts w:eastAsia="黑体"/>
          <w:szCs w:val="21"/>
        </w:rPr>
        <w:t>五、学时分配</w:t>
      </w:r>
    </w:p>
    <w:tbl>
      <w:tblPr>
        <w:tblStyle w:val="22"/>
        <w:tblW w:w="823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6"/>
        <w:gridCol w:w="1365"/>
        <w:gridCol w:w="1346"/>
        <w:gridCol w:w="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716" w:type="dxa"/>
            <w:tcBorders>
              <w:tl2br w:val="nil"/>
              <w:tr2bl w:val="nil"/>
            </w:tcBorders>
            <w:vAlign w:val="center"/>
          </w:tcPr>
          <w:p>
            <w:pPr>
              <w:adjustRightInd w:val="0"/>
              <w:snapToGrid w:val="0"/>
              <w:spacing w:line="360" w:lineRule="auto"/>
              <w:jc w:val="center"/>
              <w:rPr>
                <w:sz w:val="18"/>
                <w:szCs w:val="18"/>
              </w:rPr>
            </w:pPr>
            <w:r>
              <w:rPr>
                <w:sz w:val="18"/>
                <w:szCs w:val="18"/>
              </w:rPr>
              <w:t>章节名称</w:t>
            </w:r>
          </w:p>
        </w:tc>
        <w:tc>
          <w:tcPr>
            <w:tcW w:w="1365" w:type="dxa"/>
            <w:tcBorders>
              <w:tl2br w:val="nil"/>
              <w:tr2bl w:val="nil"/>
            </w:tcBorders>
            <w:vAlign w:val="center"/>
          </w:tcPr>
          <w:p>
            <w:pPr>
              <w:adjustRightInd w:val="0"/>
              <w:snapToGrid w:val="0"/>
              <w:spacing w:line="360" w:lineRule="auto"/>
              <w:jc w:val="center"/>
              <w:rPr>
                <w:sz w:val="18"/>
                <w:szCs w:val="18"/>
              </w:rPr>
            </w:pPr>
            <w:r>
              <w:rPr>
                <w:sz w:val="18"/>
                <w:szCs w:val="18"/>
              </w:rPr>
              <w:t>讲授（学时）</w:t>
            </w:r>
          </w:p>
        </w:tc>
        <w:tc>
          <w:tcPr>
            <w:tcW w:w="1346" w:type="dxa"/>
            <w:tcBorders>
              <w:tl2br w:val="nil"/>
              <w:tr2bl w:val="nil"/>
            </w:tcBorders>
            <w:vAlign w:val="center"/>
          </w:tcPr>
          <w:p>
            <w:pPr>
              <w:adjustRightInd w:val="0"/>
              <w:snapToGrid w:val="0"/>
              <w:spacing w:line="360" w:lineRule="auto"/>
              <w:jc w:val="center"/>
              <w:rPr>
                <w:sz w:val="18"/>
                <w:szCs w:val="18"/>
              </w:rPr>
            </w:pPr>
            <w:r>
              <w:rPr>
                <w:sz w:val="18"/>
                <w:szCs w:val="18"/>
              </w:rPr>
              <w:t>实验（学时）</w:t>
            </w:r>
          </w:p>
        </w:tc>
        <w:tc>
          <w:tcPr>
            <w:tcW w:w="804" w:type="dxa"/>
            <w:tcBorders>
              <w:tl2br w:val="nil"/>
              <w:tr2bl w:val="nil"/>
            </w:tcBorders>
            <w:vAlign w:val="center"/>
          </w:tcPr>
          <w:p>
            <w:pPr>
              <w:adjustRightInd w:val="0"/>
              <w:snapToGrid w:val="0"/>
              <w:spacing w:line="360" w:lineRule="auto"/>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绪论   马克思主义是关于工人阶级和人类解放的科学</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第一章  物质世界及其发展规律</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8</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第二章  认识世界和改造世界</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8</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第三章  人类社会及其发展规律</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7</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第四章  资本主义的形成及其本质</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7</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第五章  资本主义发展的历史进程</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6</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第六章  社会主义社会及其发展</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716" w:type="dxa"/>
            <w:tcBorders>
              <w:tl2br w:val="nil"/>
              <w:tr2bl w:val="nil"/>
            </w:tcBorders>
            <w:vAlign w:val="center"/>
          </w:tcPr>
          <w:p>
            <w:pPr>
              <w:adjustRightInd w:val="0"/>
              <w:snapToGrid w:val="0"/>
              <w:spacing w:line="360" w:lineRule="auto"/>
              <w:ind w:left="210" w:leftChars="100"/>
              <w:rPr>
                <w:bCs/>
                <w:sz w:val="18"/>
                <w:szCs w:val="18"/>
              </w:rPr>
            </w:pPr>
            <w:r>
              <w:rPr>
                <w:bCs/>
                <w:sz w:val="18"/>
                <w:szCs w:val="18"/>
              </w:rPr>
              <w:t>第七章  共产主义社会是人类最崇高的社会理想</w:t>
            </w:r>
          </w:p>
        </w:tc>
        <w:tc>
          <w:tcPr>
            <w:tcW w:w="1365"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c>
          <w:tcPr>
            <w:tcW w:w="1346" w:type="dxa"/>
            <w:tcBorders>
              <w:tl2br w:val="nil"/>
              <w:tr2bl w:val="nil"/>
            </w:tcBorders>
            <w:vAlign w:val="center"/>
          </w:tcPr>
          <w:p>
            <w:pPr>
              <w:adjustRightInd w:val="0"/>
              <w:snapToGrid w:val="0"/>
              <w:spacing w:line="360" w:lineRule="auto"/>
              <w:jc w:val="center"/>
              <w:rPr>
                <w:bCs/>
                <w:sz w:val="18"/>
                <w:szCs w:val="18"/>
              </w:rPr>
            </w:pPr>
            <w:r>
              <w:rPr>
                <w:bCs/>
                <w:sz w:val="18"/>
                <w:szCs w:val="18"/>
              </w:rPr>
              <w:t>0</w:t>
            </w:r>
          </w:p>
        </w:tc>
        <w:tc>
          <w:tcPr>
            <w:tcW w:w="804" w:type="dxa"/>
            <w:tcBorders>
              <w:tl2br w:val="nil"/>
              <w:tr2bl w:val="nil"/>
            </w:tcBorders>
            <w:vAlign w:val="center"/>
          </w:tcPr>
          <w:p>
            <w:pPr>
              <w:adjustRightInd w:val="0"/>
              <w:snapToGrid w:val="0"/>
              <w:spacing w:line="360" w:lineRule="auto"/>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4716" w:type="dxa"/>
            <w:tcBorders>
              <w:tl2br w:val="nil"/>
              <w:tr2bl w:val="nil"/>
            </w:tcBorders>
            <w:vAlign w:val="center"/>
          </w:tcPr>
          <w:p>
            <w:pPr>
              <w:adjustRightInd w:val="0"/>
              <w:snapToGrid w:val="0"/>
              <w:spacing w:line="360" w:lineRule="auto"/>
              <w:jc w:val="center"/>
              <w:rPr>
                <w:sz w:val="18"/>
                <w:szCs w:val="18"/>
              </w:rPr>
            </w:pPr>
            <w:r>
              <w:rPr>
                <w:sz w:val="18"/>
                <w:szCs w:val="18"/>
              </w:rPr>
              <w:t>合计</w:t>
            </w:r>
          </w:p>
        </w:tc>
        <w:tc>
          <w:tcPr>
            <w:tcW w:w="1365" w:type="dxa"/>
            <w:tcBorders>
              <w:tl2br w:val="nil"/>
              <w:tr2bl w:val="nil"/>
            </w:tcBorders>
            <w:vAlign w:val="center"/>
          </w:tcPr>
          <w:p>
            <w:pPr>
              <w:adjustRightInd w:val="0"/>
              <w:snapToGrid w:val="0"/>
              <w:spacing w:line="360" w:lineRule="auto"/>
              <w:jc w:val="center"/>
              <w:rPr>
                <w:sz w:val="18"/>
                <w:szCs w:val="18"/>
              </w:rPr>
            </w:pPr>
            <w:r>
              <w:rPr>
                <w:sz w:val="18"/>
                <w:szCs w:val="18"/>
              </w:rPr>
              <w:t>48</w:t>
            </w:r>
          </w:p>
        </w:tc>
        <w:tc>
          <w:tcPr>
            <w:tcW w:w="1346" w:type="dxa"/>
            <w:tcBorders>
              <w:tl2br w:val="nil"/>
              <w:tr2bl w:val="nil"/>
            </w:tcBorders>
            <w:vAlign w:val="center"/>
          </w:tcPr>
          <w:p>
            <w:pPr>
              <w:adjustRightInd w:val="0"/>
              <w:snapToGrid w:val="0"/>
              <w:spacing w:line="360" w:lineRule="auto"/>
              <w:jc w:val="center"/>
              <w:rPr>
                <w:sz w:val="18"/>
                <w:szCs w:val="18"/>
              </w:rPr>
            </w:pPr>
            <w:r>
              <w:rPr>
                <w:sz w:val="18"/>
                <w:szCs w:val="18"/>
              </w:rPr>
              <w:t>0</w:t>
            </w:r>
          </w:p>
        </w:tc>
        <w:tc>
          <w:tcPr>
            <w:tcW w:w="804" w:type="dxa"/>
            <w:tcBorders>
              <w:tl2br w:val="nil"/>
              <w:tr2bl w:val="nil"/>
            </w:tcBorders>
            <w:vAlign w:val="center"/>
          </w:tcPr>
          <w:p>
            <w:pPr>
              <w:adjustRightInd w:val="0"/>
              <w:snapToGrid w:val="0"/>
              <w:spacing w:line="360" w:lineRule="auto"/>
              <w:jc w:val="center"/>
              <w:rPr>
                <w:sz w:val="18"/>
                <w:szCs w:val="18"/>
              </w:rPr>
            </w:pPr>
            <w:r>
              <w:rPr>
                <w:sz w:val="18"/>
                <w:szCs w:val="18"/>
              </w:rPr>
              <w:t>48</w:t>
            </w:r>
          </w:p>
        </w:tc>
      </w:tr>
    </w:tbl>
    <w:p>
      <w:pPr>
        <w:snapToGrid w:val="0"/>
        <w:spacing w:line="360" w:lineRule="auto"/>
      </w:pPr>
    </w:p>
    <w:p>
      <w:pPr>
        <w:tabs>
          <w:tab w:val="left" w:pos="420"/>
        </w:tabs>
        <w:snapToGrid w:val="0"/>
        <w:spacing w:line="360" w:lineRule="auto"/>
        <w:ind w:left="420" w:hanging="420"/>
        <w:rPr>
          <w:szCs w:val="21"/>
        </w:rPr>
      </w:pPr>
      <w:r>
        <w:rPr>
          <w:rFonts w:eastAsia="黑体"/>
        </w:rPr>
        <w:t>六、教材、补充教材及参考资料</w:t>
      </w:r>
    </w:p>
    <w:p>
      <w:pPr>
        <w:snapToGrid w:val="0"/>
        <w:spacing w:line="360" w:lineRule="auto"/>
        <w:ind w:left="315" w:leftChars="150" w:firstLine="105" w:firstLineChars="50"/>
        <w:rPr>
          <w:kern w:val="0"/>
          <w:szCs w:val="21"/>
        </w:rPr>
      </w:pPr>
      <w:r>
        <w:rPr>
          <w:kern w:val="0"/>
          <w:szCs w:val="21"/>
        </w:rPr>
        <w:t>1.《马克思主义基本原理概论》学生辅学读本</w:t>
      </w:r>
    </w:p>
    <w:p>
      <w:pPr>
        <w:snapToGrid w:val="0"/>
        <w:spacing w:line="360" w:lineRule="auto"/>
        <w:ind w:left="315" w:leftChars="150" w:firstLine="105" w:firstLineChars="50"/>
        <w:rPr>
          <w:kern w:val="0"/>
          <w:szCs w:val="21"/>
        </w:rPr>
      </w:pPr>
      <w:r>
        <w:rPr>
          <w:kern w:val="0"/>
          <w:szCs w:val="21"/>
        </w:rPr>
        <w:t>2.《马克思主义基本原理概论》课疑难问题解析</w:t>
      </w:r>
    </w:p>
    <w:p>
      <w:pPr>
        <w:snapToGrid w:val="0"/>
        <w:spacing w:line="360" w:lineRule="auto"/>
        <w:ind w:left="315" w:leftChars="150" w:firstLine="105" w:firstLineChars="50"/>
        <w:rPr>
          <w:bCs/>
          <w:szCs w:val="21"/>
        </w:rPr>
      </w:pPr>
      <w:r>
        <w:rPr>
          <w:kern w:val="0"/>
          <w:szCs w:val="21"/>
        </w:rPr>
        <w:t>3.</w:t>
      </w:r>
      <w:r>
        <w:rPr>
          <w:bCs/>
          <w:szCs w:val="21"/>
        </w:rPr>
        <w:t>《马克思恩格斯选集》第1—4卷</w:t>
      </w:r>
    </w:p>
    <w:p>
      <w:pPr>
        <w:snapToGrid w:val="0"/>
        <w:spacing w:line="360" w:lineRule="auto"/>
        <w:ind w:left="315" w:leftChars="150" w:firstLine="105" w:firstLineChars="50"/>
        <w:rPr>
          <w:bCs/>
          <w:szCs w:val="21"/>
        </w:rPr>
      </w:pPr>
      <w:r>
        <w:rPr>
          <w:szCs w:val="21"/>
        </w:rPr>
        <w:t>4.</w:t>
      </w:r>
      <w:r>
        <w:rPr>
          <w:bCs/>
          <w:szCs w:val="21"/>
        </w:rPr>
        <w:t>《列宁选集》第1-3卷</w:t>
      </w:r>
    </w:p>
    <w:p>
      <w:pPr>
        <w:snapToGrid w:val="0"/>
        <w:spacing w:line="360" w:lineRule="auto"/>
        <w:ind w:left="315" w:leftChars="150" w:firstLine="105" w:firstLineChars="50"/>
        <w:rPr>
          <w:bCs/>
          <w:szCs w:val="21"/>
        </w:rPr>
      </w:pPr>
      <w:r>
        <w:rPr>
          <w:bCs/>
          <w:szCs w:val="21"/>
        </w:rPr>
        <w:t>5.《毛泽东选集》第1-4卷</w:t>
      </w:r>
    </w:p>
    <w:p>
      <w:pPr>
        <w:snapToGrid w:val="0"/>
        <w:spacing w:line="360" w:lineRule="auto"/>
        <w:ind w:left="315" w:leftChars="150" w:firstLine="105" w:firstLineChars="50"/>
        <w:rPr>
          <w:bCs/>
          <w:szCs w:val="21"/>
        </w:rPr>
      </w:pPr>
      <w:r>
        <w:rPr>
          <w:bCs/>
          <w:szCs w:val="21"/>
        </w:rPr>
        <w:t>6.《习近平谈治国理政》第1、2卷</w:t>
      </w:r>
    </w:p>
    <w:p>
      <w:pPr>
        <w:snapToGrid w:val="0"/>
        <w:spacing w:line="360" w:lineRule="auto"/>
        <w:ind w:left="315" w:leftChars="150" w:firstLine="105" w:firstLineChars="50"/>
        <w:rPr>
          <w:bCs/>
          <w:szCs w:val="21"/>
        </w:rPr>
      </w:pPr>
    </w:p>
    <w:p>
      <w:pPr>
        <w:widowControl/>
        <w:snapToGrid w:val="0"/>
        <w:spacing w:line="360" w:lineRule="auto"/>
        <w:jc w:val="left"/>
        <w:rPr>
          <w:rFonts w:eastAsia="黑体"/>
        </w:rPr>
      </w:pPr>
      <w:r>
        <w:rPr>
          <w:rFonts w:eastAsia="黑体"/>
        </w:rPr>
        <w:t>七、课程目标达成评价的途径和措施</w:t>
      </w:r>
    </w:p>
    <w:p>
      <w:pPr>
        <w:snapToGrid w:val="0"/>
        <w:spacing w:line="360" w:lineRule="auto"/>
        <w:ind w:firstLine="420" w:firstLineChars="200"/>
        <w:rPr>
          <w:szCs w:val="21"/>
        </w:rPr>
      </w:pPr>
      <w:r>
        <w:rPr>
          <w:szCs w:val="21"/>
        </w:rPr>
        <w:t>1、考核方式：平时成绩、期末成绩、实践成绩。</w:t>
      </w:r>
    </w:p>
    <w:p>
      <w:pPr>
        <w:snapToGrid w:val="0"/>
        <w:spacing w:line="360" w:lineRule="auto"/>
        <w:ind w:firstLine="420" w:firstLineChars="200"/>
        <w:rPr>
          <w:szCs w:val="21"/>
          <w:highlight w:val="yellow"/>
        </w:rPr>
      </w:pPr>
      <w:r>
        <w:rPr>
          <w:szCs w:val="21"/>
        </w:rPr>
        <w:t>2、成绩构成：</w:t>
      </w:r>
    </w:p>
    <w:p>
      <w:pPr>
        <w:snapToGrid w:val="0"/>
        <w:spacing w:line="360" w:lineRule="auto"/>
        <w:ind w:firstLine="420" w:firstLineChars="200"/>
        <w:rPr>
          <w:szCs w:val="21"/>
        </w:rPr>
      </w:pPr>
      <w:r>
        <w:rPr>
          <w:szCs w:val="21"/>
        </w:rPr>
        <w:t>本课程通过“平时成绩”和“期末考试”两种方式对课程目标达成进行评价，考核成绩计算如下（本大纲中成绩均采用百分制）：</w:t>
      </w:r>
    </w:p>
    <w:p>
      <w:pPr>
        <w:snapToGrid w:val="0"/>
        <w:spacing w:line="360" w:lineRule="auto"/>
        <w:jc w:val="center"/>
      </w:pPr>
      <w:r>
        <w:rPr>
          <w:sz w:val="18"/>
          <w:szCs w:val="18"/>
        </w:rPr>
        <w:t>各环节成绩评定占比%</w:t>
      </w:r>
    </w:p>
    <w:tbl>
      <w:tblPr>
        <w:tblStyle w:val="22"/>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130"/>
        <w:gridCol w:w="2130"/>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979" w:type="dxa"/>
            <w:tcBorders>
              <w:top w:val="single" w:color="auto" w:sz="4" w:space="0"/>
              <w:left w:val="nil"/>
              <w:bottom w:val="single" w:color="auto" w:sz="4" w:space="0"/>
              <w:right w:val="single" w:color="auto" w:sz="4" w:space="0"/>
            </w:tcBorders>
            <w:vAlign w:val="center"/>
          </w:tcPr>
          <w:p>
            <w:pPr>
              <w:snapToGrid w:val="0"/>
              <w:jc w:val="center"/>
              <w:rPr>
                <w:sz w:val="18"/>
                <w:szCs w:val="18"/>
              </w:rPr>
            </w:pPr>
            <w:r>
              <w:rPr>
                <w:sz w:val="18"/>
                <w:szCs w:val="18"/>
              </w:rPr>
              <w:t>点名（平时）</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课堂情况（平时）</w:t>
            </w:r>
          </w:p>
        </w:tc>
        <w:tc>
          <w:tcPr>
            <w:tcW w:w="2130"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完成实践手册（平时）</w:t>
            </w:r>
          </w:p>
        </w:tc>
        <w:tc>
          <w:tcPr>
            <w:tcW w:w="2132"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979" w:type="dxa"/>
            <w:tcBorders>
              <w:top w:val="single" w:color="auto" w:sz="4" w:space="0"/>
              <w:left w:val="nil"/>
              <w:bottom w:val="single" w:color="auto" w:sz="4" w:space="0"/>
              <w:right w:val="single" w:color="auto" w:sz="4" w:space="0"/>
            </w:tcBorders>
            <w:vAlign w:val="center"/>
          </w:tcPr>
          <w:p>
            <w:pPr>
              <w:snapToGrid w:val="0"/>
              <w:jc w:val="center"/>
              <w:rPr>
                <w:bCs/>
                <w:highlight w:val="yellow"/>
              </w:rPr>
            </w:pPr>
            <w:r>
              <w:rPr>
                <w:bCs/>
              </w:rPr>
              <w:t>8</w:t>
            </w:r>
          </w:p>
        </w:tc>
        <w:tc>
          <w:tcPr>
            <w:tcW w:w="2130" w:type="dxa"/>
            <w:tcBorders>
              <w:top w:val="single" w:color="auto" w:sz="4" w:space="0"/>
              <w:left w:val="single" w:color="auto" w:sz="4" w:space="0"/>
              <w:bottom w:val="single" w:color="auto" w:sz="4" w:space="0"/>
              <w:right w:val="single" w:color="auto" w:sz="4" w:space="0"/>
            </w:tcBorders>
            <w:vAlign w:val="center"/>
          </w:tcPr>
          <w:p>
            <w:pPr>
              <w:snapToGrid w:val="0"/>
              <w:jc w:val="center"/>
              <w:rPr>
                <w:bCs/>
                <w:highlight w:val="yellow"/>
              </w:rPr>
            </w:pPr>
            <w:r>
              <w:rPr>
                <w:bCs/>
              </w:rPr>
              <w:t>8</w:t>
            </w:r>
          </w:p>
        </w:tc>
        <w:tc>
          <w:tcPr>
            <w:tcW w:w="2130" w:type="dxa"/>
            <w:tcBorders>
              <w:top w:val="single" w:color="auto" w:sz="4" w:space="0"/>
              <w:left w:val="single" w:color="auto" w:sz="4" w:space="0"/>
              <w:bottom w:val="single" w:color="auto" w:sz="4" w:space="0"/>
              <w:right w:val="nil"/>
            </w:tcBorders>
            <w:vAlign w:val="center"/>
          </w:tcPr>
          <w:p>
            <w:pPr>
              <w:snapToGrid w:val="0"/>
              <w:jc w:val="center"/>
              <w:rPr>
                <w:bCs/>
                <w:highlight w:val="yellow"/>
              </w:rPr>
            </w:pPr>
            <w:r>
              <w:rPr>
                <w:bCs/>
              </w:rPr>
              <w:t>20</w:t>
            </w:r>
          </w:p>
        </w:tc>
        <w:tc>
          <w:tcPr>
            <w:tcW w:w="2132" w:type="dxa"/>
            <w:tcBorders>
              <w:top w:val="single" w:color="auto" w:sz="4" w:space="0"/>
              <w:left w:val="single" w:color="auto" w:sz="4" w:space="0"/>
              <w:bottom w:val="single" w:color="auto" w:sz="4" w:space="0"/>
              <w:right w:val="nil"/>
            </w:tcBorders>
            <w:vAlign w:val="center"/>
          </w:tcPr>
          <w:p>
            <w:pPr>
              <w:snapToGrid w:val="0"/>
              <w:jc w:val="center"/>
              <w:rPr>
                <w:bCs/>
                <w:highlight w:val="yellow"/>
              </w:rPr>
            </w:pPr>
            <w:r>
              <w:rPr>
                <w:bCs/>
              </w:rPr>
              <w:t>64</w:t>
            </w:r>
          </w:p>
        </w:tc>
      </w:tr>
    </w:tbl>
    <w:p>
      <w:pPr>
        <w:widowControl/>
        <w:snapToGrid w:val="0"/>
        <w:spacing w:line="360" w:lineRule="auto"/>
        <w:ind w:firstLine="1890" w:firstLineChars="900"/>
      </w:pPr>
    </w:p>
    <w:p>
      <w:pPr>
        <w:snapToGrid w:val="0"/>
        <w:spacing w:line="360" w:lineRule="auto"/>
        <w:ind w:firstLine="420" w:firstLineChars="200"/>
        <w:rPr>
          <w:b/>
          <w:bCs/>
          <w:szCs w:val="21"/>
        </w:rPr>
      </w:pPr>
      <w:r>
        <w:rPr>
          <w:szCs w:val="21"/>
        </w:rPr>
        <w:t>指导性课程目标评价题目分数分配：</w:t>
      </w:r>
    </w:p>
    <w:tbl>
      <w:tblPr>
        <w:tblStyle w:val="22"/>
        <w:tblW w:w="8370" w:type="dxa"/>
        <w:jc w:val="center"/>
        <w:tblLayout w:type="fixed"/>
        <w:tblCellMar>
          <w:top w:w="0" w:type="dxa"/>
          <w:left w:w="108" w:type="dxa"/>
          <w:bottom w:w="0" w:type="dxa"/>
          <w:right w:w="108" w:type="dxa"/>
        </w:tblCellMar>
      </w:tblPr>
      <w:tblGrid>
        <w:gridCol w:w="1383"/>
        <w:gridCol w:w="1790"/>
        <w:gridCol w:w="1664"/>
        <w:gridCol w:w="1974"/>
        <w:gridCol w:w="1559"/>
      </w:tblGrid>
      <w:tr>
        <w:tblPrEx>
          <w:tblCellMar>
            <w:top w:w="0" w:type="dxa"/>
            <w:left w:w="108" w:type="dxa"/>
            <w:bottom w:w="0" w:type="dxa"/>
            <w:right w:w="108" w:type="dxa"/>
          </w:tblCellMar>
        </w:tblPrEx>
        <w:trPr>
          <w:trHeight w:val="986" w:hRule="atLeast"/>
          <w:jc w:val="center"/>
        </w:trPr>
        <w:tc>
          <w:tcPr>
            <w:tcW w:w="1383" w:type="dxa"/>
            <w:tcBorders>
              <w:top w:val="single" w:color="auto" w:sz="4" w:space="0"/>
              <w:left w:val="nil"/>
              <w:bottom w:val="single" w:color="auto" w:sz="4" w:space="0"/>
              <w:right w:val="single" w:color="auto" w:sz="4" w:space="0"/>
            </w:tcBorders>
            <w:vAlign w:val="center"/>
          </w:tcPr>
          <w:p>
            <w:pPr>
              <w:widowControl/>
              <w:snapToGrid w:val="0"/>
              <w:jc w:val="center"/>
              <w:rPr>
                <w:kern w:val="0"/>
                <w:sz w:val="18"/>
                <w:szCs w:val="18"/>
              </w:rPr>
            </w:pPr>
            <w:r>
              <w:rPr>
                <w:kern w:val="0"/>
                <w:sz w:val="18"/>
                <w:szCs w:val="18"/>
              </w:rPr>
              <w:t>课程目标</w:t>
            </w:r>
          </w:p>
        </w:tc>
        <w:tc>
          <w:tcPr>
            <w:tcW w:w="1790"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点名（平时）</w:t>
            </w:r>
          </w:p>
          <w:p>
            <w:pPr>
              <w:snapToGrid w:val="0"/>
              <w:jc w:val="center"/>
              <w:rPr>
                <w:sz w:val="18"/>
                <w:szCs w:val="18"/>
              </w:rPr>
            </w:pPr>
            <w:r>
              <w:rPr>
                <w:sz w:val="18"/>
                <w:szCs w:val="18"/>
              </w:rPr>
              <w:t>W1</w:t>
            </w:r>
            <w:r>
              <w:rPr>
                <w:sz w:val="18"/>
                <w:szCs w:val="18"/>
                <w:vertAlign w:val="subscript"/>
              </w:rPr>
              <w:t>i</w:t>
            </w:r>
          </w:p>
        </w:tc>
        <w:tc>
          <w:tcPr>
            <w:tcW w:w="1664"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课堂情况（平时）</w:t>
            </w:r>
          </w:p>
          <w:p>
            <w:pPr>
              <w:snapToGrid w:val="0"/>
              <w:jc w:val="center"/>
              <w:rPr>
                <w:sz w:val="18"/>
                <w:szCs w:val="18"/>
              </w:rPr>
            </w:pPr>
            <w:r>
              <w:rPr>
                <w:sz w:val="18"/>
                <w:szCs w:val="18"/>
              </w:rPr>
              <w:t>W2</w:t>
            </w:r>
            <w:r>
              <w:rPr>
                <w:sz w:val="18"/>
                <w:szCs w:val="18"/>
                <w:vertAlign w:val="subscript"/>
              </w:rPr>
              <w:t>i</w:t>
            </w:r>
          </w:p>
        </w:tc>
        <w:tc>
          <w:tcPr>
            <w:tcW w:w="1974"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完成实践手册（平时）</w:t>
            </w:r>
          </w:p>
          <w:p>
            <w:pPr>
              <w:snapToGrid w:val="0"/>
              <w:jc w:val="center"/>
              <w:rPr>
                <w:sz w:val="18"/>
                <w:szCs w:val="18"/>
              </w:rPr>
            </w:pPr>
            <w:r>
              <w:rPr>
                <w:sz w:val="18"/>
                <w:szCs w:val="18"/>
              </w:rPr>
              <w:t>W3</w:t>
            </w:r>
            <w:r>
              <w:rPr>
                <w:sz w:val="18"/>
                <w:szCs w:val="18"/>
                <w:vertAlign w:val="subscript"/>
              </w:rPr>
              <w:t>i</w:t>
            </w:r>
          </w:p>
        </w:tc>
        <w:tc>
          <w:tcPr>
            <w:tcW w:w="1559"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p>
            <w:pPr>
              <w:snapToGrid w:val="0"/>
              <w:jc w:val="center"/>
              <w:rPr>
                <w:sz w:val="18"/>
                <w:szCs w:val="18"/>
              </w:rPr>
            </w:pPr>
            <w:r>
              <w:rPr>
                <w:sz w:val="18"/>
                <w:szCs w:val="18"/>
              </w:rPr>
              <w:t>W4</w:t>
            </w:r>
            <w:r>
              <w:rPr>
                <w:sz w:val="18"/>
                <w:szCs w:val="18"/>
                <w:vertAlign w:val="subscript"/>
              </w:rPr>
              <w:t>i</w:t>
            </w:r>
          </w:p>
        </w:tc>
      </w:tr>
      <w:tr>
        <w:tblPrEx>
          <w:tblCellMar>
            <w:top w:w="0" w:type="dxa"/>
            <w:left w:w="108" w:type="dxa"/>
            <w:bottom w:w="0" w:type="dxa"/>
            <w:right w:w="108" w:type="dxa"/>
          </w:tblCellMar>
        </w:tblPrEx>
        <w:trPr>
          <w:jc w:val="center"/>
        </w:trPr>
        <w:tc>
          <w:tcPr>
            <w:tcW w:w="1383" w:type="dxa"/>
            <w:tcBorders>
              <w:top w:val="nil"/>
              <w:left w:val="nil"/>
              <w:bottom w:val="single" w:color="auto" w:sz="4" w:space="0"/>
              <w:right w:val="single" w:color="auto" w:sz="4" w:space="0"/>
            </w:tcBorders>
            <w:vAlign w:val="center"/>
          </w:tcPr>
          <w:p>
            <w:pPr>
              <w:snapToGrid w:val="0"/>
              <w:jc w:val="center"/>
              <w:rPr>
                <w:bCs/>
              </w:rPr>
            </w:pPr>
            <w:r>
              <w:rPr>
                <w:bCs/>
              </w:rPr>
              <w:t>1</w:t>
            </w:r>
          </w:p>
        </w:tc>
        <w:tc>
          <w:tcPr>
            <w:tcW w:w="1790" w:type="dxa"/>
            <w:tcBorders>
              <w:top w:val="single" w:color="auto" w:sz="4" w:space="0"/>
              <w:left w:val="single" w:color="auto" w:sz="4" w:space="0"/>
              <w:bottom w:val="single" w:color="auto" w:sz="4" w:space="0"/>
              <w:right w:val="single" w:color="auto" w:sz="4" w:space="0"/>
            </w:tcBorders>
            <w:vAlign w:val="center"/>
          </w:tcPr>
          <w:p>
            <w:pPr>
              <w:snapToGrid w:val="0"/>
              <w:jc w:val="center"/>
              <w:rPr>
                <w:bCs/>
                <w:highlight w:val="yellow"/>
              </w:rPr>
            </w:pPr>
            <w:r>
              <w:rPr>
                <w:bCs/>
              </w:rPr>
              <w:t>100</w:t>
            </w:r>
          </w:p>
        </w:tc>
        <w:tc>
          <w:tcPr>
            <w:tcW w:w="1664" w:type="dxa"/>
            <w:tcBorders>
              <w:top w:val="single" w:color="auto" w:sz="4" w:space="0"/>
              <w:left w:val="single" w:color="auto" w:sz="4" w:space="0"/>
              <w:bottom w:val="single" w:color="auto" w:sz="4" w:space="0"/>
              <w:right w:val="single" w:color="auto" w:sz="4" w:space="0"/>
            </w:tcBorders>
            <w:vAlign w:val="center"/>
          </w:tcPr>
          <w:p>
            <w:pPr>
              <w:snapToGrid w:val="0"/>
              <w:jc w:val="center"/>
              <w:rPr>
                <w:bCs/>
                <w:highlight w:val="yellow"/>
              </w:rPr>
            </w:pPr>
            <w:r>
              <w:rPr>
                <w:bCs/>
              </w:rPr>
              <w:t>100</w:t>
            </w:r>
          </w:p>
        </w:tc>
        <w:tc>
          <w:tcPr>
            <w:tcW w:w="1974" w:type="dxa"/>
            <w:tcBorders>
              <w:top w:val="single" w:color="auto" w:sz="4" w:space="0"/>
              <w:left w:val="single" w:color="auto" w:sz="4" w:space="0"/>
              <w:bottom w:val="single" w:color="auto" w:sz="4" w:space="0"/>
              <w:right w:val="single" w:color="auto" w:sz="4" w:space="0"/>
            </w:tcBorders>
            <w:vAlign w:val="center"/>
          </w:tcPr>
          <w:p>
            <w:pPr>
              <w:snapToGrid w:val="0"/>
              <w:jc w:val="center"/>
              <w:rPr>
                <w:bCs/>
                <w:highlight w:val="yellow"/>
              </w:rPr>
            </w:pPr>
            <w:r>
              <w:rPr>
                <w:bCs/>
              </w:rPr>
              <w:t>100</w:t>
            </w:r>
          </w:p>
        </w:tc>
        <w:tc>
          <w:tcPr>
            <w:tcW w:w="1559" w:type="dxa"/>
            <w:tcBorders>
              <w:top w:val="single" w:color="auto" w:sz="4" w:space="0"/>
              <w:left w:val="single" w:color="auto" w:sz="4" w:space="0"/>
              <w:bottom w:val="single" w:color="auto" w:sz="4" w:space="0"/>
              <w:right w:val="nil"/>
            </w:tcBorders>
            <w:vAlign w:val="center"/>
          </w:tcPr>
          <w:p>
            <w:pPr>
              <w:snapToGrid w:val="0"/>
              <w:jc w:val="center"/>
              <w:rPr>
                <w:bCs/>
                <w:highlight w:val="yellow"/>
              </w:rPr>
            </w:pPr>
            <w:r>
              <w:rPr>
                <w:bCs/>
              </w:rPr>
              <w:t>100</w:t>
            </w:r>
          </w:p>
        </w:tc>
      </w:tr>
    </w:tbl>
    <w:p>
      <w:pPr>
        <w:snapToGrid w:val="0"/>
        <w:spacing w:line="360" w:lineRule="auto"/>
        <w:ind w:firstLine="315" w:firstLineChars="150"/>
        <w:jc w:val="left"/>
        <w:rPr>
          <w:rFonts w:eastAsiaTheme="majorEastAsia"/>
          <w:szCs w:val="21"/>
          <w:highlight w:val="yellow"/>
        </w:rPr>
      </w:pPr>
    </w:p>
    <w:p>
      <w:pPr>
        <w:snapToGrid w:val="0"/>
        <w:spacing w:line="360" w:lineRule="auto"/>
        <w:ind w:firstLine="315" w:firstLineChars="150"/>
        <w:jc w:val="left"/>
        <w:rPr>
          <w:rFonts w:eastAsiaTheme="majorEastAsia"/>
          <w:szCs w:val="21"/>
        </w:rPr>
      </w:pPr>
      <w:r>
        <w:rPr>
          <w:rFonts w:eastAsiaTheme="majorEastAsia"/>
          <w:szCs w:val="21"/>
        </w:rPr>
        <w:t>分目标达成值由每个部分对应的实际得分与题目总分数相比后，各环节加权求和得到。</w:t>
      </w:r>
    </w:p>
    <w:p>
      <w:pPr>
        <w:snapToGrid w:val="0"/>
        <w:spacing w:line="360" w:lineRule="auto"/>
        <w:ind w:firstLine="315" w:firstLineChars="150"/>
        <w:jc w:val="left"/>
        <w:rPr>
          <w:rFonts w:eastAsiaTheme="majorEastAsia"/>
          <w:szCs w:val="21"/>
        </w:rPr>
      </w:pPr>
      <w:r>
        <w:rPr>
          <w:rFonts w:eastAsiaTheme="majorEastAsia"/>
          <w:szCs w:val="21"/>
        </w:rPr>
        <w:t>总课程目标达成值由每个环节的总平均分，按照各环节加权求和得到。</w:t>
      </w:r>
    </w:p>
    <w:p>
      <w:pPr>
        <w:snapToGrid w:val="0"/>
        <w:spacing w:line="360" w:lineRule="auto"/>
        <w:ind w:firstLine="315" w:firstLineChars="150"/>
        <w:jc w:val="left"/>
        <w:rPr>
          <w:rFonts w:eastAsiaTheme="majorEastAsia"/>
          <w:szCs w:val="21"/>
          <w:highlight w:val="yellow"/>
        </w:rPr>
      </w:pPr>
      <w:r>
        <w:rPr>
          <w:rFonts w:eastAsiaTheme="majorEastAsia"/>
          <w:szCs w:val="21"/>
        </w:rPr>
        <w:t>各环节的评价标准参见课程成绩分析报告。</w:t>
      </w:r>
    </w:p>
    <w:p>
      <w:pPr>
        <w:snapToGrid w:val="0"/>
        <w:spacing w:line="360" w:lineRule="auto"/>
        <w:jc w:val="left"/>
        <w:rPr>
          <w:rFonts w:eastAsia="黑体"/>
          <w:szCs w:val="21"/>
        </w:rPr>
      </w:pPr>
    </w:p>
    <w:p>
      <w:pPr>
        <w:rPr>
          <w:rFonts w:eastAsia="黑体"/>
          <w:sz w:val="28"/>
          <w:szCs w:val="24"/>
        </w:rPr>
      </w:pPr>
      <w:r>
        <w:rPr>
          <w:rFonts w:hint="eastAsia" w:eastAsia="黑体"/>
          <w:sz w:val="28"/>
          <w:szCs w:val="24"/>
        </w:rPr>
        <w:br w:type="page"/>
      </w:r>
    </w:p>
    <w:p>
      <w:pPr>
        <w:pStyle w:val="20"/>
        <w:spacing w:before="312" w:after="468"/>
      </w:pPr>
      <w:bookmarkStart w:id="19" w:name="_Toc890"/>
      <w:r>
        <w:t>《X01100004</w:t>
      </w:r>
      <w:r>
        <w:rPr>
          <w:rFonts w:hint="eastAsia"/>
        </w:rPr>
        <w:t>-</w:t>
      </w:r>
      <w:r>
        <w:t>毛泽东思想和中国特色社会主义理论体系概论》教学大纲</w:t>
      </w:r>
      <w:bookmarkEnd w:id="19"/>
    </w:p>
    <w:p>
      <w:pPr>
        <w:adjustRightInd w:val="0"/>
        <w:snapToGrid w:val="0"/>
        <w:spacing w:line="360" w:lineRule="auto"/>
        <w:rPr>
          <w:kern w:val="0"/>
          <w:szCs w:val="21"/>
        </w:rPr>
      </w:pPr>
      <w:r>
        <w:rPr>
          <w:rFonts w:eastAsia="黑体"/>
          <w:szCs w:val="21"/>
        </w:rPr>
        <w:t>课程编号：</w:t>
      </w:r>
      <w:r>
        <w:rPr>
          <w:kern w:val="0"/>
          <w:szCs w:val="21"/>
        </w:rPr>
        <w:t>X01100004</w:t>
      </w:r>
    </w:p>
    <w:p>
      <w:pPr>
        <w:spacing w:line="360" w:lineRule="auto"/>
        <w:rPr>
          <w:rFonts w:eastAsia="黑体"/>
          <w:szCs w:val="21"/>
        </w:rPr>
      </w:pPr>
      <w:r>
        <w:rPr>
          <w:rFonts w:eastAsia="黑体"/>
          <w:szCs w:val="21"/>
        </w:rPr>
        <w:t>课程名称：毛泽东思想和中国特色社会主义理论体系概论</w:t>
      </w:r>
      <w:r>
        <w:rPr>
          <w:rFonts w:eastAsia="黑体"/>
          <w:szCs w:val="21"/>
        </w:rPr>
        <w:tab/>
      </w:r>
      <w:r>
        <w:rPr>
          <w:rFonts w:eastAsia="黑体"/>
          <w:szCs w:val="21"/>
        </w:rPr>
        <w:tab/>
      </w:r>
      <w:r>
        <w:rPr>
          <w:rFonts w:eastAsia="黑体"/>
          <w:szCs w:val="21"/>
        </w:rPr>
        <w:t xml:space="preserve">开课单位：马克思主义学院 </w:t>
      </w:r>
    </w:p>
    <w:p>
      <w:pPr>
        <w:spacing w:line="360" w:lineRule="auto"/>
        <w:rPr>
          <w:rFonts w:eastAsia="黑体"/>
          <w:szCs w:val="21"/>
        </w:rPr>
      </w:pPr>
      <w:r>
        <w:rPr>
          <w:rFonts w:eastAsia="黑体"/>
          <w:szCs w:val="21"/>
        </w:rPr>
        <w:t>总 学 时：64</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 xml:space="preserve">                学    分：4</w:t>
      </w:r>
    </w:p>
    <w:p>
      <w:pPr>
        <w:spacing w:line="360" w:lineRule="auto"/>
        <w:rPr>
          <w:rFonts w:eastAsia="黑体"/>
          <w:szCs w:val="21"/>
        </w:rPr>
      </w:pPr>
      <w:r>
        <w:rPr>
          <w:rFonts w:eastAsia="黑体"/>
          <w:szCs w:val="21"/>
        </w:rPr>
        <w:t>适用专业：工程类各专业</w:t>
      </w:r>
    </w:p>
    <w:p>
      <w:pPr>
        <w:spacing w:line="360" w:lineRule="auto"/>
        <w:rPr>
          <w:rFonts w:eastAsia="黑体"/>
          <w:szCs w:val="21"/>
        </w:rPr>
      </w:pPr>
      <w:r>
        <w:rPr>
          <w:rFonts w:eastAsia="黑体"/>
          <w:szCs w:val="21"/>
        </w:rPr>
        <w:t>先修课程：马克思主义基本原理概论</w:t>
      </w:r>
    </w:p>
    <w:p>
      <w:pPr>
        <w:spacing w:line="360" w:lineRule="auto"/>
        <w:rPr>
          <w:rFonts w:eastAsia="黑体"/>
          <w:szCs w:val="21"/>
        </w:rPr>
      </w:pPr>
      <w:r>
        <w:rPr>
          <w:rFonts w:eastAsia="黑体"/>
          <w:szCs w:val="21"/>
        </w:rPr>
        <w:t>大纲编写（修订）时间：2019年4月</w:t>
      </w:r>
    </w:p>
    <w:p>
      <w:pPr>
        <w:adjustRightInd w:val="0"/>
        <w:snapToGrid w:val="0"/>
        <w:spacing w:line="360" w:lineRule="auto"/>
        <w:rPr>
          <w:rFonts w:eastAsiaTheme="minorEastAsia"/>
          <w:szCs w:val="21"/>
        </w:rPr>
      </w:pPr>
    </w:p>
    <w:p>
      <w:pPr>
        <w:snapToGrid w:val="0"/>
        <w:spacing w:line="360" w:lineRule="auto"/>
        <w:rPr>
          <w:b/>
          <w:szCs w:val="21"/>
        </w:rPr>
      </w:pPr>
      <w:r>
        <w:rPr>
          <w:rFonts w:eastAsia="黑体"/>
          <w:szCs w:val="21"/>
        </w:rPr>
        <w:t>一、课程在教学计划中地位、作用</w:t>
      </w:r>
    </w:p>
    <w:p>
      <w:pPr>
        <w:snapToGrid w:val="0"/>
        <w:spacing w:line="360" w:lineRule="auto"/>
        <w:ind w:firstLine="420" w:firstLineChars="200"/>
        <w:rPr>
          <w:b/>
          <w:szCs w:val="21"/>
        </w:rPr>
      </w:pPr>
      <w:r>
        <w:rPr>
          <w:szCs w:val="21"/>
        </w:rPr>
        <w:t>本课程是公共必修课，课程以为什么要坚持中国特色社会主义为主线，根据大学生成长的基本规律，以本科生的成才为核心，引导大学生牢固树立“四个自信”，培养大学生树立正确的世界观、人生观和价值观。通过理论学习和实践体验，帮助大学生提高思想道德素质，解决大学生成长成才过程中遇到的实际问题。</w:t>
      </w:r>
    </w:p>
    <w:p>
      <w:pPr>
        <w:snapToGrid w:val="0"/>
        <w:spacing w:line="360" w:lineRule="auto"/>
        <w:rPr>
          <w:rFonts w:eastAsia="黑体"/>
          <w:szCs w:val="21"/>
        </w:rPr>
      </w:pPr>
    </w:p>
    <w:p>
      <w:pPr>
        <w:snapToGrid w:val="0"/>
        <w:spacing w:line="360" w:lineRule="auto"/>
        <w:rPr>
          <w:rFonts w:eastAsia="黑体"/>
          <w:szCs w:val="21"/>
        </w:rPr>
      </w:pPr>
      <w:r>
        <w:rPr>
          <w:rFonts w:eastAsia="黑体"/>
          <w:szCs w:val="21"/>
        </w:rPr>
        <w:t>二、课程目标</w:t>
      </w:r>
    </w:p>
    <w:p>
      <w:pPr>
        <w:snapToGrid w:val="0"/>
        <w:spacing w:line="360" w:lineRule="auto"/>
        <w:ind w:firstLine="420" w:firstLineChars="200"/>
        <w:rPr>
          <w:szCs w:val="21"/>
        </w:rPr>
      </w:pPr>
      <w:r>
        <w:rPr>
          <w:szCs w:val="21"/>
        </w:rPr>
        <w:t>本大纲适用于工程类专业选择使用，专业在选用时要关注本课程目标是否与专业培养方案设定的能力矩阵一致。</w:t>
      </w:r>
    </w:p>
    <w:tbl>
      <w:tblPr>
        <w:tblStyle w:val="22"/>
        <w:tblW w:w="8215" w:type="dxa"/>
        <w:tblInd w:w="9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3736"/>
        <w:gridCol w:w="3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14" w:type="dxa"/>
            <w:vAlign w:val="center"/>
          </w:tcPr>
          <w:p>
            <w:pPr>
              <w:spacing w:line="360" w:lineRule="auto"/>
              <w:jc w:val="center"/>
              <w:rPr>
                <w:sz w:val="18"/>
                <w:szCs w:val="18"/>
              </w:rPr>
            </w:pPr>
            <w:r>
              <w:rPr>
                <w:sz w:val="18"/>
                <w:szCs w:val="18"/>
              </w:rPr>
              <w:t>序号</w:t>
            </w:r>
          </w:p>
        </w:tc>
        <w:tc>
          <w:tcPr>
            <w:tcW w:w="3736" w:type="dxa"/>
            <w:vAlign w:val="center"/>
          </w:tcPr>
          <w:p>
            <w:pPr>
              <w:spacing w:line="360" w:lineRule="auto"/>
              <w:jc w:val="center"/>
              <w:rPr>
                <w:sz w:val="18"/>
                <w:szCs w:val="18"/>
              </w:rPr>
            </w:pPr>
            <w:r>
              <w:rPr>
                <w:sz w:val="18"/>
                <w:szCs w:val="18"/>
              </w:rPr>
              <w:t>课程目标</w:t>
            </w:r>
          </w:p>
        </w:tc>
        <w:tc>
          <w:tcPr>
            <w:tcW w:w="3865" w:type="dxa"/>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napToGrid w:val="0"/>
              <w:spacing w:line="360" w:lineRule="auto"/>
              <w:jc w:val="center"/>
              <w:rPr>
                <w:sz w:val="18"/>
                <w:szCs w:val="18"/>
              </w:rPr>
            </w:pPr>
            <w:r>
              <w:rPr>
                <w:sz w:val="18"/>
                <w:szCs w:val="18"/>
              </w:rPr>
              <w:t>1</w:t>
            </w:r>
          </w:p>
        </w:tc>
        <w:tc>
          <w:tcPr>
            <w:tcW w:w="3736" w:type="dxa"/>
          </w:tcPr>
          <w:p>
            <w:pPr>
              <w:adjustRightInd w:val="0"/>
              <w:snapToGrid w:val="0"/>
              <w:spacing w:line="360" w:lineRule="auto"/>
              <w:rPr>
                <w:sz w:val="18"/>
                <w:szCs w:val="18"/>
              </w:rPr>
            </w:pPr>
            <w:r>
              <w:rPr>
                <w:sz w:val="18"/>
                <w:szCs w:val="18"/>
              </w:rPr>
              <w:t>科学认知马克思主义中国化的定义及其过程，了解毛泽东思想的形成过程和主要观点，理解关于中国革命、社会主义改造和建设理论，能够正确评价毛泽东思想的历史地位。</w:t>
            </w:r>
          </w:p>
        </w:tc>
        <w:tc>
          <w:tcPr>
            <w:tcW w:w="3865" w:type="dxa"/>
          </w:tcPr>
          <w:p>
            <w:pPr>
              <w:adjustRightInd w:val="0"/>
              <w:snapToGrid w:val="0"/>
              <w:spacing w:line="360" w:lineRule="auto"/>
              <w:rPr>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p>
            <w:pPr>
              <w:adjustRightInd w:val="0"/>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napToGrid w:val="0"/>
              <w:spacing w:line="360" w:lineRule="auto"/>
              <w:jc w:val="center"/>
              <w:rPr>
                <w:sz w:val="18"/>
                <w:szCs w:val="18"/>
              </w:rPr>
            </w:pPr>
            <w:r>
              <w:rPr>
                <w:sz w:val="18"/>
                <w:szCs w:val="18"/>
              </w:rPr>
              <w:t>2</w:t>
            </w:r>
          </w:p>
        </w:tc>
        <w:tc>
          <w:tcPr>
            <w:tcW w:w="3736" w:type="dxa"/>
          </w:tcPr>
          <w:p>
            <w:pPr>
              <w:adjustRightInd w:val="0"/>
              <w:snapToGrid w:val="0"/>
              <w:spacing w:line="360" w:lineRule="auto"/>
              <w:rPr>
                <w:sz w:val="18"/>
                <w:szCs w:val="18"/>
              </w:rPr>
            </w:pPr>
            <w:r>
              <w:rPr>
                <w:sz w:val="18"/>
                <w:szCs w:val="18"/>
              </w:rPr>
              <w:t>系统把握中国特色社会主义理论体系的主要内容，特别是深入体会十八大以来的党的最新理论成果，坚信中国特色社会主义的理论自信、制度自信、道路自信和文化自信。</w:t>
            </w:r>
          </w:p>
        </w:tc>
        <w:tc>
          <w:tcPr>
            <w:tcW w:w="3865" w:type="dxa"/>
          </w:tcPr>
          <w:p>
            <w:pPr>
              <w:adjustRightInd w:val="0"/>
              <w:snapToGrid w:val="0"/>
              <w:spacing w:line="360" w:lineRule="auto"/>
              <w:rPr>
                <w:kern w:val="0"/>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tc>
      </w:tr>
    </w:tbl>
    <w:p>
      <w:pPr>
        <w:snapToGrid w:val="0"/>
        <w:spacing w:line="360" w:lineRule="auto"/>
        <w:rPr>
          <w:rFonts w:eastAsia="黑体"/>
          <w:szCs w:val="21"/>
        </w:rPr>
      </w:pPr>
    </w:p>
    <w:p>
      <w:pPr>
        <w:snapToGrid w:val="0"/>
        <w:spacing w:line="360" w:lineRule="auto"/>
        <w:rPr>
          <w:rFonts w:eastAsia="黑体"/>
          <w:szCs w:val="21"/>
        </w:rPr>
      </w:pPr>
      <w:r>
        <w:rPr>
          <w:rFonts w:eastAsia="黑体"/>
          <w:szCs w:val="21"/>
        </w:rPr>
        <w:t>三、教学内容及基本要求</w:t>
      </w:r>
    </w:p>
    <w:p>
      <w:pPr>
        <w:adjustRightInd w:val="0"/>
        <w:snapToGrid w:val="0"/>
        <w:spacing w:line="360" w:lineRule="auto"/>
        <w:ind w:firstLine="420" w:firstLineChars="200"/>
        <w:rPr>
          <w:szCs w:val="21"/>
        </w:rPr>
      </w:pPr>
      <w:r>
        <w:rPr>
          <w:rFonts w:eastAsia="黑体"/>
          <w:szCs w:val="21"/>
        </w:rPr>
        <w:t>第一章  毛泽东思想及其历史地位（4学时）</w:t>
      </w:r>
    </w:p>
    <w:p>
      <w:pPr>
        <w:adjustRightInd w:val="0"/>
        <w:snapToGrid w:val="0"/>
        <w:spacing w:line="360" w:lineRule="auto"/>
        <w:ind w:firstLine="420" w:firstLineChars="200"/>
        <w:rPr>
          <w:szCs w:val="21"/>
        </w:rPr>
      </w:pPr>
      <w:r>
        <w:fldChar w:fldCharType="begin"/>
      </w:r>
      <w:r>
        <w:instrText xml:space="preserve"> HYPERLINK \l "_Toc507796001" </w:instrText>
      </w:r>
      <w:r>
        <w:fldChar w:fldCharType="separate"/>
      </w:r>
      <w:r>
        <w:rPr>
          <w:szCs w:val="21"/>
        </w:rPr>
        <w:t>1.　毛泽东思想的形成和发展</w:t>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"_Toc507796004" </w:instrText>
      </w:r>
      <w:r>
        <w:fldChar w:fldCharType="separate"/>
      </w:r>
      <w:r>
        <w:rPr>
          <w:szCs w:val="21"/>
        </w:rPr>
        <w:t>2.　毛泽东思想的主要内容和活的灵魂</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"_Toc507796007" </w:instrText>
      </w:r>
      <w:r>
        <w:fldChar w:fldCharType="separate"/>
      </w:r>
      <w:r>
        <w:rPr>
          <w:szCs w:val="21"/>
        </w:rPr>
        <w:t>3.　毛泽东思想的历史地位</w:t>
      </w:r>
      <w:r>
        <w:rPr>
          <w:szCs w:val="21"/>
        </w:rPr>
        <w:fldChar w:fldCharType="end"/>
      </w:r>
    </w:p>
    <w:p>
      <w:pPr>
        <w:adjustRightInd w:val="0"/>
        <w:snapToGrid w:val="0"/>
        <w:spacing w:line="360" w:lineRule="auto"/>
        <w:ind w:firstLine="420" w:firstLineChars="200"/>
        <w:rPr>
          <w:szCs w:val="21"/>
        </w:rPr>
      </w:pPr>
      <w:r>
        <w:rPr>
          <w:szCs w:val="21"/>
        </w:rPr>
        <w:t>本章节内容支撑课程目标 1</w:t>
      </w:r>
    </w:p>
    <w:p>
      <w:pPr>
        <w:adjustRightInd w:val="0"/>
        <w:snapToGrid w:val="0"/>
        <w:spacing w:line="360" w:lineRule="auto"/>
        <w:ind w:firstLine="420" w:firstLineChars="200"/>
        <w:rPr>
          <w:szCs w:val="21"/>
        </w:rPr>
      </w:pPr>
      <w:r>
        <w:rPr>
          <w:rFonts w:eastAsia="黑体"/>
          <w:szCs w:val="21"/>
        </w:rPr>
        <w:t xml:space="preserve">第二章  </w:t>
      </w:r>
      <w:r>
        <w:fldChar w:fldCharType="begin"/>
      </w:r>
      <w:r>
        <w:instrText xml:space="preserve"> HYPERLINK \l "_Toc507796011" </w:instrText>
      </w:r>
      <w:r>
        <w:fldChar w:fldCharType="separate"/>
      </w:r>
      <w:r>
        <w:rPr>
          <w:rFonts w:eastAsia="黑体"/>
          <w:szCs w:val="21"/>
        </w:rPr>
        <w:t>新民主主义革命理论</w:t>
      </w:r>
      <w:r>
        <w:rPr>
          <w:szCs w:val="21"/>
        </w:rPr>
        <w:tab/>
      </w:r>
      <w:r>
        <w:rPr>
          <w:szCs w:val="21"/>
        </w:rPr>
        <w:fldChar w:fldCharType="end"/>
      </w:r>
      <w:r>
        <w:rPr>
          <w:rFonts w:eastAsia="黑体"/>
          <w:szCs w:val="21"/>
        </w:rPr>
        <w:t>（4学时）</w:t>
      </w:r>
    </w:p>
    <w:p>
      <w:pPr>
        <w:adjustRightInd w:val="0"/>
        <w:snapToGrid w:val="0"/>
        <w:spacing w:line="360" w:lineRule="auto"/>
        <w:ind w:left="420" w:leftChars="200"/>
        <w:rPr>
          <w:szCs w:val="21"/>
        </w:rPr>
      </w:pPr>
      <w:r>
        <w:fldChar w:fldCharType="begin"/>
      </w:r>
      <w:r>
        <w:instrText xml:space="preserve"> HYPERLINK \l "_Toc507796012" </w:instrText>
      </w:r>
      <w:r>
        <w:fldChar w:fldCharType="separate"/>
      </w:r>
      <w:r>
        <w:rPr>
          <w:szCs w:val="21"/>
        </w:rPr>
        <w:t>1.　新民主主义革命理论形成的依据</w:t>
      </w:r>
      <w:r>
        <w:rPr>
          <w:szCs w:val="21"/>
        </w:rPr>
        <w:tab/>
      </w:r>
      <w:r>
        <w:rPr>
          <w:szCs w:val="21"/>
        </w:rPr>
        <w:fldChar w:fldCharType="end"/>
      </w:r>
    </w:p>
    <w:p>
      <w:pPr>
        <w:adjustRightInd w:val="0"/>
        <w:snapToGrid w:val="0"/>
        <w:spacing w:line="360" w:lineRule="auto"/>
        <w:ind w:left="420" w:leftChars="200"/>
        <w:rPr>
          <w:szCs w:val="21"/>
        </w:rPr>
      </w:pPr>
      <w:r>
        <w:fldChar w:fldCharType="begin"/>
      </w:r>
      <w:r>
        <w:instrText xml:space="preserve"> HYPERLINK \l "_Toc507796015" </w:instrText>
      </w:r>
      <w:r>
        <w:fldChar w:fldCharType="separate"/>
      </w:r>
      <w:r>
        <w:rPr>
          <w:szCs w:val="21"/>
        </w:rPr>
        <w:t>2.　新民主主义革命的总路线和基本纲领</w:t>
      </w:r>
      <w:r>
        <w:rPr>
          <w:szCs w:val="21"/>
        </w:rPr>
        <w:tab/>
      </w:r>
      <w:r>
        <w:rPr>
          <w:szCs w:val="21"/>
        </w:rPr>
        <w:fldChar w:fldCharType="end"/>
      </w:r>
    </w:p>
    <w:p>
      <w:pPr>
        <w:adjustRightInd w:val="0"/>
        <w:snapToGrid w:val="0"/>
        <w:spacing w:line="360" w:lineRule="auto"/>
        <w:ind w:left="420" w:leftChars="200"/>
        <w:rPr>
          <w:szCs w:val="21"/>
        </w:rPr>
      </w:pPr>
      <w:r>
        <w:fldChar w:fldCharType="begin"/>
      </w:r>
      <w:r>
        <w:instrText xml:space="preserve"> HYPERLINK \l "_Toc507796018" </w:instrText>
      </w:r>
      <w:r>
        <w:fldChar w:fldCharType="separate"/>
      </w:r>
      <w:r>
        <w:rPr>
          <w:szCs w:val="21"/>
        </w:rPr>
        <w:t>3.　新民主主义革命的道路和基本经验</w:t>
      </w:r>
      <w:r>
        <w:rPr>
          <w:szCs w:val="21"/>
        </w:rPr>
        <w:tab/>
      </w:r>
      <w:r>
        <w:rPr>
          <w:szCs w:val="21"/>
        </w:rPr>
        <w:fldChar w:fldCharType="end"/>
      </w:r>
    </w:p>
    <w:p>
      <w:pPr>
        <w:adjustRightInd w:val="0"/>
        <w:snapToGrid w:val="0"/>
        <w:spacing w:line="360" w:lineRule="auto"/>
        <w:ind w:left="420" w:leftChars="200"/>
        <w:rPr>
          <w:szCs w:val="21"/>
        </w:rPr>
      </w:pPr>
      <w:r>
        <w:rPr>
          <w:szCs w:val="21"/>
        </w:rPr>
        <w:t>本章节内容支撑课程目标 1</w:t>
      </w:r>
    </w:p>
    <w:p>
      <w:pPr>
        <w:adjustRightInd w:val="0"/>
        <w:snapToGrid w:val="0"/>
        <w:spacing w:line="360" w:lineRule="auto"/>
        <w:ind w:firstLine="420" w:firstLineChars="200"/>
        <w:rPr>
          <w:rFonts w:eastAsia="黑体"/>
          <w:szCs w:val="21"/>
        </w:rPr>
      </w:pPr>
      <w:r>
        <w:fldChar w:fldCharType="begin"/>
      </w:r>
      <w:r>
        <w:instrText xml:space="preserve"> HYPERLINK \l "_Toc507796022" </w:instrText>
      </w:r>
      <w:r>
        <w:fldChar w:fldCharType="separate"/>
      </w:r>
      <w:r>
        <w:rPr>
          <w:rFonts w:eastAsia="黑体"/>
          <w:szCs w:val="21"/>
        </w:rPr>
        <w:t>第三章　社会主义改造理论</w:t>
      </w:r>
      <w:r>
        <w:rPr>
          <w:rFonts w:eastAsia="黑体"/>
          <w:szCs w:val="21"/>
        </w:rPr>
        <w:fldChar w:fldCharType="end"/>
      </w:r>
      <w:r>
        <w:rPr>
          <w:rFonts w:eastAsia="黑体"/>
          <w:szCs w:val="21"/>
        </w:rPr>
        <w:t>（4学时）</w:t>
      </w:r>
    </w:p>
    <w:p>
      <w:pPr>
        <w:adjustRightInd w:val="0"/>
        <w:snapToGrid w:val="0"/>
        <w:spacing w:line="360" w:lineRule="auto"/>
        <w:ind w:firstLine="420" w:firstLineChars="200"/>
        <w:rPr>
          <w:szCs w:val="21"/>
        </w:rPr>
      </w:pPr>
      <w:r>
        <w:fldChar w:fldCharType="begin"/>
      </w:r>
      <w:r>
        <w:instrText xml:space="preserve"> HYPERLINK \l "_Toc507796023" </w:instrText>
      </w:r>
      <w:r>
        <w:fldChar w:fldCharType="separate"/>
      </w:r>
      <w:r>
        <w:rPr>
          <w:szCs w:val="21"/>
        </w:rPr>
        <w:t>1.　从新民主主义到社会主义的转变</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"_Toc507796026" </w:instrText>
      </w:r>
      <w:r>
        <w:fldChar w:fldCharType="separate"/>
      </w:r>
      <w:r>
        <w:rPr>
          <w:szCs w:val="21"/>
        </w:rPr>
        <w:t>2.　社会主义改造道路和历史经验</w:t>
      </w:r>
      <w:r>
        <w:rPr>
          <w:szCs w:val="21"/>
        </w:rPr>
        <w:tab/>
      </w:r>
      <w:r>
        <w:rPr>
          <w:szCs w:val="21"/>
        </w:rPr>
        <w:fldChar w:fldCharType="end"/>
      </w:r>
    </w:p>
    <w:p>
      <w:pPr>
        <w:adjustRightInd w:val="0"/>
        <w:snapToGrid w:val="0"/>
        <w:spacing w:line="360" w:lineRule="auto"/>
        <w:ind w:firstLine="420" w:firstLineChars="200"/>
        <w:rPr>
          <w:szCs w:val="21"/>
        </w:rPr>
      </w:pPr>
      <w:r>
        <w:rPr>
          <w:szCs w:val="21"/>
        </w:rPr>
        <w:fldChar w:fldCharType="begin"/>
      </w:r>
      <w:r>
        <w:rPr>
          <w:szCs w:val="21"/>
        </w:rPr>
        <w:instrText xml:space="preserve"> HYPERLINK \l "_Toc507796029" </w:instrText>
      </w:r>
      <w:r>
        <w:rPr>
          <w:szCs w:val="21"/>
        </w:rPr>
        <w:fldChar w:fldCharType="separate"/>
      </w:r>
      <w:r>
        <w:rPr>
          <w:szCs w:val="21"/>
        </w:rPr>
        <w:t>3.　社会主义制度在中国的确立</w:t>
      </w:r>
    </w:p>
    <w:p>
      <w:pPr>
        <w:adjustRightInd w:val="0"/>
        <w:snapToGrid w:val="0"/>
        <w:spacing w:line="360" w:lineRule="auto"/>
        <w:ind w:firstLine="420" w:firstLineChars="200"/>
        <w:rPr>
          <w:szCs w:val="21"/>
        </w:rPr>
      </w:pPr>
      <w:r>
        <w:rPr>
          <w:szCs w:val="21"/>
        </w:rPr>
        <w:t>本章节内容支撑课程目标 1</w:t>
      </w:r>
      <w:r>
        <w:rPr>
          <w:szCs w:val="21"/>
        </w:rPr>
        <w:tab/>
      </w:r>
      <w:r>
        <w:rPr>
          <w:szCs w:val="21"/>
        </w:rPr>
        <w:fldChar w:fldCharType="end"/>
      </w:r>
    </w:p>
    <w:p>
      <w:pPr>
        <w:adjustRightInd w:val="0"/>
        <w:snapToGrid w:val="0"/>
        <w:spacing w:line="360" w:lineRule="auto"/>
        <w:ind w:firstLine="420" w:firstLineChars="200"/>
        <w:rPr>
          <w:rFonts w:eastAsia="黑体"/>
          <w:szCs w:val="21"/>
        </w:rPr>
      </w:pPr>
      <w:r>
        <w:fldChar w:fldCharType="begin"/>
      </w:r>
      <w:r>
        <w:instrText xml:space="preserve"> HYPERLINK \l "_Toc507796032" </w:instrText>
      </w:r>
      <w:r>
        <w:fldChar w:fldCharType="separate"/>
      </w:r>
      <w:r>
        <w:rPr>
          <w:rFonts w:eastAsia="黑体"/>
          <w:szCs w:val="21"/>
        </w:rPr>
        <w:t>第四章　社会主义建设道路初步探索的理论成果</w:t>
      </w:r>
      <w:r>
        <w:rPr>
          <w:rFonts w:eastAsia="黑体"/>
          <w:szCs w:val="21"/>
        </w:rPr>
        <w:fldChar w:fldCharType="end"/>
      </w:r>
      <w:r>
        <w:rPr>
          <w:rFonts w:eastAsia="黑体"/>
          <w:szCs w:val="21"/>
        </w:rPr>
        <w:t>（4学时）</w:t>
      </w:r>
    </w:p>
    <w:p>
      <w:pPr>
        <w:adjustRightInd w:val="0"/>
        <w:snapToGrid w:val="0"/>
        <w:spacing w:line="360" w:lineRule="auto"/>
        <w:ind w:left="420" w:leftChars="200"/>
        <w:rPr>
          <w:szCs w:val="21"/>
        </w:rPr>
      </w:pPr>
      <w:r>
        <w:fldChar w:fldCharType="begin"/>
      </w:r>
      <w:r>
        <w:instrText xml:space="preserve"> HYPERLINK \l "_Toc507796033" </w:instrText>
      </w:r>
      <w:r>
        <w:fldChar w:fldCharType="separate"/>
      </w:r>
      <w:r>
        <w:rPr>
          <w:szCs w:val="21"/>
        </w:rPr>
        <w:t>1.　初步探索的重要理论成果</w:t>
      </w:r>
      <w:r>
        <w:rPr>
          <w:szCs w:val="21"/>
        </w:rPr>
        <w:tab/>
      </w:r>
      <w:r>
        <w:rPr>
          <w:szCs w:val="21"/>
        </w:rPr>
        <w:fldChar w:fldCharType="end"/>
      </w:r>
    </w:p>
    <w:p>
      <w:pPr>
        <w:adjustRightInd w:val="0"/>
        <w:snapToGrid w:val="0"/>
        <w:spacing w:line="360" w:lineRule="auto"/>
        <w:ind w:left="420" w:leftChars="200"/>
        <w:rPr>
          <w:szCs w:val="21"/>
        </w:rPr>
      </w:pPr>
      <w:r>
        <w:rPr>
          <w:szCs w:val="21"/>
        </w:rPr>
        <w:fldChar w:fldCharType="begin"/>
      </w:r>
      <w:r>
        <w:rPr>
          <w:szCs w:val="21"/>
        </w:rPr>
        <w:instrText xml:space="preserve"> HYPERLINK \l "_Toc507796037" </w:instrText>
      </w:r>
      <w:r>
        <w:rPr>
          <w:szCs w:val="21"/>
        </w:rPr>
        <w:fldChar w:fldCharType="separate"/>
      </w:r>
      <w:r>
        <w:rPr>
          <w:szCs w:val="21"/>
        </w:rPr>
        <w:t>2.　初步探索的意义和经验教训</w:t>
      </w:r>
    </w:p>
    <w:p>
      <w:pPr>
        <w:adjustRightInd w:val="0"/>
        <w:snapToGrid w:val="0"/>
        <w:spacing w:line="360" w:lineRule="auto"/>
        <w:ind w:left="420" w:leftChars="200"/>
        <w:rPr>
          <w:szCs w:val="21"/>
        </w:rPr>
      </w:pPr>
      <w:r>
        <w:rPr>
          <w:szCs w:val="21"/>
        </w:rPr>
        <w:t>本章节内容支撑课程目标 1</w:t>
      </w:r>
    </w:p>
    <w:p>
      <w:pPr>
        <w:adjustRightInd w:val="0"/>
        <w:snapToGrid w:val="0"/>
        <w:spacing w:line="360" w:lineRule="auto"/>
        <w:rPr>
          <w:rFonts w:eastAsia="黑体"/>
          <w:szCs w:val="21"/>
        </w:rPr>
      </w:pPr>
      <w:r>
        <w:rPr>
          <w:szCs w:val="21"/>
        </w:rPr>
        <w:fldChar w:fldCharType="end"/>
      </w:r>
      <w:r>
        <w:rPr>
          <w:szCs w:val="21"/>
        </w:rPr>
        <w:t xml:space="preserve">    </w:t>
      </w:r>
      <w:r>
        <w:fldChar w:fldCharType="begin"/>
      </w:r>
      <w:r>
        <w:instrText xml:space="preserve"> HYPERLINK \l "_Toc507796041" </w:instrText>
      </w:r>
      <w:r>
        <w:fldChar w:fldCharType="separate"/>
      </w:r>
      <w:r>
        <w:rPr>
          <w:rFonts w:eastAsia="黑体"/>
          <w:szCs w:val="21"/>
        </w:rPr>
        <w:t>第五章　邓小平理论</w:t>
      </w:r>
      <w:r>
        <w:rPr>
          <w:rFonts w:eastAsia="黑体"/>
          <w:szCs w:val="21"/>
        </w:rPr>
        <w:fldChar w:fldCharType="end"/>
      </w:r>
      <w:r>
        <w:rPr>
          <w:rFonts w:eastAsia="黑体"/>
          <w:szCs w:val="21"/>
        </w:rPr>
        <w:t>（6学时）</w:t>
      </w:r>
    </w:p>
    <w:p>
      <w:pPr>
        <w:adjustRightInd w:val="0"/>
        <w:snapToGrid w:val="0"/>
        <w:spacing w:line="360" w:lineRule="auto"/>
        <w:ind w:firstLine="420" w:firstLineChars="200"/>
        <w:rPr>
          <w:szCs w:val="21"/>
        </w:rPr>
      </w:pPr>
      <w:r>
        <w:fldChar w:fldCharType="begin"/>
      </w:r>
      <w:r>
        <w:instrText xml:space="preserve"> HYPERLINK \l "_Toc507796042" </w:instrText>
      </w:r>
      <w:r>
        <w:fldChar w:fldCharType="separate"/>
      </w:r>
      <w:r>
        <w:rPr>
          <w:szCs w:val="21"/>
        </w:rPr>
        <w:t>1.　邓小平理论的形成</w:t>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"_Toc507796045" </w:instrText>
      </w:r>
      <w:r>
        <w:fldChar w:fldCharType="separate"/>
      </w:r>
      <w:r>
        <w:rPr>
          <w:szCs w:val="21"/>
        </w:rPr>
        <w:t>2.　邓小平理论的基本问题和主要内容</w:t>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"_Toc507796048" </w:instrText>
      </w:r>
      <w:r>
        <w:fldChar w:fldCharType="separate"/>
      </w:r>
      <w:r>
        <w:rPr>
          <w:szCs w:val="21"/>
        </w:rPr>
        <w:t>3.　邓小平理论的历史地位</w:t>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firstLine="420" w:firstLineChars="200"/>
        <w:rPr>
          <w:szCs w:val="21"/>
        </w:rPr>
      </w:pPr>
      <w:r>
        <w:fldChar w:fldCharType="begin"/>
      </w:r>
      <w:r>
        <w:instrText xml:space="preserve"> HYPERLINK \l "_Toc507796052" </w:instrText>
      </w:r>
      <w:r>
        <w:fldChar w:fldCharType="separate"/>
      </w:r>
      <w:r>
        <w:rPr>
          <w:rFonts w:eastAsia="黑体"/>
          <w:szCs w:val="21"/>
        </w:rPr>
        <w:t>第六章  “三个代表”重要思想（4学时）</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"_Toc507796053" </w:instrText>
      </w:r>
      <w:r>
        <w:fldChar w:fldCharType="separate"/>
      </w:r>
      <w:r>
        <w:rPr>
          <w:szCs w:val="21"/>
        </w:rPr>
        <w:t>1.  “三个代表”重要思想的形成</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"_Toc507796056" </w:instrText>
      </w:r>
      <w:r>
        <w:fldChar w:fldCharType="separate"/>
      </w:r>
      <w:r>
        <w:rPr>
          <w:szCs w:val="21"/>
        </w:rPr>
        <w:t>2.  “三个代表”重要思想的核心观点和主要内容</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"_Toc507796059" </w:instrText>
      </w:r>
      <w:r>
        <w:fldChar w:fldCharType="separate"/>
      </w:r>
      <w:r>
        <w:rPr>
          <w:szCs w:val="21"/>
        </w:rPr>
        <w:t>3.  “三个代表”重要思想的历史地位</w:t>
      </w:r>
      <w:r>
        <w:rPr>
          <w:szCs w:val="21"/>
        </w:rPr>
        <w:tab/>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firstLine="420" w:firstLineChars="200"/>
        <w:rPr>
          <w:szCs w:val="21"/>
        </w:rPr>
      </w:pPr>
      <w:r>
        <w:fldChar w:fldCharType="begin"/>
      </w:r>
      <w:r>
        <w:instrText xml:space="preserve"> HYPERLINK \l "_Toc507796062" </w:instrText>
      </w:r>
      <w:r>
        <w:fldChar w:fldCharType="separate"/>
      </w:r>
      <w:r>
        <w:rPr>
          <w:rFonts w:eastAsia="黑体"/>
          <w:szCs w:val="21"/>
        </w:rPr>
        <w:t>第七章　科学发展观</w:t>
      </w:r>
      <w:r>
        <w:rPr>
          <w:szCs w:val="21"/>
        </w:rPr>
        <w:tab/>
      </w:r>
      <w:r>
        <w:rPr>
          <w:szCs w:val="21"/>
        </w:rPr>
        <w:fldChar w:fldCharType="end"/>
      </w:r>
      <w:r>
        <w:rPr>
          <w:rFonts w:eastAsia="黑体"/>
          <w:szCs w:val="21"/>
        </w:rPr>
        <w:t>（4学时）</w:t>
      </w:r>
    </w:p>
    <w:p>
      <w:pPr>
        <w:adjustRightInd w:val="0"/>
        <w:snapToGrid w:val="0"/>
        <w:spacing w:line="360" w:lineRule="auto"/>
        <w:ind w:firstLine="420" w:firstLineChars="200"/>
        <w:rPr>
          <w:szCs w:val="21"/>
        </w:rPr>
      </w:pPr>
      <w:r>
        <w:fldChar w:fldCharType="begin"/>
      </w:r>
      <w:r>
        <w:instrText xml:space="preserve"> HYPERLINK \l "_Toc507796063" </w:instrText>
      </w:r>
      <w:r>
        <w:fldChar w:fldCharType="separate"/>
      </w:r>
      <w:r>
        <w:rPr>
          <w:szCs w:val="21"/>
        </w:rPr>
        <w:t>1.　科学发展观的形成</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"_Toc507796066" </w:instrText>
      </w:r>
      <w:r>
        <w:fldChar w:fldCharType="separate"/>
      </w:r>
      <w:r>
        <w:rPr>
          <w:szCs w:val="21"/>
        </w:rPr>
        <w:t>2.　科学发展观的科学内涵和主要内容</w:t>
      </w:r>
      <w:r>
        <w:rPr>
          <w:szCs w:val="21"/>
        </w:rPr>
        <w:tab/>
      </w:r>
      <w:r>
        <w:rPr>
          <w:szCs w:val="21"/>
        </w:rPr>
        <w:fldChar w:fldCharType="end"/>
      </w:r>
    </w:p>
    <w:p>
      <w:pPr>
        <w:adjustRightInd w:val="0"/>
        <w:snapToGrid w:val="0"/>
        <w:spacing w:line="360" w:lineRule="auto"/>
        <w:ind w:firstLine="420" w:firstLineChars="200"/>
        <w:rPr>
          <w:szCs w:val="21"/>
        </w:rPr>
      </w:pPr>
      <w:r>
        <w:rPr>
          <w:szCs w:val="21"/>
        </w:rPr>
        <w:fldChar w:fldCharType="begin"/>
      </w:r>
      <w:r>
        <w:rPr>
          <w:szCs w:val="21"/>
        </w:rPr>
        <w:instrText xml:space="preserve"> HYPERLINK \l "_Toc507796069" </w:instrText>
      </w:r>
      <w:r>
        <w:rPr>
          <w:szCs w:val="21"/>
        </w:rPr>
        <w:fldChar w:fldCharType="separate"/>
      </w:r>
      <w:r>
        <w:rPr>
          <w:szCs w:val="21"/>
        </w:rPr>
        <w:t>3.　科学发展观的历史地位</w:t>
      </w:r>
    </w:p>
    <w:p>
      <w:pPr>
        <w:adjustRightInd w:val="0"/>
        <w:snapToGrid w:val="0"/>
        <w:spacing w:line="360" w:lineRule="auto"/>
        <w:ind w:firstLine="420" w:firstLineChars="200"/>
        <w:rPr>
          <w:szCs w:val="21"/>
        </w:rPr>
      </w:pPr>
      <w:r>
        <w:rPr>
          <w:szCs w:val="21"/>
        </w:rPr>
        <w:t>本章节内容支撑课程目标 2</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"_Toc507796073" </w:instrText>
      </w:r>
      <w:r>
        <w:fldChar w:fldCharType="separate"/>
      </w:r>
      <w:r>
        <w:rPr>
          <w:rFonts w:eastAsia="黑体"/>
          <w:szCs w:val="21"/>
        </w:rPr>
        <w:t>第八章　习近平新时代中国特色社会主义思想及其历史地位（4学时）</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"_Toc507796074" </w:instrText>
      </w:r>
      <w:r>
        <w:fldChar w:fldCharType="separate"/>
      </w:r>
      <w:r>
        <w:rPr>
          <w:szCs w:val="21"/>
        </w:rPr>
        <w:t>1.　中国特色社会主义进入新时代</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"_Toc507796078" </w:instrText>
      </w:r>
      <w:r>
        <w:fldChar w:fldCharType="separate"/>
      </w:r>
      <w:r>
        <w:rPr>
          <w:szCs w:val="21"/>
        </w:rPr>
        <w:t>2.　习近平新时代中国特色社会主义思想的主要内容</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"_Toc507796081" </w:instrText>
      </w:r>
      <w:r>
        <w:fldChar w:fldCharType="separate"/>
      </w:r>
      <w:r>
        <w:rPr>
          <w:szCs w:val="21"/>
        </w:rPr>
        <w:t>3.  习近平新时代中国特色社会主义思想的历史地位</w:t>
      </w:r>
      <w:r>
        <w:rPr>
          <w:szCs w:val="21"/>
        </w:rPr>
        <w:tab/>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firstLine="420" w:firstLineChars="200"/>
        <w:rPr>
          <w:szCs w:val="21"/>
        </w:rPr>
      </w:pPr>
      <w:r>
        <w:fldChar w:fldCharType="begin"/>
      </w:r>
      <w:r>
        <w:instrText xml:space="preserve"> HYPERLINK \l "_Toc507796085" </w:instrText>
      </w:r>
      <w:r>
        <w:fldChar w:fldCharType="separate"/>
      </w:r>
      <w:r>
        <w:rPr>
          <w:rFonts w:eastAsia="黑体"/>
          <w:szCs w:val="21"/>
        </w:rPr>
        <w:t>第九章　坚持和发展中国特色社会主义的总任务（4学时）</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"_Toc507796086" </w:instrText>
      </w:r>
      <w:r>
        <w:fldChar w:fldCharType="separate"/>
      </w:r>
      <w:r>
        <w:rPr>
          <w:szCs w:val="21"/>
        </w:rPr>
        <w:t>1.　实现中华民族伟大复兴的中国梦</w:t>
      </w:r>
      <w:r>
        <w:rPr>
          <w:szCs w:val="21"/>
        </w:rPr>
        <w:tab/>
      </w:r>
      <w:r>
        <w:rPr>
          <w:szCs w:val="21"/>
        </w:rPr>
        <w:fldChar w:fldCharType="end"/>
      </w:r>
    </w:p>
    <w:p>
      <w:pPr>
        <w:adjustRightInd w:val="0"/>
        <w:snapToGrid w:val="0"/>
        <w:spacing w:line="360" w:lineRule="auto"/>
        <w:ind w:firstLine="420" w:firstLineChars="200"/>
        <w:rPr>
          <w:szCs w:val="21"/>
        </w:rPr>
      </w:pPr>
      <w:r>
        <w:rPr>
          <w:szCs w:val="21"/>
        </w:rPr>
        <w:fldChar w:fldCharType="begin"/>
      </w:r>
      <w:r>
        <w:rPr>
          <w:szCs w:val="21"/>
        </w:rPr>
        <w:instrText xml:space="preserve"> HYPERLINK \l "_Toc507796090" </w:instrText>
      </w:r>
      <w:r>
        <w:rPr>
          <w:szCs w:val="21"/>
        </w:rPr>
        <w:fldChar w:fldCharType="separate"/>
      </w:r>
      <w:r>
        <w:rPr>
          <w:szCs w:val="21"/>
        </w:rPr>
        <w:t>2.　建成社会主义现代化强国的战略安排</w:t>
      </w:r>
    </w:p>
    <w:p>
      <w:pPr>
        <w:adjustRightInd w:val="0"/>
        <w:snapToGrid w:val="0"/>
        <w:spacing w:line="360" w:lineRule="auto"/>
        <w:ind w:firstLine="420" w:firstLineChars="200"/>
        <w:rPr>
          <w:szCs w:val="21"/>
        </w:rPr>
      </w:pPr>
      <w:r>
        <w:rPr>
          <w:szCs w:val="21"/>
        </w:rPr>
        <w:t>本章节内容支撑课程目标 2</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"_Toc507796093" </w:instrText>
      </w:r>
      <w:r>
        <w:fldChar w:fldCharType="separate"/>
      </w:r>
      <w:r>
        <w:rPr>
          <w:rFonts w:eastAsia="黑体"/>
          <w:szCs w:val="21"/>
        </w:rPr>
        <w:t>第十章 “五位一体”总体布局</w:t>
      </w:r>
      <w:r>
        <w:rPr>
          <w:szCs w:val="21"/>
        </w:rPr>
        <w:tab/>
      </w:r>
      <w:r>
        <w:rPr>
          <w:szCs w:val="21"/>
        </w:rPr>
        <w:fldChar w:fldCharType="end"/>
      </w:r>
      <w:r>
        <w:rPr>
          <w:rFonts w:eastAsia="黑体"/>
          <w:szCs w:val="21"/>
        </w:rPr>
        <w:t>（8学时）</w:t>
      </w:r>
    </w:p>
    <w:p>
      <w:pPr>
        <w:adjustRightInd w:val="0"/>
        <w:snapToGrid w:val="0"/>
        <w:spacing w:line="360" w:lineRule="auto"/>
        <w:ind w:firstLine="420" w:firstLineChars="200"/>
        <w:rPr>
          <w:szCs w:val="21"/>
        </w:rPr>
      </w:pPr>
      <w:r>
        <w:fldChar w:fldCharType="begin"/>
      </w:r>
      <w:r>
        <w:instrText xml:space="preserve"> HYPERLINK \l "_Toc507796094" </w:instrText>
      </w:r>
      <w:r>
        <w:fldChar w:fldCharType="separate"/>
      </w:r>
      <w:r>
        <w:rPr>
          <w:szCs w:val="21"/>
        </w:rPr>
        <w:t>1.　建设现代化经济体系</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"_Toc507796098" </w:instrText>
      </w:r>
      <w:r>
        <w:fldChar w:fldCharType="separate"/>
      </w:r>
      <w:r>
        <w:rPr>
          <w:szCs w:val="21"/>
        </w:rPr>
        <w:t>2.　发展社会主义民主政治</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"_Toc507796103" </w:instrText>
      </w:r>
      <w:r>
        <w:fldChar w:fldCharType="separate"/>
      </w:r>
      <w:r>
        <w:rPr>
          <w:szCs w:val="21"/>
        </w:rPr>
        <w:t>3　推动社会主义文化繁荣兴盛</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"_Toc507796107" </w:instrText>
      </w:r>
      <w:r>
        <w:fldChar w:fldCharType="separate"/>
      </w:r>
      <w:r>
        <w:rPr>
          <w:szCs w:val="21"/>
        </w:rPr>
        <w:t>4.　坚持在发展中保障和改善民生</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"_Toc507796111" </w:instrText>
      </w:r>
      <w:r>
        <w:fldChar w:fldCharType="separate"/>
      </w:r>
      <w:r>
        <w:rPr>
          <w:szCs w:val="21"/>
        </w:rPr>
        <w:t>5.　建设美丽中国</w:t>
      </w:r>
      <w:r>
        <w:rPr>
          <w:szCs w:val="21"/>
        </w:rPr>
        <w:tab/>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firstLine="420" w:firstLineChars="200"/>
        <w:rPr>
          <w:szCs w:val="21"/>
        </w:rPr>
      </w:pPr>
      <w:r>
        <w:fldChar w:fldCharType="begin"/>
      </w:r>
      <w:r>
        <w:instrText xml:space="preserve"> HYPERLINK \l "_Toc507796115" </w:instrText>
      </w:r>
      <w:r>
        <w:fldChar w:fldCharType="separate"/>
      </w:r>
      <w:r>
        <w:rPr>
          <w:rFonts w:eastAsia="黑体"/>
          <w:szCs w:val="21"/>
        </w:rPr>
        <w:t>第十一章 “四个全面”战略布局</w:t>
      </w:r>
      <w:r>
        <w:rPr>
          <w:szCs w:val="21"/>
        </w:rPr>
        <w:tab/>
      </w:r>
      <w:r>
        <w:rPr>
          <w:szCs w:val="21"/>
        </w:rPr>
        <w:fldChar w:fldCharType="end"/>
      </w:r>
      <w:r>
        <w:rPr>
          <w:rFonts w:eastAsia="黑体"/>
          <w:szCs w:val="21"/>
        </w:rPr>
        <w:t>（6学时）</w:t>
      </w:r>
    </w:p>
    <w:p>
      <w:pPr>
        <w:adjustRightInd w:val="0"/>
        <w:snapToGrid w:val="0"/>
        <w:spacing w:line="360" w:lineRule="auto"/>
        <w:ind w:firstLine="420" w:firstLineChars="200"/>
        <w:rPr>
          <w:szCs w:val="21"/>
        </w:rPr>
      </w:pPr>
      <w:r>
        <w:fldChar w:fldCharType="begin"/>
      </w:r>
      <w:r>
        <w:instrText xml:space="preserve"> HYPERLINK \l "_Toc507796116" </w:instrText>
      </w:r>
      <w:r>
        <w:fldChar w:fldCharType="separate"/>
      </w:r>
      <w:r>
        <w:rPr>
          <w:szCs w:val="21"/>
        </w:rPr>
        <w:t>1.  全面建成小康社会</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"_Toc507796120" </w:instrText>
      </w:r>
      <w:r>
        <w:fldChar w:fldCharType="separate"/>
      </w:r>
      <w:r>
        <w:rPr>
          <w:szCs w:val="21"/>
        </w:rPr>
        <w:t>2.　全面深化改革</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"_Toc507796124" </w:instrText>
      </w:r>
      <w:r>
        <w:fldChar w:fldCharType="separate"/>
      </w:r>
      <w:r>
        <w:rPr>
          <w:szCs w:val="21"/>
        </w:rPr>
        <w:t>3.  全面依法治国</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"_Toc507796128" </w:instrText>
      </w:r>
      <w:r>
        <w:fldChar w:fldCharType="separate"/>
      </w:r>
      <w:r>
        <w:rPr>
          <w:szCs w:val="21"/>
        </w:rPr>
        <w:t>4.</w:t>
      </w:r>
      <w:r>
        <w:rPr>
          <w:szCs w:val="21"/>
          <w:lang w:val="zh-TW"/>
        </w:rPr>
        <w:t>　全面从严治党</w:t>
      </w:r>
      <w:r>
        <w:rPr>
          <w:szCs w:val="21"/>
        </w:rPr>
        <w:tab/>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firstLine="420" w:firstLineChars="200"/>
        <w:rPr>
          <w:szCs w:val="21"/>
        </w:rPr>
      </w:pPr>
      <w:r>
        <w:fldChar w:fldCharType="begin"/>
      </w:r>
      <w:r>
        <w:instrText xml:space="preserve"> HYPERLINK \l "_Toc507796132" </w:instrText>
      </w:r>
      <w:r>
        <w:fldChar w:fldCharType="separate"/>
      </w:r>
      <w:r>
        <w:rPr>
          <w:rFonts w:eastAsia="黑体"/>
          <w:szCs w:val="21"/>
        </w:rPr>
        <w:t>第十二章　全面推进国防和军队现代化</w:t>
      </w:r>
      <w:r>
        <w:rPr>
          <w:szCs w:val="21"/>
        </w:rPr>
        <w:tab/>
      </w:r>
      <w:r>
        <w:rPr>
          <w:szCs w:val="21"/>
        </w:rPr>
        <w:fldChar w:fldCharType="end"/>
      </w:r>
      <w:r>
        <w:rPr>
          <w:rFonts w:eastAsia="黑体"/>
          <w:szCs w:val="21"/>
        </w:rPr>
        <w:t>（6学时）</w:t>
      </w:r>
    </w:p>
    <w:p>
      <w:pPr>
        <w:adjustRightInd w:val="0"/>
        <w:snapToGrid w:val="0"/>
        <w:spacing w:line="360" w:lineRule="auto"/>
        <w:ind w:firstLine="420" w:firstLineChars="200"/>
        <w:rPr>
          <w:szCs w:val="21"/>
        </w:rPr>
      </w:pPr>
      <w:r>
        <w:fldChar w:fldCharType="begin"/>
      </w:r>
      <w:r>
        <w:instrText xml:space="preserve"> HYPERLINK \l "_Toc507796133" </w:instrText>
      </w:r>
      <w:r>
        <w:fldChar w:fldCharType="separate"/>
      </w:r>
      <w:r>
        <w:rPr>
          <w:szCs w:val="21"/>
        </w:rPr>
        <w:t>1.　坚持走中国特色强军之路</w:t>
      </w:r>
      <w:r>
        <w:rPr>
          <w:szCs w:val="21"/>
        </w:rPr>
        <w:tab/>
      </w:r>
      <w:r>
        <w:rPr>
          <w:szCs w:val="21"/>
        </w:rPr>
        <w:fldChar w:fldCharType="end"/>
      </w:r>
    </w:p>
    <w:p>
      <w:pPr>
        <w:adjustRightInd w:val="0"/>
        <w:snapToGrid w:val="0"/>
        <w:spacing w:line="360" w:lineRule="auto"/>
        <w:ind w:firstLine="420" w:firstLineChars="200"/>
        <w:rPr>
          <w:szCs w:val="21"/>
        </w:rPr>
      </w:pPr>
      <w:r>
        <w:rPr>
          <w:szCs w:val="21"/>
        </w:rPr>
        <w:fldChar w:fldCharType="begin"/>
      </w:r>
      <w:r>
        <w:rPr>
          <w:szCs w:val="21"/>
        </w:rPr>
        <w:instrText xml:space="preserve"> HYPERLINK \l "_Toc507796137" </w:instrText>
      </w:r>
      <w:r>
        <w:rPr>
          <w:szCs w:val="21"/>
        </w:rPr>
        <w:fldChar w:fldCharType="separate"/>
      </w:r>
      <w:r>
        <w:rPr>
          <w:szCs w:val="21"/>
        </w:rPr>
        <w:t>2.　推动军民融合深度发展</w:t>
      </w:r>
    </w:p>
    <w:p>
      <w:pPr>
        <w:adjustRightInd w:val="0"/>
        <w:snapToGrid w:val="0"/>
        <w:spacing w:line="360" w:lineRule="auto"/>
        <w:ind w:firstLine="420" w:firstLineChars="200"/>
        <w:rPr>
          <w:szCs w:val="21"/>
        </w:rPr>
      </w:pPr>
      <w:r>
        <w:rPr>
          <w:szCs w:val="21"/>
        </w:rPr>
        <w:t>本章节内容支撑课程目标 2</w:t>
      </w:r>
      <w:r>
        <w:rPr>
          <w:szCs w:val="21"/>
        </w:rPr>
        <w:tab/>
      </w:r>
      <w:r>
        <w:rPr>
          <w:szCs w:val="21"/>
        </w:rPr>
        <w:fldChar w:fldCharType="end"/>
      </w:r>
    </w:p>
    <w:p>
      <w:pPr>
        <w:adjustRightInd w:val="0"/>
        <w:snapToGrid w:val="0"/>
        <w:spacing w:line="360" w:lineRule="auto"/>
        <w:ind w:firstLine="420" w:firstLineChars="200"/>
        <w:rPr>
          <w:rFonts w:eastAsia="黑体"/>
          <w:szCs w:val="21"/>
        </w:rPr>
      </w:pPr>
      <w:r>
        <w:fldChar w:fldCharType="begin"/>
      </w:r>
      <w:r>
        <w:instrText xml:space="preserve"> HYPERLINK \l "_Toc507796140" </w:instrText>
      </w:r>
      <w:r>
        <w:fldChar w:fldCharType="separate"/>
      </w:r>
      <w:r>
        <w:rPr>
          <w:rFonts w:eastAsia="黑体"/>
          <w:szCs w:val="21"/>
          <w:lang w:val="zh-TW"/>
        </w:rPr>
        <w:t>第十三章  中国特色大国外交</w:t>
      </w:r>
      <w:r>
        <w:rPr>
          <w:rFonts w:eastAsia="黑体"/>
          <w:szCs w:val="21"/>
        </w:rPr>
        <w:tab/>
      </w:r>
      <w:r>
        <w:rPr>
          <w:rFonts w:eastAsia="黑体"/>
          <w:szCs w:val="21"/>
        </w:rPr>
        <w:fldChar w:fldCharType="end"/>
      </w:r>
      <w:r>
        <w:rPr>
          <w:rFonts w:eastAsia="黑体"/>
          <w:szCs w:val="21"/>
        </w:rPr>
        <w:t>（4学时）</w:t>
      </w:r>
    </w:p>
    <w:p>
      <w:pPr>
        <w:adjustRightInd w:val="0"/>
        <w:snapToGrid w:val="0"/>
        <w:spacing w:line="360" w:lineRule="auto"/>
        <w:ind w:firstLine="420" w:firstLineChars="200"/>
        <w:rPr>
          <w:szCs w:val="21"/>
        </w:rPr>
      </w:pPr>
      <w:r>
        <w:fldChar w:fldCharType="begin"/>
      </w:r>
      <w:r>
        <w:instrText xml:space="preserve"> HYPERLINK \l "_Toc507796141" </w:instrText>
      </w:r>
      <w:r>
        <w:fldChar w:fldCharType="separate"/>
      </w:r>
      <w:r>
        <w:rPr>
          <w:szCs w:val="21"/>
        </w:rPr>
        <w:t>1.</w:t>
      </w:r>
      <w:r>
        <w:rPr>
          <w:szCs w:val="21"/>
          <w:lang w:val="zh-TW"/>
        </w:rPr>
        <w:t xml:space="preserve">  坚持和平发展道路</w:t>
      </w:r>
      <w:r>
        <w:rPr>
          <w:szCs w:val="21"/>
        </w:rPr>
        <w:tab/>
      </w:r>
      <w:r>
        <w:rPr>
          <w:szCs w:val="21"/>
        </w:rPr>
        <w:fldChar w:fldCharType="end"/>
      </w:r>
    </w:p>
    <w:p>
      <w:pPr>
        <w:adjustRightInd w:val="0"/>
        <w:snapToGrid w:val="0"/>
        <w:spacing w:line="360" w:lineRule="auto"/>
        <w:ind w:firstLine="420" w:firstLineChars="200"/>
        <w:rPr>
          <w:szCs w:val="21"/>
          <w:lang w:val="zh-TW"/>
        </w:rPr>
      </w:pPr>
      <w:r>
        <w:rPr>
          <w:szCs w:val="21"/>
        </w:rPr>
        <w:fldChar w:fldCharType="begin"/>
      </w:r>
      <w:r>
        <w:rPr>
          <w:szCs w:val="21"/>
        </w:rPr>
        <w:instrText xml:space="preserve"> HYPERLINK \l "_Toc507796145" </w:instrText>
      </w:r>
      <w:r>
        <w:rPr>
          <w:szCs w:val="21"/>
        </w:rPr>
        <w:fldChar w:fldCharType="separate"/>
      </w:r>
      <w:r>
        <w:rPr>
          <w:szCs w:val="21"/>
        </w:rPr>
        <w:t>2.</w:t>
      </w:r>
      <w:r>
        <w:rPr>
          <w:szCs w:val="21"/>
          <w:lang w:val="zh-TW"/>
        </w:rPr>
        <w:t xml:space="preserve">  推动构建人类命运共同体</w:t>
      </w:r>
    </w:p>
    <w:p>
      <w:pPr>
        <w:adjustRightInd w:val="0"/>
        <w:snapToGrid w:val="0"/>
        <w:spacing w:line="360" w:lineRule="auto"/>
        <w:ind w:firstLine="420" w:firstLineChars="200"/>
        <w:rPr>
          <w:szCs w:val="21"/>
        </w:rPr>
      </w:pPr>
      <w:r>
        <w:rPr>
          <w:szCs w:val="21"/>
        </w:rPr>
        <w:t>本章节内容支撑课程目标 2</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"_Toc507796149" </w:instrText>
      </w:r>
      <w:r>
        <w:fldChar w:fldCharType="separate"/>
      </w:r>
      <w:r>
        <w:rPr>
          <w:rFonts w:eastAsia="黑体"/>
          <w:szCs w:val="21"/>
        </w:rPr>
        <w:t>第十四章　坚持和加强党的领导（2学时）</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"_Toc507796150" </w:instrText>
      </w:r>
      <w:r>
        <w:fldChar w:fldCharType="separate"/>
      </w:r>
      <w:r>
        <w:rPr>
          <w:szCs w:val="21"/>
        </w:rPr>
        <w:t>1.</w:t>
      </w:r>
      <w:r>
        <w:rPr>
          <w:szCs w:val="21"/>
          <w:lang w:val="zh-TW"/>
        </w:rPr>
        <w:t>　实现中华民族伟大复兴关键在党</w:t>
      </w:r>
      <w:r>
        <w:rPr>
          <w:szCs w:val="21"/>
        </w:rPr>
        <w:tab/>
      </w:r>
      <w:r>
        <w:rPr>
          <w:szCs w:val="21"/>
        </w:rPr>
        <w:fldChar w:fldCharType="end"/>
      </w:r>
    </w:p>
    <w:p>
      <w:pPr>
        <w:adjustRightInd w:val="0"/>
        <w:snapToGrid w:val="0"/>
        <w:spacing w:line="360" w:lineRule="auto"/>
        <w:ind w:firstLine="420" w:firstLineChars="200"/>
        <w:rPr>
          <w:szCs w:val="21"/>
        </w:rPr>
      </w:pPr>
      <w:r>
        <w:fldChar w:fldCharType="begin"/>
      </w:r>
      <w:r>
        <w:instrText xml:space="preserve"> HYPERLINK \l "_Toc507796154" </w:instrText>
      </w:r>
      <w:r>
        <w:fldChar w:fldCharType="separate"/>
      </w:r>
      <w:r>
        <w:rPr>
          <w:szCs w:val="21"/>
        </w:rPr>
        <w:t>2.</w:t>
      </w:r>
      <w:r>
        <w:rPr>
          <w:szCs w:val="21"/>
          <w:lang w:val="zh-TW"/>
        </w:rPr>
        <w:t>　坚持党对一切工作的领导</w:t>
      </w:r>
      <w:r>
        <w:rPr>
          <w:szCs w:val="21"/>
        </w:rPr>
        <w:tab/>
      </w:r>
      <w:r>
        <w:rPr>
          <w:szCs w:val="21"/>
        </w:rPr>
        <w:fldChar w:fldCharType="end"/>
      </w:r>
    </w:p>
    <w:p>
      <w:pPr>
        <w:adjustRightInd w:val="0"/>
        <w:snapToGrid w:val="0"/>
        <w:spacing w:line="360" w:lineRule="auto"/>
        <w:ind w:firstLine="420" w:firstLineChars="200"/>
        <w:rPr>
          <w:szCs w:val="21"/>
        </w:rPr>
      </w:pPr>
      <w:r>
        <w:rPr>
          <w:szCs w:val="21"/>
        </w:rPr>
        <w:t>本章节内容支撑课程目标 2</w:t>
      </w:r>
    </w:p>
    <w:p>
      <w:pPr>
        <w:adjustRightInd w:val="0"/>
        <w:snapToGrid w:val="0"/>
        <w:spacing w:line="360" w:lineRule="auto"/>
        <w:ind w:left="210" w:leftChars="100" w:firstLine="420" w:firstLineChars="200"/>
        <w:rPr>
          <w:szCs w:val="21"/>
        </w:rPr>
      </w:pPr>
    </w:p>
    <w:p>
      <w:pPr>
        <w:tabs>
          <w:tab w:val="left" w:pos="420"/>
        </w:tabs>
        <w:snapToGrid w:val="0"/>
        <w:spacing w:line="360" w:lineRule="auto"/>
        <w:rPr>
          <w:rFonts w:eastAsia="黑体"/>
          <w:szCs w:val="21"/>
        </w:rPr>
      </w:pPr>
      <w:r>
        <w:rPr>
          <w:rFonts w:eastAsia="黑体"/>
          <w:szCs w:val="21"/>
        </w:rPr>
        <w:t>四、实验教学内容</w:t>
      </w:r>
    </w:p>
    <w:p>
      <w:pPr>
        <w:snapToGrid w:val="0"/>
        <w:spacing w:line="360" w:lineRule="auto"/>
        <w:ind w:firstLine="424"/>
        <w:rPr>
          <w:kern w:val="0"/>
          <w:szCs w:val="21"/>
        </w:rPr>
      </w:pPr>
      <w:r>
        <w:rPr>
          <w:kern w:val="0"/>
          <w:szCs w:val="21"/>
        </w:rPr>
        <w:t>无。</w:t>
      </w:r>
    </w:p>
    <w:p>
      <w:pPr>
        <w:snapToGrid w:val="0"/>
        <w:spacing w:line="360" w:lineRule="auto"/>
        <w:rPr>
          <w:rFonts w:eastAsia="黑体"/>
          <w:szCs w:val="21"/>
        </w:rPr>
      </w:pPr>
      <w:r>
        <w:rPr>
          <w:rFonts w:eastAsia="黑体"/>
          <w:szCs w:val="21"/>
        </w:rPr>
        <w:t>五、学时分配</w:t>
      </w:r>
    </w:p>
    <w:tbl>
      <w:tblPr>
        <w:tblStyle w:val="2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6"/>
        <w:gridCol w:w="1260"/>
        <w:gridCol w:w="1125"/>
        <w:gridCol w:w="11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026" w:type="dxa"/>
            <w:tcBorders>
              <w:tl2br w:val="nil"/>
              <w:tr2bl w:val="nil"/>
            </w:tcBorders>
            <w:vAlign w:val="center"/>
          </w:tcPr>
          <w:p>
            <w:pPr>
              <w:adjustRightInd w:val="0"/>
              <w:snapToGrid w:val="0"/>
              <w:jc w:val="center"/>
              <w:rPr>
                <w:sz w:val="18"/>
                <w:szCs w:val="18"/>
              </w:rPr>
            </w:pPr>
            <w:r>
              <w:rPr>
                <w:sz w:val="18"/>
                <w:szCs w:val="18"/>
              </w:rPr>
              <w:t>章节名称</w:t>
            </w:r>
          </w:p>
        </w:tc>
        <w:tc>
          <w:tcPr>
            <w:tcW w:w="1260" w:type="dxa"/>
            <w:tcBorders>
              <w:tl2br w:val="nil"/>
              <w:tr2bl w:val="nil"/>
            </w:tcBorders>
            <w:vAlign w:val="center"/>
          </w:tcPr>
          <w:p>
            <w:pPr>
              <w:adjustRightInd w:val="0"/>
              <w:snapToGrid w:val="0"/>
              <w:jc w:val="center"/>
              <w:rPr>
                <w:sz w:val="18"/>
                <w:szCs w:val="18"/>
              </w:rPr>
            </w:pPr>
            <w:r>
              <w:rPr>
                <w:sz w:val="18"/>
                <w:szCs w:val="18"/>
              </w:rPr>
              <w:t>讲授（学时）</w:t>
            </w:r>
          </w:p>
        </w:tc>
        <w:tc>
          <w:tcPr>
            <w:tcW w:w="1125" w:type="dxa"/>
            <w:tcBorders>
              <w:tl2br w:val="nil"/>
              <w:tr2bl w:val="nil"/>
            </w:tcBorders>
            <w:vAlign w:val="center"/>
          </w:tcPr>
          <w:p>
            <w:pPr>
              <w:adjustRightInd w:val="0"/>
              <w:snapToGrid w:val="0"/>
              <w:jc w:val="center"/>
              <w:rPr>
                <w:sz w:val="18"/>
                <w:szCs w:val="18"/>
              </w:rPr>
            </w:pPr>
            <w:r>
              <w:rPr>
                <w:sz w:val="18"/>
                <w:szCs w:val="18"/>
              </w:rPr>
              <w:t>实验（学时）</w:t>
            </w:r>
          </w:p>
        </w:tc>
        <w:tc>
          <w:tcPr>
            <w:tcW w:w="1111" w:type="dxa"/>
            <w:tcBorders>
              <w:tl2br w:val="nil"/>
              <w:tr2bl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第一章  毛泽东思想及其历史地位</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第二章  新民主主义革命理论</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第三章  社会主义改造理论</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第四章  社会主义建设道路初步探索的理论成果</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 xml:space="preserve">第五章 </w:t>
            </w:r>
            <w:r>
              <w:fldChar w:fldCharType="begin"/>
            </w:r>
            <w:r>
              <w:instrText xml:space="preserve"> HYPERLINK \l "_Toc507796041" </w:instrText>
            </w:r>
            <w:r>
              <w:fldChar w:fldCharType="separate"/>
            </w:r>
            <w:r>
              <w:rPr>
                <w:bCs/>
                <w:sz w:val="18"/>
                <w:szCs w:val="18"/>
              </w:rPr>
              <w:t xml:space="preserve"> 邓小平理论</w:t>
            </w:r>
            <w:r>
              <w:rPr>
                <w:bCs/>
                <w:sz w:val="18"/>
                <w:szCs w:val="18"/>
              </w:rPr>
              <w:fldChar w:fldCharType="end"/>
            </w:r>
          </w:p>
        </w:tc>
        <w:tc>
          <w:tcPr>
            <w:tcW w:w="1260" w:type="dxa"/>
            <w:tcBorders>
              <w:tl2br w:val="nil"/>
              <w:tr2bl w:val="nil"/>
            </w:tcBorders>
            <w:vAlign w:val="center"/>
          </w:tcPr>
          <w:p>
            <w:pPr>
              <w:adjustRightInd w:val="0"/>
              <w:snapToGrid w:val="0"/>
              <w:jc w:val="center"/>
              <w:rPr>
                <w:bCs/>
                <w:sz w:val="18"/>
                <w:szCs w:val="18"/>
              </w:rPr>
            </w:pPr>
            <w:r>
              <w:rPr>
                <w:bCs/>
                <w:sz w:val="18"/>
                <w:szCs w:val="18"/>
              </w:rPr>
              <w:t>6</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第六章  “三个代表”重要思想</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第七章  科学发展观</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第八章 习近平新时代中国特色社会主义思想及其历史地位</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第九章  坚持和发展中国特色社会主义的总任务</w:t>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第十章  “五位一体”总体布局</w:t>
            </w:r>
            <w:r>
              <w:rPr>
                <w:bCs/>
                <w:sz w:val="18"/>
                <w:szCs w:val="18"/>
              </w:rPr>
              <w:tab/>
            </w:r>
          </w:p>
        </w:tc>
        <w:tc>
          <w:tcPr>
            <w:tcW w:w="1260" w:type="dxa"/>
            <w:tcBorders>
              <w:tl2br w:val="nil"/>
              <w:tr2bl w:val="nil"/>
            </w:tcBorders>
            <w:vAlign w:val="center"/>
          </w:tcPr>
          <w:p>
            <w:pPr>
              <w:adjustRightInd w:val="0"/>
              <w:snapToGrid w:val="0"/>
              <w:jc w:val="center"/>
              <w:rPr>
                <w:bCs/>
                <w:sz w:val="18"/>
                <w:szCs w:val="18"/>
              </w:rPr>
            </w:pPr>
            <w:r>
              <w:rPr>
                <w:bCs/>
                <w:sz w:val="18"/>
                <w:szCs w:val="18"/>
              </w:rPr>
              <w:t>8</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第十一章 “四个全面”战略布局</w:t>
            </w:r>
          </w:p>
        </w:tc>
        <w:tc>
          <w:tcPr>
            <w:tcW w:w="1260" w:type="dxa"/>
            <w:tcBorders>
              <w:tl2br w:val="nil"/>
              <w:tr2bl w:val="nil"/>
            </w:tcBorders>
            <w:vAlign w:val="center"/>
          </w:tcPr>
          <w:p>
            <w:pPr>
              <w:adjustRightInd w:val="0"/>
              <w:snapToGrid w:val="0"/>
              <w:jc w:val="center"/>
              <w:rPr>
                <w:bCs/>
                <w:sz w:val="18"/>
                <w:szCs w:val="18"/>
              </w:rPr>
            </w:pPr>
            <w:r>
              <w:rPr>
                <w:bCs/>
                <w:sz w:val="18"/>
                <w:szCs w:val="18"/>
              </w:rPr>
              <w:t>6</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第十二章  全面推进国防和军队现代化</w:t>
            </w:r>
          </w:p>
        </w:tc>
        <w:tc>
          <w:tcPr>
            <w:tcW w:w="1260" w:type="dxa"/>
            <w:tcBorders>
              <w:tl2br w:val="nil"/>
              <w:tr2bl w:val="nil"/>
            </w:tcBorders>
            <w:vAlign w:val="center"/>
          </w:tcPr>
          <w:p>
            <w:pPr>
              <w:adjustRightInd w:val="0"/>
              <w:snapToGrid w:val="0"/>
              <w:jc w:val="center"/>
              <w:rPr>
                <w:bCs/>
                <w:sz w:val="18"/>
                <w:szCs w:val="18"/>
              </w:rPr>
            </w:pPr>
            <w:r>
              <w:rPr>
                <w:bCs/>
                <w:sz w:val="18"/>
                <w:szCs w:val="18"/>
              </w:rPr>
              <w:t>6</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 xml:space="preserve">第十三章  </w:t>
            </w:r>
            <w:r>
              <w:rPr>
                <w:bCs/>
                <w:sz w:val="18"/>
                <w:szCs w:val="18"/>
                <w:lang w:val="zh-TW"/>
              </w:rPr>
              <w:t>中国特色大国外交</w:t>
            </w:r>
            <w:r>
              <w:rPr>
                <w:bCs/>
                <w:sz w:val="18"/>
                <w:szCs w:val="18"/>
              </w:rPr>
              <w:tab/>
            </w:r>
          </w:p>
        </w:tc>
        <w:tc>
          <w:tcPr>
            <w:tcW w:w="1260" w:type="dxa"/>
            <w:tcBorders>
              <w:tl2br w:val="nil"/>
              <w:tr2bl w:val="nil"/>
            </w:tcBorders>
            <w:vAlign w:val="center"/>
          </w:tcPr>
          <w:p>
            <w:pPr>
              <w:adjustRightInd w:val="0"/>
              <w:snapToGrid w:val="0"/>
              <w:jc w:val="center"/>
              <w:rPr>
                <w:bCs/>
                <w:sz w:val="18"/>
                <w:szCs w:val="18"/>
              </w:rPr>
            </w:pPr>
            <w:r>
              <w:rPr>
                <w:bCs/>
                <w:sz w:val="18"/>
                <w:szCs w:val="18"/>
              </w:rPr>
              <w:t>4</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026" w:type="dxa"/>
            <w:tcBorders>
              <w:tl2br w:val="nil"/>
              <w:tr2bl w:val="nil"/>
            </w:tcBorders>
            <w:vAlign w:val="center"/>
          </w:tcPr>
          <w:p>
            <w:pPr>
              <w:adjustRightInd w:val="0"/>
              <w:snapToGrid w:val="0"/>
              <w:ind w:left="210" w:leftChars="100"/>
              <w:rPr>
                <w:bCs/>
                <w:sz w:val="18"/>
                <w:szCs w:val="18"/>
              </w:rPr>
            </w:pPr>
            <w:r>
              <w:rPr>
                <w:bCs/>
                <w:sz w:val="18"/>
                <w:szCs w:val="18"/>
              </w:rPr>
              <w:t>第十四章  坚持和加强党的领导</w:t>
            </w:r>
          </w:p>
        </w:tc>
        <w:tc>
          <w:tcPr>
            <w:tcW w:w="1260" w:type="dxa"/>
            <w:tcBorders>
              <w:tl2br w:val="nil"/>
              <w:tr2bl w:val="nil"/>
            </w:tcBorders>
            <w:vAlign w:val="center"/>
          </w:tcPr>
          <w:p>
            <w:pPr>
              <w:adjustRightInd w:val="0"/>
              <w:snapToGrid w:val="0"/>
              <w:jc w:val="center"/>
              <w:rPr>
                <w:bCs/>
                <w:sz w:val="18"/>
                <w:szCs w:val="18"/>
              </w:rPr>
            </w:pPr>
            <w:r>
              <w:rPr>
                <w:bCs/>
                <w:sz w:val="18"/>
                <w:szCs w:val="18"/>
              </w:rPr>
              <w:t>2</w:t>
            </w:r>
          </w:p>
        </w:tc>
        <w:tc>
          <w:tcPr>
            <w:tcW w:w="1125" w:type="dxa"/>
            <w:tcBorders>
              <w:tl2br w:val="nil"/>
              <w:tr2bl w:val="nil"/>
            </w:tcBorders>
            <w:vAlign w:val="center"/>
          </w:tcPr>
          <w:p>
            <w:pPr>
              <w:adjustRightInd w:val="0"/>
              <w:snapToGrid w:val="0"/>
              <w:jc w:val="center"/>
              <w:rPr>
                <w:bCs/>
                <w:sz w:val="18"/>
                <w:szCs w:val="18"/>
              </w:rPr>
            </w:pPr>
            <w:r>
              <w:rPr>
                <w:bCs/>
                <w:sz w:val="18"/>
                <w:szCs w:val="18"/>
              </w:rPr>
              <w:t>0</w:t>
            </w:r>
          </w:p>
        </w:tc>
        <w:tc>
          <w:tcPr>
            <w:tcW w:w="1111" w:type="dxa"/>
            <w:tcBorders>
              <w:tl2br w:val="nil"/>
              <w:tr2bl w:val="nil"/>
            </w:tcBorders>
            <w:vAlign w:val="center"/>
          </w:tcPr>
          <w:p>
            <w:pPr>
              <w:adjustRightInd w:val="0"/>
              <w:snapToGrid w:val="0"/>
              <w:jc w:val="center"/>
              <w:rPr>
                <w:bCs/>
                <w:sz w:val="18"/>
                <w:szCs w:val="18"/>
              </w:rPr>
            </w:pP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5026" w:type="dxa"/>
            <w:tcBorders>
              <w:tl2br w:val="nil"/>
              <w:tr2bl w:val="nil"/>
            </w:tcBorders>
            <w:vAlign w:val="center"/>
          </w:tcPr>
          <w:p>
            <w:pPr>
              <w:adjustRightInd w:val="0"/>
              <w:snapToGrid w:val="0"/>
              <w:jc w:val="center"/>
              <w:rPr>
                <w:sz w:val="18"/>
                <w:szCs w:val="18"/>
              </w:rPr>
            </w:pPr>
            <w:r>
              <w:rPr>
                <w:sz w:val="18"/>
                <w:szCs w:val="18"/>
              </w:rPr>
              <w:t>合计</w:t>
            </w:r>
          </w:p>
        </w:tc>
        <w:tc>
          <w:tcPr>
            <w:tcW w:w="1260" w:type="dxa"/>
            <w:tcBorders>
              <w:tl2br w:val="nil"/>
              <w:tr2bl w:val="nil"/>
            </w:tcBorders>
            <w:vAlign w:val="center"/>
          </w:tcPr>
          <w:p>
            <w:pPr>
              <w:adjustRightInd w:val="0"/>
              <w:snapToGrid w:val="0"/>
              <w:jc w:val="center"/>
              <w:rPr>
                <w:sz w:val="18"/>
                <w:szCs w:val="18"/>
              </w:rPr>
            </w:pPr>
            <w:r>
              <w:rPr>
                <w:sz w:val="18"/>
                <w:szCs w:val="18"/>
              </w:rPr>
              <w:t>64</w:t>
            </w:r>
          </w:p>
        </w:tc>
        <w:tc>
          <w:tcPr>
            <w:tcW w:w="1125" w:type="dxa"/>
            <w:tcBorders>
              <w:tl2br w:val="nil"/>
              <w:tr2bl w:val="nil"/>
            </w:tcBorders>
            <w:vAlign w:val="center"/>
          </w:tcPr>
          <w:p>
            <w:pPr>
              <w:adjustRightInd w:val="0"/>
              <w:snapToGrid w:val="0"/>
              <w:jc w:val="center"/>
              <w:rPr>
                <w:sz w:val="18"/>
                <w:szCs w:val="18"/>
              </w:rPr>
            </w:pPr>
            <w:r>
              <w:rPr>
                <w:sz w:val="18"/>
                <w:szCs w:val="18"/>
              </w:rPr>
              <w:t>0</w:t>
            </w:r>
          </w:p>
        </w:tc>
        <w:tc>
          <w:tcPr>
            <w:tcW w:w="1111" w:type="dxa"/>
            <w:tcBorders>
              <w:tl2br w:val="nil"/>
              <w:tr2bl w:val="nil"/>
            </w:tcBorders>
            <w:vAlign w:val="center"/>
          </w:tcPr>
          <w:p>
            <w:pPr>
              <w:adjustRightInd w:val="0"/>
              <w:snapToGrid w:val="0"/>
              <w:jc w:val="center"/>
              <w:rPr>
                <w:sz w:val="18"/>
                <w:szCs w:val="18"/>
              </w:rPr>
            </w:pPr>
            <w:r>
              <w:rPr>
                <w:sz w:val="18"/>
                <w:szCs w:val="18"/>
              </w:rPr>
              <w:t>64</w:t>
            </w:r>
          </w:p>
        </w:tc>
      </w:tr>
    </w:tbl>
    <w:p>
      <w:pPr>
        <w:snapToGrid w:val="0"/>
        <w:spacing w:line="360" w:lineRule="auto"/>
      </w:pPr>
    </w:p>
    <w:p>
      <w:pPr>
        <w:tabs>
          <w:tab w:val="left" w:pos="420"/>
        </w:tabs>
        <w:snapToGrid w:val="0"/>
        <w:spacing w:line="360" w:lineRule="auto"/>
        <w:ind w:left="420" w:hanging="420"/>
        <w:rPr>
          <w:szCs w:val="21"/>
        </w:rPr>
      </w:pPr>
      <w:r>
        <w:rPr>
          <w:rFonts w:eastAsia="黑体"/>
        </w:rPr>
        <w:t>六、教材、补充教材及参考资料</w:t>
      </w:r>
    </w:p>
    <w:p>
      <w:pPr>
        <w:snapToGrid w:val="0"/>
        <w:spacing w:line="360" w:lineRule="auto"/>
        <w:ind w:firstLine="411" w:firstLineChars="196"/>
      </w:pPr>
      <w:r>
        <w:t>1、《毛泽东选集》中的重要文章，如《中国社会各阶级分析》、《反对本本主义》和《实践论》</w:t>
      </w:r>
    </w:p>
    <w:p>
      <w:pPr>
        <w:snapToGrid w:val="0"/>
        <w:spacing w:line="360" w:lineRule="auto"/>
        <w:ind w:firstLine="411" w:firstLineChars="196"/>
      </w:pPr>
      <w:r>
        <w:t>2、《习近平谈治国理政》，中国外文出版社，2014年</w:t>
      </w:r>
    </w:p>
    <w:p>
      <w:pPr>
        <w:snapToGrid w:val="0"/>
        <w:spacing w:line="360" w:lineRule="auto"/>
        <w:ind w:firstLine="411" w:firstLineChars="196"/>
      </w:pPr>
      <w:r>
        <w:t>3. 《习近平总书记系列重要讲话读本》，学习出版社，2016</w:t>
      </w:r>
    </w:p>
    <w:p>
      <w:pPr>
        <w:snapToGrid w:val="0"/>
        <w:spacing w:line="360" w:lineRule="auto"/>
        <w:ind w:firstLine="411" w:firstLineChars="196"/>
        <w:rPr>
          <w:rFonts w:eastAsia="黑体"/>
          <w:szCs w:val="21"/>
        </w:rPr>
      </w:pPr>
      <w:r>
        <w:t>4.《毛泽东思想和中国特色社会主义理论体系概论》思维导图，中北大学马克思主义学院《毛泽东思想和中国特色社会主义理论体系概论》教学研究部编写，2019</w:t>
      </w:r>
    </w:p>
    <w:p>
      <w:pPr>
        <w:widowControl/>
        <w:snapToGrid w:val="0"/>
        <w:spacing w:line="360" w:lineRule="auto"/>
        <w:jc w:val="left"/>
        <w:rPr>
          <w:rFonts w:eastAsia="黑体"/>
        </w:rPr>
      </w:pPr>
    </w:p>
    <w:p>
      <w:pPr>
        <w:widowControl/>
        <w:snapToGrid w:val="0"/>
        <w:spacing w:line="360" w:lineRule="auto"/>
        <w:jc w:val="left"/>
        <w:rPr>
          <w:rFonts w:eastAsia="黑体"/>
        </w:rPr>
      </w:pPr>
      <w:r>
        <w:rPr>
          <w:rFonts w:eastAsia="黑体"/>
        </w:rPr>
        <w:t>七、课程目标达成评价的途径和措施</w:t>
      </w:r>
    </w:p>
    <w:p>
      <w:pPr>
        <w:snapToGrid w:val="0"/>
        <w:spacing w:line="360" w:lineRule="auto"/>
        <w:ind w:firstLine="420" w:firstLineChars="200"/>
        <w:rPr>
          <w:szCs w:val="21"/>
        </w:rPr>
      </w:pPr>
      <w:r>
        <w:rPr>
          <w:szCs w:val="21"/>
        </w:rPr>
        <w:t>1、考核方式：平时成绩、期末成绩、实践成绩。</w:t>
      </w:r>
    </w:p>
    <w:p>
      <w:pPr>
        <w:snapToGrid w:val="0"/>
        <w:spacing w:line="360" w:lineRule="auto"/>
        <w:ind w:firstLine="420" w:firstLineChars="200"/>
        <w:rPr>
          <w:szCs w:val="21"/>
          <w:highlight w:val="yellow"/>
        </w:rPr>
      </w:pPr>
      <w:r>
        <w:rPr>
          <w:szCs w:val="21"/>
        </w:rPr>
        <w:t>2、成绩构成：</w:t>
      </w:r>
    </w:p>
    <w:p>
      <w:pPr>
        <w:snapToGrid w:val="0"/>
        <w:spacing w:line="360" w:lineRule="auto"/>
        <w:ind w:firstLine="420" w:firstLineChars="200"/>
        <w:rPr>
          <w:szCs w:val="21"/>
        </w:rPr>
      </w:pPr>
      <w:r>
        <w:rPr>
          <w:szCs w:val="21"/>
        </w:rPr>
        <w:t>本课程通过“平时成绩”和“期末考试”两种方式对课程目标达成进行评价，考核成绩计算如下（本大纲中成绩均采用百分制）：</w:t>
      </w:r>
    </w:p>
    <w:p>
      <w:pPr>
        <w:snapToGrid w:val="0"/>
        <w:spacing w:line="360" w:lineRule="auto"/>
        <w:jc w:val="center"/>
        <w:rPr>
          <w:szCs w:val="21"/>
        </w:rPr>
      </w:pPr>
      <w:r>
        <w:rPr>
          <w:szCs w:val="21"/>
        </w:rPr>
        <w:t>各环节成绩评定占比%</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2216"/>
        <w:gridCol w:w="2216"/>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jc w:val="center"/>
        </w:trPr>
        <w:tc>
          <w:tcPr>
            <w:tcW w:w="1872" w:type="dxa"/>
            <w:tcBorders>
              <w:top w:val="single" w:color="auto" w:sz="4" w:space="0"/>
              <w:left w:val="nil"/>
              <w:bottom w:val="single" w:color="auto" w:sz="4" w:space="0"/>
              <w:right w:val="single" w:color="auto" w:sz="4" w:space="0"/>
            </w:tcBorders>
            <w:vAlign w:val="center"/>
          </w:tcPr>
          <w:p>
            <w:pPr>
              <w:snapToGrid w:val="0"/>
              <w:jc w:val="center"/>
              <w:rPr>
                <w:sz w:val="18"/>
                <w:szCs w:val="18"/>
              </w:rPr>
            </w:pPr>
            <w:r>
              <w:rPr>
                <w:sz w:val="18"/>
                <w:szCs w:val="18"/>
              </w:rPr>
              <w:t>点名（平时）</w:t>
            </w:r>
          </w:p>
        </w:tc>
        <w:tc>
          <w:tcPr>
            <w:tcW w:w="2216" w:type="dxa"/>
            <w:tcBorders>
              <w:top w:val="single" w:color="auto" w:sz="4"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课堂情况（平时）</w:t>
            </w:r>
          </w:p>
        </w:tc>
        <w:tc>
          <w:tcPr>
            <w:tcW w:w="2216"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完成实践手册（平时）</w:t>
            </w:r>
          </w:p>
        </w:tc>
        <w:tc>
          <w:tcPr>
            <w:tcW w:w="2218" w:type="dxa"/>
            <w:tcBorders>
              <w:top w:val="single" w:color="auto" w:sz="4" w:space="0"/>
              <w:left w:val="single" w:color="auto" w:sz="4" w:space="0"/>
              <w:bottom w:val="single" w:color="auto" w:sz="4" w:space="0"/>
              <w:right w:val="nil"/>
            </w:tcBorders>
            <w:vAlign w:val="center"/>
          </w:tcPr>
          <w:p>
            <w:pPr>
              <w:snapToGrid w:val="0"/>
              <w:jc w:val="center"/>
              <w:rPr>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872" w:type="dxa"/>
            <w:tcBorders>
              <w:top w:val="single" w:color="auto" w:sz="4" w:space="0"/>
              <w:left w:val="nil"/>
              <w:bottom w:val="single" w:color="auto" w:sz="4" w:space="0"/>
              <w:right w:val="single" w:color="auto" w:sz="4" w:space="0"/>
            </w:tcBorders>
            <w:vAlign w:val="center"/>
          </w:tcPr>
          <w:p>
            <w:pPr>
              <w:snapToGrid w:val="0"/>
              <w:jc w:val="center"/>
              <w:rPr>
                <w:bCs/>
              </w:rPr>
            </w:pPr>
            <w:r>
              <w:rPr>
                <w:bCs/>
              </w:rPr>
              <w:t>8</w:t>
            </w:r>
          </w:p>
        </w:tc>
        <w:tc>
          <w:tcPr>
            <w:tcW w:w="2216" w:type="dxa"/>
            <w:tcBorders>
              <w:top w:val="single" w:color="auto" w:sz="4" w:space="0"/>
              <w:left w:val="single" w:color="auto" w:sz="4" w:space="0"/>
              <w:bottom w:val="single" w:color="auto" w:sz="4" w:space="0"/>
              <w:right w:val="single" w:color="auto" w:sz="4" w:space="0"/>
            </w:tcBorders>
            <w:vAlign w:val="center"/>
          </w:tcPr>
          <w:p>
            <w:pPr>
              <w:snapToGrid w:val="0"/>
              <w:jc w:val="center"/>
              <w:rPr>
                <w:bCs/>
              </w:rPr>
            </w:pPr>
            <w:r>
              <w:rPr>
                <w:bCs/>
              </w:rPr>
              <w:t>8</w:t>
            </w:r>
          </w:p>
        </w:tc>
        <w:tc>
          <w:tcPr>
            <w:tcW w:w="2216" w:type="dxa"/>
            <w:tcBorders>
              <w:top w:val="single" w:color="auto" w:sz="4" w:space="0"/>
              <w:left w:val="single" w:color="auto" w:sz="4" w:space="0"/>
              <w:bottom w:val="single" w:color="auto" w:sz="4" w:space="0"/>
              <w:right w:val="nil"/>
            </w:tcBorders>
            <w:vAlign w:val="center"/>
          </w:tcPr>
          <w:p>
            <w:pPr>
              <w:snapToGrid w:val="0"/>
              <w:jc w:val="center"/>
              <w:rPr>
                <w:bCs/>
              </w:rPr>
            </w:pPr>
            <w:r>
              <w:rPr>
                <w:bCs/>
              </w:rPr>
              <w:t>20</w:t>
            </w:r>
          </w:p>
        </w:tc>
        <w:tc>
          <w:tcPr>
            <w:tcW w:w="2218" w:type="dxa"/>
            <w:tcBorders>
              <w:top w:val="single" w:color="auto" w:sz="4" w:space="0"/>
              <w:left w:val="single" w:color="auto" w:sz="4" w:space="0"/>
              <w:bottom w:val="single" w:color="auto" w:sz="4" w:space="0"/>
              <w:right w:val="nil"/>
            </w:tcBorders>
            <w:vAlign w:val="center"/>
          </w:tcPr>
          <w:p>
            <w:pPr>
              <w:snapToGrid w:val="0"/>
              <w:jc w:val="center"/>
              <w:rPr>
                <w:bCs/>
              </w:rPr>
            </w:pPr>
            <w:r>
              <w:rPr>
                <w:bCs/>
              </w:rPr>
              <w:t>64</w:t>
            </w:r>
          </w:p>
        </w:tc>
      </w:tr>
    </w:tbl>
    <w:p>
      <w:pPr>
        <w:widowControl/>
        <w:snapToGrid w:val="0"/>
        <w:spacing w:line="360" w:lineRule="auto"/>
        <w:ind w:firstLine="1890" w:firstLineChars="900"/>
      </w:pPr>
    </w:p>
    <w:p>
      <w:pPr>
        <w:snapToGrid w:val="0"/>
        <w:spacing w:line="360" w:lineRule="auto"/>
        <w:ind w:firstLine="420" w:firstLineChars="200"/>
        <w:rPr>
          <w:b/>
          <w:bCs/>
          <w:szCs w:val="21"/>
        </w:rPr>
      </w:pPr>
      <w:r>
        <w:rPr>
          <w:szCs w:val="21"/>
        </w:rPr>
        <w:t>指导性课程目标评价题目分数分配：</w:t>
      </w:r>
    </w:p>
    <w:tbl>
      <w:tblPr>
        <w:tblStyle w:val="22"/>
        <w:tblW w:w="8522" w:type="dxa"/>
        <w:jc w:val="center"/>
        <w:tblLayout w:type="fixed"/>
        <w:tblCellMar>
          <w:top w:w="0" w:type="dxa"/>
          <w:left w:w="108" w:type="dxa"/>
          <w:bottom w:w="0" w:type="dxa"/>
          <w:right w:w="108" w:type="dxa"/>
        </w:tblCellMar>
      </w:tblPr>
      <w:tblGrid>
        <w:gridCol w:w="1535"/>
        <w:gridCol w:w="1790"/>
        <w:gridCol w:w="1664"/>
        <w:gridCol w:w="1974"/>
        <w:gridCol w:w="1559"/>
      </w:tblGrid>
      <w:tr>
        <w:tblPrEx>
          <w:tblCellMar>
            <w:top w:w="0" w:type="dxa"/>
            <w:left w:w="108" w:type="dxa"/>
            <w:bottom w:w="0" w:type="dxa"/>
            <w:right w:w="108" w:type="dxa"/>
          </w:tblCellMar>
        </w:tblPrEx>
        <w:trPr>
          <w:trHeight w:val="986" w:hRule="atLeast"/>
          <w:jc w:val="center"/>
        </w:trPr>
        <w:tc>
          <w:tcPr>
            <w:tcW w:w="153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点名（平时）</w:t>
            </w:r>
          </w:p>
          <w:p>
            <w:pPr>
              <w:jc w:val="center"/>
              <w:rPr>
                <w:sz w:val="18"/>
                <w:szCs w:val="18"/>
              </w:rPr>
            </w:pPr>
            <w:r>
              <w:rPr>
                <w:rFonts w:hint="eastAsia"/>
                <w:sz w:val="18"/>
                <w:szCs w:val="18"/>
              </w:rPr>
              <w:t>W1</w:t>
            </w:r>
            <w:r>
              <w:rPr>
                <w:rFonts w:hint="eastAsia"/>
                <w:sz w:val="18"/>
                <w:szCs w:val="18"/>
                <w:vertAlign w:val="subscript"/>
              </w:rPr>
              <w:t>i</w:t>
            </w:r>
          </w:p>
        </w:tc>
        <w:tc>
          <w:tcPr>
            <w:tcW w:w="1664"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课堂情况（平时）</w:t>
            </w:r>
          </w:p>
          <w:p>
            <w:pPr>
              <w:jc w:val="center"/>
              <w:rPr>
                <w:sz w:val="18"/>
                <w:szCs w:val="18"/>
              </w:rPr>
            </w:pPr>
            <w:r>
              <w:rPr>
                <w:rFonts w:hint="eastAsia"/>
                <w:sz w:val="18"/>
                <w:szCs w:val="18"/>
              </w:rPr>
              <w:t>W2</w:t>
            </w:r>
            <w:r>
              <w:rPr>
                <w:rFonts w:hint="eastAsia"/>
                <w:sz w:val="18"/>
                <w:szCs w:val="18"/>
                <w:vertAlign w:val="subscript"/>
              </w:rPr>
              <w:t>i</w:t>
            </w:r>
          </w:p>
        </w:tc>
        <w:tc>
          <w:tcPr>
            <w:tcW w:w="1974"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完成实践手册（平时）</w:t>
            </w:r>
          </w:p>
          <w:p>
            <w:pPr>
              <w:jc w:val="center"/>
              <w:rPr>
                <w:sz w:val="18"/>
                <w:szCs w:val="18"/>
              </w:rPr>
            </w:pPr>
            <w:r>
              <w:rPr>
                <w:rFonts w:hint="eastAsia"/>
                <w:sz w:val="18"/>
                <w:szCs w:val="18"/>
              </w:rPr>
              <w:t>W3</w:t>
            </w:r>
            <w:r>
              <w:rPr>
                <w:rFonts w:hint="eastAsia"/>
                <w:sz w:val="18"/>
                <w:szCs w:val="18"/>
                <w:vertAlign w:val="subscript"/>
              </w:rPr>
              <w:t>i</w:t>
            </w:r>
          </w:p>
        </w:tc>
        <w:tc>
          <w:tcPr>
            <w:tcW w:w="1559"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535" w:type="dxa"/>
            <w:tcBorders>
              <w:top w:val="nil"/>
              <w:left w:val="nil"/>
              <w:bottom w:val="single" w:color="auto" w:sz="4" w:space="0"/>
              <w:right w:val="single" w:color="auto" w:sz="4" w:space="0"/>
            </w:tcBorders>
            <w:vAlign w:val="center"/>
          </w:tcPr>
          <w:p>
            <w:pPr>
              <w:jc w:val="center"/>
              <w:rPr>
                <w:bCs/>
              </w:rPr>
            </w:pPr>
            <w:r>
              <w:rPr>
                <w:bCs/>
              </w:rPr>
              <w:t>1</w:t>
            </w:r>
          </w:p>
        </w:tc>
        <w:tc>
          <w:tcPr>
            <w:tcW w:w="1790"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bCs/>
              </w:rPr>
              <w:t>20-40</w:t>
            </w:r>
          </w:p>
        </w:tc>
        <w:tc>
          <w:tcPr>
            <w:tcW w:w="1664"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rFonts w:hint="eastAsia"/>
                <w:bCs/>
              </w:rPr>
              <w:t>2</w:t>
            </w:r>
            <w:r>
              <w:rPr>
                <w:bCs/>
              </w:rPr>
              <w:t>0-60</w:t>
            </w:r>
          </w:p>
        </w:tc>
        <w:tc>
          <w:tcPr>
            <w:tcW w:w="1974"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bCs/>
              </w:rPr>
              <w:t>30-60</w:t>
            </w:r>
          </w:p>
        </w:tc>
        <w:tc>
          <w:tcPr>
            <w:tcW w:w="1559" w:type="dxa"/>
            <w:tcBorders>
              <w:top w:val="single" w:color="auto" w:sz="4" w:space="0"/>
              <w:left w:val="single" w:color="auto" w:sz="4" w:space="0"/>
              <w:bottom w:val="single" w:color="auto" w:sz="4" w:space="0"/>
              <w:right w:val="nil"/>
            </w:tcBorders>
            <w:vAlign w:val="center"/>
          </w:tcPr>
          <w:p>
            <w:pPr>
              <w:snapToGrid w:val="0"/>
              <w:jc w:val="center"/>
              <w:rPr>
                <w:bCs/>
                <w:color w:val="C00000"/>
              </w:rPr>
            </w:pPr>
            <w:r>
              <w:rPr>
                <w:rFonts w:hint="eastAsia"/>
                <w:bCs/>
              </w:rPr>
              <w:t>5</w:t>
            </w:r>
            <w:r>
              <w:rPr>
                <w:bCs/>
              </w:rPr>
              <w:t>0-</w:t>
            </w:r>
            <w:r>
              <w:rPr>
                <w:rFonts w:hint="eastAsia"/>
                <w:bCs/>
              </w:rPr>
              <w:t>7</w:t>
            </w:r>
            <w:r>
              <w:rPr>
                <w:bCs/>
              </w:rPr>
              <w:t>0</w:t>
            </w:r>
          </w:p>
        </w:tc>
      </w:tr>
      <w:tr>
        <w:tblPrEx>
          <w:tblCellMar>
            <w:top w:w="0" w:type="dxa"/>
            <w:left w:w="108" w:type="dxa"/>
            <w:bottom w:w="0" w:type="dxa"/>
            <w:right w:w="108" w:type="dxa"/>
          </w:tblCellMar>
        </w:tblPrEx>
        <w:trPr>
          <w:jc w:val="center"/>
        </w:trPr>
        <w:tc>
          <w:tcPr>
            <w:tcW w:w="1535" w:type="dxa"/>
            <w:tcBorders>
              <w:top w:val="single" w:color="auto" w:sz="4" w:space="0"/>
              <w:left w:val="nil"/>
              <w:bottom w:val="single" w:color="auto" w:sz="4" w:space="0"/>
              <w:right w:val="single" w:color="auto" w:sz="4" w:space="0"/>
            </w:tcBorders>
            <w:vAlign w:val="center"/>
          </w:tcPr>
          <w:p>
            <w:pPr>
              <w:jc w:val="center"/>
              <w:rPr>
                <w:bCs/>
              </w:rPr>
            </w:pPr>
            <w:r>
              <w:rPr>
                <w:rFonts w:hint="eastAsia"/>
                <w:bCs/>
              </w:rPr>
              <w:t>2</w:t>
            </w:r>
          </w:p>
        </w:tc>
        <w:tc>
          <w:tcPr>
            <w:tcW w:w="1790"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rFonts w:hint="eastAsia"/>
                <w:bCs/>
              </w:rPr>
              <w:t>6</w:t>
            </w:r>
            <w:r>
              <w:rPr>
                <w:bCs/>
              </w:rPr>
              <w:t>0-</w:t>
            </w:r>
            <w:r>
              <w:rPr>
                <w:rFonts w:hint="eastAsia"/>
                <w:bCs/>
              </w:rPr>
              <w:t>8</w:t>
            </w:r>
            <w:r>
              <w:rPr>
                <w:bCs/>
              </w:rPr>
              <w:t>0</w:t>
            </w:r>
          </w:p>
        </w:tc>
        <w:tc>
          <w:tcPr>
            <w:tcW w:w="1664"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rFonts w:hint="eastAsia"/>
                <w:bCs/>
              </w:rPr>
              <w:t>4</w:t>
            </w:r>
            <w:r>
              <w:rPr>
                <w:bCs/>
              </w:rPr>
              <w:t>0-80</w:t>
            </w:r>
          </w:p>
        </w:tc>
        <w:tc>
          <w:tcPr>
            <w:tcW w:w="1974"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C00000"/>
              </w:rPr>
            </w:pPr>
            <w:r>
              <w:rPr>
                <w:rFonts w:hint="eastAsia"/>
                <w:bCs/>
              </w:rPr>
              <w:t>4</w:t>
            </w:r>
            <w:r>
              <w:rPr>
                <w:bCs/>
              </w:rPr>
              <w:t>0-70</w:t>
            </w:r>
          </w:p>
        </w:tc>
        <w:tc>
          <w:tcPr>
            <w:tcW w:w="1559" w:type="dxa"/>
            <w:tcBorders>
              <w:top w:val="single" w:color="auto" w:sz="4" w:space="0"/>
              <w:left w:val="single" w:color="auto" w:sz="4" w:space="0"/>
              <w:bottom w:val="single" w:color="auto" w:sz="4" w:space="0"/>
              <w:right w:val="nil"/>
            </w:tcBorders>
            <w:vAlign w:val="center"/>
          </w:tcPr>
          <w:p>
            <w:pPr>
              <w:snapToGrid w:val="0"/>
              <w:jc w:val="center"/>
              <w:rPr>
                <w:bCs/>
                <w:color w:val="C00000"/>
              </w:rPr>
            </w:pPr>
            <w:r>
              <w:rPr>
                <w:rFonts w:hint="eastAsia"/>
                <w:bCs/>
              </w:rPr>
              <w:t>3</w:t>
            </w:r>
            <w:r>
              <w:rPr>
                <w:bCs/>
              </w:rPr>
              <w:t>0-</w:t>
            </w:r>
            <w:r>
              <w:rPr>
                <w:rFonts w:hint="eastAsia"/>
                <w:bCs/>
              </w:rPr>
              <w:t>5</w:t>
            </w:r>
            <w:r>
              <w:rPr>
                <w:bCs/>
              </w:rPr>
              <w:t>0</w:t>
            </w:r>
          </w:p>
        </w:tc>
      </w:tr>
    </w:tbl>
    <w:p>
      <w:pPr>
        <w:snapToGrid w:val="0"/>
        <w:spacing w:line="360" w:lineRule="auto"/>
        <w:jc w:val="left"/>
        <w:rPr>
          <w:rFonts w:eastAsiaTheme="majorEastAsia"/>
          <w:szCs w:val="21"/>
          <w:highlight w:val="yellow"/>
        </w:rPr>
      </w:pPr>
    </w:p>
    <w:p>
      <w:pPr>
        <w:snapToGrid w:val="0"/>
        <w:spacing w:line="360" w:lineRule="auto"/>
        <w:ind w:firstLine="525" w:firstLineChars="250"/>
        <w:jc w:val="left"/>
        <w:rPr>
          <w:rFonts w:eastAsiaTheme="majorEastAsia"/>
          <w:szCs w:val="21"/>
        </w:rPr>
      </w:pPr>
      <w:r>
        <w:rPr>
          <w:rFonts w:eastAsiaTheme="majorEastAsia"/>
          <w:szCs w:val="21"/>
        </w:rPr>
        <w:t>分目标达成值由每个部分对应的实际得分与题目总分数相比后，各环节加权求和得到。</w:t>
      </w:r>
    </w:p>
    <w:p>
      <w:pPr>
        <w:snapToGrid w:val="0"/>
        <w:spacing w:line="360" w:lineRule="auto"/>
        <w:ind w:firstLine="525" w:firstLineChars="250"/>
        <w:jc w:val="left"/>
        <w:rPr>
          <w:rFonts w:eastAsiaTheme="majorEastAsia"/>
          <w:szCs w:val="21"/>
        </w:rPr>
      </w:pPr>
      <w:r>
        <w:rPr>
          <w:rFonts w:eastAsiaTheme="majorEastAsia"/>
          <w:szCs w:val="21"/>
        </w:rPr>
        <w:t>总课程目标达成值由每个环节的总平均分，按照各环节加权求和得到。</w:t>
      </w:r>
    </w:p>
    <w:p>
      <w:pPr>
        <w:snapToGrid w:val="0"/>
        <w:spacing w:line="360" w:lineRule="auto"/>
        <w:ind w:firstLine="525" w:firstLineChars="250"/>
        <w:jc w:val="left"/>
        <w:rPr>
          <w:rFonts w:eastAsiaTheme="majorEastAsia"/>
          <w:szCs w:val="21"/>
        </w:rPr>
      </w:pPr>
      <w:r>
        <w:rPr>
          <w:rFonts w:eastAsiaTheme="majorEastAsia"/>
          <w:szCs w:val="21"/>
        </w:rPr>
        <w:t>各环节的评价标准参见课程成绩分析报告。</w:t>
      </w:r>
    </w:p>
    <w:p>
      <w:pPr>
        <w:rPr>
          <w:rFonts w:eastAsia="黑体"/>
          <w:sz w:val="28"/>
          <w:szCs w:val="24"/>
        </w:rPr>
      </w:pPr>
      <w:r>
        <w:rPr>
          <w:rFonts w:eastAsia="黑体"/>
          <w:sz w:val="18"/>
          <w:szCs w:val="18"/>
        </w:rPr>
        <w:br w:type="page"/>
      </w:r>
    </w:p>
    <w:p>
      <w:pPr>
        <w:pStyle w:val="20"/>
        <w:spacing w:before="312" w:after="468"/>
      </w:pPr>
      <w:bookmarkStart w:id="20" w:name="_Toc10808"/>
      <w:r>
        <w:rPr>
          <w:rFonts w:hint="eastAsia"/>
        </w:rPr>
        <w:t>《X01100005-形势与政策》教学大纲</w:t>
      </w:r>
      <w:bookmarkEnd w:id="20"/>
    </w:p>
    <w:p>
      <w:pPr>
        <w:adjustRightInd w:val="0"/>
        <w:snapToGrid w:val="0"/>
        <w:spacing w:line="360" w:lineRule="auto"/>
        <w:rPr>
          <w:bCs/>
          <w:kern w:val="0"/>
        </w:rPr>
      </w:pPr>
      <w:r>
        <w:rPr>
          <w:rFonts w:hint="eastAsia" w:eastAsia="黑体"/>
          <w:szCs w:val="21"/>
        </w:rPr>
        <w:t>课程编号：</w:t>
      </w:r>
      <w:r>
        <w:rPr>
          <w:rFonts w:hint="eastAsia" w:cs="Arial"/>
          <w:kern w:val="0"/>
          <w:szCs w:val="21"/>
        </w:rPr>
        <w:t>X01100005</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形势与政策</w:t>
      </w:r>
      <w:r>
        <w:rPr>
          <w:szCs w:val="21"/>
        </w:rPr>
        <w:tab/>
      </w:r>
      <w:r>
        <w:rPr>
          <w:szCs w:val="21"/>
        </w:rPr>
        <w:tab/>
      </w:r>
      <w:r>
        <w:rPr>
          <w:szCs w:val="21"/>
        </w:rPr>
        <w:tab/>
      </w:r>
      <w:r>
        <w:rPr>
          <w:szCs w:val="21"/>
        </w:rPr>
        <w:tab/>
      </w:r>
      <w:r>
        <w:rPr>
          <w:rFonts w:hint="eastAsia" w:eastAsia="黑体"/>
          <w:szCs w:val="21"/>
        </w:rPr>
        <w:t>开课单位：</w:t>
      </w:r>
      <w:r>
        <w:rPr>
          <w:rFonts w:hint="eastAsia"/>
          <w:szCs w:val="21"/>
        </w:rPr>
        <w:t>马克思主义学院</w:t>
      </w:r>
    </w:p>
    <w:p>
      <w:pPr>
        <w:adjustRightInd w:val="0"/>
        <w:snapToGrid w:val="0"/>
        <w:spacing w:line="360" w:lineRule="auto"/>
        <w:rPr>
          <w:rFonts w:eastAsia="黑体"/>
          <w:szCs w:val="21"/>
        </w:rPr>
      </w:pPr>
      <w:r>
        <w:rPr>
          <w:rFonts w:hint="eastAsia" w:eastAsia="黑体"/>
          <w:szCs w:val="21"/>
        </w:rPr>
        <w:t>总 学 时：96</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分：2</w:t>
      </w:r>
    </w:p>
    <w:p>
      <w:pPr>
        <w:adjustRightInd w:val="0"/>
        <w:snapToGrid w:val="0"/>
        <w:spacing w:line="360" w:lineRule="auto"/>
        <w:rPr>
          <w:rFonts w:eastAsia="黑体"/>
          <w:szCs w:val="21"/>
        </w:rPr>
      </w:pPr>
      <w:r>
        <w:rPr>
          <w:rFonts w:hint="eastAsia" w:eastAsia="黑体"/>
          <w:szCs w:val="21"/>
        </w:rPr>
        <w:t>适用专业：</w:t>
      </w:r>
      <w:r>
        <w:rPr>
          <w:rFonts w:hint="eastAsia"/>
          <w:szCs w:val="21"/>
        </w:rPr>
        <w:t>工程类各专业</w:t>
      </w:r>
    </w:p>
    <w:p>
      <w:pPr>
        <w:adjustRightInd w:val="0"/>
        <w:snapToGrid w:val="0"/>
        <w:spacing w:line="360" w:lineRule="auto"/>
        <w:rPr>
          <w:rFonts w:eastAsia="黑体"/>
          <w:szCs w:val="21"/>
        </w:rPr>
      </w:pPr>
      <w:r>
        <w:rPr>
          <w:rFonts w:hint="eastAsia" w:eastAsia="黑体"/>
          <w:szCs w:val="21"/>
        </w:rPr>
        <w:t>先修课程：</w:t>
      </w:r>
      <w:r>
        <w:rPr>
          <w:rFonts w:hint="eastAsia" w:ascii="宋体" w:hAnsi="宋体" w:cs="宋体"/>
          <w:szCs w:val="21"/>
        </w:rPr>
        <w:t>无</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eastAsiaTheme="minorEastAsia"/>
          <w:szCs w:val="21"/>
        </w:rPr>
        <w:t>2019</w:t>
      </w:r>
      <w:r>
        <w:rPr>
          <w:rFonts w:hint="eastAsia" w:ascii="宋体" w:hAnsi="宋体" w:cs="宋体"/>
          <w:szCs w:val="21"/>
        </w:rPr>
        <w:t>年</w:t>
      </w:r>
      <w:r>
        <w:rPr>
          <w:rFonts w:eastAsiaTheme="minorEastAsia"/>
          <w:szCs w:val="21"/>
        </w:rPr>
        <w:t>4</w:t>
      </w:r>
      <w:r>
        <w:rPr>
          <w:rFonts w:hint="eastAsia" w:ascii="宋体" w:hAnsi="宋体" w:cs="宋体"/>
          <w:szCs w:val="21"/>
        </w:rPr>
        <w:t>月</w:t>
      </w:r>
    </w:p>
    <w:p>
      <w:pPr>
        <w:tabs>
          <w:tab w:val="left" w:pos="420"/>
        </w:tabs>
        <w:adjustRightInd w:val="0"/>
        <w:snapToGrid w:val="0"/>
        <w:spacing w:line="360" w:lineRule="auto"/>
        <w:rPr>
          <w:rFonts w:eastAsia="黑体"/>
        </w:rPr>
      </w:pPr>
    </w:p>
    <w:p>
      <w:pPr>
        <w:pStyle w:val="31"/>
        <w:tabs>
          <w:tab w:val="left" w:pos="420"/>
        </w:tabs>
        <w:adjustRightInd w:val="0"/>
        <w:snapToGrid w:val="0"/>
        <w:spacing w:line="360" w:lineRule="auto"/>
        <w:ind w:firstLine="0" w:firstLineChars="0"/>
        <w:rPr>
          <w:rFonts w:eastAsia="黑体"/>
          <w:b/>
        </w:rPr>
      </w:pPr>
      <w:r>
        <w:rPr>
          <w:rFonts w:hint="eastAsia" w:eastAsia="黑体"/>
          <w:szCs w:val="21"/>
        </w:rPr>
        <w:t>一、</w:t>
      </w:r>
      <w:r>
        <w:rPr>
          <w:rFonts w:eastAsia="黑体"/>
          <w:szCs w:val="21"/>
        </w:rPr>
        <w:t>课程</w:t>
      </w:r>
      <w:r>
        <w:rPr>
          <w:rFonts w:hint="eastAsia" w:eastAsia="黑体"/>
          <w:szCs w:val="21"/>
        </w:rPr>
        <w:t>在教学计划中的地位、作用</w:t>
      </w:r>
    </w:p>
    <w:p>
      <w:pPr>
        <w:spacing w:line="360" w:lineRule="auto"/>
        <w:ind w:firstLine="420" w:firstLineChars="200"/>
        <w:rPr>
          <w:szCs w:val="21"/>
        </w:rPr>
      </w:pPr>
      <w:r>
        <w:rPr>
          <w:rFonts w:hint="eastAsia"/>
          <w:szCs w:val="21"/>
        </w:rPr>
        <w:t>本课程是高校大学生思想政治理论教育课程中的一门公共必修课，</w:t>
      </w:r>
      <w:r>
        <w:t>是理论武装时效性、释疑解惑针对性、教育引导综合性都很强的一门高校思想政治理论课，是帮助大学生正确认识新时代国内外形势，深刻领会党的十八大以来党和国家事业取得的历史性成就、发生的历史性变革、面临的历史性机遇和挑战的核心课程，是第一时间推动党的理论创新成果进教材进课堂进学生头脑，引导大学生准确理解党的基本理论、基本路线、基本方略的重要渠道。</w:t>
      </w:r>
      <w:r>
        <w:rPr>
          <w:rFonts w:hint="eastAsia"/>
          <w:szCs w:val="21"/>
        </w:rPr>
        <w:t>针对学生的思想实际开展形势与政策教育教学，教育和引导大学生正确认识国情，正确理解党的路线、方针和政策，激发爱国热情和提高社会主义觉悟的一门重要的课程。</w:t>
      </w:r>
    </w:p>
    <w:p>
      <w:pPr>
        <w:pStyle w:val="50"/>
        <w:tabs>
          <w:tab w:val="left" w:pos="420"/>
        </w:tabs>
        <w:adjustRightInd w:val="0"/>
        <w:snapToGrid w:val="0"/>
        <w:spacing w:line="360" w:lineRule="auto"/>
        <w:ind w:firstLine="0" w:firstLineChars="0"/>
        <w:rPr>
          <w:rFonts w:eastAsia="黑体"/>
          <w:b/>
          <w:szCs w:val="24"/>
        </w:rPr>
      </w:pPr>
    </w:p>
    <w:p>
      <w:pPr>
        <w:pStyle w:val="50"/>
        <w:tabs>
          <w:tab w:val="left" w:pos="420"/>
        </w:tabs>
        <w:adjustRightInd w:val="0"/>
        <w:snapToGrid w:val="0"/>
        <w:spacing w:line="360" w:lineRule="auto"/>
        <w:ind w:firstLine="0" w:firstLineChars="0"/>
        <w:rPr>
          <w:rFonts w:eastAsia="黑体"/>
          <w:bCs/>
          <w:szCs w:val="24"/>
        </w:rPr>
      </w:pPr>
      <w:r>
        <w:rPr>
          <w:rFonts w:hint="eastAsia" w:eastAsia="黑体"/>
          <w:bCs/>
          <w:szCs w:val="24"/>
        </w:rPr>
        <w:t>二、课程目标</w:t>
      </w:r>
    </w:p>
    <w:p>
      <w:pPr>
        <w:spacing w:line="360" w:lineRule="auto"/>
        <w:ind w:firstLine="420" w:firstLineChars="200"/>
        <w:rPr>
          <w:szCs w:val="21"/>
        </w:rPr>
      </w:pPr>
      <w:r>
        <w:rPr>
          <w:rFonts w:hint="eastAsia"/>
          <w:szCs w:val="21"/>
        </w:rPr>
        <w:t>本大纲适用于工程类专业选择使用，专业在选用时要关注本课程目标是否与专业培养方案设定的能力矩阵一致。</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3928"/>
        <w:gridCol w:w="38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3" w:type="pct"/>
            <w:vAlign w:val="center"/>
          </w:tcPr>
          <w:p>
            <w:pPr>
              <w:adjustRightInd w:val="0"/>
              <w:spacing w:line="360" w:lineRule="auto"/>
              <w:jc w:val="center"/>
              <w:rPr>
                <w:rFonts w:ascii="宋体" w:hAnsi="宋体"/>
                <w:sz w:val="18"/>
                <w:szCs w:val="18"/>
              </w:rPr>
            </w:pPr>
            <w:r>
              <w:rPr>
                <w:rFonts w:ascii="宋体" w:hAnsi="宋体"/>
                <w:sz w:val="18"/>
                <w:szCs w:val="18"/>
              </w:rPr>
              <w:t>序号</w:t>
            </w:r>
          </w:p>
        </w:tc>
        <w:tc>
          <w:tcPr>
            <w:tcW w:w="2304"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72" w:type="pct"/>
            <w:vAlign w:val="center"/>
          </w:tcPr>
          <w:p>
            <w:pPr>
              <w:adjustRightIn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21" w:type="dxa"/>
            <w:vAlign w:val="center"/>
          </w:tcPr>
          <w:p>
            <w:pPr>
              <w:adjustRightInd w:val="0"/>
              <w:snapToGrid w:val="0"/>
              <w:spacing w:line="360" w:lineRule="auto"/>
              <w:jc w:val="center"/>
              <w:rPr>
                <w:sz w:val="18"/>
                <w:szCs w:val="18"/>
              </w:rPr>
            </w:pPr>
            <w:r>
              <w:rPr>
                <w:rFonts w:hint="eastAsia"/>
                <w:sz w:val="18"/>
                <w:szCs w:val="18"/>
              </w:rPr>
              <w:t>1</w:t>
            </w:r>
          </w:p>
        </w:tc>
        <w:tc>
          <w:tcPr>
            <w:tcW w:w="3928" w:type="dxa"/>
          </w:tcPr>
          <w:p>
            <w:pPr>
              <w:adjustRightInd w:val="0"/>
              <w:snapToGrid w:val="0"/>
              <w:spacing w:line="360" w:lineRule="auto"/>
              <w:rPr>
                <w:sz w:val="18"/>
                <w:szCs w:val="18"/>
              </w:rPr>
            </w:pPr>
            <w:r>
              <w:rPr>
                <w:rFonts w:hint="eastAsia"/>
                <w:bCs/>
                <w:sz w:val="18"/>
                <w:szCs w:val="18"/>
              </w:rPr>
              <w:t>使学生较为全面系统地掌握有关形势与政策的基本概念、正确分析形势的方法、了解形势的途径及我国党和政府的基本治国方针，形成正确的政治观、形势观，学会用正确的立场、观点和方法观察形势，理解和执行政策</w:t>
            </w:r>
            <w:r>
              <w:rPr>
                <w:bCs/>
                <w:sz w:val="18"/>
                <w:szCs w:val="18"/>
              </w:rPr>
              <w:t>；</w:t>
            </w:r>
          </w:p>
        </w:tc>
        <w:tc>
          <w:tcPr>
            <w:tcW w:w="3873" w:type="dxa"/>
          </w:tcPr>
          <w:p>
            <w:pPr>
              <w:adjustRightInd w:val="0"/>
              <w:snapToGrid w:val="0"/>
              <w:spacing w:line="360" w:lineRule="auto"/>
              <w:rPr>
                <w:sz w:val="18"/>
                <w:szCs w:val="18"/>
              </w:rPr>
            </w:pPr>
            <w:r>
              <w:rPr>
                <w:rFonts w:hint="eastAsia"/>
                <w:b/>
                <w:bCs/>
                <w:sz w:val="18"/>
                <w:szCs w:val="18"/>
              </w:rPr>
              <w:t>毕业要求6工程与社会：</w:t>
            </w:r>
            <w:r>
              <w:rPr>
                <w:rFonts w:hint="eastAsia"/>
                <w:sz w:val="18"/>
                <w:szCs w:val="18"/>
              </w:rPr>
              <w:t>能够基于工程相关背景知识进行合理分析，评价专业工程实践和复杂工程问题解决方案对社会、健康、安全、法律以及文化的影响，并理解应承担的责任。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21" w:type="dxa"/>
            <w:vAlign w:val="center"/>
          </w:tcPr>
          <w:p>
            <w:pPr>
              <w:adjustRightInd w:val="0"/>
              <w:snapToGrid w:val="0"/>
              <w:spacing w:line="360" w:lineRule="auto"/>
              <w:jc w:val="center"/>
              <w:rPr>
                <w:sz w:val="18"/>
                <w:szCs w:val="18"/>
              </w:rPr>
            </w:pPr>
            <w:r>
              <w:rPr>
                <w:rFonts w:hint="eastAsia"/>
                <w:sz w:val="18"/>
                <w:szCs w:val="18"/>
              </w:rPr>
              <w:t>2</w:t>
            </w:r>
          </w:p>
        </w:tc>
        <w:tc>
          <w:tcPr>
            <w:tcW w:w="3928" w:type="dxa"/>
          </w:tcPr>
          <w:p>
            <w:pPr>
              <w:adjustRightInd w:val="0"/>
              <w:snapToGrid w:val="0"/>
              <w:spacing w:line="360" w:lineRule="auto"/>
              <w:rPr>
                <w:bCs/>
                <w:sz w:val="18"/>
                <w:szCs w:val="18"/>
              </w:rPr>
            </w:pPr>
            <w:r>
              <w:rPr>
                <w:rFonts w:hint="eastAsia"/>
                <w:sz w:val="18"/>
                <w:szCs w:val="18"/>
              </w:rPr>
              <w:t>了解国际国内形势的特点，世界重大事件及我国的对外政策，我党的路线方针政策，使学生认清自己所处的时代特点，明确责任，坚定走有中国特色社会主义道路的信心。</w:t>
            </w:r>
          </w:p>
        </w:tc>
        <w:tc>
          <w:tcPr>
            <w:tcW w:w="3873" w:type="dxa"/>
          </w:tcPr>
          <w:p>
            <w:pPr>
              <w:adjustRightInd w:val="0"/>
              <w:snapToGrid w:val="0"/>
              <w:spacing w:line="360" w:lineRule="auto"/>
              <w:rPr>
                <w:sz w:val="18"/>
                <w:szCs w:val="18"/>
              </w:rPr>
            </w:pPr>
            <w:r>
              <w:rPr>
                <w:rFonts w:hint="eastAsia"/>
                <w:b/>
                <w:bCs/>
                <w:sz w:val="18"/>
                <w:szCs w:val="18"/>
              </w:rPr>
              <w:t>毕业要求12终身学习：</w:t>
            </w:r>
            <w:r>
              <w:rPr>
                <w:rFonts w:hint="eastAsia"/>
                <w:sz w:val="18"/>
                <w:szCs w:val="18"/>
              </w:rPr>
              <w:t>具有自主学习和终身学习的意识，有不断学习和适应发展的能力。</w:t>
            </w:r>
          </w:p>
        </w:tc>
      </w:tr>
    </w:tbl>
    <w:p>
      <w:pPr>
        <w:snapToGrid w:val="0"/>
        <w:spacing w:line="360" w:lineRule="auto"/>
        <w:rPr>
          <w:rFonts w:eastAsia="黑体"/>
          <w:bCs/>
        </w:rPr>
      </w:pPr>
    </w:p>
    <w:p>
      <w:pPr>
        <w:snapToGrid w:val="0"/>
        <w:spacing w:line="360" w:lineRule="auto"/>
        <w:rPr>
          <w:rFonts w:eastAsia="黑体"/>
          <w:bCs/>
        </w:rPr>
      </w:pPr>
    </w:p>
    <w:p>
      <w:pPr>
        <w:snapToGrid w:val="0"/>
        <w:spacing w:line="360" w:lineRule="auto"/>
        <w:rPr>
          <w:rFonts w:eastAsia="黑体"/>
          <w:bCs/>
          <w:szCs w:val="24"/>
        </w:rPr>
      </w:pPr>
      <w:r>
        <w:rPr>
          <w:rFonts w:hint="eastAsia" w:eastAsia="黑体"/>
          <w:bCs/>
          <w:szCs w:val="24"/>
        </w:rPr>
        <w:t>三、教学内容及基本要求</w:t>
      </w:r>
    </w:p>
    <w:p>
      <w:pPr>
        <w:spacing w:line="360" w:lineRule="auto"/>
        <w:ind w:firstLine="420" w:firstLineChars="200"/>
        <w:rPr>
          <w:rFonts w:ascii="黑体" w:hAnsi="黑体" w:eastAsia="黑体" w:cs="黑体"/>
          <w:szCs w:val="21"/>
        </w:rPr>
      </w:pPr>
      <w:r>
        <w:rPr>
          <w:rFonts w:hint="eastAsia" w:ascii="黑体" w:hAnsi="黑体" w:eastAsia="黑体" w:cs="黑体"/>
          <w:szCs w:val="21"/>
        </w:rPr>
        <w:t>第一章 国际形势方面（</w:t>
      </w:r>
      <w:r>
        <w:rPr>
          <w:rFonts w:eastAsia="Times New Roman"/>
          <w:szCs w:val="21"/>
        </w:rPr>
        <w:t>40</w:t>
      </w:r>
      <w:r>
        <w:rPr>
          <w:rFonts w:hint="eastAsia" w:ascii="黑体" w:hAnsi="黑体" w:eastAsia="黑体" w:cs="黑体"/>
          <w:szCs w:val="21"/>
        </w:rPr>
        <w:t>学时）</w:t>
      </w:r>
    </w:p>
    <w:p>
      <w:pPr>
        <w:spacing w:line="360" w:lineRule="auto"/>
        <w:ind w:firstLine="420" w:firstLineChars="200"/>
        <w:rPr>
          <w:szCs w:val="21"/>
        </w:rPr>
      </w:pPr>
      <w:r>
        <w:rPr>
          <w:rFonts w:hint="eastAsia"/>
          <w:szCs w:val="21"/>
        </w:rPr>
        <w:t>了解国际形势的新特点、世界重大事件和我国的对外政策。开设好国际形势与政策专题，重点讲授中国坚持和平发展道路、推动构建人类命运共同体的新理念新贡献。认清国际形势变化的多种因素，目的是认清它对我国社会主义建设有利的方面和不利的方面，了解党和国家采取的对策，从而充分利用有利条件，化解不利因素，为建设中国特色社会主义服务。</w:t>
      </w:r>
    </w:p>
    <w:p>
      <w:pPr>
        <w:spacing w:line="360" w:lineRule="auto"/>
        <w:ind w:firstLine="420" w:firstLineChars="200"/>
        <w:rPr>
          <w:szCs w:val="21"/>
        </w:rPr>
      </w:pPr>
      <w:r>
        <w:rPr>
          <w:rFonts w:hint="eastAsia"/>
          <w:szCs w:val="21"/>
        </w:rPr>
        <w:t>本章节内容支撑课程目标 2。</w:t>
      </w:r>
    </w:p>
    <w:p>
      <w:pPr>
        <w:pStyle w:val="19"/>
        <w:spacing w:beforeAutospacing="0" w:afterAutospacing="0" w:line="360" w:lineRule="auto"/>
        <w:ind w:firstLine="420" w:firstLineChars="200"/>
        <w:jc w:val="both"/>
        <w:rPr>
          <w:rFonts w:ascii="黑体" w:hAnsi="黑体" w:eastAsia="黑体" w:cs="黑体"/>
          <w:kern w:val="2"/>
          <w:sz w:val="21"/>
          <w:szCs w:val="21"/>
        </w:rPr>
      </w:pPr>
      <w:r>
        <w:rPr>
          <w:rFonts w:hint="eastAsia" w:ascii="黑体" w:hAnsi="黑体" w:eastAsia="黑体" w:cs="黑体"/>
          <w:kern w:val="2"/>
          <w:sz w:val="21"/>
          <w:szCs w:val="21"/>
        </w:rPr>
        <w:t>第二章 国内形势方面（</w:t>
      </w:r>
      <w:r>
        <w:rPr>
          <w:rFonts w:ascii="黑体" w:hAnsi="黑体" w:eastAsia="黑体" w:cs="黑体"/>
          <w:kern w:val="2"/>
          <w:sz w:val="21"/>
          <w:szCs w:val="21"/>
        </w:rPr>
        <w:t>56</w:t>
      </w:r>
      <w:r>
        <w:rPr>
          <w:rFonts w:hint="eastAsia" w:ascii="黑体" w:hAnsi="黑体" w:eastAsia="黑体" w:cs="黑体"/>
          <w:kern w:val="2"/>
          <w:sz w:val="21"/>
          <w:szCs w:val="21"/>
        </w:rPr>
        <w:t>学时）</w:t>
      </w:r>
    </w:p>
    <w:p>
      <w:pPr>
        <w:pStyle w:val="19"/>
        <w:spacing w:beforeAutospacing="0" w:afterAutospacing="0" w:line="360" w:lineRule="auto"/>
        <w:ind w:firstLine="420" w:firstLineChars="200"/>
        <w:jc w:val="both"/>
        <w:rPr>
          <w:rFonts w:ascii="Times New Roman" w:hAnsi="Times New Roman" w:cs="Times New Roman"/>
          <w:kern w:val="2"/>
          <w:sz w:val="21"/>
          <w:szCs w:val="21"/>
        </w:rPr>
      </w:pPr>
      <w:r>
        <w:rPr>
          <w:rFonts w:hint="eastAsia" w:ascii="Times New Roman" w:hAnsi="Times New Roman" w:cs="Times New Roman"/>
          <w:kern w:val="2"/>
          <w:sz w:val="21"/>
          <w:szCs w:val="21"/>
        </w:rPr>
        <w:t>了解我国国情和国内发生的重大事件，掌握党的路线方针政策。紧密围绕学习贯彻习近平新时代中国特色社会主义思想，把坚定“四个自信”贯穿教学全过程，重点讲授党的理论创新最新成果，重点讲授新时代坚持和发展中国特色社会主义的生动实践，引导学生正确认识世界和中国发展大势，正确认识中国特色和国际比较，正确认识时代责任和历史使命，正确认识远大抱负和脚踏实地。全面从严治党形势与政策的专题，重点讲授党的政治建设、思想建设、组织建设、作风建设、纪律建设以及贯穿其中的制度建设的新举措新成效；我国经济社会发展形势与政策的专题，重点讲授党中央关于经济建设、政治建设、文化建设、社会建设、生态文明建设的新决策新部署；港澳台工作形势与政策的专题，重点讲授坚持“一国两制”、推进祖国统一的新进展新局面。具体专题内容，依据教育部每学期印发的《高校“形势与政策”课教学要点》安排教学。根据形势发展要求和学生特点有针对性地设置教学内容，及时回应学生关注的热点问题。</w:t>
      </w:r>
    </w:p>
    <w:p>
      <w:pPr>
        <w:pStyle w:val="19"/>
        <w:spacing w:beforeAutospacing="0" w:afterAutospacing="0" w:line="360" w:lineRule="auto"/>
        <w:ind w:firstLine="420" w:firstLineChars="200"/>
        <w:jc w:val="both"/>
        <w:rPr>
          <w:rFonts w:ascii="Times New Roman" w:hAnsi="Times New Roman" w:cs="Times New Roman"/>
          <w:kern w:val="2"/>
          <w:sz w:val="21"/>
          <w:szCs w:val="21"/>
        </w:rPr>
      </w:pPr>
      <w:r>
        <w:rPr>
          <w:rFonts w:hint="eastAsia" w:ascii="Times New Roman" w:hAnsi="Times New Roman" w:cs="Times New Roman"/>
          <w:kern w:val="2"/>
          <w:sz w:val="21"/>
          <w:szCs w:val="21"/>
        </w:rPr>
        <w:t>本章节内容支撑课程目标 1。</w:t>
      </w:r>
    </w:p>
    <w:p>
      <w:pPr>
        <w:pStyle w:val="19"/>
        <w:spacing w:beforeAutospacing="0" w:afterAutospacing="0" w:line="360" w:lineRule="auto"/>
        <w:jc w:val="both"/>
        <w:rPr>
          <w:rFonts w:ascii="Times New Roman" w:hAnsi="Times New Roman" w:cs="Times New Roman"/>
          <w:kern w:val="2"/>
          <w:sz w:val="21"/>
          <w:szCs w:val="21"/>
        </w:rPr>
      </w:pPr>
    </w:p>
    <w:p>
      <w:pPr>
        <w:tabs>
          <w:tab w:val="left" w:pos="420"/>
        </w:tabs>
        <w:adjustRightInd w:val="0"/>
        <w:snapToGrid w:val="0"/>
        <w:spacing w:line="360" w:lineRule="auto"/>
        <w:ind w:left="420" w:hanging="420"/>
        <w:rPr>
          <w:szCs w:val="21"/>
        </w:rPr>
      </w:pPr>
      <w:r>
        <w:rPr>
          <w:rFonts w:hint="eastAsia" w:eastAsia="黑体"/>
          <w:szCs w:val="24"/>
        </w:rPr>
        <w:t>四</w:t>
      </w:r>
      <w:r>
        <w:rPr>
          <w:rFonts w:eastAsia="黑体"/>
          <w:szCs w:val="24"/>
        </w:rPr>
        <w:t>、</w:t>
      </w:r>
      <w:r>
        <w:rPr>
          <w:rFonts w:hint="eastAsia" w:eastAsia="黑体"/>
          <w:szCs w:val="24"/>
        </w:rPr>
        <w:t>实验教学内容</w:t>
      </w:r>
    </w:p>
    <w:p>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课程相应的实验学时为48学时。</w:t>
      </w:r>
    </w:p>
    <w:p>
      <w:pPr>
        <w:widowControl/>
        <w:spacing w:line="360" w:lineRule="auto"/>
        <w:jc w:val="left"/>
        <w:rPr>
          <w:rFonts w:ascii="宋体" w:hAnsi="宋体" w:cs="宋体"/>
          <w:color w:val="000000"/>
          <w:szCs w:val="21"/>
        </w:rPr>
      </w:pPr>
    </w:p>
    <w:p>
      <w:pPr>
        <w:pStyle w:val="19"/>
        <w:spacing w:beforeAutospacing="0" w:afterAutospacing="0" w:line="360" w:lineRule="auto"/>
        <w:jc w:val="both"/>
        <w:rPr>
          <w:rFonts w:ascii="Times New Roman" w:hAnsi="Times New Roman" w:eastAsia="黑体" w:cs="Times New Roman"/>
          <w:kern w:val="2"/>
          <w:sz w:val="21"/>
          <w:szCs w:val="20"/>
        </w:rPr>
      </w:pPr>
      <w:r>
        <w:rPr>
          <w:rFonts w:hint="eastAsia" w:ascii="Times New Roman" w:hAnsi="Times New Roman" w:eastAsia="黑体" w:cs="Times New Roman"/>
          <w:kern w:val="2"/>
          <w:sz w:val="21"/>
          <w:szCs w:val="20"/>
        </w:rPr>
        <w:t>五、学时分配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2"/>
        <w:gridCol w:w="1717"/>
        <w:gridCol w:w="1420"/>
        <w:gridCol w:w="14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adjustRightInd w:val="0"/>
              <w:snapToGrid w:val="0"/>
              <w:jc w:val="center"/>
              <w:rPr>
                <w:sz w:val="18"/>
                <w:szCs w:val="18"/>
              </w:rPr>
            </w:pPr>
            <w:r>
              <w:rPr>
                <w:sz w:val="18"/>
                <w:szCs w:val="18"/>
              </w:rPr>
              <w:t>知识点及内容</w:t>
            </w:r>
          </w:p>
        </w:tc>
        <w:tc>
          <w:tcPr>
            <w:tcW w:w="1007" w:type="pct"/>
            <w:tcBorders>
              <w:tl2br w:val="nil"/>
              <w:tr2bl w:val="nil"/>
            </w:tcBorders>
            <w:vAlign w:val="center"/>
          </w:tcPr>
          <w:p>
            <w:pPr>
              <w:adjustRightInd w:val="0"/>
              <w:snapToGrid w:val="0"/>
              <w:jc w:val="center"/>
              <w:rPr>
                <w:sz w:val="18"/>
                <w:szCs w:val="18"/>
              </w:rPr>
            </w:pPr>
            <w:r>
              <w:rPr>
                <w:sz w:val="18"/>
                <w:szCs w:val="18"/>
              </w:rPr>
              <w:t>讲授（学时）</w:t>
            </w:r>
          </w:p>
        </w:tc>
        <w:tc>
          <w:tcPr>
            <w:tcW w:w="833" w:type="pct"/>
            <w:tcBorders>
              <w:tl2br w:val="nil"/>
              <w:tr2bl w:val="nil"/>
            </w:tcBorders>
            <w:vAlign w:val="center"/>
          </w:tcPr>
          <w:p>
            <w:pPr>
              <w:adjustRightInd w:val="0"/>
              <w:snapToGrid w:val="0"/>
              <w:jc w:val="center"/>
              <w:rPr>
                <w:sz w:val="18"/>
                <w:szCs w:val="18"/>
              </w:rPr>
            </w:pPr>
            <w:r>
              <w:rPr>
                <w:rFonts w:hint="eastAsia"/>
                <w:sz w:val="18"/>
                <w:szCs w:val="18"/>
              </w:rPr>
              <w:t>实践（学时）</w:t>
            </w:r>
          </w:p>
        </w:tc>
        <w:tc>
          <w:tcPr>
            <w:tcW w:w="833" w:type="pct"/>
            <w:tcBorders>
              <w:tl2br w:val="nil"/>
              <w:tr2bl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219" w:firstLineChars="122"/>
              <w:rPr>
                <w:snapToGrid w:val="0"/>
                <w:kern w:val="0"/>
                <w:sz w:val="18"/>
                <w:szCs w:val="18"/>
              </w:rPr>
            </w:pPr>
            <w:r>
              <w:rPr>
                <w:rFonts w:hint="eastAsia"/>
                <w:snapToGrid w:val="0"/>
                <w:kern w:val="0"/>
                <w:sz w:val="18"/>
                <w:szCs w:val="18"/>
              </w:rPr>
              <w:t>第一章 国际形势方面</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20</w:t>
            </w:r>
          </w:p>
        </w:tc>
        <w:tc>
          <w:tcPr>
            <w:tcW w:w="833" w:type="pct"/>
            <w:tcBorders>
              <w:tl2br w:val="nil"/>
              <w:tr2bl w:val="nil"/>
            </w:tcBorders>
            <w:vAlign w:val="center"/>
          </w:tcPr>
          <w:p>
            <w:pPr>
              <w:widowControl/>
              <w:adjustRightInd w:val="0"/>
              <w:snapToGrid w:val="0"/>
              <w:jc w:val="center"/>
              <w:rPr>
                <w:kern w:val="0"/>
                <w:sz w:val="18"/>
                <w:szCs w:val="18"/>
              </w:rPr>
            </w:pPr>
            <w:r>
              <w:rPr>
                <w:rFonts w:hint="eastAsia"/>
                <w:kern w:val="0"/>
                <w:sz w:val="18"/>
                <w:szCs w:val="18"/>
              </w:rPr>
              <w:t>20</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219" w:firstLineChars="122"/>
              <w:rPr>
                <w:snapToGrid w:val="0"/>
                <w:kern w:val="0"/>
                <w:sz w:val="18"/>
                <w:szCs w:val="18"/>
              </w:rPr>
            </w:pPr>
            <w:r>
              <w:rPr>
                <w:rFonts w:hint="eastAsia"/>
                <w:snapToGrid w:val="0"/>
                <w:kern w:val="0"/>
                <w:sz w:val="18"/>
                <w:szCs w:val="18"/>
              </w:rPr>
              <w:t>第二章 国内形势方面</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28</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28</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jc w:val="center"/>
              <w:rPr>
                <w:snapToGrid w:val="0"/>
                <w:kern w:val="0"/>
                <w:sz w:val="18"/>
                <w:szCs w:val="18"/>
              </w:rPr>
            </w:pPr>
            <w:r>
              <w:rPr>
                <w:rFonts w:hint="eastAsia"/>
                <w:sz w:val="18"/>
                <w:szCs w:val="18"/>
              </w:rPr>
              <w:t>合</w:t>
            </w:r>
            <w:r>
              <w:rPr>
                <w:rFonts w:hint="eastAsia"/>
                <w:snapToGrid w:val="0"/>
                <w:kern w:val="0"/>
                <w:sz w:val="18"/>
                <w:szCs w:val="18"/>
              </w:rPr>
              <w:t>计</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48</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48</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eastAsiaTheme="minorEastAsia"/>
                <w:kern w:val="0"/>
                <w:sz w:val="18"/>
                <w:szCs w:val="18"/>
              </w:rPr>
              <w:t>96</w:t>
            </w:r>
          </w:p>
        </w:tc>
      </w:tr>
    </w:tbl>
    <w:p>
      <w:pPr>
        <w:pStyle w:val="19"/>
        <w:spacing w:beforeAutospacing="0" w:afterAutospacing="0" w:line="360" w:lineRule="auto"/>
        <w:jc w:val="both"/>
        <w:rPr>
          <w:rFonts w:ascii="Times New Roman" w:hAnsi="Times New Roman" w:eastAsia="黑体" w:cs="Times New Roman"/>
          <w:kern w:val="2"/>
          <w:sz w:val="21"/>
          <w:szCs w:val="20"/>
        </w:rPr>
      </w:pPr>
    </w:p>
    <w:p>
      <w:pPr>
        <w:pStyle w:val="19"/>
        <w:spacing w:beforeAutospacing="0" w:afterAutospacing="0" w:line="360" w:lineRule="auto"/>
        <w:jc w:val="both"/>
        <w:rPr>
          <w:rFonts w:ascii="Times New Roman" w:hAnsi="Times New Roman" w:eastAsia="黑体" w:cs="Times New Roman"/>
          <w:kern w:val="2"/>
          <w:sz w:val="21"/>
          <w:szCs w:val="20"/>
        </w:rPr>
      </w:pPr>
      <w:r>
        <w:rPr>
          <w:rFonts w:hint="eastAsia" w:ascii="Times New Roman" w:hAnsi="Times New Roman" w:eastAsia="黑体" w:cs="Times New Roman"/>
          <w:kern w:val="2"/>
          <w:sz w:val="21"/>
          <w:szCs w:val="20"/>
        </w:rPr>
        <w:t>六、参考资料</w:t>
      </w:r>
    </w:p>
    <w:p>
      <w:pPr>
        <w:spacing w:line="360" w:lineRule="auto"/>
        <w:ind w:firstLine="420" w:firstLineChars="200"/>
        <w:rPr>
          <w:rFonts w:ascii="宋体" w:hAnsi="宋体" w:cs="宋体"/>
          <w:szCs w:val="21"/>
        </w:rPr>
      </w:pPr>
      <w:r>
        <w:rPr>
          <w:rFonts w:eastAsiaTheme="minorEastAsia"/>
          <w:szCs w:val="21"/>
        </w:rPr>
        <w:t>1</w:t>
      </w:r>
      <w:r>
        <w:rPr>
          <w:rFonts w:hint="eastAsia" w:eastAsiaTheme="minorEastAsia"/>
          <w:szCs w:val="21"/>
        </w:rPr>
        <w:t>、</w:t>
      </w:r>
      <w:r>
        <w:rPr>
          <w:rFonts w:hint="eastAsia" w:ascii="宋体" w:hAnsi="宋体" w:cs="宋体"/>
          <w:szCs w:val="21"/>
        </w:rPr>
        <w:t>中共中央重要会议领导人讲话、文件。</w:t>
      </w:r>
    </w:p>
    <w:p>
      <w:pPr>
        <w:spacing w:line="360" w:lineRule="auto"/>
        <w:ind w:firstLine="420" w:firstLineChars="200"/>
        <w:rPr>
          <w:rFonts w:ascii="宋体" w:hAnsi="宋体" w:cs="宋体"/>
          <w:szCs w:val="21"/>
        </w:rPr>
      </w:pPr>
      <w:r>
        <w:rPr>
          <w:szCs w:val="21"/>
        </w:rPr>
        <w:t>2、</w:t>
      </w:r>
      <w:r>
        <w:rPr>
          <w:rFonts w:hint="eastAsia" w:ascii="宋体" w:hAnsi="宋体" w:cs="宋体"/>
          <w:szCs w:val="21"/>
        </w:rPr>
        <w:t>中宣部、教育部每年春、秋两季颁发的《高校“形势与政策”教育教学要点》。</w:t>
      </w:r>
    </w:p>
    <w:p>
      <w:pPr>
        <w:spacing w:line="360" w:lineRule="auto"/>
        <w:ind w:firstLine="420" w:firstLineChars="200"/>
        <w:rPr>
          <w:rFonts w:ascii="宋体" w:hAnsi="宋体" w:cs="宋体"/>
          <w:szCs w:val="21"/>
        </w:rPr>
      </w:pPr>
      <w:r>
        <w:rPr>
          <w:szCs w:val="21"/>
        </w:rPr>
        <w:t>3、</w:t>
      </w:r>
      <w:r>
        <w:rPr>
          <w:rFonts w:hint="eastAsia" w:ascii="宋体" w:hAnsi="宋体" w:cs="宋体"/>
          <w:szCs w:val="21"/>
        </w:rPr>
        <w:t>《时事报告大学生版》、《时事》VCD。</w:t>
      </w:r>
    </w:p>
    <w:p>
      <w:pPr>
        <w:spacing w:line="360" w:lineRule="auto"/>
        <w:ind w:firstLine="420" w:firstLineChars="200"/>
        <w:rPr>
          <w:rFonts w:ascii="宋体" w:hAnsi="宋体" w:cs="宋体"/>
          <w:szCs w:val="21"/>
        </w:rPr>
      </w:pPr>
      <w:r>
        <w:rPr>
          <w:szCs w:val="21"/>
        </w:rPr>
        <w:t>4、</w:t>
      </w:r>
      <w:r>
        <w:rPr>
          <w:rFonts w:hint="eastAsia" w:ascii="宋体" w:hAnsi="宋体" w:cs="宋体"/>
          <w:szCs w:val="21"/>
        </w:rPr>
        <w:t>教育部等有关部门下发的形势教育图文、音像资料。</w:t>
      </w:r>
    </w:p>
    <w:p>
      <w:pPr>
        <w:spacing w:line="360" w:lineRule="auto"/>
        <w:ind w:firstLine="420" w:firstLineChars="200"/>
        <w:rPr>
          <w:rFonts w:eastAsiaTheme="minorEastAsia"/>
          <w:szCs w:val="21"/>
        </w:rPr>
      </w:pP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1、考核方式：课堂情况、作业情况及实践成绩。</w:t>
      </w:r>
    </w:p>
    <w:p>
      <w:pPr>
        <w:spacing w:line="360" w:lineRule="auto"/>
        <w:ind w:firstLine="420" w:firstLineChars="200"/>
        <w:rPr>
          <w:szCs w:val="21"/>
        </w:rPr>
      </w:pPr>
      <w:r>
        <w:rPr>
          <w:rFonts w:hint="eastAsia"/>
          <w:szCs w:val="21"/>
        </w:rPr>
        <w:t>2、成绩构成：</w:t>
      </w:r>
    </w:p>
    <w:p>
      <w:pPr>
        <w:spacing w:line="360" w:lineRule="auto"/>
        <w:ind w:firstLine="420" w:firstLineChars="200"/>
        <w:rPr>
          <w:szCs w:val="21"/>
        </w:rPr>
      </w:pPr>
      <w:r>
        <w:rPr>
          <w:rFonts w:hint="eastAsia"/>
          <w:szCs w:val="21"/>
        </w:rPr>
        <w:t>本课程通过“平时成绩”和“实践成绩”两种方式对课程目标达成进行评价（本大纲中成绩均采用百分制）：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课堂情况（平时）</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作业情况（平时）</w:t>
            </w:r>
          </w:p>
        </w:tc>
        <w:tc>
          <w:tcPr>
            <w:tcW w:w="1667"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实践成绩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20</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10</w:t>
            </w:r>
          </w:p>
        </w:tc>
        <w:tc>
          <w:tcPr>
            <w:tcW w:w="1667"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70</w:t>
            </w:r>
          </w:p>
        </w:tc>
      </w:tr>
    </w:tbl>
    <w:p>
      <w:pPr>
        <w:spacing w:line="360" w:lineRule="auto"/>
        <w:ind w:firstLine="420" w:firstLineChars="200"/>
        <w:rPr>
          <w:b/>
          <w:bCs/>
          <w:color w:val="1D41D5"/>
          <w:szCs w:val="21"/>
        </w:rPr>
      </w:pPr>
      <w:r>
        <w:rPr>
          <w:rFonts w:hint="eastAsia"/>
          <w:szCs w:val="21"/>
        </w:rPr>
        <w:t>指导性课程目标评价题目分数分配：</w:t>
      </w:r>
    </w:p>
    <w:tbl>
      <w:tblPr>
        <w:tblStyle w:val="22"/>
        <w:tblW w:w="4998" w:type="pct"/>
        <w:jc w:val="center"/>
        <w:tblLayout w:type="autofit"/>
        <w:tblCellMar>
          <w:top w:w="0" w:type="dxa"/>
          <w:left w:w="108" w:type="dxa"/>
          <w:bottom w:w="0" w:type="dxa"/>
          <w:right w:w="108" w:type="dxa"/>
        </w:tblCellMar>
      </w:tblPr>
      <w:tblGrid>
        <w:gridCol w:w="1994"/>
        <w:gridCol w:w="2330"/>
        <w:gridCol w:w="2165"/>
        <w:gridCol w:w="2030"/>
      </w:tblGrid>
      <w:tr>
        <w:tblPrEx>
          <w:tblCellMar>
            <w:top w:w="0" w:type="dxa"/>
            <w:left w:w="108" w:type="dxa"/>
            <w:bottom w:w="0" w:type="dxa"/>
            <w:right w:w="108" w:type="dxa"/>
          </w:tblCellMar>
        </w:tblPrEx>
        <w:trPr>
          <w:trHeight w:val="23" w:hRule="atLeast"/>
          <w:jc w:val="center"/>
        </w:trPr>
        <w:tc>
          <w:tcPr>
            <w:tcW w:w="1170" w:type="pct"/>
            <w:tcBorders>
              <w:top w:val="single" w:color="auto" w:sz="4" w:space="0"/>
              <w:left w:val="nil"/>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课程目标</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rFonts w:hint="eastAsia"/>
                <w:sz w:val="18"/>
                <w:szCs w:val="18"/>
              </w:rPr>
              <w:t>W1</w:t>
            </w:r>
            <w:r>
              <w:rPr>
                <w:rFonts w:hint="eastAsia"/>
                <w:sz w:val="18"/>
                <w:szCs w:val="18"/>
                <w:vertAlign w:val="subscript"/>
              </w:rPr>
              <w:t>i</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作业情况（平时）</w:t>
            </w:r>
          </w:p>
          <w:p>
            <w:pPr>
              <w:jc w:val="center"/>
              <w:rPr>
                <w:sz w:val="18"/>
                <w:szCs w:val="18"/>
              </w:rPr>
            </w:pPr>
            <w:r>
              <w:rPr>
                <w:rFonts w:hint="eastAsia"/>
                <w:sz w:val="18"/>
                <w:szCs w:val="18"/>
              </w:rPr>
              <w:t>W2</w:t>
            </w:r>
            <w:r>
              <w:rPr>
                <w:rFonts w:hint="eastAsia"/>
                <w:sz w:val="18"/>
                <w:szCs w:val="18"/>
                <w:vertAlign w:val="subscript"/>
              </w:rPr>
              <w:t>i</w:t>
            </w:r>
          </w:p>
        </w:tc>
        <w:tc>
          <w:tcPr>
            <w:tcW w:w="1191"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实践成绩</w:t>
            </w:r>
          </w:p>
          <w:p>
            <w:pPr>
              <w:jc w:val="center"/>
              <w:rPr>
                <w:sz w:val="18"/>
                <w:szCs w:val="18"/>
              </w:rPr>
            </w:pPr>
            <w:r>
              <w:rPr>
                <w:rFonts w:hint="eastAsia"/>
                <w:sz w:val="18"/>
                <w:szCs w:val="18"/>
              </w:rPr>
              <w:t>W3</w:t>
            </w:r>
            <w:r>
              <w:rPr>
                <w:rFonts w:hint="eastAsia"/>
                <w:sz w:val="18"/>
                <w:szCs w:val="18"/>
                <w:vertAlign w:val="subscript"/>
              </w:rPr>
              <w:t>i</w:t>
            </w:r>
          </w:p>
        </w:tc>
      </w:tr>
      <w:tr>
        <w:tblPrEx>
          <w:tblCellMar>
            <w:top w:w="0" w:type="dxa"/>
            <w:left w:w="108" w:type="dxa"/>
            <w:bottom w:w="0" w:type="dxa"/>
            <w:right w:w="108" w:type="dxa"/>
          </w:tblCellMar>
        </w:tblPrEx>
        <w:trPr>
          <w:trHeight w:val="23" w:hRule="atLeast"/>
          <w:jc w:val="center"/>
        </w:trPr>
        <w:tc>
          <w:tcPr>
            <w:tcW w:w="117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1</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rFonts w:hint="eastAsia"/>
                <w:bCs/>
                <w:sz w:val="18"/>
                <w:szCs w:val="18"/>
              </w:rPr>
              <w:t>40-50</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rFonts w:hint="eastAsia"/>
                <w:bCs/>
                <w:sz w:val="18"/>
                <w:szCs w:val="18"/>
              </w:rPr>
              <w:t>50-60</w:t>
            </w:r>
          </w:p>
        </w:tc>
        <w:tc>
          <w:tcPr>
            <w:tcW w:w="1191" w:type="pct"/>
            <w:tcBorders>
              <w:top w:val="single" w:color="auto" w:sz="4" w:space="0"/>
              <w:left w:val="single" w:color="auto" w:sz="4" w:space="0"/>
              <w:bottom w:val="single" w:color="auto" w:sz="4" w:space="0"/>
              <w:right w:val="nil"/>
            </w:tcBorders>
            <w:vAlign w:val="center"/>
          </w:tcPr>
          <w:p>
            <w:pPr>
              <w:jc w:val="center"/>
              <w:rPr>
                <w:bCs/>
                <w:sz w:val="18"/>
                <w:szCs w:val="18"/>
              </w:rPr>
            </w:pPr>
            <w:r>
              <w:rPr>
                <w:rFonts w:hint="eastAsia"/>
                <w:bCs/>
                <w:sz w:val="18"/>
                <w:szCs w:val="18"/>
              </w:rPr>
              <w:t>50-60</w:t>
            </w:r>
          </w:p>
        </w:tc>
      </w:tr>
      <w:tr>
        <w:tblPrEx>
          <w:tblCellMar>
            <w:top w:w="0" w:type="dxa"/>
            <w:left w:w="108" w:type="dxa"/>
            <w:bottom w:w="0" w:type="dxa"/>
            <w:right w:w="108" w:type="dxa"/>
          </w:tblCellMar>
        </w:tblPrEx>
        <w:trPr>
          <w:trHeight w:val="23" w:hRule="atLeast"/>
          <w:jc w:val="center"/>
        </w:trPr>
        <w:tc>
          <w:tcPr>
            <w:tcW w:w="117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2</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rFonts w:hint="eastAsia"/>
                <w:bCs/>
                <w:sz w:val="18"/>
                <w:szCs w:val="18"/>
              </w:rPr>
              <w:t>50-60</w:t>
            </w:r>
          </w:p>
        </w:tc>
        <w:tc>
          <w:tcPr>
            <w:tcW w:w="1270"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rFonts w:hint="eastAsia"/>
                <w:bCs/>
                <w:sz w:val="18"/>
                <w:szCs w:val="18"/>
              </w:rPr>
              <w:t>40-50</w:t>
            </w:r>
          </w:p>
        </w:tc>
        <w:tc>
          <w:tcPr>
            <w:tcW w:w="1191" w:type="pct"/>
            <w:tcBorders>
              <w:top w:val="single" w:color="auto" w:sz="4" w:space="0"/>
              <w:left w:val="single" w:color="auto" w:sz="4" w:space="0"/>
              <w:bottom w:val="single" w:color="auto" w:sz="4" w:space="0"/>
              <w:right w:val="nil"/>
            </w:tcBorders>
            <w:vAlign w:val="center"/>
          </w:tcPr>
          <w:p>
            <w:pPr>
              <w:jc w:val="center"/>
              <w:rPr>
                <w:bCs/>
                <w:sz w:val="18"/>
                <w:szCs w:val="18"/>
              </w:rPr>
            </w:pPr>
            <w:r>
              <w:rPr>
                <w:rFonts w:hint="eastAsia"/>
                <w:bCs/>
                <w:sz w:val="18"/>
                <w:szCs w:val="18"/>
              </w:rPr>
              <w:t>40-50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rFonts w:eastAsia="黑体"/>
          <w:b/>
          <w:szCs w:val="21"/>
        </w:rPr>
      </w:pPr>
      <w:r>
        <w:rPr>
          <w:rFonts w:hint="eastAsia"/>
          <w:szCs w:val="21"/>
        </w:rPr>
        <w:t>总课程目标达成值由每个环节的总平均分，按照各环节加权求和得到。</w:t>
      </w:r>
    </w:p>
    <w:p>
      <w:pPr>
        <w:spacing w:line="360" w:lineRule="auto"/>
        <w:rPr>
          <w:b/>
          <w:szCs w:val="21"/>
        </w:rPr>
      </w:pPr>
      <w:r>
        <w:rPr>
          <w:rFonts w:hint="eastAsia" w:ascii="黑体" w:hAnsi="黑体" w:eastAsia="黑体" w:cs="黑体"/>
          <w:szCs w:val="21"/>
        </w:rPr>
        <w:t>八：评价标准</w:t>
      </w:r>
    </w:p>
    <w:p>
      <w:pPr>
        <w:spacing w:line="360" w:lineRule="auto"/>
        <w:ind w:firstLine="420" w:firstLineChars="200"/>
        <w:rPr>
          <w:szCs w:val="21"/>
        </w:rPr>
      </w:pPr>
      <w:r>
        <w:rPr>
          <w:rFonts w:hint="eastAsia"/>
          <w:szCs w:val="21"/>
        </w:rPr>
        <w:t>1、课堂情况评价标准</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546"/>
        <w:gridCol w:w="1544"/>
        <w:gridCol w:w="1544"/>
        <w:gridCol w:w="1372"/>
        <w:gridCol w:w="7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9" w:type="pct"/>
            <w:vMerge w:val="restart"/>
            <w:tcBorders>
              <w:tl2br w:val="nil"/>
              <w:tr2bl w:val="nil"/>
            </w:tcBorders>
            <w:shd w:val="clear" w:color="auto" w:fill="F2F2F2"/>
            <w:vAlign w:val="center"/>
          </w:tcPr>
          <w:p>
            <w:pPr>
              <w:jc w:val="center"/>
              <w:rPr>
                <w:bCs/>
                <w:sz w:val="18"/>
                <w:szCs w:val="18"/>
              </w:rPr>
            </w:pPr>
            <w:r>
              <w:rPr>
                <w:rFonts w:hint="eastAsia"/>
                <w:bCs/>
                <w:sz w:val="18"/>
                <w:szCs w:val="18"/>
              </w:rPr>
              <w:t>基本要求</w:t>
            </w:r>
          </w:p>
        </w:tc>
        <w:tc>
          <w:tcPr>
            <w:tcW w:w="3524" w:type="pct"/>
            <w:gridSpan w:val="4"/>
            <w:tcBorders>
              <w:tl2br w:val="nil"/>
              <w:tr2bl w:val="nil"/>
            </w:tcBorders>
            <w:shd w:val="clear" w:color="auto" w:fill="F2F2F2"/>
            <w:vAlign w:val="center"/>
          </w:tcPr>
          <w:p>
            <w:pPr>
              <w:jc w:val="center"/>
              <w:rPr>
                <w:bCs/>
                <w:sz w:val="18"/>
                <w:szCs w:val="18"/>
              </w:rPr>
            </w:pPr>
            <w:r>
              <w:rPr>
                <w:rFonts w:hint="eastAsia"/>
                <w:bCs/>
                <w:sz w:val="18"/>
                <w:szCs w:val="18"/>
              </w:rPr>
              <w:t>评价标准</w:t>
            </w:r>
          </w:p>
        </w:tc>
        <w:tc>
          <w:tcPr>
            <w:tcW w:w="456" w:type="pct"/>
            <w:vMerge w:val="restart"/>
            <w:tcBorders>
              <w:tl2br w:val="nil"/>
              <w:tr2bl w:val="nil"/>
            </w:tcBorders>
            <w:shd w:val="clear" w:color="auto" w:fill="F2F2F2"/>
            <w:vAlign w:val="center"/>
          </w:tcPr>
          <w:p>
            <w:pPr>
              <w:jc w:val="center"/>
              <w:rPr>
                <w:b/>
                <w:sz w:val="18"/>
                <w:szCs w:val="18"/>
              </w:rPr>
            </w:pPr>
            <w:r>
              <w:rPr>
                <w:rFonts w:hint="eastAsia"/>
                <w:bCs/>
                <w:sz w:val="18"/>
                <w:szCs w:val="18"/>
              </w:rPr>
              <w:t>权重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9" w:type="pct"/>
            <w:vMerge w:val="continue"/>
            <w:tcBorders>
              <w:tl2br w:val="nil"/>
              <w:tr2bl w:val="nil"/>
            </w:tcBorders>
            <w:shd w:val="clear" w:color="auto" w:fill="F2F2F2"/>
          </w:tcPr>
          <w:p>
            <w:pPr>
              <w:jc w:val="center"/>
              <w:rPr>
                <w:bCs/>
                <w:sz w:val="18"/>
                <w:szCs w:val="18"/>
              </w:rPr>
            </w:pPr>
          </w:p>
        </w:tc>
        <w:tc>
          <w:tcPr>
            <w:tcW w:w="907" w:type="pct"/>
            <w:tcBorders>
              <w:tl2br w:val="nil"/>
              <w:tr2bl w:val="nil"/>
            </w:tcBorders>
            <w:shd w:val="clear" w:color="auto" w:fill="F2F2F2"/>
          </w:tcPr>
          <w:p>
            <w:pPr>
              <w:jc w:val="center"/>
              <w:rPr>
                <w:bCs/>
                <w:sz w:val="18"/>
                <w:szCs w:val="18"/>
              </w:rPr>
            </w:pPr>
            <w:r>
              <w:rPr>
                <w:rFonts w:hint="eastAsia"/>
                <w:bCs/>
                <w:sz w:val="18"/>
                <w:szCs w:val="18"/>
              </w:rPr>
              <w:t>90-100分</w:t>
            </w:r>
          </w:p>
        </w:tc>
        <w:tc>
          <w:tcPr>
            <w:tcW w:w="906" w:type="pct"/>
            <w:tcBorders>
              <w:tl2br w:val="nil"/>
              <w:tr2bl w:val="nil"/>
            </w:tcBorders>
            <w:shd w:val="clear" w:color="auto" w:fill="F2F2F2"/>
          </w:tcPr>
          <w:p>
            <w:pPr>
              <w:jc w:val="center"/>
              <w:rPr>
                <w:bCs/>
                <w:sz w:val="18"/>
                <w:szCs w:val="18"/>
              </w:rPr>
            </w:pPr>
            <w:r>
              <w:rPr>
                <w:rFonts w:hint="eastAsia"/>
                <w:bCs/>
                <w:sz w:val="18"/>
                <w:szCs w:val="18"/>
              </w:rPr>
              <w:t>75-89分</w:t>
            </w:r>
          </w:p>
        </w:tc>
        <w:tc>
          <w:tcPr>
            <w:tcW w:w="906" w:type="pct"/>
            <w:tcBorders>
              <w:tl2br w:val="nil"/>
              <w:tr2bl w:val="nil"/>
            </w:tcBorders>
            <w:shd w:val="clear" w:color="auto" w:fill="F2F2F2"/>
          </w:tcPr>
          <w:p>
            <w:pPr>
              <w:jc w:val="center"/>
              <w:rPr>
                <w:bCs/>
                <w:sz w:val="18"/>
                <w:szCs w:val="18"/>
              </w:rPr>
            </w:pPr>
            <w:r>
              <w:rPr>
                <w:rFonts w:hint="eastAsia"/>
                <w:bCs/>
                <w:sz w:val="18"/>
                <w:szCs w:val="18"/>
              </w:rPr>
              <w:t>60-74分</w:t>
            </w:r>
          </w:p>
        </w:tc>
        <w:tc>
          <w:tcPr>
            <w:tcW w:w="804" w:type="pct"/>
            <w:tcBorders>
              <w:tl2br w:val="nil"/>
              <w:tr2bl w:val="nil"/>
            </w:tcBorders>
            <w:shd w:val="clear" w:color="auto" w:fill="F2F2F2"/>
          </w:tcPr>
          <w:p>
            <w:pPr>
              <w:jc w:val="center"/>
              <w:rPr>
                <w:bCs/>
                <w:sz w:val="18"/>
                <w:szCs w:val="18"/>
              </w:rPr>
            </w:pPr>
            <w:r>
              <w:rPr>
                <w:rFonts w:hint="eastAsia"/>
                <w:bCs/>
                <w:sz w:val="18"/>
                <w:szCs w:val="18"/>
              </w:rPr>
              <w:t>0-59分</w:t>
            </w:r>
          </w:p>
        </w:tc>
        <w:tc>
          <w:tcPr>
            <w:tcW w:w="456" w:type="pct"/>
            <w:vMerge w:val="continue"/>
            <w:tcBorders>
              <w:tl2br w:val="nil"/>
              <w:tr2bl w:val="nil"/>
            </w:tcBorders>
            <w:shd w:val="clear" w:color="auto" w:fill="F2F2F2"/>
          </w:tcPr>
          <w:p>
            <w:pPr>
              <w:jc w:val="center"/>
              <w:rPr>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9" w:type="pct"/>
            <w:tcBorders>
              <w:tl2br w:val="nil"/>
              <w:tr2bl w:val="nil"/>
            </w:tcBorders>
            <w:vAlign w:val="center"/>
          </w:tcPr>
          <w:p>
            <w:pPr>
              <w:ind w:firstLine="180" w:firstLineChars="100"/>
              <w:rPr>
                <w:bCs/>
                <w:sz w:val="18"/>
                <w:szCs w:val="18"/>
              </w:rPr>
            </w:pPr>
            <w:r>
              <w:rPr>
                <w:bCs/>
                <w:sz w:val="18"/>
                <w:szCs w:val="18"/>
              </w:rPr>
              <w:t>课堂表现</w:t>
            </w:r>
          </w:p>
        </w:tc>
        <w:tc>
          <w:tcPr>
            <w:tcW w:w="907" w:type="pct"/>
            <w:tcBorders>
              <w:tl2br w:val="nil"/>
              <w:tr2bl w:val="nil"/>
            </w:tcBorders>
            <w:vAlign w:val="center"/>
          </w:tcPr>
          <w:p>
            <w:pPr>
              <w:rPr>
                <w:bCs/>
                <w:sz w:val="18"/>
                <w:szCs w:val="18"/>
              </w:rPr>
            </w:pPr>
            <w:r>
              <w:rPr>
                <w:bCs/>
                <w:sz w:val="18"/>
                <w:szCs w:val="18"/>
              </w:rPr>
              <w:t>没有无故缺课情况，回答问题</w:t>
            </w:r>
            <w:r>
              <w:rPr>
                <w:rFonts w:hint="eastAsia"/>
                <w:bCs/>
                <w:sz w:val="18"/>
                <w:szCs w:val="18"/>
              </w:rPr>
              <w:t>基本概念正确、论述逻辑清楚；层次分明、语言规范。</w:t>
            </w:r>
          </w:p>
        </w:tc>
        <w:tc>
          <w:tcPr>
            <w:tcW w:w="906" w:type="pct"/>
            <w:tcBorders>
              <w:tl2br w:val="nil"/>
              <w:tr2bl w:val="nil"/>
            </w:tcBorders>
            <w:vAlign w:val="center"/>
          </w:tcPr>
          <w:p>
            <w:pPr>
              <w:rPr>
                <w:bCs/>
                <w:sz w:val="18"/>
                <w:szCs w:val="18"/>
              </w:rPr>
            </w:pPr>
            <w:r>
              <w:rPr>
                <w:bCs/>
                <w:sz w:val="18"/>
                <w:szCs w:val="18"/>
              </w:rPr>
              <w:t>很少缺课，回答问题</w:t>
            </w:r>
            <w:r>
              <w:rPr>
                <w:rFonts w:hint="eastAsia"/>
                <w:bCs/>
                <w:sz w:val="18"/>
                <w:szCs w:val="18"/>
              </w:rPr>
              <w:t>基本概念正确、论基本清楚；语言较规范。</w:t>
            </w:r>
          </w:p>
        </w:tc>
        <w:tc>
          <w:tcPr>
            <w:tcW w:w="906" w:type="pct"/>
            <w:tcBorders>
              <w:tl2br w:val="nil"/>
              <w:tr2bl w:val="nil"/>
            </w:tcBorders>
            <w:vAlign w:val="center"/>
          </w:tcPr>
          <w:p>
            <w:pPr>
              <w:rPr>
                <w:bCs/>
                <w:sz w:val="18"/>
                <w:szCs w:val="18"/>
              </w:rPr>
            </w:pPr>
            <w:r>
              <w:rPr>
                <w:bCs/>
                <w:sz w:val="18"/>
                <w:szCs w:val="18"/>
              </w:rPr>
              <w:t>缺课不多，回答问题</w:t>
            </w:r>
            <w:r>
              <w:rPr>
                <w:rFonts w:hint="eastAsia"/>
                <w:bCs/>
                <w:sz w:val="18"/>
                <w:szCs w:val="18"/>
              </w:rPr>
              <w:t>基本概念基本正确、论述基本清楚；语言较规范。</w:t>
            </w:r>
          </w:p>
        </w:tc>
        <w:tc>
          <w:tcPr>
            <w:tcW w:w="804" w:type="pct"/>
            <w:tcBorders>
              <w:tl2br w:val="nil"/>
              <w:tr2bl w:val="nil"/>
            </w:tcBorders>
            <w:vAlign w:val="center"/>
          </w:tcPr>
          <w:p>
            <w:pPr>
              <w:rPr>
                <w:bCs/>
                <w:sz w:val="18"/>
                <w:szCs w:val="18"/>
              </w:rPr>
            </w:pPr>
            <w:r>
              <w:rPr>
                <w:bCs/>
                <w:sz w:val="18"/>
                <w:szCs w:val="18"/>
              </w:rPr>
              <w:t>缺课较多，回答问题</w:t>
            </w:r>
            <w:r>
              <w:rPr>
                <w:rFonts w:hint="eastAsia"/>
                <w:bCs/>
                <w:sz w:val="18"/>
                <w:szCs w:val="18"/>
              </w:rPr>
              <w:t>基本概念不清楚甚至错误、原理论述不清楚。</w:t>
            </w:r>
          </w:p>
        </w:tc>
        <w:tc>
          <w:tcPr>
            <w:tcW w:w="456" w:type="pct"/>
            <w:tcBorders>
              <w:tl2br w:val="nil"/>
              <w:tr2bl w:val="nil"/>
            </w:tcBorders>
            <w:vAlign w:val="center"/>
          </w:tcPr>
          <w:p>
            <w:pPr>
              <w:jc w:val="center"/>
              <w:rPr>
                <w:bCs/>
                <w:sz w:val="18"/>
                <w:szCs w:val="18"/>
              </w:rPr>
            </w:pPr>
            <w:r>
              <w:rPr>
                <w:bCs/>
                <w:sz w:val="18"/>
                <w:szCs w:val="18"/>
              </w:rPr>
              <w:t>20</w:t>
            </w:r>
          </w:p>
        </w:tc>
      </w:tr>
    </w:tbl>
    <w:p>
      <w:pPr>
        <w:pStyle w:val="50"/>
        <w:spacing w:line="360" w:lineRule="auto"/>
        <w:rPr>
          <w:b/>
          <w:szCs w:val="21"/>
        </w:rPr>
      </w:pPr>
      <w:r>
        <w:rPr>
          <w:rFonts w:hint="eastAsia"/>
          <w:szCs w:val="21"/>
        </w:rPr>
        <w:t>2、作业情况评价标准</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572"/>
        <w:gridCol w:w="1570"/>
        <w:gridCol w:w="1570"/>
        <w:gridCol w:w="1396"/>
        <w:gridCol w:w="7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52" w:type="pct"/>
            <w:vMerge w:val="restart"/>
            <w:tcBorders>
              <w:tl2br w:val="nil"/>
              <w:tr2bl w:val="nil"/>
            </w:tcBorders>
            <w:shd w:val="clear" w:color="auto" w:fill="F2F2F2"/>
            <w:vAlign w:val="center"/>
          </w:tcPr>
          <w:p>
            <w:pPr>
              <w:jc w:val="center"/>
              <w:rPr>
                <w:bCs/>
                <w:sz w:val="18"/>
                <w:szCs w:val="18"/>
              </w:rPr>
            </w:pPr>
            <w:r>
              <w:rPr>
                <w:rFonts w:hint="eastAsia"/>
                <w:bCs/>
                <w:sz w:val="18"/>
                <w:szCs w:val="18"/>
              </w:rPr>
              <w:t>基本要求</w:t>
            </w:r>
          </w:p>
        </w:tc>
        <w:tc>
          <w:tcPr>
            <w:tcW w:w="3583" w:type="pct"/>
            <w:gridSpan w:val="4"/>
            <w:tcBorders>
              <w:tl2br w:val="nil"/>
              <w:tr2bl w:val="nil"/>
            </w:tcBorders>
            <w:shd w:val="clear" w:color="auto" w:fill="F2F2F2"/>
            <w:vAlign w:val="center"/>
          </w:tcPr>
          <w:p>
            <w:pPr>
              <w:jc w:val="center"/>
              <w:rPr>
                <w:bCs/>
                <w:sz w:val="18"/>
                <w:szCs w:val="18"/>
              </w:rPr>
            </w:pPr>
            <w:r>
              <w:rPr>
                <w:rFonts w:hint="eastAsia"/>
                <w:bCs/>
                <w:sz w:val="18"/>
                <w:szCs w:val="18"/>
              </w:rPr>
              <w:t>评价标准</w:t>
            </w:r>
          </w:p>
        </w:tc>
        <w:tc>
          <w:tcPr>
            <w:tcW w:w="463" w:type="pct"/>
            <w:vMerge w:val="restart"/>
            <w:tcBorders>
              <w:tl2br w:val="nil"/>
              <w:tr2bl w:val="nil"/>
            </w:tcBorders>
            <w:shd w:val="clear" w:color="auto" w:fill="F2F2F2"/>
            <w:vAlign w:val="center"/>
          </w:tcPr>
          <w:p>
            <w:pPr>
              <w:jc w:val="center"/>
              <w:rPr>
                <w:b/>
                <w:sz w:val="18"/>
                <w:szCs w:val="18"/>
              </w:rPr>
            </w:pPr>
            <w:r>
              <w:rPr>
                <w:rFonts w:hint="eastAsia"/>
                <w:bCs/>
                <w:sz w:val="18"/>
                <w:szCs w:val="18"/>
              </w:rPr>
              <w:t>权重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 w:type="pct"/>
            <w:vMerge w:val="continue"/>
            <w:tcBorders>
              <w:tl2br w:val="nil"/>
              <w:tr2bl w:val="nil"/>
            </w:tcBorders>
            <w:shd w:val="clear" w:color="auto" w:fill="F2F2F2"/>
          </w:tcPr>
          <w:p>
            <w:pPr>
              <w:jc w:val="center"/>
              <w:rPr>
                <w:bCs/>
                <w:sz w:val="18"/>
                <w:szCs w:val="18"/>
              </w:rPr>
            </w:pPr>
          </w:p>
        </w:tc>
        <w:tc>
          <w:tcPr>
            <w:tcW w:w="922" w:type="pct"/>
            <w:tcBorders>
              <w:tl2br w:val="nil"/>
              <w:tr2bl w:val="nil"/>
            </w:tcBorders>
            <w:shd w:val="clear" w:color="auto" w:fill="F2F2F2"/>
          </w:tcPr>
          <w:p>
            <w:pPr>
              <w:jc w:val="center"/>
              <w:rPr>
                <w:bCs/>
                <w:sz w:val="18"/>
                <w:szCs w:val="18"/>
              </w:rPr>
            </w:pPr>
            <w:r>
              <w:rPr>
                <w:rFonts w:hint="eastAsia"/>
                <w:bCs/>
                <w:sz w:val="18"/>
                <w:szCs w:val="18"/>
              </w:rPr>
              <w:t>90-100分</w:t>
            </w:r>
          </w:p>
        </w:tc>
        <w:tc>
          <w:tcPr>
            <w:tcW w:w="921" w:type="pct"/>
            <w:tcBorders>
              <w:tl2br w:val="nil"/>
              <w:tr2bl w:val="nil"/>
            </w:tcBorders>
            <w:shd w:val="clear" w:color="auto" w:fill="F2F2F2"/>
          </w:tcPr>
          <w:p>
            <w:pPr>
              <w:jc w:val="center"/>
              <w:rPr>
                <w:bCs/>
                <w:sz w:val="18"/>
                <w:szCs w:val="18"/>
              </w:rPr>
            </w:pPr>
            <w:r>
              <w:rPr>
                <w:rFonts w:hint="eastAsia"/>
                <w:bCs/>
                <w:sz w:val="18"/>
                <w:szCs w:val="18"/>
              </w:rPr>
              <w:t>75-89分</w:t>
            </w:r>
          </w:p>
        </w:tc>
        <w:tc>
          <w:tcPr>
            <w:tcW w:w="921" w:type="pct"/>
            <w:tcBorders>
              <w:tl2br w:val="nil"/>
              <w:tr2bl w:val="nil"/>
            </w:tcBorders>
            <w:shd w:val="clear" w:color="auto" w:fill="F2F2F2"/>
          </w:tcPr>
          <w:p>
            <w:pPr>
              <w:jc w:val="center"/>
              <w:rPr>
                <w:bCs/>
                <w:sz w:val="18"/>
                <w:szCs w:val="18"/>
              </w:rPr>
            </w:pPr>
            <w:r>
              <w:rPr>
                <w:rFonts w:hint="eastAsia"/>
                <w:bCs/>
                <w:sz w:val="18"/>
                <w:szCs w:val="18"/>
              </w:rPr>
              <w:t>60-74分</w:t>
            </w:r>
          </w:p>
        </w:tc>
        <w:tc>
          <w:tcPr>
            <w:tcW w:w="817" w:type="pct"/>
            <w:tcBorders>
              <w:tl2br w:val="nil"/>
              <w:tr2bl w:val="nil"/>
            </w:tcBorders>
            <w:shd w:val="clear" w:color="auto" w:fill="F2F2F2"/>
          </w:tcPr>
          <w:p>
            <w:pPr>
              <w:jc w:val="center"/>
              <w:rPr>
                <w:bCs/>
                <w:sz w:val="18"/>
                <w:szCs w:val="18"/>
              </w:rPr>
            </w:pPr>
            <w:r>
              <w:rPr>
                <w:rFonts w:hint="eastAsia"/>
                <w:bCs/>
                <w:sz w:val="18"/>
                <w:szCs w:val="18"/>
              </w:rPr>
              <w:t>0-59分</w:t>
            </w:r>
          </w:p>
        </w:tc>
        <w:tc>
          <w:tcPr>
            <w:tcW w:w="463" w:type="pct"/>
            <w:vMerge w:val="continue"/>
            <w:tcBorders>
              <w:tl2br w:val="nil"/>
              <w:tr2bl w:val="nil"/>
            </w:tcBorders>
            <w:shd w:val="clear" w:color="auto" w:fill="F2F2F2"/>
          </w:tcPr>
          <w:p>
            <w:pPr>
              <w:jc w:val="center"/>
              <w:rPr>
                <w:b/>
                <w:bCs/>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 w:type="pct"/>
            <w:tcBorders>
              <w:tl2br w:val="nil"/>
              <w:tr2bl w:val="nil"/>
            </w:tcBorders>
            <w:vAlign w:val="center"/>
          </w:tcPr>
          <w:p>
            <w:pPr>
              <w:rPr>
                <w:bCs/>
                <w:sz w:val="18"/>
                <w:szCs w:val="18"/>
              </w:rPr>
            </w:pPr>
            <w:r>
              <w:rPr>
                <w:rFonts w:hint="eastAsia"/>
                <w:bCs/>
                <w:sz w:val="18"/>
                <w:szCs w:val="18"/>
              </w:rPr>
              <w:t>课后作业测试</w:t>
            </w:r>
          </w:p>
        </w:tc>
        <w:tc>
          <w:tcPr>
            <w:tcW w:w="922" w:type="pct"/>
            <w:tcBorders>
              <w:tl2br w:val="nil"/>
              <w:tr2bl w:val="nil"/>
            </w:tcBorders>
            <w:vAlign w:val="center"/>
          </w:tcPr>
          <w:p>
            <w:pPr>
              <w:rPr>
                <w:bCs/>
                <w:sz w:val="18"/>
                <w:szCs w:val="18"/>
              </w:rPr>
            </w:pPr>
            <w:r>
              <w:rPr>
                <w:rFonts w:hint="eastAsia"/>
                <w:bCs/>
                <w:sz w:val="18"/>
                <w:szCs w:val="18"/>
              </w:rPr>
              <w:t>按时交作业；基本概念正确、论述逻辑清楚；层次分明、语言规范。</w:t>
            </w:r>
          </w:p>
        </w:tc>
        <w:tc>
          <w:tcPr>
            <w:tcW w:w="921" w:type="pct"/>
            <w:tcBorders>
              <w:tl2br w:val="nil"/>
              <w:tr2bl w:val="nil"/>
            </w:tcBorders>
            <w:vAlign w:val="center"/>
          </w:tcPr>
          <w:p>
            <w:pPr>
              <w:rPr>
                <w:bCs/>
                <w:sz w:val="18"/>
                <w:szCs w:val="18"/>
              </w:rPr>
            </w:pPr>
            <w:r>
              <w:rPr>
                <w:rFonts w:hint="eastAsia"/>
                <w:bCs/>
                <w:sz w:val="18"/>
                <w:szCs w:val="18"/>
              </w:rPr>
              <w:t>按时交作业；基本概念正确、论基本清楚；语言较规范。</w:t>
            </w:r>
          </w:p>
        </w:tc>
        <w:tc>
          <w:tcPr>
            <w:tcW w:w="921" w:type="pct"/>
            <w:tcBorders>
              <w:tl2br w:val="nil"/>
              <w:tr2bl w:val="nil"/>
            </w:tcBorders>
            <w:vAlign w:val="center"/>
          </w:tcPr>
          <w:p>
            <w:pPr>
              <w:jc w:val="left"/>
              <w:rPr>
                <w:bCs/>
                <w:sz w:val="18"/>
                <w:szCs w:val="18"/>
              </w:rPr>
            </w:pPr>
            <w:r>
              <w:rPr>
                <w:rFonts w:hint="eastAsia"/>
                <w:bCs/>
                <w:sz w:val="18"/>
                <w:szCs w:val="18"/>
              </w:rPr>
              <w:t>按时交作业；基本概念基本正确、论述基本清楚；语言较规范。</w:t>
            </w:r>
          </w:p>
        </w:tc>
        <w:tc>
          <w:tcPr>
            <w:tcW w:w="817" w:type="pct"/>
            <w:tcBorders>
              <w:tl2br w:val="nil"/>
              <w:tr2bl w:val="nil"/>
            </w:tcBorders>
            <w:vAlign w:val="center"/>
          </w:tcPr>
          <w:p>
            <w:pPr>
              <w:rPr>
                <w:bCs/>
                <w:sz w:val="18"/>
                <w:szCs w:val="18"/>
              </w:rPr>
            </w:pPr>
            <w:r>
              <w:rPr>
                <w:rFonts w:hint="eastAsia"/>
                <w:bCs/>
                <w:sz w:val="18"/>
                <w:szCs w:val="18"/>
              </w:rPr>
              <w:t>不能按时交作业，有抄袭现象；或者基本概念不清楚、论述不清楚。</w:t>
            </w:r>
          </w:p>
        </w:tc>
        <w:tc>
          <w:tcPr>
            <w:tcW w:w="463" w:type="pct"/>
            <w:tcBorders>
              <w:tl2br w:val="nil"/>
              <w:tr2bl w:val="nil"/>
            </w:tcBorders>
            <w:vAlign w:val="center"/>
          </w:tcPr>
          <w:p>
            <w:pPr>
              <w:jc w:val="center"/>
              <w:rPr>
                <w:bCs/>
                <w:sz w:val="18"/>
                <w:szCs w:val="18"/>
              </w:rPr>
            </w:pPr>
            <w:r>
              <w:rPr>
                <w:bCs/>
                <w:sz w:val="18"/>
                <w:szCs w:val="18"/>
              </w:rPr>
              <w:t>10</w:t>
            </w:r>
          </w:p>
        </w:tc>
      </w:tr>
    </w:tbl>
    <w:p>
      <w:pPr>
        <w:pStyle w:val="50"/>
        <w:spacing w:line="360" w:lineRule="auto"/>
        <w:rPr>
          <w:b/>
          <w:szCs w:val="21"/>
          <w:highlight w:val="yellow"/>
        </w:rPr>
      </w:pPr>
      <w:r>
        <w:rPr>
          <w:rFonts w:hint="eastAsia"/>
          <w:szCs w:val="21"/>
        </w:rPr>
        <w:t>3、实践评价标准</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569"/>
        <w:gridCol w:w="1570"/>
        <w:gridCol w:w="1570"/>
        <w:gridCol w:w="1514"/>
        <w:gridCol w:w="6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954" w:type="pct"/>
            <w:vMerge w:val="restart"/>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基本要求</w:t>
            </w:r>
          </w:p>
        </w:tc>
        <w:tc>
          <w:tcPr>
            <w:tcW w:w="3651" w:type="pct"/>
            <w:gridSpan w:val="4"/>
            <w:tcBorders>
              <w:tl2br w:val="nil"/>
              <w:tr2bl w:val="nil"/>
            </w:tcBorders>
            <w:shd w:val="clear" w:color="auto" w:fill="F2F2F2"/>
            <w:vAlign w:val="center"/>
          </w:tcPr>
          <w:p>
            <w:pPr>
              <w:jc w:val="center"/>
              <w:rPr>
                <w:bCs/>
                <w:color w:val="000000"/>
                <w:sz w:val="18"/>
                <w:szCs w:val="18"/>
              </w:rPr>
            </w:pPr>
            <w:r>
              <w:rPr>
                <w:rFonts w:hint="eastAsia"/>
                <w:bCs/>
                <w:color w:val="000000"/>
                <w:sz w:val="18"/>
                <w:szCs w:val="18"/>
              </w:rPr>
              <w:t>评价标准</w:t>
            </w:r>
          </w:p>
        </w:tc>
        <w:tc>
          <w:tcPr>
            <w:tcW w:w="394" w:type="pct"/>
            <w:vMerge w:val="restart"/>
            <w:tcBorders>
              <w:tl2br w:val="nil"/>
              <w:tr2bl w:val="nil"/>
            </w:tcBorders>
            <w:shd w:val="clear" w:color="auto" w:fill="F2F2F2"/>
            <w:vAlign w:val="center"/>
          </w:tcPr>
          <w:p>
            <w:pPr>
              <w:jc w:val="center"/>
              <w:rPr>
                <w:b/>
                <w:color w:val="000000"/>
                <w:sz w:val="18"/>
                <w:szCs w:val="18"/>
              </w:rPr>
            </w:pPr>
            <w:r>
              <w:rPr>
                <w:rFonts w:hint="eastAsia"/>
                <w:bCs/>
                <w:color w:val="000000"/>
                <w:sz w:val="18"/>
                <w:szCs w:val="18"/>
              </w:rPr>
              <w:t>权重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4" w:type="pct"/>
            <w:vMerge w:val="continue"/>
            <w:tcBorders>
              <w:tl2br w:val="nil"/>
              <w:tr2bl w:val="nil"/>
            </w:tcBorders>
            <w:shd w:val="clear" w:color="auto" w:fill="F2F2F2"/>
          </w:tcPr>
          <w:p>
            <w:pPr>
              <w:jc w:val="center"/>
              <w:rPr>
                <w:bCs/>
                <w:color w:val="000000"/>
                <w:sz w:val="18"/>
                <w:szCs w:val="18"/>
              </w:rPr>
            </w:pPr>
          </w:p>
        </w:tc>
        <w:tc>
          <w:tcPr>
            <w:tcW w:w="921" w:type="pct"/>
            <w:tcBorders>
              <w:tl2br w:val="nil"/>
              <w:tr2bl w:val="nil"/>
            </w:tcBorders>
            <w:shd w:val="clear" w:color="auto" w:fill="F2F2F2"/>
          </w:tcPr>
          <w:p>
            <w:pPr>
              <w:jc w:val="center"/>
              <w:rPr>
                <w:bCs/>
                <w:color w:val="000000"/>
                <w:sz w:val="18"/>
                <w:szCs w:val="18"/>
              </w:rPr>
            </w:pPr>
            <w:r>
              <w:rPr>
                <w:rFonts w:hint="eastAsia"/>
                <w:bCs/>
                <w:color w:val="000000"/>
                <w:sz w:val="18"/>
                <w:szCs w:val="18"/>
              </w:rPr>
              <w:t>90-100分</w:t>
            </w:r>
          </w:p>
        </w:tc>
        <w:tc>
          <w:tcPr>
            <w:tcW w:w="921" w:type="pct"/>
            <w:tcBorders>
              <w:tl2br w:val="nil"/>
              <w:tr2bl w:val="nil"/>
            </w:tcBorders>
            <w:shd w:val="clear" w:color="auto" w:fill="F2F2F2"/>
          </w:tcPr>
          <w:p>
            <w:pPr>
              <w:jc w:val="center"/>
              <w:rPr>
                <w:bCs/>
                <w:color w:val="000000"/>
                <w:sz w:val="18"/>
                <w:szCs w:val="18"/>
              </w:rPr>
            </w:pPr>
            <w:r>
              <w:rPr>
                <w:rFonts w:hint="eastAsia"/>
                <w:bCs/>
                <w:color w:val="000000"/>
                <w:sz w:val="18"/>
                <w:szCs w:val="18"/>
              </w:rPr>
              <w:t>75-89分</w:t>
            </w:r>
          </w:p>
        </w:tc>
        <w:tc>
          <w:tcPr>
            <w:tcW w:w="921" w:type="pct"/>
            <w:tcBorders>
              <w:tl2br w:val="nil"/>
              <w:tr2bl w:val="nil"/>
            </w:tcBorders>
            <w:shd w:val="clear" w:color="auto" w:fill="F2F2F2"/>
          </w:tcPr>
          <w:p>
            <w:pPr>
              <w:jc w:val="center"/>
              <w:rPr>
                <w:bCs/>
                <w:color w:val="000000"/>
                <w:sz w:val="18"/>
                <w:szCs w:val="18"/>
              </w:rPr>
            </w:pPr>
            <w:r>
              <w:rPr>
                <w:rFonts w:hint="eastAsia"/>
                <w:bCs/>
                <w:color w:val="000000"/>
                <w:sz w:val="18"/>
                <w:szCs w:val="18"/>
              </w:rPr>
              <w:t>60-74分</w:t>
            </w:r>
          </w:p>
        </w:tc>
        <w:tc>
          <w:tcPr>
            <w:tcW w:w="887" w:type="pct"/>
            <w:tcBorders>
              <w:tl2br w:val="nil"/>
              <w:tr2bl w:val="nil"/>
            </w:tcBorders>
            <w:shd w:val="clear" w:color="auto" w:fill="F2F2F2"/>
          </w:tcPr>
          <w:p>
            <w:pPr>
              <w:jc w:val="center"/>
              <w:rPr>
                <w:bCs/>
                <w:color w:val="000000"/>
                <w:sz w:val="18"/>
                <w:szCs w:val="18"/>
              </w:rPr>
            </w:pPr>
            <w:r>
              <w:rPr>
                <w:rFonts w:hint="eastAsia"/>
                <w:bCs/>
                <w:color w:val="000000"/>
                <w:sz w:val="18"/>
                <w:szCs w:val="18"/>
              </w:rPr>
              <w:t>0-59分</w:t>
            </w:r>
          </w:p>
        </w:tc>
        <w:tc>
          <w:tcPr>
            <w:tcW w:w="394" w:type="pct"/>
            <w:vMerge w:val="continue"/>
            <w:tcBorders>
              <w:tl2br w:val="nil"/>
              <w:tr2bl w:val="nil"/>
            </w:tcBorders>
            <w:shd w:val="clear" w:color="auto" w:fill="F2F2F2"/>
          </w:tcPr>
          <w:p>
            <w:pPr>
              <w:jc w:val="center"/>
              <w:rPr>
                <w:b/>
                <w:bCs/>
                <w:color w:val="C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4" w:type="pct"/>
            <w:tcBorders>
              <w:tl2br w:val="nil"/>
              <w:tr2bl w:val="nil"/>
            </w:tcBorders>
            <w:vAlign w:val="center"/>
          </w:tcPr>
          <w:p>
            <w:pPr>
              <w:rPr>
                <w:bCs/>
                <w:color w:val="7030A0"/>
                <w:sz w:val="18"/>
                <w:szCs w:val="18"/>
              </w:rPr>
            </w:pPr>
            <w:r>
              <w:rPr>
                <w:bCs/>
                <w:sz w:val="18"/>
                <w:szCs w:val="18"/>
              </w:rPr>
              <w:t>完成实践手册</w:t>
            </w:r>
          </w:p>
        </w:tc>
        <w:tc>
          <w:tcPr>
            <w:tcW w:w="921" w:type="pct"/>
            <w:tcBorders>
              <w:tl2br w:val="nil"/>
              <w:tr2bl w:val="nil"/>
            </w:tcBorders>
            <w:vAlign w:val="center"/>
          </w:tcPr>
          <w:p>
            <w:pPr>
              <w:rPr>
                <w:bCs/>
                <w:color w:val="7030A0"/>
                <w:sz w:val="18"/>
                <w:szCs w:val="18"/>
              </w:rPr>
            </w:pPr>
            <w:r>
              <w:rPr>
                <w:rFonts w:cs="宋体"/>
                <w:sz w:val="18"/>
                <w:szCs w:val="18"/>
              </w:rPr>
              <w:t>完成实践报告手册中的两篇：调查报告和专题论文。文章能</w:t>
            </w:r>
            <w:r>
              <w:rPr>
                <w:rFonts w:hint="eastAsia" w:cs="宋体"/>
                <w:sz w:val="18"/>
                <w:szCs w:val="18"/>
              </w:rPr>
              <w:t>紧扣主要问题，观点鲜明，内容充实，分析透彻，结构严谨，语言流畅，标题准确而醒目。</w:t>
            </w:r>
          </w:p>
        </w:tc>
        <w:tc>
          <w:tcPr>
            <w:tcW w:w="921" w:type="pct"/>
            <w:tcBorders>
              <w:tl2br w:val="nil"/>
              <w:tr2bl w:val="nil"/>
            </w:tcBorders>
            <w:vAlign w:val="center"/>
          </w:tcPr>
          <w:p>
            <w:pPr>
              <w:rPr>
                <w:bCs/>
                <w:color w:val="7030A0"/>
                <w:sz w:val="18"/>
                <w:szCs w:val="18"/>
              </w:rPr>
            </w:pPr>
            <w:r>
              <w:rPr>
                <w:rFonts w:cs="宋体"/>
                <w:sz w:val="18"/>
                <w:szCs w:val="18"/>
              </w:rPr>
              <w:t>完成实践报告手册中的两篇：调查报告和专题论文。文章</w:t>
            </w:r>
            <w:r>
              <w:rPr>
                <w:rFonts w:hint="eastAsia" w:cs="宋体"/>
                <w:sz w:val="18"/>
                <w:szCs w:val="18"/>
              </w:rPr>
              <w:t>能针对主要问题，观点明确，内容较充实，结构完整，语言通顺，标题正确。</w:t>
            </w:r>
          </w:p>
        </w:tc>
        <w:tc>
          <w:tcPr>
            <w:tcW w:w="921" w:type="pct"/>
            <w:tcBorders>
              <w:tl2br w:val="nil"/>
              <w:tr2bl w:val="nil"/>
            </w:tcBorders>
            <w:vAlign w:val="center"/>
          </w:tcPr>
          <w:p>
            <w:pPr>
              <w:rPr>
                <w:bCs/>
                <w:color w:val="7030A0"/>
                <w:sz w:val="18"/>
                <w:szCs w:val="18"/>
              </w:rPr>
            </w:pPr>
            <w:r>
              <w:rPr>
                <w:rFonts w:cs="宋体"/>
                <w:sz w:val="18"/>
                <w:szCs w:val="18"/>
              </w:rPr>
              <w:t>完成实践报告手册中的两篇：调查报告和专题论文。文章</w:t>
            </w:r>
            <w:r>
              <w:rPr>
                <w:rFonts w:hint="eastAsia" w:cs="宋体"/>
                <w:sz w:val="18"/>
                <w:szCs w:val="18"/>
              </w:rPr>
              <w:t>基本能针对主要问题，观点基本明确，内容一般，结构基本完整，语言基本通顺，标题基本正确。</w:t>
            </w:r>
          </w:p>
        </w:tc>
        <w:tc>
          <w:tcPr>
            <w:tcW w:w="887" w:type="pct"/>
            <w:tcBorders>
              <w:tl2br w:val="nil"/>
              <w:tr2bl w:val="nil"/>
            </w:tcBorders>
            <w:vAlign w:val="center"/>
          </w:tcPr>
          <w:p>
            <w:pPr>
              <w:rPr>
                <w:bCs/>
                <w:color w:val="7030A0"/>
                <w:sz w:val="18"/>
                <w:szCs w:val="18"/>
              </w:rPr>
            </w:pPr>
            <w:r>
              <w:rPr>
                <w:rFonts w:cs="宋体"/>
                <w:sz w:val="18"/>
                <w:szCs w:val="18"/>
              </w:rPr>
              <w:t>未完成实践报告手册中的两篇：调查报告和专题论文。</w:t>
            </w:r>
            <w:r>
              <w:rPr>
                <w:rFonts w:hint="eastAsia" w:cs="宋体"/>
                <w:sz w:val="18"/>
                <w:szCs w:val="18"/>
              </w:rPr>
              <w:t>基本脱离主要问题，观点不明确，内容单薄，结构欠缺，语病较多，标题不准确。</w:t>
            </w:r>
          </w:p>
        </w:tc>
        <w:tc>
          <w:tcPr>
            <w:tcW w:w="394" w:type="pct"/>
            <w:tcBorders>
              <w:tl2br w:val="nil"/>
              <w:tr2bl w:val="nil"/>
            </w:tcBorders>
            <w:vAlign w:val="center"/>
          </w:tcPr>
          <w:p>
            <w:pPr>
              <w:jc w:val="center"/>
              <w:rPr>
                <w:bCs/>
                <w:color w:val="7030A0"/>
                <w:sz w:val="18"/>
                <w:szCs w:val="18"/>
              </w:rPr>
            </w:pPr>
            <w:r>
              <w:rPr>
                <w:bCs/>
                <w:sz w:val="18"/>
                <w:szCs w:val="18"/>
              </w:rPr>
              <w:t>70</w:t>
            </w:r>
          </w:p>
        </w:tc>
      </w:tr>
    </w:tbl>
    <w:p>
      <w:r>
        <w:br w:type="page"/>
      </w:r>
    </w:p>
    <w:p>
      <w:pPr>
        <w:pStyle w:val="20"/>
        <w:spacing w:before="312" w:after="468"/>
      </w:pPr>
      <w:bookmarkStart w:id="21" w:name="_Toc22043418"/>
      <w:bookmarkStart w:id="22" w:name="_Toc31408"/>
      <w:r>
        <w:t>《X01100006</w:t>
      </w:r>
      <w:r>
        <w:rPr>
          <w:rFonts w:hint="eastAsia"/>
        </w:rPr>
        <w:t>-</w:t>
      </w:r>
      <w:r>
        <w:t>大学生实用心理学》教学大纲</w:t>
      </w:r>
      <w:bookmarkEnd w:id="21"/>
      <w:bookmarkEnd w:id="22"/>
    </w:p>
    <w:p>
      <w:pPr>
        <w:adjustRightInd w:val="0"/>
        <w:snapToGrid w:val="0"/>
        <w:spacing w:line="360" w:lineRule="auto"/>
        <w:rPr>
          <w:rFonts w:eastAsiaTheme="minorEastAsia"/>
          <w:bCs/>
          <w:kern w:val="0"/>
        </w:rPr>
      </w:pPr>
      <w:r>
        <w:rPr>
          <w:rFonts w:hint="eastAsia" w:eastAsia="黑体"/>
          <w:szCs w:val="21"/>
        </w:rPr>
        <w:t>课程编号：</w:t>
      </w:r>
      <w:r>
        <w:rPr>
          <w:rFonts w:hint="eastAsia" w:cs="Arial"/>
          <w:kern w:val="0"/>
          <w:szCs w:val="21"/>
        </w:rPr>
        <w:t>X01100006</w:t>
      </w:r>
    </w:p>
    <w:p>
      <w:pPr>
        <w:adjustRightInd w:val="0"/>
        <w:snapToGrid w:val="0"/>
        <w:spacing w:line="360" w:lineRule="auto"/>
        <w:rPr>
          <w:snapToGrid w:val="0"/>
          <w:kern w:val="0"/>
          <w:szCs w:val="21"/>
        </w:rPr>
      </w:pPr>
      <w:r>
        <w:rPr>
          <w:rFonts w:hint="eastAsia" w:eastAsia="黑体"/>
          <w:szCs w:val="21"/>
        </w:rPr>
        <w:t>课程名称：</w:t>
      </w:r>
      <w:r>
        <w:t>大学生实用心理学</w:t>
      </w:r>
      <w:r>
        <w:rPr>
          <w:szCs w:val="21"/>
        </w:rPr>
        <w:tab/>
      </w:r>
      <w:r>
        <w:rPr>
          <w:szCs w:val="21"/>
        </w:rPr>
        <w:tab/>
      </w:r>
      <w:r>
        <w:rPr>
          <w:szCs w:val="21"/>
        </w:rPr>
        <w:tab/>
      </w:r>
      <w:r>
        <w:rPr>
          <w:rFonts w:hint="eastAsia" w:eastAsia="黑体"/>
          <w:szCs w:val="21"/>
        </w:rPr>
        <w:t>开课单位：</w:t>
      </w:r>
      <w:r>
        <w:t>仪器与电子学院</w:t>
      </w:r>
    </w:p>
    <w:p>
      <w:pPr>
        <w:adjustRightInd w:val="0"/>
        <w:snapToGrid w:val="0"/>
        <w:spacing w:line="360" w:lineRule="auto"/>
        <w:rPr>
          <w:rFonts w:eastAsia="黑体"/>
          <w:szCs w:val="21"/>
        </w:rPr>
      </w:pPr>
      <w:r>
        <w:rPr>
          <w:rFonts w:hint="eastAsia" w:eastAsia="黑体"/>
          <w:szCs w:val="21"/>
        </w:rPr>
        <w:t>总 学 时：</w:t>
      </w:r>
      <w:r>
        <w:rPr>
          <w:rFonts w:eastAsia="黑体"/>
          <w:szCs w:val="21"/>
        </w:rPr>
        <w:t>32</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1</w:t>
      </w:r>
    </w:p>
    <w:p>
      <w:pPr>
        <w:adjustRightInd w:val="0"/>
        <w:snapToGrid w:val="0"/>
        <w:spacing w:line="360" w:lineRule="auto"/>
        <w:rPr>
          <w:rFonts w:eastAsia="黑体"/>
          <w:szCs w:val="21"/>
        </w:rPr>
      </w:pPr>
      <w:r>
        <w:rPr>
          <w:rFonts w:hint="eastAsia" w:eastAsia="黑体"/>
          <w:szCs w:val="21"/>
        </w:rPr>
        <w:t>适用专业：</w:t>
      </w:r>
      <w:r>
        <w:rPr>
          <w:rFonts w:hint="eastAsia"/>
          <w:szCs w:val="21"/>
        </w:rPr>
        <w:t>工程类各专业</w:t>
      </w:r>
    </w:p>
    <w:p>
      <w:pPr>
        <w:adjustRightInd w:val="0"/>
        <w:snapToGrid w:val="0"/>
        <w:spacing w:line="360" w:lineRule="auto"/>
        <w:rPr>
          <w:rFonts w:eastAsia="黑体"/>
          <w:szCs w:val="21"/>
        </w:rPr>
      </w:pPr>
      <w:r>
        <w:rPr>
          <w:rFonts w:hint="eastAsia" w:eastAsia="黑体"/>
          <w:szCs w:val="21"/>
        </w:rPr>
        <w:t>先修课程：</w:t>
      </w:r>
      <w:r>
        <w:rPr>
          <w:rFonts w:hint="eastAsia" w:ascii="宋体" w:hAnsi="宋体" w:cs="宋体"/>
          <w:szCs w:val="21"/>
        </w:rPr>
        <w:t>无</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eastAsiaTheme="minorEastAsia"/>
          <w:szCs w:val="21"/>
        </w:rPr>
        <w:t>2019</w:t>
      </w:r>
      <w:r>
        <w:rPr>
          <w:rFonts w:hint="eastAsia" w:ascii="宋体" w:hAnsi="宋体" w:cs="宋体"/>
          <w:szCs w:val="21"/>
        </w:rPr>
        <w:t>年</w:t>
      </w:r>
      <w:r>
        <w:rPr>
          <w:rFonts w:eastAsiaTheme="minorEastAsia"/>
          <w:szCs w:val="21"/>
        </w:rPr>
        <w:t>4</w:t>
      </w:r>
      <w:r>
        <w:rPr>
          <w:rFonts w:hint="eastAsia" w:ascii="宋体" w:hAnsi="宋体" w:cs="宋体"/>
          <w:szCs w:val="21"/>
        </w:rPr>
        <w:t>月</w:t>
      </w:r>
    </w:p>
    <w:p>
      <w:pPr>
        <w:spacing w:line="360" w:lineRule="auto"/>
        <w:rPr>
          <w:b/>
          <w:sz w:val="24"/>
          <w:szCs w:val="24"/>
        </w:rPr>
      </w:pPr>
    </w:p>
    <w:p>
      <w:pPr>
        <w:adjustRightInd w:val="0"/>
        <w:snapToGrid w:val="0"/>
        <w:spacing w:line="360" w:lineRule="auto"/>
        <w:rPr>
          <w:rFonts w:eastAsia="黑体"/>
        </w:rPr>
      </w:pPr>
      <w:bookmarkStart w:id="23" w:name="_Toc24081"/>
      <w:r>
        <w:rPr>
          <w:rFonts w:hint="eastAsia" w:eastAsia="黑体"/>
        </w:rPr>
        <w:t>一、</w:t>
      </w:r>
      <w:r>
        <w:rPr>
          <w:rFonts w:eastAsia="黑体"/>
        </w:rPr>
        <w:t>课程在教学计划中的地位、作用</w:t>
      </w:r>
      <w:bookmarkEnd w:id="23"/>
    </w:p>
    <w:p>
      <w:pPr>
        <w:spacing w:line="360" w:lineRule="auto"/>
        <w:ind w:firstLine="420" w:firstLineChars="200"/>
        <w:rPr>
          <w:szCs w:val="21"/>
        </w:rPr>
      </w:pPr>
      <w:r>
        <w:rPr>
          <w:rFonts w:hint="eastAsia" w:ascii="宋体" w:hAnsi="宋体" w:cs="宋体"/>
          <w:szCs w:val="21"/>
        </w:rPr>
        <w:t>本课程旨在通过教学使学生对心理学这门学科的性质、现状和发展有所了解。掌握心理学的基本概念、基本事实和基本理论，为后续课程的学习打下坚实的基础。了解并实践心理学研究的基本方法和手段；明确心理学研究的基本思路和范式；培养学生对心理学的兴趣，提高学生学习的自主性和大学生的心理素质。通过对现有心理学理论的批判性思考掌握一些批判性思维的技巧和方法。并为将来进入激烈的社会竞争，提前做好充分的心理准备。</w:t>
      </w:r>
    </w:p>
    <w:p>
      <w:pPr>
        <w:spacing w:line="360" w:lineRule="auto"/>
        <w:ind w:firstLine="420" w:firstLineChars="200"/>
        <w:rPr>
          <w:szCs w:val="21"/>
        </w:rPr>
      </w:pPr>
    </w:p>
    <w:p>
      <w:pPr>
        <w:pStyle w:val="50"/>
        <w:adjustRightInd w:val="0"/>
        <w:snapToGrid w:val="0"/>
        <w:spacing w:line="360" w:lineRule="auto"/>
        <w:ind w:firstLine="0" w:firstLineChars="0"/>
        <w:rPr>
          <w:rFonts w:eastAsia="黑体"/>
          <w:szCs w:val="24"/>
        </w:rPr>
      </w:pPr>
      <w:bookmarkStart w:id="24" w:name="_Toc9777"/>
      <w:r>
        <w:rPr>
          <w:rFonts w:hint="eastAsia" w:eastAsia="黑体"/>
          <w:szCs w:val="24"/>
        </w:rPr>
        <w:t>二、</w:t>
      </w:r>
      <w:r>
        <w:rPr>
          <w:rFonts w:eastAsia="黑体"/>
          <w:szCs w:val="24"/>
        </w:rPr>
        <w:t>课程目标</w:t>
      </w:r>
      <w:bookmarkEnd w:id="24"/>
    </w:p>
    <w:p>
      <w:pPr>
        <w:spacing w:line="360" w:lineRule="auto"/>
        <w:ind w:firstLine="420" w:firstLineChars="200"/>
        <w:rPr>
          <w:rFonts w:ascii="宋体" w:hAnsi="宋体" w:cs="宋体"/>
          <w:szCs w:val="21"/>
        </w:rPr>
      </w:pPr>
      <w:r>
        <w:rPr>
          <w:rFonts w:hint="eastAsia" w:ascii="宋体" w:hAnsi="宋体" w:cs="宋体"/>
          <w:szCs w:val="21"/>
        </w:rPr>
        <w:t>本大纲适用于工程类专业选择使用，专业在选用时要关注本课程目标是否与专业培养方案设定的能力矩阵一致。</w:t>
      </w:r>
    </w:p>
    <w:tbl>
      <w:tblPr>
        <w:tblStyle w:val="23"/>
        <w:tblW w:w="500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783"/>
        <w:gridCol w:w="40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218"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360"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sz w:val="18"/>
                <w:szCs w:val="18"/>
              </w:rPr>
            </w:pPr>
            <w:r>
              <w:rPr>
                <w:rFonts w:hint="eastAsia"/>
                <w:sz w:val="18"/>
                <w:szCs w:val="18"/>
              </w:rPr>
              <w:t>1</w:t>
            </w:r>
          </w:p>
        </w:tc>
        <w:tc>
          <w:tcPr>
            <w:tcW w:w="2218" w:type="pct"/>
          </w:tcPr>
          <w:p>
            <w:pPr>
              <w:adjustRightInd w:val="0"/>
              <w:snapToGrid w:val="0"/>
              <w:spacing w:line="360" w:lineRule="auto"/>
              <w:rPr>
                <w:sz w:val="18"/>
                <w:szCs w:val="18"/>
              </w:rPr>
            </w:pPr>
            <w:r>
              <w:rPr>
                <w:sz w:val="18"/>
                <w:szCs w:val="18"/>
              </w:rPr>
              <w:t>能够在设计方案中综合考虑社会、健康、安全、法律、文化以及环境等因素</w:t>
            </w:r>
            <w:r>
              <w:rPr>
                <w:rFonts w:hint="eastAsia"/>
                <w:sz w:val="18"/>
                <w:szCs w:val="18"/>
              </w:rPr>
              <w:t>；</w:t>
            </w:r>
          </w:p>
        </w:tc>
        <w:tc>
          <w:tcPr>
            <w:tcW w:w="2360" w:type="pct"/>
          </w:tcPr>
          <w:p>
            <w:pPr>
              <w:adjustRightInd w:val="0"/>
              <w:snapToGrid w:val="0"/>
              <w:spacing w:line="360" w:lineRule="auto"/>
              <w:rPr>
                <w:sz w:val="18"/>
                <w:szCs w:val="18"/>
              </w:rPr>
            </w:pPr>
            <w:r>
              <w:rPr>
                <w:b/>
                <w:bCs/>
                <w:sz w:val="18"/>
                <w:szCs w:val="18"/>
              </w:rPr>
              <w:t>毕</w:t>
            </w:r>
            <w:r>
              <w:rPr>
                <w:rFonts w:hint="eastAsia"/>
                <w:b/>
                <w:bCs/>
                <w:sz w:val="18"/>
                <w:szCs w:val="18"/>
              </w:rPr>
              <w:t>业要求9个人和团队：</w:t>
            </w:r>
            <w:r>
              <w:rPr>
                <w:rFonts w:hint="eastAsia"/>
                <w:sz w:val="18"/>
                <w:szCs w:val="18"/>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sz w:val="18"/>
                <w:szCs w:val="18"/>
              </w:rPr>
            </w:pPr>
            <w:r>
              <w:rPr>
                <w:rFonts w:hint="eastAsia"/>
                <w:sz w:val="18"/>
                <w:szCs w:val="18"/>
              </w:rPr>
              <w:t>2</w:t>
            </w:r>
          </w:p>
        </w:tc>
        <w:tc>
          <w:tcPr>
            <w:tcW w:w="2218" w:type="pct"/>
          </w:tcPr>
          <w:p>
            <w:pPr>
              <w:adjustRightInd w:val="0"/>
              <w:snapToGrid w:val="0"/>
              <w:spacing w:line="360" w:lineRule="auto"/>
              <w:rPr>
                <w:bCs/>
                <w:sz w:val="18"/>
                <w:szCs w:val="18"/>
              </w:rPr>
            </w:pPr>
            <w:r>
              <w:rPr>
                <w:sz w:val="18"/>
                <w:szCs w:val="18"/>
              </w:rPr>
              <w:t>能够基于工程相关背景知识对相关社会因素进行合理分析</w:t>
            </w:r>
            <w:r>
              <w:rPr>
                <w:rFonts w:hint="eastAsia"/>
                <w:sz w:val="18"/>
                <w:szCs w:val="18"/>
              </w:rPr>
              <w:t>；</w:t>
            </w:r>
          </w:p>
        </w:tc>
        <w:tc>
          <w:tcPr>
            <w:tcW w:w="2360" w:type="pct"/>
          </w:tcPr>
          <w:p>
            <w:pPr>
              <w:adjustRightInd w:val="0"/>
              <w:snapToGrid w:val="0"/>
              <w:spacing w:line="360" w:lineRule="auto"/>
              <w:rPr>
                <w:sz w:val="18"/>
                <w:szCs w:val="18"/>
              </w:rPr>
            </w:pPr>
            <w:r>
              <w:rPr>
                <w:b/>
                <w:bCs/>
                <w:sz w:val="18"/>
                <w:szCs w:val="18"/>
              </w:rPr>
              <w:t>毕</w:t>
            </w:r>
            <w:r>
              <w:rPr>
                <w:rFonts w:hint="eastAsia"/>
                <w:b/>
                <w:bCs/>
                <w:sz w:val="18"/>
                <w:szCs w:val="18"/>
              </w:rPr>
              <w:t>业要求9个人和团队：</w:t>
            </w:r>
            <w:r>
              <w:rPr>
                <w:rFonts w:hint="eastAsia"/>
                <w:sz w:val="18"/>
                <w:szCs w:val="18"/>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rFonts w:eastAsiaTheme="minorEastAsia" w:cstheme="minorBidi"/>
                <w:sz w:val="18"/>
                <w:szCs w:val="18"/>
              </w:rPr>
            </w:pPr>
            <w:r>
              <w:rPr>
                <w:rFonts w:hint="eastAsia"/>
                <w:sz w:val="18"/>
                <w:szCs w:val="18"/>
              </w:rPr>
              <w:t>3</w:t>
            </w:r>
          </w:p>
        </w:tc>
        <w:tc>
          <w:tcPr>
            <w:tcW w:w="2218" w:type="pct"/>
          </w:tcPr>
          <w:p>
            <w:pPr>
              <w:adjustRightInd w:val="0"/>
              <w:snapToGrid w:val="0"/>
              <w:spacing w:line="360" w:lineRule="auto"/>
              <w:rPr>
                <w:rFonts w:eastAsiaTheme="minorEastAsia" w:cstheme="minorBidi"/>
                <w:sz w:val="18"/>
                <w:szCs w:val="18"/>
              </w:rPr>
            </w:pPr>
            <w:r>
              <w:rPr>
                <w:sz w:val="18"/>
                <w:szCs w:val="18"/>
              </w:rPr>
              <w:t>能够评价专业工程实践和复杂工程问题解决方案对社会、健康、安全、法律以及文化的影响</w:t>
            </w:r>
            <w:r>
              <w:rPr>
                <w:rFonts w:hint="eastAsia"/>
                <w:sz w:val="18"/>
                <w:szCs w:val="18"/>
              </w:rPr>
              <w:t>；</w:t>
            </w:r>
          </w:p>
        </w:tc>
        <w:tc>
          <w:tcPr>
            <w:tcW w:w="2360" w:type="pct"/>
          </w:tcPr>
          <w:p>
            <w:pPr>
              <w:adjustRightInd w:val="0"/>
              <w:snapToGrid w:val="0"/>
              <w:spacing w:line="360" w:lineRule="auto"/>
              <w:rPr>
                <w:rFonts w:eastAsiaTheme="minorEastAsia" w:cstheme="minorBidi"/>
                <w:sz w:val="18"/>
                <w:szCs w:val="18"/>
              </w:rPr>
            </w:pPr>
            <w:r>
              <w:rPr>
                <w:b/>
                <w:bCs/>
                <w:sz w:val="18"/>
                <w:szCs w:val="18"/>
              </w:rPr>
              <w:t>毕业要求5使用现代工具：</w:t>
            </w:r>
            <w:r>
              <w:rPr>
                <w:sz w:val="18"/>
                <w:szCs w:val="18"/>
              </w:rPr>
              <w:t>能够针对复杂工程问题，开发、选择与使用恰当的技术、资源、现代工程工具和信息技术工具，包括对复杂工程问题的预测与模拟，并能够理解其局限性。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rFonts w:eastAsiaTheme="minorEastAsia" w:cstheme="minorBidi"/>
                <w:sz w:val="18"/>
                <w:szCs w:val="18"/>
              </w:rPr>
            </w:pPr>
            <w:r>
              <w:rPr>
                <w:rFonts w:hint="eastAsia"/>
                <w:sz w:val="18"/>
                <w:szCs w:val="18"/>
              </w:rPr>
              <w:t>4</w:t>
            </w:r>
          </w:p>
        </w:tc>
        <w:tc>
          <w:tcPr>
            <w:tcW w:w="2218" w:type="pct"/>
          </w:tcPr>
          <w:p>
            <w:pPr>
              <w:adjustRightInd w:val="0"/>
              <w:snapToGrid w:val="0"/>
              <w:spacing w:line="360" w:lineRule="auto"/>
              <w:rPr>
                <w:rFonts w:eastAsiaTheme="minorEastAsia" w:cstheme="minorBidi"/>
                <w:sz w:val="18"/>
                <w:szCs w:val="18"/>
              </w:rPr>
            </w:pPr>
            <w:r>
              <w:rPr>
                <w:sz w:val="18"/>
                <w:szCs w:val="18"/>
              </w:rPr>
              <w:t>了解在工程实践中应当遵守的工程职业道德和规范</w:t>
            </w:r>
            <w:r>
              <w:rPr>
                <w:rFonts w:hint="eastAsia"/>
                <w:sz w:val="18"/>
                <w:szCs w:val="18"/>
              </w:rPr>
              <w:t>，</w:t>
            </w:r>
            <w:r>
              <w:rPr>
                <w:sz w:val="18"/>
                <w:szCs w:val="18"/>
              </w:rPr>
              <w:t>具备人文社会科学素养、社会责任感</w:t>
            </w:r>
            <w:r>
              <w:rPr>
                <w:rFonts w:hint="eastAsia"/>
                <w:sz w:val="18"/>
                <w:szCs w:val="18"/>
              </w:rPr>
              <w:t>。</w:t>
            </w:r>
          </w:p>
        </w:tc>
        <w:tc>
          <w:tcPr>
            <w:tcW w:w="2360" w:type="pct"/>
          </w:tcPr>
          <w:p>
            <w:pPr>
              <w:adjustRightInd w:val="0"/>
              <w:snapToGrid w:val="0"/>
              <w:spacing w:line="360" w:lineRule="auto"/>
              <w:rPr>
                <w:rFonts w:eastAsiaTheme="minorEastAsia" w:cstheme="minorBidi"/>
                <w:sz w:val="18"/>
                <w:szCs w:val="18"/>
              </w:rPr>
            </w:pPr>
            <w:r>
              <w:rPr>
                <w:b/>
                <w:bCs/>
                <w:sz w:val="18"/>
                <w:szCs w:val="18"/>
              </w:rPr>
              <w:t>毕业要求10沟通：</w:t>
            </w:r>
            <w:r>
              <w:rPr>
                <w:sz w:val="18"/>
                <w:szCs w:val="18"/>
              </w:rPr>
              <w:t>能够就复杂工程问题与业界同行及社会公众进行有效沟通和交流，包括撰写报告和设计文稿、陈述发言、清晰表达或回应指令。并具备一定的国际视野，能够在跨文化背景下进行沟通和交流。</w:t>
            </w:r>
          </w:p>
        </w:tc>
      </w:tr>
    </w:tbl>
    <w:p>
      <w:pPr>
        <w:spacing w:line="360" w:lineRule="auto"/>
        <w:rPr>
          <w:szCs w:val="24"/>
        </w:rPr>
      </w:pPr>
      <w:r>
        <w:rPr>
          <w:rFonts w:hint="eastAsia" w:eastAsia="黑体"/>
          <w:szCs w:val="21"/>
        </w:rPr>
        <w:t>三、教学</w:t>
      </w:r>
      <w:r>
        <w:rPr>
          <w:rFonts w:eastAsia="黑体"/>
          <w:szCs w:val="21"/>
        </w:rPr>
        <w:t>内容及基本要求</w:t>
      </w:r>
    </w:p>
    <w:p>
      <w:pPr>
        <w:spacing w:line="360" w:lineRule="auto"/>
        <w:ind w:firstLine="420" w:firstLineChars="200"/>
        <w:rPr>
          <w:szCs w:val="21"/>
        </w:rPr>
      </w:pPr>
      <w:r>
        <w:rPr>
          <w:rFonts w:hint="eastAsia" w:ascii="黑体" w:hAnsi="黑体" w:eastAsia="黑体" w:cs="黑体"/>
          <w:szCs w:val="21"/>
        </w:rPr>
        <w:t>基本要求</w:t>
      </w:r>
      <w:r>
        <w:rPr>
          <w:rFonts w:hint="eastAsia"/>
          <w:b/>
          <w:bCs/>
          <w:szCs w:val="21"/>
        </w:rPr>
        <w:t>：</w:t>
      </w:r>
    </w:p>
    <w:p>
      <w:pPr>
        <w:tabs>
          <w:tab w:val="left" w:pos="420"/>
        </w:tabs>
        <w:adjustRightInd w:val="0"/>
        <w:snapToGrid w:val="0"/>
        <w:spacing w:line="360" w:lineRule="auto"/>
        <w:ind w:firstLine="420" w:firstLineChars="200"/>
        <w:rPr>
          <w:szCs w:val="21"/>
        </w:rPr>
      </w:pPr>
      <w:r>
        <w:rPr>
          <w:szCs w:val="21"/>
        </w:rPr>
        <w:t>1、着力提高青年大学的思想品德素质。教学中从心理学角度运用心理学有关知识，探讨成长中青年所面临的种种问题，侧重进行思想政治教育和德育，努力把大学生心理健康教育开展为“德育教育的重要组成部分”、“素质教育的主要途径”。</w:t>
      </w:r>
    </w:p>
    <w:p>
      <w:pPr>
        <w:tabs>
          <w:tab w:val="left" w:pos="420"/>
        </w:tabs>
        <w:adjustRightInd w:val="0"/>
        <w:snapToGrid w:val="0"/>
        <w:spacing w:line="360" w:lineRule="auto"/>
        <w:ind w:firstLine="420" w:firstLineChars="200"/>
        <w:rPr>
          <w:szCs w:val="21"/>
        </w:rPr>
      </w:pPr>
      <w:r>
        <w:rPr>
          <w:szCs w:val="21"/>
        </w:rPr>
        <w:t>2、探讨在心得形式下青年心理发展的一段规律，以及快速发展的社会政治，经济文化等对大学生心理的多种影响。</w:t>
      </w:r>
    </w:p>
    <w:p>
      <w:pPr>
        <w:tabs>
          <w:tab w:val="left" w:pos="420"/>
        </w:tabs>
        <w:adjustRightInd w:val="0"/>
        <w:snapToGrid w:val="0"/>
        <w:spacing w:line="360" w:lineRule="auto"/>
        <w:ind w:firstLine="420" w:firstLineChars="200"/>
        <w:rPr>
          <w:szCs w:val="21"/>
        </w:rPr>
      </w:pPr>
      <w:r>
        <w:rPr>
          <w:szCs w:val="21"/>
        </w:rPr>
        <w:t>3、系统介绍当代有关大学生心理健康教育的最新研究成果，夯实大学生关于心理健康教育的理论基础。</w:t>
      </w:r>
    </w:p>
    <w:p>
      <w:pPr>
        <w:tabs>
          <w:tab w:val="left" w:pos="420"/>
        </w:tabs>
        <w:adjustRightInd w:val="0"/>
        <w:snapToGrid w:val="0"/>
        <w:spacing w:line="360" w:lineRule="auto"/>
        <w:ind w:firstLine="420" w:firstLineChars="200"/>
        <w:rPr>
          <w:rFonts w:eastAsia="黑体"/>
          <w:szCs w:val="24"/>
        </w:rPr>
      </w:pPr>
      <w:r>
        <w:rPr>
          <w:szCs w:val="21"/>
        </w:rPr>
        <w:t>4、让大学生学会一些维护身体和心理健康的基本技巧与方法，增强自我保护能力，以提高大学生的身心素质。</w:t>
      </w:r>
    </w:p>
    <w:p>
      <w:pPr>
        <w:tabs>
          <w:tab w:val="left" w:pos="420"/>
        </w:tabs>
        <w:adjustRightInd w:val="0"/>
        <w:snapToGrid w:val="0"/>
        <w:spacing w:line="360" w:lineRule="auto"/>
        <w:ind w:firstLine="420" w:firstLineChars="200"/>
        <w:rPr>
          <w:szCs w:val="24"/>
        </w:rPr>
      </w:pPr>
      <w:r>
        <w:rPr>
          <w:szCs w:val="24"/>
        </w:rPr>
        <w:t>本课程重点讲授的内容包括：大学生心理健康概述，大学生自我意识的完善，大学生情绪的有效管理，大学生人格心理的健全，大学生人际关系的协调，大学生恋爱心理的调试，大学生生命教育，心理影片赏析或拓展训练，大学生挫折应对，学会感恩，自我意识之我是谁，健康的爱情观。</w:t>
      </w:r>
    </w:p>
    <w:p>
      <w:pPr>
        <w:tabs>
          <w:tab w:val="left" w:pos="420"/>
        </w:tabs>
        <w:adjustRightInd w:val="0"/>
        <w:snapToGrid w:val="0"/>
        <w:spacing w:line="360" w:lineRule="auto"/>
        <w:ind w:firstLine="420" w:firstLineChars="200"/>
        <w:rPr>
          <w:szCs w:val="24"/>
        </w:rPr>
      </w:pPr>
      <w:r>
        <w:rPr>
          <w:szCs w:val="24"/>
        </w:rPr>
        <w:t>深度和广度说明：重点介绍心理健康方面的基本常识，给予学生正确的自我认识和对他人的认识，引导学生结合自身与周围人的实际学习和生活进行进一步的深入思考，真正学有所用，让理论与实践相结合。</w:t>
      </w:r>
    </w:p>
    <w:p>
      <w:pPr>
        <w:tabs>
          <w:tab w:val="left" w:pos="420"/>
        </w:tabs>
        <w:adjustRightInd w:val="0"/>
        <w:snapToGrid w:val="0"/>
        <w:spacing w:line="360" w:lineRule="auto"/>
        <w:ind w:firstLine="420" w:firstLineChars="200"/>
        <w:rPr>
          <w:szCs w:val="24"/>
        </w:rPr>
      </w:pPr>
      <w:r>
        <w:rPr>
          <w:szCs w:val="24"/>
        </w:rPr>
        <w:t>在大量心理健康教育理论知识讲述的基础上，结合现实生活事例，让学生进一步认识和关注自身的身心健康和谐发展，以达到“助人自助”的目的。</w:t>
      </w:r>
    </w:p>
    <w:p>
      <w:pPr>
        <w:tabs>
          <w:tab w:val="left" w:pos="420"/>
        </w:tabs>
        <w:adjustRightInd w:val="0"/>
        <w:snapToGrid w:val="0"/>
        <w:spacing w:line="360" w:lineRule="auto"/>
        <w:ind w:left="426"/>
        <w:rPr>
          <w:rFonts w:eastAsia="黑体"/>
          <w:szCs w:val="24"/>
        </w:rPr>
      </w:pPr>
      <w:r>
        <w:rPr>
          <w:rFonts w:hint="eastAsia" w:eastAsia="黑体"/>
          <w:szCs w:val="24"/>
        </w:rPr>
        <w:t xml:space="preserve">第一章 </w:t>
      </w:r>
      <w:r>
        <w:rPr>
          <w:rFonts w:eastAsia="黑体"/>
          <w:szCs w:val="24"/>
        </w:rPr>
        <w:t>大学生心理健康的概述</w:t>
      </w:r>
      <w:r>
        <w:rPr>
          <w:rFonts w:hint="eastAsia" w:eastAsia="黑体"/>
          <w:szCs w:val="24"/>
        </w:rPr>
        <w:t>（1学时）</w:t>
      </w:r>
    </w:p>
    <w:p>
      <w:pPr>
        <w:tabs>
          <w:tab w:val="left" w:pos="420"/>
        </w:tabs>
        <w:adjustRightInd w:val="0"/>
        <w:snapToGrid w:val="0"/>
        <w:spacing w:line="360" w:lineRule="auto"/>
        <w:ind w:left="426"/>
        <w:rPr>
          <w:szCs w:val="24"/>
        </w:rPr>
      </w:pPr>
      <w:r>
        <w:rPr>
          <w:szCs w:val="24"/>
        </w:rPr>
        <w:t>1.</w:t>
      </w:r>
      <w:r>
        <w:rPr>
          <w:rFonts w:hint="eastAsia"/>
          <w:szCs w:val="24"/>
        </w:rPr>
        <w:t xml:space="preserve"> </w:t>
      </w:r>
      <w:r>
        <w:rPr>
          <w:szCs w:val="24"/>
        </w:rPr>
        <w:t>大学生的心理适应；</w:t>
      </w:r>
    </w:p>
    <w:p>
      <w:pPr>
        <w:tabs>
          <w:tab w:val="left" w:pos="420"/>
        </w:tabs>
        <w:adjustRightInd w:val="0"/>
        <w:snapToGrid w:val="0"/>
        <w:spacing w:line="360" w:lineRule="auto"/>
        <w:ind w:left="426"/>
        <w:rPr>
          <w:szCs w:val="24"/>
        </w:rPr>
      </w:pPr>
      <w:r>
        <w:rPr>
          <w:rFonts w:hint="eastAsia"/>
          <w:szCs w:val="24"/>
        </w:rPr>
        <w:t xml:space="preserve">2. </w:t>
      </w:r>
      <w:r>
        <w:rPr>
          <w:szCs w:val="24"/>
        </w:rPr>
        <w:t>大学生心理健康的发展和现状；</w:t>
      </w:r>
    </w:p>
    <w:p>
      <w:pPr>
        <w:tabs>
          <w:tab w:val="left" w:pos="420"/>
        </w:tabs>
        <w:adjustRightInd w:val="0"/>
        <w:snapToGrid w:val="0"/>
        <w:spacing w:line="360" w:lineRule="auto"/>
        <w:ind w:left="426"/>
        <w:rPr>
          <w:szCs w:val="24"/>
        </w:rPr>
      </w:pPr>
      <w:r>
        <w:rPr>
          <w:rFonts w:hint="eastAsia"/>
          <w:szCs w:val="24"/>
        </w:rPr>
        <w:t xml:space="preserve">3. </w:t>
      </w:r>
      <w:r>
        <w:rPr>
          <w:szCs w:val="24"/>
        </w:rPr>
        <w:t>大学生心理健康的维护；</w:t>
      </w:r>
    </w:p>
    <w:p>
      <w:pPr>
        <w:tabs>
          <w:tab w:val="left" w:pos="420"/>
        </w:tabs>
        <w:adjustRightInd w:val="0"/>
        <w:snapToGrid w:val="0"/>
        <w:spacing w:line="360" w:lineRule="auto"/>
        <w:ind w:left="426"/>
        <w:rPr>
          <w:szCs w:val="24"/>
        </w:rPr>
      </w:pPr>
      <w:r>
        <w:rPr>
          <w:rFonts w:hint="eastAsia"/>
          <w:szCs w:val="24"/>
        </w:rPr>
        <w:t xml:space="preserve">4. </w:t>
      </w:r>
      <w:r>
        <w:rPr>
          <w:szCs w:val="24"/>
        </w:rPr>
        <w:t>认识大学生心里健康的重要。</w:t>
      </w:r>
    </w:p>
    <w:p>
      <w:pPr>
        <w:tabs>
          <w:tab w:val="left" w:pos="420"/>
        </w:tabs>
        <w:adjustRightInd w:val="0"/>
        <w:snapToGrid w:val="0"/>
        <w:spacing w:line="360" w:lineRule="auto"/>
        <w:ind w:left="426"/>
        <w:rPr>
          <w:szCs w:val="24"/>
        </w:rPr>
      </w:pPr>
      <w:r>
        <w:rPr>
          <w:rFonts w:hint="eastAsia"/>
          <w:szCs w:val="24"/>
        </w:rPr>
        <w:t>本章节内容支持课程目标1。</w:t>
      </w:r>
    </w:p>
    <w:p>
      <w:pPr>
        <w:tabs>
          <w:tab w:val="left" w:pos="420"/>
        </w:tabs>
        <w:adjustRightInd w:val="0"/>
        <w:snapToGrid w:val="0"/>
        <w:spacing w:line="360" w:lineRule="auto"/>
        <w:ind w:left="426"/>
        <w:rPr>
          <w:rFonts w:eastAsia="黑体"/>
          <w:szCs w:val="24"/>
        </w:rPr>
      </w:pPr>
      <w:r>
        <w:rPr>
          <w:rFonts w:hint="eastAsia" w:eastAsia="黑体"/>
          <w:szCs w:val="24"/>
        </w:rPr>
        <w:t xml:space="preserve">第二章 </w:t>
      </w:r>
      <w:r>
        <w:rPr>
          <w:rFonts w:eastAsia="黑体"/>
          <w:szCs w:val="24"/>
        </w:rPr>
        <w:t>大学生自我意识的完善</w:t>
      </w:r>
      <w:r>
        <w:rPr>
          <w:rFonts w:hint="eastAsia" w:eastAsia="黑体"/>
          <w:szCs w:val="24"/>
        </w:rPr>
        <w:t>（3学时）</w:t>
      </w:r>
    </w:p>
    <w:p>
      <w:pPr>
        <w:tabs>
          <w:tab w:val="left" w:pos="420"/>
        </w:tabs>
        <w:adjustRightInd w:val="0"/>
        <w:snapToGrid w:val="0"/>
        <w:spacing w:line="360" w:lineRule="auto"/>
        <w:ind w:left="426"/>
        <w:rPr>
          <w:szCs w:val="24"/>
        </w:rPr>
      </w:pPr>
      <w:r>
        <w:rPr>
          <w:rFonts w:hint="eastAsia"/>
          <w:szCs w:val="24"/>
        </w:rPr>
        <w:t xml:space="preserve">1. </w:t>
      </w:r>
      <w:r>
        <w:rPr>
          <w:szCs w:val="24"/>
        </w:rPr>
        <w:t>自我意识概述；</w:t>
      </w:r>
    </w:p>
    <w:p>
      <w:pPr>
        <w:tabs>
          <w:tab w:val="left" w:pos="420"/>
        </w:tabs>
        <w:adjustRightInd w:val="0"/>
        <w:snapToGrid w:val="0"/>
        <w:spacing w:line="360" w:lineRule="auto"/>
        <w:ind w:left="426"/>
        <w:rPr>
          <w:szCs w:val="24"/>
        </w:rPr>
      </w:pPr>
      <w:r>
        <w:rPr>
          <w:szCs w:val="24"/>
        </w:rPr>
        <w:t>2</w:t>
      </w:r>
      <w:r>
        <w:rPr>
          <w:rFonts w:hint="eastAsia"/>
          <w:szCs w:val="24"/>
        </w:rPr>
        <w:t xml:space="preserve">. </w:t>
      </w:r>
      <w:r>
        <w:rPr>
          <w:szCs w:val="24"/>
        </w:rPr>
        <w:t>大学生自我意识的发展；</w:t>
      </w:r>
    </w:p>
    <w:p>
      <w:pPr>
        <w:tabs>
          <w:tab w:val="left" w:pos="420"/>
        </w:tabs>
        <w:adjustRightInd w:val="0"/>
        <w:snapToGrid w:val="0"/>
        <w:spacing w:line="360" w:lineRule="auto"/>
        <w:ind w:left="426"/>
        <w:rPr>
          <w:szCs w:val="24"/>
        </w:rPr>
      </w:pPr>
      <w:r>
        <w:rPr>
          <w:rFonts w:hint="eastAsia"/>
          <w:szCs w:val="24"/>
        </w:rPr>
        <w:t xml:space="preserve">3. </w:t>
      </w:r>
      <w:r>
        <w:rPr>
          <w:szCs w:val="24"/>
        </w:rPr>
        <w:t>大学生积极自我意识的塑造。</w:t>
      </w:r>
    </w:p>
    <w:p>
      <w:pPr>
        <w:tabs>
          <w:tab w:val="left" w:pos="420"/>
        </w:tabs>
        <w:adjustRightInd w:val="0"/>
        <w:snapToGrid w:val="0"/>
        <w:spacing w:line="360" w:lineRule="auto"/>
        <w:ind w:left="426"/>
        <w:rPr>
          <w:szCs w:val="24"/>
        </w:rPr>
      </w:pPr>
      <w:r>
        <w:rPr>
          <w:rFonts w:hint="eastAsia"/>
          <w:szCs w:val="24"/>
        </w:rPr>
        <w:t>本章节内容支持课程目标4。</w:t>
      </w:r>
    </w:p>
    <w:p>
      <w:pPr>
        <w:tabs>
          <w:tab w:val="left" w:pos="420"/>
        </w:tabs>
        <w:adjustRightInd w:val="0"/>
        <w:snapToGrid w:val="0"/>
        <w:spacing w:line="360" w:lineRule="auto"/>
        <w:ind w:left="426"/>
        <w:rPr>
          <w:rFonts w:eastAsia="黑体"/>
          <w:szCs w:val="24"/>
        </w:rPr>
      </w:pPr>
      <w:r>
        <w:rPr>
          <w:rFonts w:hint="eastAsia" w:eastAsia="黑体"/>
          <w:szCs w:val="24"/>
        </w:rPr>
        <w:t xml:space="preserve">第三章 </w:t>
      </w:r>
      <w:r>
        <w:rPr>
          <w:rFonts w:eastAsia="黑体"/>
          <w:szCs w:val="24"/>
        </w:rPr>
        <w:t>大学生情绪的有效管理</w:t>
      </w:r>
      <w:r>
        <w:rPr>
          <w:rFonts w:hint="eastAsia" w:eastAsia="黑体"/>
          <w:szCs w:val="24"/>
        </w:rPr>
        <w:t>（3学时）</w:t>
      </w:r>
    </w:p>
    <w:p>
      <w:pPr>
        <w:tabs>
          <w:tab w:val="left" w:pos="420"/>
        </w:tabs>
        <w:adjustRightInd w:val="0"/>
        <w:snapToGrid w:val="0"/>
        <w:spacing w:line="360" w:lineRule="auto"/>
        <w:ind w:left="426"/>
        <w:rPr>
          <w:szCs w:val="24"/>
        </w:rPr>
      </w:pPr>
      <w:r>
        <w:rPr>
          <w:rFonts w:hint="eastAsia"/>
          <w:szCs w:val="24"/>
        </w:rPr>
        <w:t xml:space="preserve">1. </w:t>
      </w:r>
      <w:r>
        <w:rPr>
          <w:szCs w:val="24"/>
        </w:rPr>
        <w:t>情绪概述；</w:t>
      </w:r>
    </w:p>
    <w:p>
      <w:pPr>
        <w:tabs>
          <w:tab w:val="left" w:pos="420"/>
        </w:tabs>
        <w:adjustRightInd w:val="0"/>
        <w:snapToGrid w:val="0"/>
        <w:spacing w:line="360" w:lineRule="auto"/>
        <w:ind w:left="426"/>
        <w:rPr>
          <w:szCs w:val="24"/>
        </w:rPr>
      </w:pPr>
      <w:r>
        <w:rPr>
          <w:rFonts w:hint="eastAsia"/>
          <w:szCs w:val="24"/>
        </w:rPr>
        <w:t xml:space="preserve">2. </w:t>
      </w:r>
      <w:r>
        <w:rPr>
          <w:szCs w:val="24"/>
        </w:rPr>
        <w:t>情绪与大学生的发展；</w:t>
      </w:r>
    </w:p>
    <w:p>
      <w:pPr>
        <w:tabs>
          <w:tab w:val="left" w:pos="420"/>
        </w:tabs>
        <w:adjustRightInd w:val="0"/>
        <w:snapToGrid w:val="0"/>
        <w:spacing w:line="360" w:lineRule="auto"/>
        <w:ind w:left="426"/>
        <w:rPr>
          <w:szCs w:val="24"/>
        </w:rPr>
      </w:pPr>
      <w:r>
        <w:rPr>
          <w:szCs w:val="24"/>
        </w:rPr>
        <w:t>3</w:t>
      </w:r>
      <w:r>
        <w:rPr>
          <w:rFonts w:hint="eastAsia"/>
          <w:szCs w:val="24"/>
        </w:rPr>
        <w:t xml:space="preserve">. </w:t>
      </w:r>
      <w:r>
        <w:rPr>
          <w:szCs w:val="24"/>
        </w:rPr>
        <w:t>大学生情绪自我管理。</w:t>
      </w:r>
    </w:p>
    <w:p>
      <w:pPr>
        <w:tabs>
          <w:tab w:val="left" w:pos="420"/>
        </w:tabs>
        <w:adjustRightInd w:val="0"/>
        <w:snapToGrid w:val="0"/>
        <w:spacing w:line="360" w:lineRule="auto"/>
        <w:ind w:left="426"/>
        <w:rPr>
          <w:szCs w:val="24"/>
        </w:rPr>
      </w:pPr>
      <w:r>
        <w:rPr>
          <w:rFonts w:hint="eastAsia"/>
          <w:szCs w:val="24"/>
        </w:rPr>
        <w:t>本章节内容支持课程目标3。</w:t>
      </w:r>
    </w:p>
    <w:p>
      <w:pPr>
        <w:tabs>
          <w:tab w:val="left" w:pos="420"/>
        </w:tabs>
        <w:adjustRightInd w:val="0"/>
        <w:snapToGrid w:val="0"/>
        <w:spacing w:line="360" w:lineRule="auto"/>
        <w:ind w:left="426"/>
        <w:rPr>
          <w:rFonts w:eastAsia="黑体"/>
          <w:szCs w:val="24"/>
        </w:rPr>
      </w:pPr>
      <w:r>
        <w:rPr>
          <w:rFonts w:hint="eastAsia" w:eastAsia="黑体"/>
          <w:szCs w:val="24"/>
        </w:rPr>
        <w:t xml:space="preserve">第四章 </w:t>
      </w:r>
      <w:r>
        <w:rPr>
          <w:rFonts w:eastAsia="黑体"/>
          <w:szCs w:val="24"/>
        </w:rPr>
        <w:t>大学生人格心理的健全</w:t>
      </w:r>
      <w:r>
        <w:rPr>
          <w:rFonts w:hint="eastAsia" w:eastAsia="黑体"/>
          <w:szCs w:val="24"/>
        </w:rPr>
        <w:t>（3学时）</w:t>
      </w:r>
    </w:p>
    <w:p>
      <w:pPr>
        <w:tabs>
          <w:tab w:val="left" w:pos="420"/>
        </w:tabs>
        <w:adjustRightInd w:val="0"/>
        <w:snapToGrid w:val="0"/>
        <w:spacing w:line="360" w:lineRule="auto"/>
        <w:ind w:left="426"/>
        <w:rPr>
          <w:szCs w:val="24"/>
        </w:rPr>
      </w:pPr>
      <w:r>
        <w:rPr>
          <w:rFonts w:hint="eastAsia"/>
          <w:szCs w:val="24"/>
        </w:rPr>
        <w:t xml:space="preserve">1. </w:t>
      </w:r>
      <w:r>
        <w:rPr>
          <w:szCs w:val="24"/>
        </w:rPr>
        <w:t>人格概述；</w:t>
      </w:r>
    </w:p>
    <w:p>
      <w:pPr>
        <w:tabs>
          <w:tab w:val="left" w:pos="420"/>
        </w:tabs>
        <w:adjustRightInd w:val="0"/>
        <w:snapToGrid w:val="0"/>
        <w:spacing w:line="360" w:lineRule="auto"/>
        <w:ind w:left="426"/>
        <w:rPr>
          <w:szCs w:val="24"/>
        </w:rPr>
      </w:pPr>
      <w:r>
        <w:rPr>
          <w:rFonts w:hint="eastAsia"/>
          <w:szCs w:val="24"/>
        </w:rPr>
        <w:t xml:space="preserve">2. </w:t>
      </w:r>
      <w:r>
        <w:rPr>
          <w:szCs w:val="24"/>
        </w:rPr>
        <w:t>大学生的人格发展和常见障碍；</w:t>
      </w:r>
    </w:p>
    <w:p>
      <w:pPr>
        <w:tabs>
          <w:tab w:val="left" w:pos="420"/>
        </w:tabs>
        <w:adjustRightInd w:val="0"/>
        <w:snapToGrid w:val="0"/>
        <w:spacing w:line="360" w:lineRule="auto"/>
        <w:ind w:left="426"/>
        <w:rPr>
          <w:szCs w:val="24"/>
        </w:rPr>
      </w:pPr>
      <w:r>
        <w:rPr>
          <w:rFonts w:hint="eastAsia"/>
          <w:szCs w:val="24"/>
        </w:rPr>
        <w:t xml:space="preserve">3. </w:t>
      </w:r>
      <w:r>
        <w:rPr>
          <w:szCs w:val="24"/>
        </w:rPr>
        <w:t>大学生人格健全的塑造。</w:t>
      </w:r>
    </w:p>
    <w:p>
      <w:pPr>
        <w:tabs>
          <w:tab w:val="left" w:pos="420"/>
        </w:tabs>
        <w:adjustRightInd w:val="0"/>
        <w:snapToGrid w:val="0"/>
        <w:spacing w:line="360" w:lineRule="auto"/>
        <w:ind w:left="426"/>
        <w:rPr>
          <w:szCs w:val="24"/>
        </w:rPr>
      </w:pPr>
      <w:r>
        <w:rPr>
          <w:rFonts w:hint="eastAsia"/>
          <w:szCs w:val="24"/>
        </w:rPr>
        <w:t>本章节内容支持课程目标1。</w:t>
      </w:r>
    </w:p>
    <w:p>
      <w:pPr>
        <w:tabs>
          <w:tab w:val="left" w:pos="420"/>
        </w:tabs>
        <w:adjustRightInd w:val="0"/>
        <w:snapToGrid w:val="0"/>
        <w:spacing w:line="360" w:lineRule="auto"/>
        <w:ind w:left="426"/>
        <w:rPr>
          <w:rFonts w:eastAsia="黑体"/>
          <w:szCs w:val="24"/>
        </w:rPr>
      </w:pPr>
      <w:r>
        <w:rPr>
          <w:rFonts w:hint="eastAsia" w:eastAsia="黑体"/>
          <w:szCs w:val="24"/>
        </w:rPr>
        <w:t xml:space="preserve">第五章 </w:t>
      </w:r>
      <w:r>
        <w:rPr>
          <w:rFonts w:eastAsia="黑体"/>
          <w:szCs w:val="24"/>
        </w:rPr>
        <w:t>大学生人际关系的协调</w:t>
      </w:r>
      <w:r>
        <w:rPr>
          <w:rFonts w:hint="eastAsia" w:eastAsia="黑体"/>
          <w:szCs w:val="24"/>
        </w:rPr>
        <w:t>（5学时）</w:t>
      </w:r>
    </w:p>
    <w:p>
      <w:pPr>
        <w:tabs>
          <w:tab w:val="left" w:pos="420"/>
        </w:tabs>
        <w:adjustRightInd w:val="0"/>
        <w:snapToGrid w:val="0"/>
        <w:spacing w:line="360" w:lineRule="auto"/>
        <w:ind w:left="426"/>
        <w:rPr>
          <w:szCs w:val="24"/>
        </w:rPr>
      </w:pPr>
      <w:r>
        <w:rPr>
          <w:rFonts w:hint="eastAsia"/>
          <w:szCs w:val="24"/>
        </w:rPr>
        <w:t xml:space="preserve">1. </w:t>
      </w:r>
      <w:r>
        <w:rPr>
          <w:szCs w:val="24"/>
        </w:rPr>
        <w:t>人际关系概述；</w:t>
      </w:r>
    </w:p>
    <w:p>
      <w:pPr>
        <w:tabs>
          <w:tab w:val="left" w:pos="420"/>
        </w:tabs>
        <w:adjustRightInd w:val="0"/>
        <w:snapToGrid w:val="0"/>
        <w:spacing w:line="360" w:lineRule="auto"/>
        <w:ind w:left="426"/>
        <w:rPr>
          <w:szCs w:val="24"/>
        </w:rPr>
      </w:pPr>
      <w:r>
        <w:rPr>
          <w:rFonts w:hint="eastAsia"/>
          <w:szCs w:val="24"/>
        </w:rPr>
        <w:t xml:space="preserve">2. </w:t>
      </w:r>
      <w:r>
        <w:rPr>
          <w:szCs w:val="24"/>
        </w:rPr>
        <w:t>大学生人际交往中的常见问题与调节；</w:t>
      </w:r>
    </w:p>
    <w:p>
      <w:pPr>
        <w:tabs>
          <w:tab w:val="left" w:pos="420"/>
        </w:tabs>
        <w:adjustRightInd w:val="0"/>
        <w:snapToGrid w:val="0"/>
        <w:spacing w:line="360" w:lineRule="auto"/>
        <w:ind w:left="426"/>
        <w:rPr>
          <w:szCs w:val="24"/>
        </w:rPr>
      </w:pPr>
      <w:r>
        <w:rPr>
          <w:rFonts w:hint="eastAsia"/>
          <w:szCs w:val="24"/>
        </w:rPr>
        <w:t xml:space="preserve">3. </w:t>
      </w:r>
      <w:r>
        <w:rPr>
          <w:szCs w:val="24"/>
        </w:rPr>
        <w:t>建立良好人际关系的途径。</w:t>
      </w:r>
    </w:p>
    <w:p>
      <w:pPr>
        <w:tabs>
          <w:tab w:val="left" w:pos="420"/>
        </w:tabs>
        <w:adjustRightInd w:val="0"/>
        <w:snapToGrid w:val="0"/>
        <w:spacing w:line="360" w:lineRule="auto"/>
        <w:ind w:left="426"/>
        <w:rPr>
          <w:szCs w:val="24"/>
        </w:rPr>
      </w:pPr>
      <w:r>
        <w:rPr>
          <w:rFonts w:hint="eastAsia"/>
          <w:szCs w:val="24"/>
        </w:rPr>
        <w:t>本章节内容支持课程目标4。</w:t>
      </w:r>
    </w:p>
    <w:p>
      <w:pPr>
        <w:tabs>
          <w:tab w:val="left" w:pos="420"/>
        </w:tabs>
        <w:adjustRightInd w:val="0"/>
        <w:snapToGrid w:val="0"/>
        <w:spacing w:line="360" w:lineRule="auto"/>
        <w:ind w:left="426"/>
        <w:rPr>
          <w:rFonts w:eastAsia="黑体"/>
          <w:szCs w:val="24"/>
        </w:rPr>
      </w:pPr>
      <w:r>
        <w:rPr>
          <w:rFonts w:hint="eastAsia" w:eastAsia="黑体"/>
          <w:szCs w:val="24"/>
        </w:rPr>
        <w:t xml:space="preserve">第六章 </w:t>
      </w:r>
      <w:r>
        <w:rPr>
          <w:rFonts w:eastAsia="黑体"/>
          <w:szCs w:val="24"/>
        </w:rPr>
        <w:t>大学生恋爱心理的调试</w:t>
      </w:r>
      <w:r>
        <w:rPr>
          <w:rFonts w:hint="eastAsia" w:eastAsia="黑体"/>
          <w:szCs w:val="24"/>
        </w:rPr>
        <w:t>（5学时）</w:t>
      </w:r>
    </w:p>
    <w:p>
      <w:pPr>
        <w:tabs>
          <w:tab w:val="left" w:pos="420"/>
        </w:tabs>
        <w:adjustRightInd w:val="0"/>
        <w:snapToGrid w:val="0"/>
        <w:spacing w:line="360" w:lineRule="auto"/>
        <w:ind w:left="426"/>
        <w:rPr>
          <w:szCs w:val="24"/>
        </w:rPr>
      </w:pPr>
      <w:r>
        <w:rPr>
          <w:rFonts w:hint="eastAsia"/>
          <w:szCs w:val="24"/>
        </w:rPr>
        <w:t xml:space="preserve">1. </w:t>
      </w:r>
      <w:r>
        <w:rPr>
          <w:szCs w:val="24"/>
        </w:rPr>
        <w:t>解读爱情；</w:t>
      </w:r>
    </w:p>
    <w:p>
      <w:pPr>
        <w:tabs>
          <w:tab w:val="left" w:pos="420"/>
        </w:tabs>
        <w:adjustRightInd w:val="0"/>
        <w:snapToGrid w:val="0"/>
        <w:spacing w:line="360" w:lineRule="auto"/>
        <w:ind w:left="426"/>
        <w:rPr>
          <w:szCs w:val="24"/>
        </w:rPr>
      </w:pPr>
      <w:r>
        <w:rPr>
          <w:rFonts w:hint="eastAsia"/>
          <w:szCs w:val="24"/>
        </w:rPr>
        <w:t xml:space="preserve">2. </w:t>
      </w:r>
      <w:r>
        <w:rPr>
          <w:szCs w:val="24"/>
        </w:rPr>
        <w:t>大学生恋爱心理的分析；</w:t>
      </w:r>
    </w:p>
    <w:p>
      <w:pPr>
        <w:tabs>
          <w:tab w:val="left" w:pos="420"/>
        </w:tabs>
        <w:adjustRightInd w:val="0"/>
        <w:snapToGrid w:val="0"/>
        <w:spacing w:line="360" w:lineRule="auto"/>
        <w:ind w:left="426"/>
        <w:rPr>
          <w:szCs w:val="24"/>
        </w:rPr>
      </w:pPr>
      <w:r>
        <w:rPr>
          <w:rFonts w:hint="eastAsia"/>
          <w:szCs w:val="24"/>
        </w:rPr>
        <w:t xml:space="preserve">3. </w:t>
      </w:r>
      <w:r>
        <w:rPr>
          <w:szCs w:val="24"/>
        </w:rPr>
        <w:t>学会在爱情中成长。</w:t>
      </w:r>
    </w:p>
    <w:p>
      <w:pPr>
        <w:tabs>
          <w:tab w:val="left" w:pos="420"/>
        </w:tabs>
        <w:adjustRightInd w:val="0"/>
        <w:snapToGrid w:val="0"/>
        <w:spacing w:line="360" w:lineRule="auto"/>
        <w:ind w:left="426"/>
        <w:rPr>
          <w:szCs w:val="24"/>
        </w:rPr>
      </w:pPr>
      <w:r>
        <w:rPr>
          <w:rFonts w:hint="eastAsia"/>
          <w:szCs w:val="24"/>
        </w:rPr>
        <w:t>本章节内容支持课程目标2。</w:t>
      </w:r>
    </w:p>
    <w:p>
      <w:pPr>
        <w:tabs>
          <w:tab w:val="left" w:pos="420"/>
        </w:tabs>
        <w:adjustRightInd w:val="0"/>
        <w:snapToGrid w:val="0"/>
        <w:spacing w:line="360" w:lineRule="auto"/>
        <w:ind w:left="426"/>
        <w:rPr>
          <w:rFonts w:eastAsia="黑体"/>
          <w:szCs w:val="24"/>
        </w:rPr>
      </w:pPr>
      <w:r>
        <w:rPr>
          <w:rFonts w:hint="eastAsia" w:eastAsia="黑体"/>
          <w:szCs w:val="24"/>
        </w:rPr>
        <w:t xml:space="preserve">第七章 </w:t>
      </w:r>
      <w:r>
        <w:rPr>
          <w:rFonts w:eastAsia="黑体"/>
          <w:szCs w:val="24"/>
        </w:rPr>
        <w:t>大学生生命教育</w:t>
      </w:r>
      <w:r>
        <w:rPr>
          <w:rFonts w:hint="eastAsia" w:eastAsia="黑体"/>
          <w:szCs w:val="24"/>
        </w:rPr>
        <w:t>（5学时）</w:t>
      </w:r>
    </w:p>
    <w:p>
      <w:pPr>
        <w:tabs>
          <w:tab w:val="left" w:pos="420"/>
        </w:tabs>
        <w:adjustRightInd w:val="0"/>
        <w:snapToGrid w:val="0"/>
        <w:spacing w:line="360" w:lineRule="auto"/>
        <w:ind w:left="426"/>
        <w:rPr>
          <w:szCs w:val="24"/>
        </w:rPr>
      </w:pPr>
      <w:r>
        <w:rPr>
          <w:rFonts w:hint="eastAsia"/>
          <w:szCs w:val="24"/>
        </w:rPr>
        <w:t xml:space="preserve">1. </w:t>
      </w:r>
      <w:r>
        <w:rPr>
          <w:szCs w:val="24"/>
        </w:rPr>
        <w:t>生命的价值和意义；</w:t>
      </w:r>
    </w:p>
    <w:p>
      <w:pPr>
        <w:tabs>
          <w:tab w:val="left" w:pos="420"/>
        </w:tabs>
        <w:adjustRightInd w:val="0"/>
        <w:snapToGrid w:val="0"/>
        <w:spacing w:line="360" w:lineRule="auto"/>
        <w:ind w:left="426"/>
        <w:rPr>
          <w:szCs w:val="24"/>
        </w:rPr>
      </w:pPr>
      <w:r>
        <w:rPr>
          <w:rFonts w:hint="eastAsia"/>
          <w:szCs w:val="24"/>
        </w:rPr>
        <w:t xml:space="preserve">2. </w:t>
      </w:r>
      <w:r>
        <w:rPr>
          <w:szCs w:val="24"/>
        </w:rPr>
        <w:t>心理危机的预防与识别；</w:t>
      </w:r>
    </w:p>
    <w:p>
      <w:pPr>
        <w:tabs>
          <w:tab w:val="left" w:pos="420"/>
        </w:tabs>
        <w:adjustRightInd w:val="0"/>
        <w:snapToGrid w:val="0"/>
        <w:spacing w:line="360" w:lineRule="auto"/>
        <w:ind w:left="426"/>
        <w:rPr>
          <w:szCs w:val="24"/>
        </w:rPr>
      </w:pPr>
      <w:r>
        <w:rPr>
          <w:rFonts w:hint="eastAsia"/>
          <w:szCs w:val="24"/>
        </w:rPr>
        <w:t xml:space="preserve">3. </w:t>
      </w:r>
      <w:r>
        <w:rPr>
          <w:szCs w:val="24"/>
        </w:rPr>
        <w:t>有效自助、他助与求助。</w:t>
      </w:r>
    </w:p>
    <w:p>
      <w:pPr>
        <w:tabs>
          <w:tab w:val="left" w:pos="420"/>
        </w:tabs>
        <w:adjustRightInd w:val="0"/>
        <w:snapToGrid w:val="0"/>
        <w:spacing w:line="360" w:lineRule="auto"/>
        <w:ind w:left="426"/>
        <w:rPr>
          <w:szCs w:val="24"/>
        </w:rPr>
      </w:pPr>
      <w:r>
        <w:rPr>
          <w:rFonts w:hint="eastAsia"/>
          <w:szCs w:val="24"/>
        </w:rPr>
        <w:t>本章节内容支持课程目标1、2。</w:t>
      </w:r>
    </w:p>
    <w:p>
      <w:pPr>
        <w:tabs>
          <w:tab w:val="left" w:pos="420"/>
        </w:tabs>
        <w:adjustRightInd w:val="0"/>
        <w:snapToGrid w:val="0"/>
        <w:spacing w:line="360" w:lineRule="auto"/>
        <w:ind w:left="426"/>
        <w:rPr>
          <w:rFonts w:eastAsia="黑体"/>
          <w:szCs w:val="24"/>
        </w:rPr>
      </w:pPr>
      <w:r>
        <w:rPr>
          <w:rFonts w:hint="eastAsia" w:eastAsia="黑体"/>
          <w:szCs w:val="24"/>
        </w:rPr>
        <w:t xml:space="preserve">第八章 </w:t>
      </w:r>
      <w:r>
        <w:rPr>
          <w:rFonts w:eastAsia="黑体"/>
          <w:szCs w:val="24"/>
        </w:rPr>
        <w:t>心理影片赏析或拓展训练</w:t>
      </w:r>
      <w:r>
        <w:rPr>
          <w:rFonts w:hint="eastAsia" w:eastAsia="黑体"/>
          <w:szCs w:val="24"/>
        </w:rPr>
        <w:t>（7学时）</w:t>
      </w:r>
    </w:p>
    <w:p>
      <w:pPr>
        <w:tabs>
          <w:tab w:val="left" w:pos="420"/>
        </w:tabs>
        <w:adjustRightInd w:val="0"/>
        <w:snapToGrid w:val="0"/>
        <w:spacing w:line="360" w:lineRule="auto"/>
        <w:ind w:left="426"/>
        <w:rPr>
          <w:szCs w:val="24"/>
        </w:rPr>
      </w:pPr>
      <w:r>
        <w:rPr>
          <w:rFonts w:hint="eastAsia"/>
          <w:szCs w:val="24"/>
        </w:rPr>
        <w:t>本章节内容支持课程目标1、2。</w:t>
      </w:r>
    </w:p>
    <w:p>
      <w:pPr>
        <w:tabs>
          <w:tab w:val="left" w:pos="420"/>
        </w:tabs>
        <w:adjustRightInd w:val="0"/>
        <w:snapToGrid w:val="0"/>
        <w:spacing w:line="360" w:lineRule="auto"/>
        <w:ind w:left="420" w:hanging="420"/>
        <w:rPr>
          <w:rFonts w:eastAsia="黑体"/>
          <w:szCs w:val="24"/>
        </w:rPr>
      </w:pPr>
      <w:r>
        <w:rPr>
          <w:rFonts w:hint="eastAsia" w:eastAsia="黑体"/>
          <w:szCs w:val="24"/>
        </w:rPr>
        <w:t>四</w:t>
      </w:r>
      <w:r>
        <w:rPr>
          <w:rFonts w:eastAsia="黑体"/>
          <w:szCs w:val="24"/>
        </w:rPr>
        <w:t>、</w:t>
      </w:r>
      <w:r>
        <w:rPr>
          <w:rFonts w:hint="eastAsia" w:eastAsia="黑体"/>
          <w:szCs w:val="24"/>
        </w:rPr>
        <w:t>实验教学内容</w:t>
      </w:r>
    </w:p>
    <w:p>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课程相应的实验学时为24学时。</w:t>
      </w:r>
    </w:p>
    <w:p>
      <w:pPr>
        <w:widowControl/>
        <w:spacing w:line="360" w:lineRule="auto"/>
        <w:jc w:val="left"/>
        <w:rPr>
          <w:szCs w:val="21"/>
          <w:shd w:val="clear" w:color="auto" w:fill="FFFFFF"/>
        </w:rPr>
      </w:pPr>
      <w:bookmarkStart w:id="25" w:name="_Toc6260"/>
      <w:r>
        <w:rPr>
          <w:rFonts w:hint="eastAsia" w:eastAsia="黑体"/>
          <w:kern w:val="0"/>
          <w:szCs w:val="21"/>
        </w:rPr>
        <w:t>五</w:t>
      </w:r>
      <w:r>
        <w:rPr>
          <w:rFonts w:eastAsia="黑体"/>
          <w:kern w:val="0"/>
          <w:szCs w:val="21"/>
        </w:rPr>
        <w:t>、学时分配</w:t>
      </w:r>
      <w:bookmarkEnd w:id="25"/>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2"/>
        <w:gridCol w:w="1717"/>
        <w:gridCol w:w="1420"/>
        <w:gridCol w:w="14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adjustRightInd w:val="0"/>
              <w:snapToGrid w:val="0"/>
              <w:jc w:val="center"/>
              <w:rPr>
                <w:sz w:val="18"/>
                <w:szCs w:val="18"/>
              </w:rPr>
            </w:pPr>
            <w:r>
              <w:rPr>
                <w:sz w:val="18"/>
                <w:szCs w:val="18"/>
              </w:rPr>
              <w:t>知识点及内容</w:t>
            </w:r>
          </w:p>
        </w:tc>
        <w:tc>
          <w:tcPr>
            <w:tcW w:w="1007" w:type="pct"/>
            <w:tcBorders>
              <w:tl2br w:val="nil"/>
              <w:tr2bl w:val="nil"/>
            </w:tcBorders>
            <w:vAlign w:val="center"/>
          </w:tcPr>
          <w:p>
            <w:pPr>
              <w:adjustRightInd w:val="0"/>
              <w:snapToGrid w:val="0"/>
              <w:jc w:val="center"/>
              <w:rPr>
                <w:sz w:val="18"/>
                <w:szCs w:val="18"/>
              </w:rPr>
            </w:pPr>
            <w:r>
              <w:rPr>
                <w:sz w:val="18"/>
                <w:szCs w:val="18"/>
              </w:rPr>
              <w:t>讲授（学时）</w:t>
            </w:r>
          </w:p>
        </w:tc>
        <w:tc>
          <w:tcPr>
            <w:tcW w:w="833" w:type="pct"/>
            <w:tcBorders>
              <w:tl2br w:val="nil"/>
              <w:tr2bl w:val="nil"/>
            </w:tcBorders>
            <w:vAlign w:val="center"/>
          </w:tcPr>
          <w:p>
            <w:pPr>
              <w:adjustRightInd w:val="0"/>
              <w:snapToGrid w:val="0"/>
              <w:jc w:val="center"/>
              <w:rPr>
                <w:sz w:val="18"/>
                <w:szCs w:val="18"/>
              </w:rPr>
            </w:pPr>
            <w:r>
              <w:rPr>
                <w:rFonts w:hint="eastAsia"/>
                <w:sz w:val="18"/>
                <w:szCs w:val="18"/>
              </w:rPr>
              <w:t>实践（学时）</w:t>
            </w:r>
          </w:p>
        </w:tc>
        <w:tc>
          <w:tcPr>
            <w:tcW w:w="833" w:type="pct"/>
            <w:tcBorders>
              <w:tl2br w:val="nil"/>
              <w:tr2bl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第一章 </w:t>
            </w:r>
            <w:r>
              <w:rPr>
                <w:snapToGrid w:val="0"/>
                <w:kern w:val="0"/>
                <w:sz w:val="18"/>
                <w:szCs w:val="18"/>
              </w:rPr>
              <w:t>大学生心理健康概述</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kern w:val="0"/>
                <w:sz w:val="18"/>
                <w:szCs w:val="18"/>
              </w:rPr>
            </w:pPr>
            <w:r>
              <w:rPr>
                <w:rFonts w:hint="eastAsia"/>
                <w:kern w:val="0"/>
                <w:sz w:val="18"/>
                <w:szCs w:val="18"/>
              </w:rPr>
              <w:t>0</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第二章 </w:t>
            </w:r>
            <w:r>
              <w:rPr>
                <w:snapToGrid w:val="0"/>
                <w:kern w:val="0"/>
                <w:sz w:val="18"/>
                <w:szCs w:val="18"/>
              </w:rPr>
              <w:t>大学生自我意识的完善</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2</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第三章 </w:t>
            </w:r>
            <w:r>
              <w:rPr>
                <w:snapToGrid w:val="0"/>
                <w:kern w:val="0"/>
                <w:sz w:val="18"/>
                <w:szCs w:val="18"/>
              </w:rPr>
              <w:t>大学生情绪的有效管理</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2</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第四章 </w:t>
            </w:r>
            <w:r>
              <w:rPr>
                <w:snapToGrid w:val="0"/>
                <w:kern w:val="0"/>
                <w:sz w:val="18"/>
                <w:szCs w:val="18"/>
              </w:rPr>
              <w:t>大学生心理人格的健全</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2</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第五章 </w:t>
            </w:r>
            <w:r>
              <w:rPr>
                <w:snapToGrid w:val="0"/>
                <w:kern w:val="0"/>
                <w:sz w:val="18"/>
                <w:szCs w:val="18"/>
              </w:rPr>
              <w:t>大学生人际关系的协调</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4</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第六章 </w:t>
            </w:r>
            <w:r>
              <w:rPr>
                <w:snapToGrid w:val="0"/>
                <w:kern w:val="0"/>
                <w:sz w:val="18"/>
                <w:szCs w:val="18"/>
              </w:rPr>
              <w:t>大学生恋爱心理的调试</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4</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第七章 </w:t>
            </w:r>
            <w:r>
              <w:rPr>
                <w:snapToGrid w:val="0"/>
                <w:kern w:val="0"/>
                <w:sz w:val="18"/>
                <w:szCs w:val="18"/>
              </w:rPr>
              <w:t>大学生生命教育</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4</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ind w:firstLine="187" w:firstLineChars="104"/>
              <w:jc w:val="left"/>
              <w:rPr>
                <w:snapToGrid w:val="0"/>
                <w:kern w:val="0"/>
                <w:sz w:val="18"/>
                <w:szCs w:val="18"/>
              </w:rPr>
            </w:pPr>
            <w:r>
              <w:rPr>
                <w:rFonts w:hint="eastAsia"/>
                <w:snapToGrid w:val="0"/>
                <w:kern w:val="0"/>
                <w:sz w:val="18"/>
                <w:szCs w:val="18"/>
              </w:rPr>
              <w:t xml:space="preserve">第八章 </w:t>
            </w:r>
            <w:r>
              <w:rPr>
                <w:snapToGrid w:val="0"/>
                <w:kern w:val="0"/>
                <w:sz w:val="18"/>
                <w:szCs w:val="18"/>
              </w:rPr>
              <w:t>心理影片赏析或拓展训练</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1</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6</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4" w:type="pct"/>
            <w:tcBorders>
              <w:tl2br w:val="nil"/>
              <w:tr2bl w:val="nil"/>
            </w:tcBorders>
            <w:vAlign w:val="center"/>
          </w:tcPr>
          <w:p>
            <w:pPr>
              <w:widowControl/>
              <w:adjustRightInd w:val="0"/>
              <w:snapToGrid w:val="0"/>
              <w:jc w:val="center"/>
              <w:rPr>
                <w:snapToGrid w:val="0"/>
                <w:kern w:val="0"/>
                <w:sz w:val="18"/>
                <w:szCs w:val="18"/>
              </w:rPr>
            </w:pPr>
            <w:r>
              <w:rPr>
                <w:rFonts w:hint="eastAsia"/>
                <w:sz w:val="18"/>
                <w:szCs w:val="18"/>
              </w:rPr>
              <w:t>合</w:t>
            </w:r>
            <w:r>
              <w:rPr>
                <w:rFonts w:hint="eastAsia"/>
                <w:snapToGrid w:val="0"/>
                <w:kern w:val="0"/>
                <w:sz w:val="18"/>
                <w:szCs w:val="18"/>
              </w:rPr>
              <w:t>计</w:t>
            </w:r>
          </w:p>
        </w:tc>
        <w:tc>
          <w:tcPr>
            <w:tcW w:w="1007"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8</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24</w:t>
            </w:r>
          </w:p>
        </w:tc>
        <w:tc>
          <w:tcPr>
            <w:tcW w:w="833" w:type="pct"/>
            <w:tcBorders>
              <w:tl2br w:val="nil"/>
              <w:tr2bl w:val="nil"/>
            </w:tcBorders>
            <w:vAlign w:val="center"/>
          </w:tcPr>
          <w:p>
            <w:pPr>
              <w:widowControl/>
              <w:adjustRightInd w:val="0"/>
              <w:snapToGrid w:val="0"/>
              <w:jc w:val="center"/>
              <w:rPr>
                <w:rFonts w:eastAsiaTheme="minorEastAsia"/>
                <w:kern w:val="0"/>
                <w:sz w:val="18"/>
                <w:szCs w:val="18"/>
              </w:rPr>
            </w:pPr>
            <w:r>
              <w:rPr>
                <w:rFonts w:hint="eastAsia"/>
                <w:kern w:val="0"/>
                <w:sz w:val="18"/>
                <w:szCs w:val="18"/>
              </w:rPr>
              <w:t>32</w:t>
            </w:r>
          </w:p>
        </w:tc>
      </w:tr>
    </w:tbl>
    <w:p>
      <w:pPr>
        <w:tabs>
          <w:tab w:val="left" w:pos="420"/>
        </w:tabs>
        <w:ind w:left="420" w:hanging="420"/>
        <w:rPr>
          <w:rFonts w:eastAsia="黑体"/>
          <w:szCs w:val="24"/>
        </w:rPr>
      </w:pPr>
    </w:p>
    <w:p>
      <w:pPr>
        <w:tabs>
          <w:tab w:val="left" w:pos="420"/>
        </w:tabs>
        <w:spacing w:line="360" w:lineRule="auto"/>
        <w:ind w:left="420" w:hanging="420"/>
        <w:rPr>
          <w:rFonts w:eastAsia="黑体"/>
          <w:szCs w:val="24"/>
        </w:rPr>
      </w:pPr>
      <w:bookmarkStart w:id="26" w:name="_Toc9868"/>
      <w:r>
        <w:rPr>
          <w:rFonts w:hint="eastAsia" w:eastAsia="黑体"/>
          <w:szCs w:val="24"/>
        </w:rPr>
        <w:t>六</w:t>
      </w:r>
      <w:r>
        <w:rPr>
          <w:rFonts w:eastAsia="黑体"/>
          <w:szCs w:val="24"/>
        </w:rPr>
        <w:t>、教材、补充教材及参考资料</w:t>
      </w:r>
      <w:bookmarkEnd w:id="26"/>
    </w:p>
    <w:p>
      <w:pPr>
        <w:numPr>
          <w:ilvl w:val="0"/>
          <w:numId w:val="5"/>
        </w:numPr>
        <w:spacing w:line="360" w:lineRule="auto"/>
        <w:ind w:firstLine="420" w:firstLineChars="200"/>
        <w:rPr>
          <w:szCs w:val="21"/>
          <w:shd w:val="clear" w:color="auto" w:fill="FFFFFF"/>
        </w:rPr>
      </w:pPr>
      <w:r>
        <w:rPr>
          <w:szCs w:val="21"/>
          <w:shd w:val="clear" w:color="auto" w:fill="FFFFFF"/>
        </w:rPr>
        <w:t>理查德•格里格，《心理学与生活》，人民邮电出版社。</w:t>
      </w:r>
    </w:p>
    <w:p>
      <w:pPr>
        <w:numPr>
          <w:ilvl w:val="0"/>
          <w:numId w:val="5"/>
        </w:numPr>
        <w:spacing w:line="360" w:lineRule="auto"/>
        <w:ind w:firstLine="420" w:firstLineChars="200"/>
        <w:rPr>
          <w:szCs w:val="21"/>
        </w:rPr>
      </w:pPr>
      <w:r>
        <w:rPr>
          <w:szCs w:val="21"/>
          <w:shd w:val="clear" w:color="auto" w:fill="FFFFFF"/>
        </w:rPr>
        <w:t>岳晓东，《登天的感觉》，上海人民出版社。</w:t>
      </w:r>
    </w:p>
    <w:p>
      <w:pPr>
        <w:numPr>
          <w:ilvl w:val="0"/>
          <w:numId w:val="5"/>
        </w:numPr>
        <w:spacing w:line="360" w:lineRule="auto"/>
        <w:ind w:firstLine="420" w:firstLineChars="200"/>
        <w:rPr>
          <w:szCs w:val="21"/>
        </w:rPr>
      </w:pPr>
      <w:r>
        <w:rPr>
          <w:szCs w:val="21"/>
          <w:shd w:val="clear" w:color="auto" w:fill="FFFFFF"/>
        </w:rPr>
        <w:t>堂娜•邓宁，杨良得，《</w:t>
      </w:r>
      <w:r>
        <w:fldChar w:fldCharType="begin"/>
      </w:r>
      <w:r>
        <w:instrText xml:space="preserve"> HYPERLINK "http://www.haosou.com/s?q=%E4%BD%A0%E7%9A%84%E8%81%8C%E4%B8%9A%E6%80%A7%E6%A0%BC%E6%98%AF%E4%BB%80%E4%B9%88&amp;ie=utf-8&amp;src=wenda_link" \t "http://wenda.haosou.com/q/_blank" </w:instrText>
      </w:r>
      <w:r>
        <w:fldChar w:fldCharType="separate"/>
      </w:r>
      <w:r>
        <w:rPr>
          <w:rStyle w:val="27"/>
          <w:color w:val="000000" w:themeColor="text1"/>
          <w:szCs w:val="21"/>
          <w:shd w:val="clear" w:color="auto" w:fill="FFFFFF"/>
          <w14:textFill>
            <w14:solidFill>
              <w14:schemeClr w14:val="tx1"/>
            </w14:solidFill>
          </w14:textFill>
        </w:rPr>
        <w:t>你的职业性格是什么</w:t>
      </w:r>
      <w:r>
        <w:rPr>
          <w:rStyle w:val="27"/>
          <w:color w:val="000000" w:themeColor="text1"/>
          <w:szCs w:val="21"/>
          <w:shd w:val="clear" w:color="auto" w:fill="FFFFFF"/>
          <w14:textFill>
            <w14:solidFill>
              <w14:schemeClr w14:val="tx1"/>
            </w14:solidFill>
          </w14:textFill>
        </w:rPr>
        <w:fldChar w:fldCharType="end"/>
      </w:r>
      <w:r>
        <w:rPr>
          <w:szCs w:val="21"/>
          <w:shd w:val="clear" w:color="auto" w:fill="FFFFFF"/>
        </w:rPr>
        <w:t>》，电子工业出版社。</w:t>
      </w:r>
    </w:p>
    <w:p>
      <w:pPr>
        <w:numPr>
          <w:ilvl w:val="0"/>
          <w:numId w:val="5"/>
        </w:numPr>
        <w:spacing w:line="360" w:lineRule="auto"/>
        <w:ind w:firstLine="420" w:firstLineChars="200"/>
        <w:rPr>
          <w:szCs w:val="21"/>
        </w:rPr>
      </w:pPr>
      <w:r>
        <w:rPr>
          <w:szCs w:val="21"/>
          <w:shd w:val="clear" w:color="auto" w:fill="FFFFFF"/>
        </w:rPr>
        <w:t>海伦•帕尔默，徐扬，《九型人格》，华夏出版社。</w:t>
      </w:r>
    </w:p>
    <w:p>
      <w:pPr>
        <w:numPr>
          <w:ilvl w:val="0"/>
          <w:numId w:val="5"/>
        </w:numPr>
        <w:spacing w:line="360" w:lineRule="auto"/>
        <w:ind w:firstLine="420" w:firstLineChars="200"/>
        <w:rPr>
          <w:szCs w:val="21"/>
        </w:rPr>
      </w:pPr>
      <w:r>
        <w:rPr>
          <w:szCs w:val="21"/>
          <w:shd w:val="clear" w:color="auto" w:fill="FFFFFF"/>
        </w:rPr>
        <w:t>陈智，《心理咨询实用咨询技巧与心理个案分析》。</w:t>
      </w:r>
    </w:p>
    <w:p>
      <w:pPr>
        <w:tabs>
          <w:tab w:val="left" w:pos="420"/>
        </w:tabs>
        <w:spacing w:line="360" w:lineRule="auto"/>
        <w:rPr>
          <w:rFonts w:eastAsia="黑体"/>
          <w:szCs w:val="24"/>
        </w:rPr>
      </w:pPr>
      <w:bookmarkStart w:id="27" w:name="_Toc16858"/>
      <w:r>
        <w:rPr>
          <w:rFonts w:hint="eastAsia" w:eastAsia="黑体"/>
          <w:szCs w:val="24"/>
        </w:rPr>
        <w:t>七、</w:t>
      </w:r>
      <w:r>
        <w:rPr>
          <w:rFonts w:eastAsia="黑体"/>
          <w:szCs w:val="24"/>
        </w:rPr>
        <w:t>达成课程目标的途径和措施</w:t>
      </w:r>
      <w:bookmarkEnd w:id="27"/>
    </w:p>
    <w:p>
      <w:pPr>
        <w:tabs>
          <w:tab w:val="left" w:pos="420"/>
        </w:tabs>
        <w:spacing w:line="360" w:lineRule="auto"/>
        <w:ind w:firstLine="420" w:firstLineChars="200"/>
        <w:rPr>
          <w:szCs w:val="24"/>
        </w:rPr>
      </w:pPr>
      <w:r>
        <w:rPr>
          <w:szCs w:val="24"/>
        </w:rPr>
        <w:t>1、考核方式：</w:t>
      </w:r>
      <w:r>
        <w:rPr>
          <w:rFonts w:hint="eastAsia"/>
          <w:szCs w:val="24"/>
        </w:rPr>
        <w:t>课堂表现、</w:t>
      </w:r>
      <w:r>
        <w:rPr>
          <w:szCs w:val="24"/>
        </w:rPr>
        <w:t>作业、实践及考试成绩。</w:t>
      </w:r>
    </w:p>
    <w:p>
      <w:pPr>
        <w:tabs>
          <w:tab w:val="left" w:pos="420"/>
        </w:tabs>
        <w:spacing w:line="360" w:lineRule="auto"/>
        <w:ind w:firstLine="420" w:firstLineChars="200"/>
        <w:rPr>
          <w:szCs w:val="24"/>
        </w:rPr>
      </w:pPr>
      <w:r>
        <w:rPr>
          <w:szCs w:val="24"/>
        </w:rPr>
        <w:t>2、考核目标：能够掌握普通心理学和大学生心理健康教育的基本原理和基本知识，能够运用所学习的心理健康教育知识、方法和技能，深入分析大学生中常见的心理问题，并提出有意义的解决思路；运用掌握的心理健康教育原理，分析自己心理素质方法存在的优劣势，并提出建设性的解决方案，加大践行力度，不断提高自身的身心素质。</w:t>
      </w:r>
    </w:p>
    <w:p>
      <w:pPr>
        <w:tabs>
          <w:tab w:val="left" w:pos="420"/>
        </w:tabs>
        <w:spacing w:line="360" w:lineRule="auto"/>
        <w:ind w:firstLine="420" w:firstLineChars="200"/>
        <w:rPr>
          <w:szCs w:val="24"/>
        </w:rPr>
      </w:pPr>
      <w:r>
        <w:rPr>
          <w:szCs w:val="24"/>
        </w:rPr>
        <w:t>3、成绩构成：</w:t>
      </w:r>
    </w:p>
    <w:p>
      <w:pPr>
        <w:tabs>
          <w:tab w:val="left" w:pos="420"/>
        </w:tabs>
        <w:spacing w:line="360" w:lineRule="auto"/>
        <w:ind w:firstLine="420" w:firstLineChars="200"/>
        <w:rPr>
          <w:szCs w:val="24"/>
        </w:rPr>
      </w:pPr>
      <w:r>
        <w:rPr>
          <w:rFonts w:hint="eastAsia"/>
          <w:szCs w:val="21"/>
        </w:rPr>
        <w:t>本课程通过“平时成绩”和“期末考试”两种方式对课程目标达成进行评价（本大纲中成绩均采用百分制）：</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课堂表现（平时）</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249"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实践（平时）</w:t>
            </w:r>
          </w:p>
        </w:tc>
        <w:tc>
          <w:tcPr>
            <w:tcW w:w="1251" w:type="pct"/>
            <w:tcBorders>
              <w:top w:val="single" w:color="auto" w:sz="4" w:space="0"/>
              <w:left w:val="single" w:color="auto" w:sz="4" w:space="0"/>
              <w:bottom w:val="single" w:color="auto" w:sz="4" w:space="0"/>
              <w:right w:val="nil"/>
            </w:tcBorders>
            <w:vAlign w:val="center"/>
          </w:tcPr>
          <w:p>
            <w:pPr>
              <w:jc w:val="center"/>
              <w:rPr>
                <w:rFonts w:eastAsiaTheme="minorEastAsia"/>
                <w:sz w:val="18"/>
                <w:szCs w:val="18"/>
              </w:rPr>
            </w:pPr>
            <w:r>
              <w:rPr>
                <w:rFonts w:hint="eastAsia"/>
                <w:sz w:val="18"/>
                <w:szCs w:val="18"/>
              </w:rPr>
              <w:t>考试成绩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9"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10</w:t>
            </w:r>
          </w:p>
        </w:tc>
        <w:tc>
          <w:tcPr>
            <w:tcW w:w="124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10</w:t>
            </w:r>
          </w:p>
        </w:tc>
        <w:tc>
          <w:tcPr>
            <w:tcW w:w="1249" w:type="pct"/>
            <w:tcBorders>
              <w:top w:val="single" w:color="auto" w:sz="4" w:space="0"/>
              <w:left w:val="single" w:color="auto" w:sz="4" w:space="0"/>
              <w:bottom w:val="single" w:color="auto" w:sz="4" w:space="0"/>
              <w:right w:val="nil"/>
            </w:tcBorders>
            <w:vAlign w:val="center"/>
          </w:tcPr>
          <w:p>
            <w:pPr>
              <w:jc w:val="center"/>
              <w:rPr>
                <w:rFonts w:eastAsiaTheme="minorEastAsia"/>
                <w:sz w:val="18"/>
                <w:szCs w:val="18"/>
              </w:rPr>
            </w:pPr>
            <w:r>
              <w:rPr>
                <w:sz w:val="18"/>
                <w:szCs w:val="18"/>
              </w:rPr>
              <w:t>20</w:t>
            </w:r>
          </w:p>
        </w:tc>
        <w:tc>
          <w:tcPr>
            <w:tcW w:w="1251" w:type="pct"/>
            <w:tcBorders>
              <w:top w:val="single" w:color="auto" w:sz="4" w:space="0"/>
              <w:left w:val="single" w:color="auto" w:sz="4" w:space="0"/>
              <w:bottom w:val="single" w:color="auto" w:sz="4" w:space="0"/>
              <w:right w:val="nil"/>
            </w:tcBorders>
            <w:vAlign w:val="center"/>
          </w:tcPr>
          <w:p>
            <w:pPr>
              <w:jc w:val="center"/>
              <w:rPr>
                <w:rFonts w:eastAsiaTheme="minorEastAsia"/>
                <w:sz w:val="18"/>
                <w:szCs w:val="18"/>
              </w:rPr>
            </w:pPr>
            <w:r>
              <w:rPr>
                <w:sz w:val="18"/>
                <w:szCs w:val="18"/>
              </w:rPr>
              <w:t>60</w:t>
            </w:r>
          </w:p>
        </w:tc>
      </w:tr>
    </w:tbl>
    <w:p>
      <w:pPr>
        <w:spacing w:line="360" w:lineRule="auto"/>
        <w:ind w:firstLine="420" w:firstLineChars="200"/>
        <w:rPr>
          <w:b/>
          <w:bCs/>
          <w:color w:val="1D41D5"/>
          <w:szCs w:val="21"/>
        </w:rPr>
      </w:pPr>
      <w:r>
        <w:rPr>
          <w:rFonts w:hint="eastAsia"/>
          <w:szCs w:val="21"/>
        </w:rPr>
        <w:t>指导性课程目标评价题目分数分配：</w:t>
      </w:r>
    </w:p>
    <w:tbl>
      <w:tblPr>
        <w:tblStyle w:val="22"/>
        <w:tblW w:w="4998" w:type="pct"/>
        <w:jc w:val="center"/>
        <w:tblLayout w:type="autofit"/>
        <w:tblCellMar>
          <w:top w:w="0" w:type="dxa"/>
          <w:left w:w="108" w:type="dxa"/>
          <w:bottom w:w="0" w:type="dxa"/>
          <w:right w:w="108" w:type="dxa"/>
        </w:tblCellMar>
      </w:tblPr>
      <w:tblGrid>
        <w:gridCol w:w="1534"/>
        <w:gridCol w:w="1790"/>
        <w:gridCol w:w="1663"/>
        <w:gridCol w:w="1974"/>
        <w:gridCol w:w="1558"/>
      </w:tblGrid>
      <w:tr>
        <w:tblPrEx>
          <w:tblCellMar>
            <w:top w:w="0" w:type="dxa"/>
            <w:left w:w="108" w:type="dxa"/>
            <w:bottom w:w="0" w:type="dxa"/>
            <w:right w:w="108" w:type="dxa"/>
          </w:tblCellMar>
        </w:tblPrEx>
        <w:trPr>
          <w:trHeight w:val="23" w:hRule="atLeast"/>
          <w:jc w:val="center"/>
        </w:trPr>
        <w:tc>
          <w:tcPr>
            <w:tcW w:w="900" w:type="pct"/>
            <w:tcBorders>
              <w:top w:val="single" w:color="auto" w:sz="4" w:space="0"/>
              <w:left w:val="nil"/>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课程目标</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sz w:val="18"/>
                <w:szCs w:val="18"/>
              </w:rPr>
              <w:t>W1</w:t>
            </w:r>
            <w:r>
              <w:rPr>
                <w:sz w:val="18"/>
                <w:szCs w:val="18"/>
                <w:vertAlign w:val="subscript"/>
              </w:rPr>
              <w:t>i</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sz w:val="18"/>
                <w:szCs w:val="18"/>
              </w:rPr>
              <w:t>W2</w:t>
            </w:r>
            <w:r>
              <w:rPr>
                <w:sz w:val="18"/>
                <w:szCs w:val="18"/>
                <w:vertAlign w:val="subscript"/>
              </w:rPr>
              <w:t>i</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实践（平时）</w:t>
            </w:r>
          </w:p>
          <w:p>
            <w:pPr>
              <w:jc w:val="center"/>
              <w:rPr>
                <w:sz w:val="18"/>
                <w:szCs w:val="18"/>
              </w:rPr>
            </w:pPr>
            <w:r>
              <w:rPr>
                <w:sz w:val="18"/>
                <w:szCs w:val="18"/>
              </w:rPr>
              <w:t>W3</w:t>
            </w:r>
            <w:r>
              <w:rPr>
                <w:sz w:val="18"/>
                <w:szCs w:val="18"/>
                <w:vertAlign w:val="subscript"/>
              </w:rPr>
              <w:t>i</w:t>
            </w:r>
          </w:p>
        </w:tc>
        <w:tc>
          <w:tcPr>
            <w:tcW w:w="914"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考试成绩</w:t>
            </w:r>
          </w:p>
          <w:p>
            <w:pPr>
              <w:jc w:val="center"/>
              <w:rPr>
                <w:sz w:val="18"/>
                <w:szCs w:val="18"/>
              </w:rPr>
            </w:pPr>
            <w:r>
              <w:rPr>
                <w:sz w:val="18"/>
                <w:szCs w:val="18"/>
              </w:rPr>
              <w:t>W4</w:t>
            </w:r>
            <w:r>
              <w:rPr>
                <w:sz w:val="18"/>
                <w:szCs w:val="18"/>
                <w:vertAlign w:val="subscript"/>
              </w:rPr>
              <w:t>i</w:t>
            </w:r>
          </w:p>
        </w:tc>
      </w:tr>
      <w:tr>
        <w:tblPrEx>
          <w:tblCellMar>
            <w:top w:w="0" w:type="dxa"/>
            <w:left w:w="108" w:type="dxa"/>
            <w:bottom w:w="0" w:type="dxa"/>
            <w:right w:w="108" w:type="dxa"/>
          </w:tblCellMar>
        </w:tblPrEx>
        <w:trPr>
          <w:trHeight w:val="23" w:hRule="atLeast"/>
          <w:jc w:val="center"/>
        </w:trPr>
        <w:tc>
          <w:tcPr>
            <w:tcW w:w="90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1</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30-40</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30-40</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20-30</w:t>
            </w:r>
          </w:p>
        </w:tc>
        <w:tc>
          <w:tcPr>
            <w:tcW w:w="914" w:type="pct"/>
            <w:tcBorders>
              <w:top w:val="single" w:color="auto" w:sz="4" w:space="0"/>
              <w:left w:val="single" w:color="auto" w:sz="4" w:space="0"/>
              <w:bottom w:val="single" w:color="auto" w:sz="4" w:space="0"/>
              <w:right w:val="nil"/>
            </w:tcBorders>
            <w:vAlign w:val="center"/>
          </w:tcPr>
          <w:p>
            <w:pPr>
              <w:jc w:val="center"/>
              <w:rPr>
                <w:rFonts w:eastAsiaTheme="minorEastAsia"/>
                <w:bCs/>
                <w:sz w:val="18"/>
                <w:szCs w:val="18"/>
              </w:rPr>
            </w:pPr>
            <w:r>
              <w:rPr>
                <w:rFonts w:hint="eastAsia"/>
                <w:bCs/>
                <w:sz w:val="18"/>
                <w:szCs w:val="18"/>
              </w:rPr>
              <w:t>20-30</w:t>
            </w:r>
          </w:p>
        </w:tc>
      </w:tr>
      <w:tr>
        <w:tblPrEx>
          <w:tblCellMar>
            <w:top w:w="0" w:type="dxa"/>
            <w:left w:w="108" w:type="dxa"/>
            <w:bottom w:w="0" w:type="dxa"/>
            <w:right w:w="108" w:type="dxa"/>
          </w:tblCellMar>
        </w:tblPrEx>
        <w:trPr>
          <w:trHeight w:val="23" w:hRule="atLeast"/>
          <w:jc w:val="center"/>
        </w:trPr>
        <w:tc>
          <w:tcPr>
            <w:tcW w:w="90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2</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20-30</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20-30</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20-30</w:t>
            </w:r>
          </w:p>
        </w:tc>
        <w:tc>
          <w:tcPr>
            <w:tcW w:w="914" w:type="pct"/>
            <w:tcBorders>
              <w:top w:val="single" w:color="auto" w:sz="4" w:space="0"/>
              <w:left w:val="single" w:color="auto" w:sz="4" w:space="0"/>
              <w:bottom w:val="single" w:color="auto" w:sz="4" w:space="0"/>
              <w:right w:val="nil"/>
            </w:tcBorders>
            <w:vAlign w:val="center"/>
          </w:tcPr>
          <w:p>
            <w:pPr>
              <w:jc w:val="center"/>
              <w:rPr>
                <w:bCs/>
                <w:sz w:val="18"/>
                <w:szCs w:val="18"/>
              </w:rPr>
            </w:pPr>
            <w:r>
              <w:rPr>
                <w:bCs/>
                <w:sz w:val="18"/>
                <w:szCs w:val="18"/>
              </w:rPr>
              <w:t>30-40</w:t>
            </w:r>
          </w:p>
        </w:tc>
      </w:tr>
      <w:tr>
        <w:tblPrEx>
          <w:tblCellMar>
            <w:top w:w="0" w:type="dxa"/>
            <w:left w:w="108" w:type="dxa"/>
            <w:bottom w:w="0" w:type="dxa"/>
            <w:right w:w="108" w:type="dxa"/>
          </w:tblCellMar>
        </w:tblPrEx>
        <w:trPr>
          <w:trHeight w:val="23" w:hRule="atLeast"/>
          <w:jc w:val="center"/>
        </w:trPr>
        <w:tc>
          <w:tcPr>
            <w:tcW w:w="900" w:type="pct"/>
            <w:tcBorders>
              <w:top w:val="single" w:color="auto" w:sz="4" w:space="0"/>
              <w:left w:val="nil"/>
              <w:bottom w:val="single" w:color="auto" w:sz="4" w:space="0"/>
              <w:right w:val="single" w:color="auto" w:sz="4" w:space="0"/>
            </w:tcBorders>
            <w:vAlign w:val="center"/>
          </w:tcPr>
          <w:p>
            <w:pPr>
              <w:jc w:val="center"/>
              <w:rPr>
                <w:bCs/>
                <w:sz w:val="18"/>
                <w:szCs w:val="18"/>
              </w:rPr>
            </w:pPr>
            <w:r>
              <w:rPr>
                <w:bCs/>
                <w:sz w:val="18"/>
                <w:szCs w:val="18"/>
              </w:rPr>
              <w:t>3</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20-30</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15-20</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10-20</w:t>
            </w:r>
          </w:p>
        </w:tc>
        <w:tc>
          <w:tcPr>
            <w:tcW w:w="914" w:type="pct"/>
            <w:tcBorders>
              <w:top w:val="single" w:color="auto" w:sz="4" w:space="0"/>
              <w:left w:val="single" w:color="auto" w:sz="4" w:space="0"/>
              <w:bottom w:val="single" w:color="auto" w:sz="4" w:space="0"/>
              <w:right w:val="nil"/>
            </w:tcBorders>
            <w:vAlign w:val="center"/>
          </w:tcPr>
          <w:p>
            <w:pPr>
              <w:jc w:val="center"/>
              <w:rPr>
                <w:bCs/>
                <w:sz w:val="18"/>
                <w:szCs w:val="18"/>
              </w:rPr>
            </w:pPr>
            <w:r>
              <w:rPr>
                <w:bCs/>
                <w:sz w:val="18"/>
                <w:szCs w:val="18"/>
              </w:rPr>
              <w:t>5-10</w:t>
            </w:r>
          </w:p>
        </w:tc>
      </w:tr>
      <w:tr>
        <w:tblPrEx>
          <w:tblCellMar>
            <w:top w:w="0" w:type="dxa"/>
            <w:left w:w="108" w:type="dxa"/>
            <w:bottom w:w="0" w:type="dxa"/>
            <w:right w:w="108" w:type="dxa"/>
          </w:tblCellMar>
        </w:tblPrEx>
        <w:trPr>
          <w:trHeight w:val="23" w:hRule="atLeast"/>
          <w:jc w:val="center"/>
        </w:trPr>
        <w:tc>
          <w:tcPr>
            <w:tcW w:w="900" w:type="pct"/>
            <w:tcBorders>
              <w:top w:val="single" w:color="auto" w:sz="4" w:space="0"/>
              <w:left w:val="nil"/>
              <w:bottom w:val="single" w:color="auto" w:sz="4" w:space="0"/>
              <w:right w:val="single" w:color="auto" w:sz="4" w:space="0"/>
            </w:tcBorders>
            <w:vAlign w:val="center"/>
          </w:tcPr>
          <w:p>
            <w:pPr>
              <w:jc w:val="center"/>
              <w:rPr>
                <w:rFonts w:eastAsiaTheme="minorEastAsia"/>
                <w:bCs/>
                <w:sz w:val="18"/>
                <w:szCs w:val="18"/>
              </w:rPr>
            </w:pPr>
            <w:r>
              <w:rPr>
                <w:bCs/>
                <w:sz w:val="18"/>
                <w:szCs w:val="18"/>
              </w:rPr>
              <w:t>4</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10-15</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20-30</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5-10</w:t>
            </w:r>
          </w:p>
        </w:tc>
        <w:tc>
          <w:tcPr>
            <w:tcW w:w="914" w:type="pct"/>
            <w:tcBorders>
              <w:top w:val="single" w:color="auto" w:sz="4" w:space="0"/>
              <w:left w:val="single" w:color="auto" w:sz="4" w:space="0"/>
              <w:bottom w:val="single" w:color="auto" w:sz="4" w:space="0"/>
              <w:right w:val="nil"/>
            </w:tcBorders>
            <w:vAlign w:val="center"/>
          </w:tcPr>
          <w:p>
            <w:pPr>
              <w:jc w:val="center"/>
              <w:rPr>
                <w:rFonts w:eastAsiaTheme="minorEastAsia"/>
                <w:bCs/>
                <w:sz w:val="18"/>
                <w:szCs w:val="18"/>
              </w:rPr>
            </w:pPr>
            <w:r>
              <w:rPr>
                <w:rFonts w:hint="eastAsia"/>
                <w:bCs/>
                <w:sz w:val="18"/>
                <w:szCs w:val="18"/>
              </w:rPr>
              <w:t>20-30</w:t>
            </w:r>
          </w:p>
        </w:tc>
      </w:tr>
      <w:tr>
        <w:tblPrEx>
          <w:tblCellMar>
            <w:top w:w="0" w:type="dxa"/>
            <w:left w:w="108" w:type="dxa"/>
            <w:bottom w:w="0" w:type="dxa"/>
            <w:right w:w="108" w:type="dxa"/>
          </w:tblCellMar>
        </w:tblPrEx>
        <w:trPr>
          <w:trHeight w:val="23" w:hRule="atLeast"/>
          <w:jc w:val="center"/>
        </w:trPr>
        <w:tc>
          <w:tcPr>
            <w:tcW w:w="900" w:type="pct"/>
            <w:tcBorders>
              <w:top w:val="single" w:color="auto" w:sz="4" w:space="0"/>
              <w:left w:val="nil"/>
              <w:bottom w:val="single" w:color="auto" w:sz="4" w:space="0"/>
              <w:right w:val="single" w:color="auto" w:sz="4" w:space="0"/>
            </w:tcBorders>
            <w:vAlign w:val="center"/>
          </w:tcPr>
          <w:p>
            <w:pPr>
              <w:jc w:val="center"/>
              <w:rPr>
                <w:rFonts w:eastAsiaTheme="minorEastAsia"/>
                <w:bCs/>
                <w:sz w:val="18"/>
                <w:szCs w:val="18"/>
              </w:rPr>
            </w:pPr>
            <w:r>
              <w:rPr>
                <w:bCs/>
                <w:sz w:val="18"/>
                <w:szCs w:val="18"/>
              </w:rPr>
              <w:t>5</w:t>
            </w:r>
          </w:p>
        </w:tc>
        <w:tc>
          <w:tcPr>
            <w:tcW w:w="105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15-20</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5-10</w:t>
            </w:r>
          </w:p>
        </w:tc>
        <w:tc>
          <w:tcPr>
            <w:tcW w:w="115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Cs/>
                <w:sz w:val="18"/>
                <w:szCs w:val="18"/>
              </w:rPr>
            </w:pPr>
            <w:r>
              <w:rPr>
                <w:rFonts w:hint="eastAsia"/>
                <w:bCs/>
                <w:sz w:val="18"/>
                <w:szCs w:val="18"/>
              </w:rPr>
              <w:t>30-40</w:t>
            </w:r>
          </w:p>
        </w:tc>
        <w:tc>
          <w:tcPr>
            <w:tcW w:w="914" w:type="pct"/>
            <w:tcBorders>
              <w:top w:val="single" w:color="auto" w:sz="4" w:space="0"/>
              <w:left w:val="single" w:color="auto" w:sz="4" w:space="0"/>
              <w:bottom w:val="single" w:color="auto" w:sz="4" w:space="0"/>
              <w:right w:val="nil"/>
            </w:tcBorders>
            <w:vAlign w:val="center"/>
          </w:tcPr>
          <w:p>
            <w:pPr>
              <w:jc w:val="center"/>
              <w:rPr>
                <w:rFonts w:eastAsiaTheme="minorEastAsia"/>
                <w:bCs/>
                <w:sz w:val="18"/>
                <w:szCs w:val="18"/>
              </w:rPr>
            </w:pPr>
            <w:r>
              <w:rPr>
                <w:rFonts w:hint="eastAsia"/>
                <w:bCs/>
                <w:sz w:val="18"/>
                <w:szCs w:val="18"/>
              </w:rPr>
              <w:t>10-20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r>
        <w:rPr>
          <w:szCs w:val="21"/>
        </w:rPr>
        <w:br w:type="page"/>
      </w:r>
    </w:p>
    <w:p>
      <w:pPr>
        <w:pStyle w:val="20"/>
        <w:spacing w:before="312" w:after="468"/>
      </w:pPr>
      <w:bookmarkStart w:id="28" w:name="_Toc22043421"/>
      <w:bookmarkEnd w:id="28"/>
      <w:bookmarkStart w:id="29" w:name="_Toc17510"/>
      <w:r>
        <w:rPr>
          <w:rFonts w:hint="eastAsia"/>
        </w:rPr>
        <w:t>《X01100007、X01100008、X01100009、X01100010-大学英语A》教学大纲</w:t>
      </w:r>
      <w:bookmarkEnd w:id="29"/>
    </w:p>
    <w:p>
      <w:pPr>
        <w:adjustRightInd w:val="0"/>
        <w:snapToGrid w:val="0"/>
        <w:spacing w:line="360" w:lineRule="auto"/>
        <w:rPr>
          <w:rFonts w:eastAsia="黑体"/>
          <w:color w:val="000000"/>
          <w:szCs w:val="21"/>
        </w:rPr>
      </w:pPr>
      <w:r>
        <w:rPr>
          <w:rFonts w:ascii="黑体" w:hAnsi="黑体" w:eastAsia="黑体"/>
          <w:color w:val="000000"/>
        </w:rPr>
        <w:t>课程编号：</w:t>
      </w:r>
      <w:r>
        <w:rPr>
          <w:kern w:val="0"/>
        </w:rPr>
        <w:t>X01100007</w:t>
      </w:r>
      <w:r>
        <w:rPr>
          <w:rFonts w:ascii="宋体" w:hAnsi="宋体"/>
          <w:color w:val="000000"/>
          <w:kern w:val="0"/>
        </w:rPr>
        <w:t>、</w:t>
      </w:r>
      <w:r>
        <w:rPr>
          <w:kern w:val="0"/>
        </w:rPr>
        <w:t>X01100008</w:t>
      </w:r>
      <w:r>
        <w:rPr>
          <w:rFonts w:ascii="宋体" w:hAnsi="宋体"/>
          <w:color w:val="000000"/>
          <w:kern w:val="0"/>
        </w:rPr>
        <w:t>、</w:t>
      </w:r>
      <w:r>
        <w:rPr>
          <w:kern w:val="0"/>
        </w:rPr>
        <w:t>X01100009</w:t>
      </w:r>
      <w:r>
        <w:rPr>
          <w:rFonts w:ascii="宋体" w:hAnsi="宋体"/>
          <w:color w:val="000000"/>
          <w:kern w:val="0"/>
        </w:rPr>
        <w:t>、</w:t>
      </w:r>
      <w:r>
        <w:rPr>
          <w:kern w:val="0"/>
        </w:rPr>
        <w:t>X01100010</w:t>
      </w:r>
    </w:p>
    <w:p>
      <w:pPr>
        <w:adjustRightInd w:val="0"/>
        <w:snapToGrid w:val="0"/>
        <w:spacing w:line="360" w:lineRule="auto"/>
        <w:rPr>
          <w:rFonts w:eastAsia="黑体"/>
          <w:color w:val="000000"/>
        </w:rPr>
      </w:pPr>
      <w:r>
        <w:rPr>
          <w:rFonts w:ascii="黑体" w:hAnsi="黑体" w:eastAsia="黑体"/>
          <w:color w:val="000000"/>
        </w:rPr>
        <w:t>课程名称：</w:t>
      </w:r>
      <w:r>
        <w:rPr>
          <w:rFonts w:ascii="宋体" w:hAnsi="宋体"/>
          <w:color w:val="000000"/>
        </w:rPr>
        <w:t>大学英语</w:t>
      </w:r>
      <w:r>
        <w:rPr>
          <w:color w:val="000000"/>
        </w:rPr>
        <w:t>A</w:t>
      </w:r>
      <w:r>
        <w:rPr>
          <w:rFonts w:hint="eastAsia"/>
          <w:color w:val="000000"/>
        </w:rPr>
        <w:t xml:space="preserve">                         </w:t>
      </w:r>
      <w:r>
        <w:rPr>
          <w:rFonts w:ascii="黑体" w:hAnsi="黑体" w:eastAsia="黑体"/>
          <w:color w:val="000000"/>
        </w:rPr>
        <w:t>开课单位：</w:t>
      </w:r>
      <w:r>
        <w:rPr>
          <w:rFonts w:ascii="宋体" w:hAnsi="宋体"/>
          <w:color w:val="000000"/>
        </w:rPr>
        <w:t>人文社科学院</w:t>
      </w:r>
      <w:r>
        <w:rPr>
          <w:rFonts w:eastAsia="黑体"/>
          <w:color w:val="000000"/>
        </w:rPr>
        <w:tab/>
      </w:r>
      <w:r>
        <w:rPr>
          <w:rFonts w:eastAsia="黑体"/>
          <w:color w:val="000000"/>
        </w:rPr>
        <w:t xml:space="preserve">        </w:t>
      </w:r>
      <w:r>
        <w:rPr>
          <w:rFonts w:hint="eastAsia" w:eastAsia="黑体"/>
          <w:color w:val="000000"/>
        </w:rPr>
        <w:t xml:space="preserve">  </w:t>
      </w:r>
      <w:r>
        <w:rPr>
          <w:rFonts w:ascii="黑体" w:hAnsi="黑体" w:eastAsia="黑体"/>
          <w:color w:val="000000"/>
        </w:rPr>
        <w:t>总</w:t>
      </w:r>
      <w:r>
        <w:rPr>
          <w:rFonts w:eastAsia="黑体"/>
          <w:color w:val="000000"/>
        </w:rPr>
        <w:t xml:space="preserve"> </w:t>
      </w:r>
      <w:r>
        <w:rPr>
          <w:rFonts w:ascii="黑体" w:hAnsi="黑体" w:eastAsia="黑体"/>
          <w:color w:val="000000"/>
        </w:rPr>
        <w:t>学</w:t>
      </w:r>
      <w:r>
        <w:rPr>
          <w:rFonts w:eastAsia="黑体"/>
          <w:color w:val="000000"/>
        </w:rPr>
        <w:t xml:space="preserve"> </w:t>
      </w:r>
      <w:r>
        <w:rPr>
          <w:rFonts w:ascii="黑体" w:hAnsi="黑体" w:eastAsia="黑体"/>
          <w:color w:val="000000"/>
        </w:rPr>
        <w:t>时：</w:t>
      </w:r>
      <w:r>
        <w:rPr>
          <w:color w:val="000000"/>
        </w:rPr>
        <w:t xml:space="preserve">200       </w:t>
      </w:r>
      <w:r>
        <w:rPr>
          <w:rFonts w:eastAsia="黑体"/>
          <w:color w:val="000000"/>
        </w:rPr>
        <w:tab/>
      </w:r>
      <w:r>
        <w:rPr>
          <w:rFonts w:eastAsia="黑体"/>
          <w:color w:val="000000"/>
        </w:rPr>
        <w:t xml:space="preserve">                     </w:t>
      </w:r>
      <w:r>
        <w:rPr>
          <w:rFonts w:ascii="黑体" w:hAnsi="黑体" w:eastAsia="黑体"/>
          <w:color w:val="000000"/>
        </w:rPr>
        <w:t>学</w:t>
      </w:r>
      <w:r>
        <w:rPr>
          <w:rFonts w:eastAsia="黑体"/>
          <w:color w:val="000000"/>
        </w:rPr>
        <w:t xml:space="preserve">    </w:t>
      </w:r>
      <w:r>
        <w:rPr>
          <w:rFonts w:ascii="黑体" w:hAnsi="黑体" w:eastAsia="黑体"/>
          <w:color w:val="000000"/>
        </w:rPr>
        <w:t>分：</w:t>
      </w:r>
      <w:r>
        <w:rPr>
          <w:rFonts w:eastAsia="黑体"/>
          <w:color w:val="000000"/>
        </w:rPr>
        <w:t>11</w:t>
      </w:r>
    </w:p>
    <w:p>
      <w:pPr>
        <w:adjustRightInd w:val="0"/>
        <w:snapToGrid w:val="0"/>
        <w:spacing w:line="360" w:lineRule="auto"/>
        <w:rPr>
          <w:rFonts w:eastAsia="黑体"/>
          <w:color w:val="000000"/>
        </w:rPr>
      </w:pPr>
      <w:r>
        <w:rPr>
          <w:rFonts w:ascii="黑体" w:hAnsi="黑体" w:eastAsia="黑体"/>
          <w:color w:val="000000"/>
        </w:rPr>
        <w:t>适用专业：</w:t>
      </w:r>
      <w:r>
        <w:rPr>
          <w:rFonts w:ascii="宋体" w:hAnsi="宋体"/>
        </w:rPr>
        <w:t>工程类各专业</w:t>
      </w:r>
    </w:p>
    <w:p>
      <w:pPr>
        <w:adjustRightInd w:val="0"/>
        <w:snapToGrid w:val="0"/>
        <w:spacing w:line="360" w:lineRule="auto"/>
        <w:rPr>
          <w:color w:val="000000"/>
        </w:rPr>
      </w:pPr>
      <w:r>
        <w:rPr>
          <w:rFonts w:ascii="黑体" w:hAnsi="黑体" w:eastAsia="黑体"/>
          <w:color w:val="000000"/>
        </w:rPr>
        <w:t>先修课程：</w:t>
      </w:r>
      <w:r>
        <w:rPr>
          <w:rFonts w:ascii="宋体" w:hAnsi="宋体"/>
          <w:color w:val="000000"/>
        </w:rPr>
        <w:t>基础英语</w:t>
      </w:r>
    </w:p>
    <w:p>
      <w:pPr>
        <w:adjustRightInd w:val="0"/>
        <w:snapToGrid w:val="0"/>
        <w:spacing w:line="360" w:lineRule="auto"/>
      </w:pPr>
      <w:r>
        <w:rPr>
          <w:rFonts w:ascii="黑体" w:hAnsi="黑体" w:eastAsia="黑体"/>
        </w:rPr>
        <w:t>大纲编写（修订）时间</w:t>
      </w:r>
      <w:r>
        <w:rPr>
          <w:rFonts w:ascii="宋体" w:hAnsi="宋体"/>
        </w:rPr>
        <w:t>：</w:t>
      </w:r>
      <w:r>
        <w:t>2019</w:t>
      </w:r>
      <w:r>
        <w:rPr>
          <w:rFonts w:ascii="宋体" w:hAnsi="宋体"/>
        </w:rPr>
        <w:t>年</w:t>
      </w:r>
      <w:r>
        <w:t>4</w:t>
      </w:r>
      <w:r>
        <w:rPr>
          <w:rFonts w:ascii="宋体" w:hAnsi="宋体"/>
        </w:rPr>
        <w:t>月</w:t>
      </w:r>
    </w:p>
    <w:p>
      <w:pPr>
        <w:spacing w:line="360" w:lineRule="auto"/>
        <w:rPr>
          <w:rFonts w:ascii="Calibri" w:hAnsi="Calibri"/>
          <w:b/>
          <w:bCs/>
          <w:color w:val="000000"/>
        </w:rPr>
      </w:pPr>
      <w:r>
        <w:rPr>
          <w:b/>
          <w:bCs/>
          <w:color w:val="000000"/>
        </w:rPr>
        <w:t xml:space="preserve"> </w:t>
      </w:r>
    </w:p>
    <w:p>
      <w:pPr>
        <w:adjustRightInd w:val="0"/>
        <w:snapToGrid w:val="0"/>
        <w:spacing w:line="360" w:lineRule="auto"/>
        <w:rPr>
          <w:rFonts w:eastAsia="黑体"/>
          <w:color w:val="000000"/>
        </w:rPr>
      </w:pPr>
      <w:bookmarkStart w:id="30" w:name="_Toc13043"/>
      <w:bookmarkEnd w:id="30"/>
      <w:r>
        <w:rPr>
          <w:rFonts w:hint="eastAsia" w:ascii="黑体" w:hAnsi="黑体" w:eastAsia="黑体"/>
          <w:color w:val="000000"/>
        </w:rPr>
        <w:t>一、课程在教学计划中的地位、作用</w:t>
      </w:r>
    </w:p>
    <w:p>
      <w:pPr>
        <w:autoSpaceDE w:val="0"/>
        <w:adjustRightInd w:val="0"/>
        <w:spacing w:line="360" w:lineRule="auto"/>
        <w:ind w:firstLine="420" w:firstLineChars="200"/>
        <w:rPr>
          <w:rFonts w:eastAsia="Times New Roman"/>
          <w:color w:val="000000"/>
        </w:rPr>
      </w:pPr>
      <w:r>
        <w:rPr>
          <w:rFonts w:hint="eastAsia" w:ascii="宋体" w:hAnsi="宋体"/>
          <w:color w:val="000000"/>
        </w:rPr>
        <w:t>大学外语教育是我国高等教育的重要组成部分，对培养大学生的知识能力和综合素质具有重要意义。作为大学外语教育最主要的语种，大学英语课程是大多数非英语专业学生在本科教育阶段必修的公共基础课程，在人才培养方面具有不可替代的重要作用。作为高校的公共基础课程，大学英语课程定位于服务，主要服务于学校办学目标、院系专业需要及学生个性发展需求。</w:t>
      </w:r>
    </w:p>
    <w:p>
      <w:pPr>
        <w:spacing w:line="360" w:lineRule="auto"/>
        <w:ind w:firstLine="420" w:firstLineChars="200"/>
        <w:rPr>
          <w:color w:val="000000"/>
        </w:rPr>
      </w:pPr>
      <w:r>
        <w:rPr>
          <w:color w:val="000000"/>
        </w:rPr>
        <w:t xml:space="preserve"> </w:t>
      </w:r>
    </w:p>
    <w:p>
      <w:pPr>
        <w:adjustRightInd w:val="0"/>
        <w:snapToGrid w:val="0"/>
        <w:spacing w:line="360" w:lineRule="auto"/>
        <w:ind w:left="420" w:hanging="420"/>
        <w:rPr>
          <w:rFonts w:eastAsia="黑体"/>
          <w:color w:val="000000"/>
        </w:rPr>
      </w:pPr>
      <w:bookmarkStart w:id="31" w:name="_Toc29877"/>
      <w:bookmarkEnd w:id="31"/>
      <w:r>
        <w:rPr>
          <w:rFonts w:hint="eastAsia" w:ascii="黑体" w:hAnsi="黑体" w:eastAsia="黑体"/>
          <w:color w:val="000000"/>
        </w:rPr>
        <w:t>二、课程目标</w:t>
      </w:r>
    </w:p>
    <w:p>
      <w:pPr>
        <w:autoSpaceDE w:val="0"/>
        <w:adjustRightInd w:val="0"/>
        <w:spacing w:line="360" w:lineRule="auto"/>
        <w:ind w:firstLine="420" w:firstLineChars="200"/>
        <w:rPr>
          <w:color w:val="000000"/>
        </w:rPr>
      </w:pPr>
      <w:r>
        <w:rPr>
          <w:rFonts w:hint="eastAsia" w:ascii="宋体" w:hAnsi="宋体"/>
          <w:color w:val="000000"/>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3772"/>
        <w:gridCol w:w="40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bottom"/>
          </w:tcPr>
          <w:p>
            <w:pPr>
              <w:autoSpaceDE w:val="0"/>
              <w:adjustRightInd w:val="0"/>
              <w:spacing w:line="360" w:lineRule="auto"/>
              <w:jc w:val="center"/>
              <w:rPr>
                <w:sz w:val="18"/>
                <w:szCs w:val="18"/>
              </w:rPr>
            </w:pPr>
            <w:r>
              <w:rPr>
                <w:rFonts w:hint="eastAsia"/>
                <w:sz w:val="18"/>
                <w:szCs w:val="18"/>
              </w:rPr>
              <w:t>序号</w:t>
            </w:r>
          </w:p>
        </w:tc>
        <w:tc>
          <w:tcPr>
            <w:tcW w:w="2213" w:type="pct"/>
            <w:tcBorders>
              <w:top w:val="single" w:color="auto" w:sz="4" w:space="0"/>
              <w:left w:val="single" w:color="auto" w:sz="4" w:space="0"/>
              <w:bottom w:val="single" w:color="auto" w:sz="4" w:space="0"/>
              <w:right w:val="single" w:color="auto" w:sz="4" w:space="0"/>
            </w:tcBorders>
            <w:vAlign w:val="bottom"/>
          </w:tcPr>
          <w:p>
            <w:pPr>
              <w:autoSpaceDE w:val="0"/>
              <w:adjustRightInd w:val="0"/>
              <w:spacing w:line="360" w:lineRule="auto"/>
              <w:jc w:val="center"/>
              <w:rPr>
                <w:sz w:val="18"/>
                <w:szCs w:val="18"/>
              </w:rPr>
            </w:pPr>
            <w:r>
              <w:rPr>
                <w:rFonts w:hint="eastAsia"/>
                <w:sz w:val="18"/>
                <w:szCs w:val="18"/>
              </w:rPr>
              <w:t>课程目标</w:t>
            </w:r>
          </w:p>
        </w:tc>
        <w:tc>
          <w:tcPr>
            <w:tcW w:w="2356" w:type="pct"/>
            <w:tcBorders>
              <w:top w:val="single" w:color="auto" w:sz="4" w:space="0"/>
              <w:left w:val="single" w:color="auto" w:sz="4" w:space="0"/>
              <w:bottom w:val="single" w:color="auto" w:sz="4" w:space="0"/>
              <w:right w:val="nil"/>
            </w:tcBorders>
            <w:vAlign w:val="bottom"/>
          </w:tcPr>
          <w:p>
            <w:pPr>
              <w:autoSpaceDE w:val="0"/>
              <w:adjustRightInd w:val="0"/>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1</w:t>
            </w:r>
          </w:p>
        </w:tc>
        <w:tc>
          <w:tcPr>
            <w:tcW w:w="2213"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课程目标1：扩充词汇量；</w:t>
            </w:r>
          </w:p>
        </w:tc>
        <w:tc>
          <w:tcPr>
            <w:tcW w:w="2356"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sz w:val="18"/>
                <w:szCs w:val="18"/>
              </w:rPr>
            </w:pPr>
            <w:r>
              <w:rPr>
                <w:rFonts w:hint="eastAsia"/>
                <w:b/>
                <w:bCs/>
                <w:color w:val="333333"/>
                <w:sz w:val="18"/>
                <w:szCs w:val="18"/>
                <w:shd w:val="clear" w:color="auto" w:fill="FFFFFF"/>
              </w:rPr>
              <w:t>毕业要求12终身学习</w:t>
            </w:r>
            <w:r>
              <w:rPr>
                <w:rFonts w:hint="eastAsia"/>
                <w:color w:val="333333"/>
                <w:sz w:val="18"/>
                <w:szCs w:val="18"/>
                <w:shd w:val="clear" w:color="auto" w:fill="FFFFFF"/>
              </w:rPr>
              <w:t>：具有自主学习和终身学习的意识，有不断学习和适应发展的能力。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2</w:t>
            </w:r>
          </w:p>
        </w:tc>
        <w:tc>
          <w:tcPr>
            <w:tcW w:w="2213"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课程目标2：提高英语听力理解能力；</w:t>
            </w:r>
          </w:p>
        </w:tc>
        <w:tc>
          <w:tcPr>
            <w:tcW w:w="2356"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毕业要求10沟通</w:t>
            </w:r>
            <w:r>
              <w:rPr>
                <w:rFonts w:hint="eastAsia" w:ascii="宋体" w:hAnsi="宋体"/>
                <w:color w:val="333333"/>
                <w:sz w:val="18"/>
                <w:szCs w:val="18"/>
                <w:shd w:val="clear" w:color="auto" w:fill="FFFFFF"/>
              </w:rPr>
              <w:t>：能够就复杂工程问题与业界同行及社会公众进行有效沟通和交流，包括撰写报告和设计文稿、陈述发言、清晰表达或回应指令。并具备一定的国际视野，能够在跨文化背景下进行沟通和交流。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3</w:t>
            </w:r>
          </w:p>
        </w:tc>
        <w:tc>
          <w:tcPr>
            <w:tcW w:w="2213"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课程目标3：提高口语和书面表达能力；</w:t>
            </w:r>
          </w:p>
        </w:tc>
        <w:tc>
          <w:tcPr>
            <w:tcW w:w="2356"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毕业要求10沟通</w:t>
            </w:r>
            <w:r>
              <w:rPr>
                <w:rFonts w:hint="eastAsia" w:ascii="宋体" w:hAnsi="宋体"/>
                <w:color w:val="333333"/>
                <w:sz w:val="18"/>
                <w:szCs w:val="18"/>
                <w:shd w:val="clear" w:color="auto" w:fill="FFFFFF"/>
              </w:rPr>
              <w:t>：能够就复杂工程问题与业界同行及社会公众进行有效沟通和交流，包括撰写报告和设计文稿、陈述发言、清晰表达或回应指令。并具备一定的国际视野，能够在跨文化背景下进行沟通和交流。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4</w:t>
            </w:r>
          </w:p>
        </w:tc>
        <w:tc>
          <w:tcPr>
            <w:tcW w:w="2213"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color w:val="000000"/>
                <w:sz w:val="18"/>
                <w:szCs w:val="18"/>
              </w:rPr>
            </w:pPr>
            <w:r>
              <w:rPr>
                <w:rFonts w:hint="eastAsia" w:ascii="宋体" w:hAnsi="宋体"/>
                <w:color w:val="000000"/>
                <w:sz w:val="18"/>
                <w:szCs w:val="18"/>
              </w:rPr>
              <w:t>课程目标4：提高英语阅读理解能力；</w:t>
            </w:r>
          </w:p>
        </w:tc>
        <w:tc>
          <w:tcPr>
            <w:tcW w:w="2356"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sz w:val="18"/>
                <w:szCs w:val="18"/>
              </w:rPr>
            </w:pPr>
            <w:r>
              <w:rPr>
                <w:rFonts w:hint="eastAsia"/>
                <w:b/>
                <w:bCs/>
                <w:color w:val="333333"/>
                <w:sz w:val="18"/>
                <w:szCs w:val="18"/>
                <w:shd w:val="clear" w:color="auto" w:fill="FFFFFF"/>
              </w:rPr>
              <w:t>毕业要求12终身学习</w:t>
            </w:r>
            <w:r>
              <w:rPr>
                <w:rFonts w:hint="eastAsia"/>
                <w:color w:val="333333"/>
                <w:sz w:val="18"/>
                <w:szCs w:val="18"/>
                <w:shd w:val="clear" w:color="auto" w:fill="FFFFFF"/>
              </w:rPr>
              <w:t>：具有自主学习和终身学习的意识，有不断学习和适应发展的能力。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5</w:t>
            </w:r>
          </w:p>
        </w:tc>
        <w:tc>
          <w:tcPr>
            <w:tcW w:w="2213"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color w:val="000000"/>
                <w:sz w:val="18"/>
                <w:szCs w:val="18"/>
              </w:rPr>
            </w:pPr>
            <w:r>
              <w:rPr>
                <w:rFonts w:hint="eastAsia" w:ascii="宋体" w:hAnsi="宋体"/>
                <w:color w:val="000000"/>
                <w:sz w:val="18"/>
                <w:szCs w:val="18"/>
              </w:rPr>
              <w:t>课程目标4：了解英语翻译的基本方法，培养写作基本功。</w:t>
            </w:r>
          </w:p>
        </w:tc>
        <w:tc>
          <w:tcPr>
            <w:tcW w:w="2356"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毕业要求10沟通</w:t>
            </w:r>
            <w:r>
              <w:rPr>
                <w:rFonts w:hint="eastAsia" w:ascii="宋体" w:hAnsi="宋体"/>
                <w:color w:val="333333"/>
                <w:sz w:val="18"/>
                <w:szCs w:val="18"/>
                <w:shd w:val="clear" w:color="auto" w:fill="FFFFFF"/>
              </w:rPr>
              <w:t>：能够就复杂工程问题与业界同行及社会公众进行有效沟通和交流，包括撰写报告和设计文稿、陈述发言、清晰表达或回应指令。并具备一定的国际视野，能够在跨文化背景下进行沟通和交流。</w:t>
            </w:r>
          </w:p>
        </w:tc>
      </w:tr>
    </w:tbl>
    <w:p>
      <w:pPr>
        <w:spacing w:line="360" w:lineRule="auto"/>
        <w:rPr>
          <w:rFonts w:ascii="Calibri" w:hAnsi="Calibri"/>
          <w:color w:val="000000"/>
          <w:szCs w:val="21"/>
        </w:rPr>
      </w:pPr>
      <w:r>
        <w:rPr>
          <w:color w:val="000000"/>
        </w:rPr>
        <w:t xml:space="preserve"> </w:t>
      </w:r>
    </w:p>
    <w:p>
      <w:pPr>
        <w:pStyle w:val="8"/>
        <w:autoSpaceDE w:val="0"/>
        <w:adjustRightInd w:val="0"/>
        <w:snapToGrid w:val="0"/>
        <w:spacing w:line="360" w:lineRule="auto"/>
        <w:ind w:firstLine="0"/>
        <w:jc w:val="left"/>
        <w:rPr>
          <w:rFonts w:ascii="黑体" w:eastAsia="黑体"/>
        </w:rPr>
      </w:pPr>
      <w:r>
        <w:rPr>
          <w:rFonts w:hint="eastAsia" w:ascii="黑体" w:hAnsi="黑体" w:eastAsia="黑体"/>
        </w:rPr>
        <w:t>三、教学</w:t>
      </w:r>
      <w:r>
        <w:rPr>
          <w:rFonts w:ascii="黑体" w:hAnsi="黑体" w:eastAsia="黑体"/>
        </w:rPr>
        <w:t>内容及基本要求</w:t>
      </w:r>
    </w:p>
    <w:p>
      <w:pPr>
        <w:pStyle w:val="19"/>
        <w:autoSpaceDE w:val="0"/>
        <w:adjustRightInd w:val="0"/>
        <w:snapToGrid w:val="0"/>
        <w:spacing w:before="0" w:beforeAutospacing="0" w:after="0" w:afterAutospacing="0" w:line="352" w:lineRule="auto"/>
        <w:ind w:firstLine="420"/>
        <w:rPr>
          <w:rFonts w:eastAsia="黑体"/>
          <w:sz w:val="21"/>
          <w:szCs w:val="21"/>
        </w:rPr>
      </w:pPr>
      <w:r>
        <w:rPr>
          <w:rFonts w:hint="eastAsia" w:ascii="黑体" w:hAnsi="黑体" w:eastAsia="黑体"/>
          <w:sz w:val="21"/>
          <w:szCs w:val="21"/>
        </w:rPr>
        <w:t>基本要求</w:t>
      </w:r>
      <w:r>
        <w:rPr>
          <w:rFonts w:hint="eastAsia" w:eastAsia="黑体"/>
          <w:sz w:val="21"/>
          <w:szCs w:val="21"/>
        </w:rPr>
        <w:t>:</w:t>
      </w:r>
    </w:p>
    <w:p>
      <w:pPr>
        <w:spacing w:line="360" w:lineRule="auto"/>
        <w:ind w:firstLine="420" w:firstLineChars="200"/>
        <w:rPr>
          <w:color w:val="000000"/>
          <w:szCs w:val="21"/>
        </w:rPr>
      </w:pPr>
      <w:r>
        <w:rPr>
          <w:rFonts w:hint="eastAsia" w:ascii="宋体" w:hAnsi="宋体"/>
          <w:color w:val="000000"/>
        </w:rPr>
        <w:t>本课程为基础教育课，要求先修高中英语课程。大学英语教学应贯彻分类指导、因材施教的原则，以适应个性化教学的实际需要。在教学中应注重提高学生听说读写译的能力以及英语综合运用能力。具体要求如下：</w:t>
      </w:r>
    </w:p>
    <w:p>
      <w:pPr>
        <w:spacing w:line="360" w:lineRule="auto"/>
        <w:ind w:firstLine="420" w:firstLineChars="200"/>
        <w:rPr>
          <w:color w:val="000000"/>
        </w:rPr>
      </w:pPr>
      <w:r>
        <w:rPr>
          <w:color w:val="000000"/>
        </w:rPr>
        <w:t>1</w:t>
      </w:r>
      <w:r>
        <w:rPr>
          <w:rFonts w:hint="eastAsia" w:ascii="宋体" w:hAnsi="宋体"/>
          <w:color w:val="000000"/>
        </w:rPr>
        <w:t>、听力理解能力</w:t>
      </w:r>
    </w:p>
    <w:p>
      <w:pPr>
        <w:spacing w:line="360" w:lineRule="auto"/>
        <w:ind w:firstLine="420" w:firstLineChars="200"/>
        <w:rPr>
          <w:color w:val="000000"/>
        </w:rPr>
      </w:pPr>
      <w:r>
        <w:rPr>
          <w:rFonts w:hint="eastAsia" w:ascii="宋体" w:hAnsi="宋体"/>
          <w:color w:val="000000"/>
        </w:rPr>
        <w:t>能听懂就日常生活话题展开的简单英语交谈，能基本听懂语速较慢的音、视频材料和题材熟悉的讲座，掌握中心大意，抓住要点；能听懂用英语讲授的相应级别的英语课程。能运用基本的听力技巧。</w:t>
      </w:r>
    </w:p>
    <w:p>
      <w:pPr>
        <w:spacing w:line="360" w:lineRule="auto"/>
        <w:ind w:firstLine="420" w:firstLineChars="200"/>
        <w:rPr>
          <w:color w:val="000000"/>
        </w:rPr>
      </w:pPr>
      <w:r>
        <w:rPr>
          <w:color w:val="000000"/>
        </w:rPr>
        <w:t>2</w:t>
      </w:r>
      <w:r>
        <w:rPr>
          <w:rFonts w:hint="eastAsia" w:ascii="宋体" w:hAnsi="宋体"/>
          <w:color w:val="000000"/>
        </w:rPr>
        <w:t>、口语表达能力</w:t>
      </w:r>
    </w:p>
    <w:p>
      <w:pPr>
        <w:spacing w:line="360" w:lineRule="auto"/>
        <w:ind w:firstLine="420" w:firstLineChars="200"/>
        <w:rPr>
          <w:color w:val="000000"/>
        </w:rPr>
      </w:pPr>
      <w:r>
        <w:rPr>
          <w:rFonts w:hint="eastAsia" w:ascii="宋体" w:hAnsi="宋体"/>
          <w:color w:val="000000"/>
        </w:rPr>
        <w:t>能就教材内容和适当的听力材料进行问答和复述，能用英语进行一般的日常会话，能就所熟悉的话题经准备后作简短发言，表达思想比较清楚，语音、语调基本正确。能运用基本的会话技巧。</w:t>
      </w:r>
    </w:p>
    <w:p>
      <w:pPr>
        <w:spacing w:line="360" w:lineRule="auto"/>
        <w:ind w:firstLine="420" w:firstLineChars="200"/>
        <w:rPr>
          <w:color w:val="000000"/>
        </w:rPr>
      </w:pPr>
      <w:r>
        <w:rPr>
          <w:color w:val="000000"/>
        </w:rPr>
        <w:t>3</w:t>
      </w:r>
      <w:r>
        <w:rPr>
          <w:rFonts w:hint="eastAsia" w:ascii="宋体" w:hAnsi="宋体"/>
          <w:color w:val="000000"/>
        </w:rPr>
        <w:t>、阅读理解能力</w:t>
      </w:r>
    </w:p>
    <w:p>
      <w:pPr>
        <w:spacing w:line="360" w:lineRule="auto"/>
        <w:ind w:firstLine="420" w:firstLineChars="200"/>
        <w:rPr>
          <w:color w:val="000000"/>
        </w:rPr>
      </w:pPr>
      <w:r>
        <w:rPr>
          <w:rFonts w:hint="eastAsia" w:ascii="宋体" w:hAnsi="宋体"/>
          <w:color w:val="000000"/>
        </w:rPr>
        <w:t>能基本读懂题材熟悉、语言难度中等的英语报刊文章和其他英语材料；能借助词典阅读英语教材和未来工作、生活中常见的应用文和简单的专业资料，掌握中心大意，理解主要事实和有关细节；能根据阅读目的的不同和阅读材料的难易，适当调整阅读速度和方法。能运用基本的阅读技巧。</w:t>
      </w:r>
    </w:p>
    <w:p>
      <w:pPr>
        <w:spacing w:line="360" w:lineRule="auto"/>
        <w:ind w:firstLine="420" w:firstLineChars="200"/>
        <w:rPr>
          <w:color w:val="000000"/>
        </w:rPr>
      </w:pPr>
      <w:r>
        <w:rPr>
          <w:color w:val="000000"/>
        </w:rPr>
        <w:t>4</w:t>
      </w:r>
      <w:r>
        <w:rPr>
          <w:rFonts w:hint="eastAsia" w:ascii="宋体" w:hAnsi="宋体"/>
          <w:color w:val="000000"/>
        </w:rPr>
        <w:t>、书面表达能力</w:t>
      </w:r>
    </w:p>
    <w:p>
      <w:pPr>
        <w:spacing w:line="360" w:lineRule="auto"/>
        <w:ind w:firstLine="420" w:firstLineChars="200"/>
        <w:rPr>
          <w:color w:val="000000"/>
        </w:rPr>
      </w:pPr>
      <w:r>
        <w:rPr>
          <w:rFonts w:hint="eastAsia" w:ascii="宋体" w:hAnsi="宋体"/>
          <w:color w:val="000000"/>
        </w:rPr>
        <w:t>能完成一般性写作任务，能描述个人经历、观感、情感和发生的事件等，能写常见的应用文，能就一定的话题或提纲在半小时内写出</w:t>
      </w:r>
      <w:r>
        <w:rPr>
          <w:color w:val="000000"/>
        </w:rPr>
        <w:t>120—150</w:t>
      </w:r>
      <w:r>
        <w:rPr>
          <w:rFonts w:hint="eastAsia" w:ascii="宋体" w:hAnsi="宋体"/>
          <w:color w:val="000000"/>
        </w:rPr>
        <w:t>词的短文，内容基本完整，中心思想明确，表达意思清楚。能掌握基本的写作技能。</w:t>
      </w:r>
    </w:p>
    <w:p>
      <w:pPr>
        <w:spacing w:line="360" w:lineRule="auto"/>
        <w:ind w:firstLine="420" w:firstLineChars="200"/>
        <w:rPr>
          <w:color w:val="000000"/>
        </w:rPr>
      </w:pPr>
      <w:r>
        <w:rPr>
          <w:color w:val="000000"/>
        </w:rPr>
        <w:t>5</w:t>
      </w:r>
      <w:r>
        <w:rPr>
          <w:rFonts w:hint="eastAsia" w:ascii="宋体" w:hAnsi="宋体"/>
          <w:color w:val="000000"/>
        </w:rPr>
        <w:t>、翻译能力</w:t>
      </w:r>
    </w:p>
    <w:p>
      <w:pPr>
        <w:spacing w:line="360" w:lineRule="auto"/>
        <w:ind w:firstLine="420" w:firstLineChars="200"/>
        <w:rPr>
          <w:color w:val="000000"/>
        </w:rPr>
      </w:pPr>
      <w:r>
        <w:rPr>
          <w:rFonts w:hint="eastAsia" w:ascii="宋体" w:hAnsi="宋体"/>
          <w:color w:val="000000"/>
        </w:rPr>
        <w:t>能借助词典对题材熟悉、结构清晰、语言难度较低的文章进行互译，译文基本准确，无重大语言错误，能有效地运用翻译技巧。</w:t>
      </w:r>
    </w:p>
    <w:p>
      <w:pPr>
        <w:spacing w:line="360" w:lineRule="auto"/>
        <w:ind w:firstLine="420" w:firstLineChars="200"/>
        <w:rPr>
          <w:color w:val="000000"/>
        </w:rPr>
      </w:pPr>
      <w:r>
        <w:rPr>
          <w:color w:val="000000"/>
        </w:rPr>
        <w:t>6</w:t>
      </w:r>
      <w:r>
        <w:rPr>
          <w:rFonts w:hint="eastAsia" w:ascii="宋体" w:hAnsi="宋体"/>
          <w:color w:val="000000"/>
        </w:rPr>
        <w:t>、词汇</w:t>
      </w:r>
    </w:p>
    <w:p>
      <w:pPr>
        <w:spacing w:line="360" w:lineRule="auto"/>
        <w:rPr>
          <w:color w:val="000000"/>
        </w:rPr>
      </w:pPr>
      <w:r>
        <w:rPr>
          <w:rFonts w:hint="eastAsia"/>
          <w:color w:val="000000"/>
        </w:rPr>
        <w:t xml:space="preserve">    </w:t>
      </w:r>
      <w:r>
        <w:rPr>
          <w:rFonts w:hint="eastAsia" w:ascii="宋体" w:hAnsi="宋体"/>
          <w:color w:val="000000"/>
        </w:rPr>
        <w:t>在高中阶段应掌握词汇基础上增加</w:t>
      </w:r>
      <w:r>
        <w:rPr>
          <w:color w:val="000000"/>
        </w:rPr>
        <w:t>2,000</w:t>
      </w:r>
      <w:r>
        <w:rPr>
          <w:rFonts w:hint="eastAsia" w:ascii="宋体" w:hAnsi="宋体"/>
          <w:color w:val="000000"/>
        </w:rPr>
        <w:t>个单词，以及由这些词构成的常用词组，并具有按照基本构词法识别生词的能力。</w:t>
      </w:r>
    </w:p>
    <w:p>
      <w:pPr>
        <w:autoSpaceDE w:val="0"/>
        <w:spacing w:line="360" w:lineRule="auto"/>
        <w:rPr>
          <w:rFonts w:eastAsia="黑体"/>
          <w:color w:val="000000"/>
        </w:rPr>
      </w:pPr>
      <w:r>
        <w:rPr>
          <w:rFonts w:hint="eastAsia" w:eastAsia="黑体"/>
          <w:color w:val="000000"/>
        </w:rPr>
        <w:tab/>
      </w:r>
      <w:r>
        <w:rPr>
          <w:rFonts w:hint="eastAsia" w:ascii="黑体" w:hAnsi="黑体" w:eastAsia="黑体"/>
          <w:color w:val="000000"/>
        </w:rPr>
        <w:t>教学内容</w:t>
      </w:r>
    </w:p>
    <w:p>
      <w:pPr>
        <w:widowControl/>
        <w:spacing w:line="360" w:lineRule="auto"/>
        <w:ind w:firstLine="420" w:firstLineChars="200"/>
        <w:jc w:val="left"/>
        <w:rPr>
          <w:color w:val="000000"/>
        </w:rPr>
      </w:pPr>
      <w:r>
        <w:rPr>
          <w:rFonts w:hint="eastAsia" w:ascii="宋体" w:hAnsi="宋体"/>
          <w:color w:val="000000"/>
        </w:rPr>
        <w:t>本课程重点讲授的内容包括：通用英语课程是大学英语课程的基本组成部分，通用英语课程主要讲授英语词汇、语法、篇章及语用知识，培养学生英语听、说、读、写、译的语言技能，增加学生的社会、文化、科学等基本知识，拓宽国际视野，提升综合文化素养。在通用英语课程中适当导入一定的中外文化知识，为学生讲授与中西方文化相关的基础知识。</w:t>
      </w:r>
    </w:p>
    <w:p>
      <w:pPr>
        <w:widowControl/>
        <w:spacing w:line="360" w:lineRule="auto"/>
        <w:ind w:firstLine="420" w:firstLineChars="200"/>
        <w:jc w:val="left"/>
        <w:rPr>
          <w:color w:val="000000"/>
        </w:rPr>
      </w:pPr>
      <w:r>
        <w:rPr>
          <w:rFonts w:hint="eastAsia" w:ascii="宋体" w:hAnsi="宋体"/>
          <w:color w:val="000000"/>
        </w:rPr>
        <w:t>深度和广度说明：基础级别的通用英语课程以高中英语选修</w:t>
      </w:r>
      <w:r>
        <w:rPr>
          <w:color w:val="000000"/>
        </w:rPr>
        <w:t>I</w:t>
      </w:r>
      <w:r>
        <w:rPr>
          <w:rFonts w:hint="eastAsia" w:ascii="宋体" w:hAnsi="宋体"/>
          <w:color w:val="000000"/>
        </w:rPr>
        <w:t>课程为起点，重点突出听、说、读、写、译基本技能的培养和语言基本知识的学习。</w:t>
      </w:r>
    </w:p>
    <w:p>
      <w:pPr>
        <w:widowControl/>
        <w:spacing w:line="360" w:lineRule="auto"/>
        <w:ind w:firstLine="420" w:firstLineChars="200"/>
        <w:jc w:val="left"/>
        <w:rPr>
          <w:color w:val="000000"/>
        </w:rPr>
      </w:pPr>
      <w:r>
        <w:rPr>
          <w:rFonts w:hint="eastAsia" w:ascii="宋体" w:hAnsi="宋体"/>
          <w:color w:val="000000"/>
        </w:rPr>
        <w:t>教学内容为新视野大学英语教程，共四册。第一册到第三册每册书共十单元，每单元</w:t>
      </w:r>
      <w:r>
        <w:rPr>
          <w:color w:val="000000"/>
        </w:rPr>
        <w:t xml:space="preserve">5 </w:t>
      </w:r>
      <w:r>
        <w:rPr>
          <w:rFonts w:hint="eastAsia" w:ascii="宋体" w:hAnsi="宋体"/>
          <w:color w:val="000000"/>
        </w:rPr>
        <w:t>课时，内容包括</w:t>
      </w:r>
      <w:r>
        <w:rPr>
          <w:color w:val="000000"/>
        </w:rPr>
        <w:t>2</w:t>
      </w:r>
      <w:r>
        <w:rPr>
          <w:rFonts w:hint="eastAsia" w:ascii="宋体" w:hAnsi="宋体"/>
          <w:color w:val="000000"/>
        </w:rPr>
        <w:t>篇课文，课后练习，课文结构分析，写作及阅读技巧。其中</w:t>
      </w:r>
      <w:r>
        <w:rPr>
          <w:color w:val="000000"/>
        </w:rPr>
        <w:t>A</w:t>
      </w:r>
      <w:r>
        <w:rPr>
          <w:rFonts w:hint="eastAsia" w:ascii="宋体" w:hAnsi="宋体"/>
          <w:color w:val="000000"/>
        </w:rPr>
        <w:t>篇课文是需要能够掌握的，</w:t>
      </w:r>
      <w:r>
        <w:rPr>
          <w:color w:val="000000"/>
        </w:rPr>
        <w:t>B</w:t>
      </w:r>
      <w:r>
        <w:rPr>
          <w:rFonts w:hint="eastAsia" w:ascii="宋体" w:hAnsi="宋体"/>
          <w:color w:val="000000"/>
        </w:rPr>
        <w:t>篇课文需要理解。写作及阅读技巧需能够掌握，课后练习，课文结构分析需要掌握。具体内容如下</w:t>
      </w:r>
    </w:p>
    <w:p>
      <w:pPr>
        <w:spacing w:line="360" w:lineRule="auto"/>
        <w:rPr>
          <w:color w:val="000000"/>
        </w:rPr>
      </w:pPr>
      <w:r>
        <w:rPr>
          <w:rFonts w:hint="eastAsia"/>
          <w:color w:val="000000"/>
        </w:rPr>
        <w:tab/>
      </w:r>
      <w:r>
        <w:rPr>
          <w:color w:val="000000"/>
        </w:rPr>
        <w:t>Unit 1</w:t>
      </w:r>
      <w:r>
        <w:rPr>
          <w:color w:val="000000"/>
        </w:rPr>
        <w:tab/>
      </w:r>
      <w:r>
        <w:rPr>
          <w:color w:val="000000"/>
        </w:rPr>
        <w:t>Text A &amp;B; Text Structure Analysis; Structured Writing; Reading Skills</w:t>
      </w:r>
      <w:r>
        <w:rPr>
          <w:rFonts w:hint="eastAsia" w:ascii="宋体" w:hAnsi="宋体"/>
          <w:color w:val="000000"/>
        </w:rPr>
        <w:t>；</w:t>
      </w:r>
    </w:p>
    <w:p>
      <w:pPr>
        <w:spacing w:line="360" w:lineRule="auto"/>
        <w:rPr>
          <w:color w:val="000000"/>
        </w:rPr>
      </w:pPr>
      <w:r>
        <w:rPr>
          <w:rFonts w:hint="eastAsia"/>
          <w:color w:val="000000"/>
        </w:rPr>
        <w:tab/>
      </w: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spacing w:line="360" w:lineRule="auto"/>
        <w:rPr>
          <w:color w:val="000000"/>
        </w:rPr>
      </w:pPr>
      <w:r>
        <w:rPr>
          <w:rFonts w:hint="eastAsia"/>
          <w:color w:val="000000"/>
        </w:rPr>
        <w:tab/>
      </w:r>
      <w:r>
        <w:rPr>
          <w:color w:val="000000"/>
        </w:rPr>
        <w:t>Unit 2</w:t>
      </w:r>
      <w:r>
        <w:rPr>
          <w:color w:val="000000"/>
        </w:rPr>
        <w:tab/>
      </w:r>
      <w:r>
        <w:rPr>
          <w:color w:val="000000"/>
        </w:rPr>
        <w:t>Text A &amp;B; Text Structure Analysis; Structured Writing; Reading Skills</w:t>
      </w:r>
      <w:r>
        <w:rPr>
          <w:rFonts w:hint="eastAsia" w:ascii="宋体" w:hAnsi="宋体"/>
          <w:color w:val="000000"/>
        </w:rPr>
        <w:t>；</w:t>
      </w:r>
    </w:p>
    <w:p>
      <w:pPr>
        <w:spacing w:line="360" w:lineRule="auto"/>
        <w:rPr>
          <w:color w:val="000000"/>
        </w:rPr>
      </w:pPr>
      <w:r>
        <w:rPr>
          <w:rFonts w:hint="eastAsia"/>
          <w:color w:val="000000"/>
        </w:rPr>
        <w:tab/>
      </w: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spacing w:line="360" w:lineRule="auto"/>
        <w:rPr>
          <w:color w:val="000000"/>
        </w:rPr>
      </w:pPr>
      <w:r>
        <w:rPr>
          <w:rFonts w:hint="eastAsia"/>
          <w:color w:val="000000"/>
        </w:rPr>
        <w:tab/>
      </w:r>
      <w:r>
        <w:rPr>
          <w:color w:val="000000"/>
        </w:rPr>
        <w:t>Unit 3</w:t>
      </w:r>
      <w:r>
        <w:rPr>
          <w:color w:val="000000"/>
        </w:rPr>
        <w:tab/>
      </w:r>
      <w:r>
        <w:rPr>
          <w:color w:val="000000"/>
        </w:rPr>
        <w:t>Text A &amp;B; Text Structure Analysis; Structured Writing; Reading Skills</w:t>
      </w:r>
      <w:r>
        <w:rPr>
          <w:rFonts w:hint="eastAsia" w:ascii="宋体" w:hAnsi="宋体"/>
          <w:color w:val="000000"/>
        </w:rPr>
        <w:t>；</w:t>
      </w:r>
    </w:p>
    <w:p>
      <w:pPr>
        <w:spacing w:line="360" w:lineRule="auto"/>
        <w:rPr>
          <w:color w:val="000000"/>
        </w:rPr>
      </w:pPr>
      <w:r>
        <w:rPr>
          <w:rFonts w:hint="eastAsia"/>
          <w:color w:val="000000"/>
        </w:rPr>
        <w:tab/>
      </w: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4</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5</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6</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7</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8</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9</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10</w:t>
      </w:r>
      <w:r>
        <w:rPr>
          <w:color w:val="000000"/>
        </w:rPr>
        <w:tab/>
      </w:r>
      <w:r>
        <w:rPr>
          <w:color w:val="000000"/>
        </w:rPr>
        <w:t>Text A &amp;B; Text Structure Analysis; Structured Writing; Reading Skills</w:t>
      </w:r>
      <w:r>
        <w:rPr>
          <w:rFonts w:hint="eastAsia" w:ascii="宋体" w:hAnsi="宋体"/>
          <w:color w:val="000000"/>
        </w:rPr>
        <w:t>；</w:t>
      </w:r>
    </w:p>
    <w:p>
      <w:pPr>
        <w:autoSpaceDE w:val="0"/>
        <w:spacing w:line="360" w:lineRule="auto"/>
        <w:ind w:firstLine="420" w:firstLineChars="200"/>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widowControl/>
        <w:autoSpaceDE w:val="0"/>
        <w:spacing w:line="360" w:lineRule="auto"/>
        <w:ind w:firstLine="420" w:firstLineChars="200"/>
        <w:jc w:val="left"/>
        <w:rPr>
          <w:color w:val="000000"/>
        </w:rPr>
      </w:pPr>
      <w:r>
        <w:rPr>
          <w:rFonts w:hint="eastAsia" w:ascii="宋体" w:hAnsi="宋体"/>
          <w:color w:val="000000"/>
        </w:rPr>
        <w:t>第四册共</w:t>
      </w:r>
      <w:r>
        <w:rPr>
          <w:color w:val="000000"/>
        </w:rPr>
        <w:t>10</w:t>
      </w:r>
      <w:r>
        <w:rPr>
          <w:rFonts w:hint="eastAsia" w:ascii="宋体" w:hAnsi="宋体"/>
          <w:color w:val="000000"/>
        </w:rPr>
        <w:t>个单元，主要讲解六个单元，其余四个单元自己学习。</w:t>
      </w:r>
    </w:p>
    <w:p>
      <w:pPr>
        <w:autoSpaceDE w:val="0"/>
        <w:spacing w:line="360" w:lineRule="auto"/>
        <w:ind w:firstLine="420" w:firstLineChars="200"/>
        <w:rPr>
          <w:color w:val="000000"/>
        </w:rPr>
      </w:pPr>
      <w:r>
        <w:rPr>
          <w:color w:val="000000"/>
        </w:rPr>
        <w:t>Unit 1</w:t>
      </w:r>
      <w:r>
        <w:rPr>
          <w:color w:val="000000"/>
        </w:rPr>
        <w:tab/>
      </w:r>
      <w:r>
        <w:rPr>
          <w:color w:val="000000"/>
        </w:rPr>
        <w:t>Text A</w:t>
      </w:r>
      <w:r>
        <w:rPr>
          <w:rFonts w:hint="eastAsia" w:ascii="宋体" w:hAnsi="宋体"/>
          <w:color w:val="000000"/>
        </w:rPr>
        <w:t>（能够掌握）；</w:t>
      </w:r>
      <w:r>
        <w:rPr>
          <w:color w:val="000000"/>
        </w:rPr>
        <w:t>Text B</w:t>
      </w:r>
      <w:r>
        <w:rPr>
          <w:rFonts w:hint="eastAsia" w:ascii="宋体" w:hAnsi="宋体"/>
          <w:color w:val="000000"/>
        </w:rPr>
        <w:t>（掌握）</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r>
        <w:rPr>
          <w:color w:val="000000"/>
        </w:rPr>
        <w:t xml:space="preserve"> </w:t>
      </w:r>
    </w:p>
    <w:p>
      <w:pPr>
        <w:autoSpaceDE w:val="0"/>
        <w:spacing w:line="360" w:lineRule="auto"/>
        <w:ind w:firstLine="420" w:firstLineChars="200"/>
        <w:rPr>
          <w:color w:val="000000"/>
        </w:rPr>
      </w:pPr>
      <w:r>
        <w:rPr>
          <w:color w:val="000000"/>
        </w:rPr>
        <w:t>Unit 2</w:t>
      </w:r>
      <w:r>
        <w:rPr>
          <w:color w:val="000000"/>
        </w:rPr>
        <w:tab/>
      </w:r>
      <w:r>
        <w:rPr>
          <w:color w:val="000000"/>
        </w:rPr>
        <w:t>Text A</w:t>
      </w:r>
      <w:r>
        <w:rPr>
          <w:rFonts w:hint="eastAsia" w:ascii="宋体" w:hAnsi="宋体"/>
          <w:color w:val="000000"/>
        </w:rPr>
        <w:t>（能够掌握）；</w:t>
      </w:r>
      <w:r>
        <w:rPr>
          <w:color w:val="000000"/>
        </w:rPr>
        <w:t>Text B</w:t>
      </w:r>
      <w:r>
        <w:rPr>
          <w:rFonts w:hint="eastAsia" w:ascii="宋体" w:hAnsi="宋体"/>
          <w:color w:val="000000"/>
        </w:rPr>
        <w:t>（掌握））</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3</w:t>
      </w:r>
      <w:r>
        <w:rPr>
          <w:color w:val="000000"/>
        </w:rPr>
        <w:tab/>
      </w:r>
      <w:r>
        <w:rPr>
          <w:color w:val="000000"/>
        </w:rPr>
        <w:t>Text A</w:t>
      </w:r>
      <w:r>
        <w:rPr>
          <w:rFonts w:hint="eastAsia" w:ascii="宋体" w:hAnsi="宋体"/>
          <w:color w:val="000000"/>
        </w:rPr>
        <w:t>（能够掌握）；</w:t>
      </w:r>
      <w:r>
        <w:rPr>
          <w:color w:val="000000"/>
        </w:rPr>
        <w:t>Text B</w:t>
      </w:r>
      <w:r>
        <w:rPr>
          <w:rFonts w:hint="eastAsia" w:ascii="宋体" w:hAnsi="宋体"/>
          <w:color w:val="000000"/>
        </w:rPr>
        <w:t>（掌握）</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r>
        <w:rPr>
          <w:color w:val="000000"/>
        </w:rPr>
        <w:t xml:space="preserve"> </w:t>
      </w:r>
    </w:p>
    <w:p>
      <w:pPr>
        <w:autoSpaceDE w:val="0"/>
        <w:spacing w:line="360" w:lineRule="auto"/>
        <w:ind w:firstLine="420" w:firstLineChars="200"/>
        <w:rPr>
          <w:color w:val="000000"/>
        </w:rPr>
      </w:pPr>
      <w:r>
        <w:rPr>
          <w:color w:val="000000"/>
        </w:rPr>
        <w:t>Unit 4</w:t>
      </w:r>
      <w:r>
        <w:rPr>
          <w:color w:val="000000"/>
        </w:rPr>
        <w:tab/>
      </w:r>
      <w:r>
        <w:rPr>
          <w:color w:val="000000"/>
        </w:rPr>
        <w:t>Text A</w:t>
      </w:r>
      <w:r>
        <w:rPr>
          <w:rFonts w:hint="eastAsia" w:ascii="宋体" w:hAnsi="宋体"/>
          <w:color w:val="000000"/>
        </w:rPr>
        <w:t>（能够掌握）；</w:t>
      </w:r>
      <w:r>
        <w:rPr>
          <w:color w:val="000000"/>
        </w:rPr>
        <w:t>Text B</w:t>
      </w:r>
      <w:r>
        <w:rPr>
          <w:rFonts w:hint="eastAsia" w:ascii="宋体" w:hAnsi="宋体"/>
          <w:color w:val="000000"/>
        </w:rPr>
        <w:t>（掌握）</w:t>
      </w:r>
      <w:r>
        <w:rPr>
          <w:color w:val="000000"/>
        </w:rPr>
        <w:t xml:space="preserve"> </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Unit 5</w:t>
      </w:r>
      <w:r>
        <w:rPr>
          <w:color w:val="000000"/>
        </w:rPr>
        <w:tab/>
      </w:r>
      <w:r>
        <w:rPr>
          <w:color w:val="000000"/>
        </w:rPr>
        <w:t>Text A</w:t>
      </w:r>
      <w:r>
        <w:rPr>
          <w:rFonts w:hint="eastAsia" w:ascii="宋体" w:hAnsi="宋体"/>
          <w:color w:val="000000"/>
        </w:rPr>
        <w:t>（能够掌握）；</w:t>
      </w:r>
      <w:r>
        <w:rPr>
          <w:color w:val="000000"/>
        </w:rPr>
        <w:t>Text B</w:t>
      </w:r>
      <w:r>
        <w:rPr>
          <w:rFonts w:hint="eastAsia" w:ascii="宋体" w:hAnsi="宋体"/>
          <w:color w:val="000000"/>
        </w:rPr>
        <w:t>（掌握）</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autoSpaceDE w:val="0"/>
        <w:spacing w:line="360" w:lineRule="auto"/>
        <w:ind w:firstLine="420" w:firstLineChars="200"/>
        <w:rPr>
          <w:color w:val="000000"/>
        </w:rPr>
      </w:pPr>
      <w:r>
        <w:rPr>
          <w:color w:val="000000"/>
        </w:rPr>
        <w:t xml:space="preserve">Unit 6 </w:t>
      </w:r>
      <w:r>
        <w:rPr>
          <w:rFonts w:hint="eastAsia"/>
          <w:color w:val="000000"/>
        </w:rPr>
        <w:t xml:space="preserve"> </w:t>
      </w:r>
      <w:r>
        <w:rPr>
          <w:color w:val="000000"/>
        </w:rPr>
        <w:t xml:space="preserve"> Text A</w:t>
      </w:r>
      <w:r>
        <w:rPr>
          <w:rFonts w:hint="eastAsia" w:ascii="宋体" w:hAnsi="宋体"/>
          <w:color w:val="000000"/>
        </w:rPr>
        <w:t>（能够掌握）；</w:t>
      </w:r>
      <w:r>
        <w:rPr>
          <w:color w:val="000000"/>
        </w:rPr>
        <w:t>Text B</w:t>
      </w:r>
      <w:r>
        <w:rPr>
          <w:rFonts w:hint="eastAsia" w:ascii="宋体" w:hAnsi="宋体"/>
          <w:color w:val="000000"/>
        </w:rPr>
        <w:t>（掌握）</w:t>
      </w:r>
      <w:r>
        <w:rPr>
          <w:color w:val="000000"/>
        </w:rPr>
        <w:t xml:space="preserve"> </w:t>
      </w:r>
    </w:p>
    <w:p>
      <w:pPr>
        <w:widowControl/>
        <w:autoSpaceDE w:val="0"/>
        <w:spacing w:line="360" w:lineRule="auto"/>
        <w:ind w:firstLine="420" w:firstLineChars="200"/>
        <w:jc w:val="left"/>
        <w:rPr>
          <w:color w:val="00000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r>
        <w:rPr>
          <w:rFonts w:hint="eastAsia"/>
          <w:color w:val="000000"/>
        </w:rPr>
        <w:t>2</w:t>
      </w:r>
      <w:r>
        <w:rPr>
          <w:rFonts w:hint="eastAsia" w:ascii="宋体" w:hAnsi="宋体"/>
          <w:color w:val="000000"/>
        </w:rPr>
        <w:t>、</w:t>
      </w:r>
      <w:r>
        <w:rPr>
          <w:rFonts w:hint="eastAsia" w:cs="Calibri"/>
          <w:color w:val="000000"/>
        </w:rPr>
        <w:t>3</w:t>
      </w:r>
      <w:r>
        <w:rPr>
          <w:rFonts w:hint="eastAsia" w:ascii="宋体" w:hAnsi="宋体"/>
          <w:color w:val="000000"/>
        </w:rPr>
        <w:t>、</w:t>
      </w:r>
      <w:r>
        <w:rPr>
          <w:rFonts w:hint="eastAsia" w:cs="Calibri"/>
          <w:color w:val="000000"/>
        </w:rPr>
        <w:t>4</w:t>
      </w:r>
      <w:r>
        <w:rPr>
          <w:rFonts w:hint="eastAsia" w:ascii="宋体" w:hAnsi="宋体"/>
          <w:color w:val="000000"/>
        </w:rPr>
        <w:t>、</w:t>
      </w:r>
      <w:r>
        <w:rPr>
          <w:rFonts w:hint="eastAsia" w:cs="Calibri"/>
          <w:color w:val="000000"/>
        </w:rPr>
        <w:t>5</w:t>
      </w:r>
      <w:r>
        <w:rPr>
          <w:rFonts w:hint="eastAsia" w:ascii="宋体" w:hAnsi="宋体"/>
          <w:color w:val="000000"/>
        </w:rPr>
        <w:t>。</w:t>
      </w:r>
    </w:p>
    <w:p>
      <w:pPr>
        <w:spacing w:line="360" w:lineRule="auto"/>
        <w:ind w:firstLine="424"/>
        <w:rPr>
          <w:rFonts w:ascii="宋体" w:hAnsi="宋体"/>
          <w:color w:val="000000"/>
          <w:kern w:val="0"/>
        </w:rPr>
      </w:pPr>
      <w:r>
        <w:rPr>
          <w:rFonts w:hint="eastAsia" w:ascii="宋体" w:hAnsi="宋体"/>
          <w:color w:val="000000"/>
          <w:kern w:val="0"/>
        </w:rPr>
        <w:t>大学英语教学应遵循外语学习规律,根据教学内容的特点,充分考虑学生个体差异和学习风格,运用合适、有效的教学方法。教学方法的选择使用要体现灵活性与适应性,目的是改进教学效果,提高学习效率。</w:t>
      </w:r>
    </w:p>
    <w:p>
      <w:pPr>
        <w:spacing w:line="360" w:lineRule="auto"/>
        <w:ind w:firstLine="424"/>
        <w:rPr>
          <w:rFonts w:ascii="宋体" w:hAnsi="宋体"/>
          <w:color w:val="000000"/>
          <w:kern w:val="0"/>
        </w:rPr>
      </w:pPr>
      <w:r>
        <w:rPr>
          <w:rFonts w:hint="eastAsia" w:ascii="宋体" w:hAnsi="宋体"/>
          <w:color w:val="000000"/>
          <w:kern w:val="0"/>
        </w:rPr>
        <w:t>大学英语课堂教学可以采用任务式、合作式、顼目式、探究式等教学方法,体现以教师为主导、以学生为主体的教学理念,使教学活动实现由“教”向“学”的转变,使教学过程实现由关注“教的目的”向关注“学的需要”转变,形成以教师引导和启发、学生积极主动参与为主要特征的教学常态。</w:t>
      </w:r>
    </w:p>
    <w:p>
      <w:pPr>
        <w:spacing w:line="360" w:lineRule="auto"/>
        <w:ind w:firstLine="424"/>
        <w:rPr>
          <w:rFonts w:ascii="宋体" w:hAnsi="宋体"/>
          <w:color w:val="000000"/>
          <w:kern w:val="0"/>
        </w:rPr>
      </w:pPr>
      <w:r>
        <w:rPr>
          <w:rFonts w:hint="eastAsia" w:ascii="宋体" w:hAnsi="宋体"/>
          <w:color w:val="000000"/>
          <w:kern w:val="0"/>
        </w:rPr>
        <w:t>教学方法的运用应关注学生自主学习能力的培养,引导和帮助他们掌握学习策略,学会学习。教师要充分利用网络教学平台,为学生提供课堂教学与现代信息技术结合的自主学习路径和丰富的自主学习资源,促使学生从“被动学习”向“主动学习”转变。</w:t>
      </w:r>
    </w:p>
    <w:p>
      <w:pPr>
        <w:spacing w:line="360" w:lineRule="auto"/>
        <w:ind w:left="630" w:leftChars="100" w:hanging="420"/>
        <w:rPr>
          <w:rFonts w:ascii="Calibri" w:hAnsi="Calibri" w:eastAsia="黑体"/>
        </w:rPr>
      </w:pPr>
      <w:r>
        <w:rPr>
          <w:rFonts w:hint="eastAsia" w:eastAsia="黑体"/>
        </w:rPr>
        <w:t xml:space="preserve"> </w:t>
      </w:r>
    </w:p>
    <w:p>
      <w:pPr>
        <w:spacing w:line="360" w:lineRule="auto"/>
        <w:ind w:left="420" w:hanging="420"/>
        <w:rPr>
          <w:rFonts w:eastAsia="黑体"/>
          <w:color w:val="000000"/>
        </w:rPr>
      </w:pPr>
      <w:r>
        <w:rPr>
          <w:rFonts w:hint="eastAsia" w:ascii="黑体" w:hAnsi="黑体" w:eastAsia="黑体"/>
        </w:rPr>
        <w:t>四、实验教学内容</w:t>
      </w:r>
    </w:p>
    <w:p>
      <w:pPr>
        <w:spacing w:line="360" w:lineRule="auto"/>
        <w:ind w:firstLine="425"/>
        <w:rPr>
          <w:color w:val="000000"/>
        </w:rPr>
      </w:pPr>
      <w:r>
        <w:rPr>
          <w:rFonts w:hint="eastAsia" w:ascii="宋体" w:hAnsi="宋体"/>
          <w:color w:val="000000"/>
        </w:rPr>
        <w:t>无</w:t>
      </w:r>
    </w:p>
    <w:p>
      <w:pPr>
        <w:widowControl/>
        <w:spacing w:line="360" w:lineRule="auto"/>
        <w:jc w:val="left"/>
        <w:rPr>
          <w:rFonts w:ascii="黑体" w:hAnsi="黑体" w:eastAsia="黑体"/>
          <w:color w:val="000000"/>
        </w:rPr>
      </w:pPr>
      <w:bookmarkStart w:id="32" w:name="_Toc12339"/>
      <w:bookmarkEnd w:id="32"/>
      <w:r>
        <w:rPr>
          <w:rFonts w:hint="eastAsia" w:ascii="黑体" w:hAnsi="黑体" w:eastAsia="黑体" w:cs="宋体"/>
          <w:color w:val="000000"/>
          <w:kern w:val="0"/>
        </w:rPr>
        <w:t>五、学时分配</w:t>
      </w:r>
    </w:p>
    <w:tbl>
      <w:tblPr>
        <w:tblStyle w:val="2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8"/>
        <w:gridCol w:w="2215"/>
        <w:gridCol w:w="20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nil"/>
              <w:bottom w:val="single" w:color="auto" w:sz="4" w:space="0"/>
              <w:right w:val="single" w:color="auto" w:sz="4" w:space="0"/>
            </w:tcBorders>
          </w:tcPr>
          <w:p>
            <w:pPr>
              <w:jc w:val="center"/>
              <w:rPr>
                <w:rFonts w:ascii="Calibri" w:hAnsi="Calibri"/>
                <w:color w:val="000000"/>
                <w:sz w:val="18"/>
                <w:szCs w:val="18"/>
                <w:highlight w:val="yellow"/>
              </w:rPr>
            </w:pPr>
            <w:r>
              <w:rPr>
                <w:rFonts w:hint="eastAsia"/>
                <w:color w:val="000000"/>
                <w:sz w:val="18"/>
                <w:szCs w:val="18"/>
              </w:rPr>
              <w:t>知识点及内容</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highlight w:val="yellow"/>
              </w:rPr>
            </w:pPr>
            <w:r>
              <w:rPr>
                <w:rFonts w:hint="eastAsia"/>
                <w:color w:val="000000"/>
                <w:sz w:val="18"/>
                <w:szCs w:val="18"/>
              </w:rPr>
              <w:t>讲授（学时）</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highlight w:val="yellow"/>
              </w:rPr>
            </w:pPr>
            <w:r>
              <w:rPr>
                <w:rFonts w:hint="eastAsia"/>
                <w:color w:val="000000"/>
                <w:sz w:val="18"/>
                <w:szCs w:val="18"/>
              </w:rPr>
              <w:t>实验（学时）</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highlight w:val="yellow"/>
              </w:rPr>
            </w:pPr>
            <w:r>
              <w:rPr>
                <w:rFonts w:hint="eastAsia"/>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nil"/>
              <w:bottom w:val="single" w:color="auto" w:sz="4" w:space="0"/>
              <w:right w:val="single" w:color="auto" w:sz="4" w:space="0"/>
            </w:tcBorders>
          </w:tcPr>
          <w:p>
            <w:pPr>
              <w:ind w:left="210" w:leftChars="100"/>
              <w:jc w:val="left"/>
              <w:rPr>
                <w:color w:val="000000"/>
                <w:sz w:val="24"/>
                <w:szCs w:val="24"/>
              </w:rPr>
            </w:pPr>
            <w:r>
              <w:rPr>
                <w:rFonts w:hint="eastAsia"/>
                <w:color w:val="000000"/>
                <w:sz w:val="18"/>
                <w:szCs w:val="18"/>
              </w:rPr>
              <w:t>第一册</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56</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0</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rPr>
            </w:pPr>
            <w:r>
              <w:rPr>
                <w:color w:val="000000"/>
                <w:sz w:val="18"/>
                <w:szCs w:val="18"/>
              </w:rPr>
              <w:t>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nil"/>
              <w:bottom w:val="single" w:color="auto" w:sz="4" w:space="0"/>
              <w:right w:val="single" w:color="auto" w:sz="4" w:space="0"/>
            </w:tcBorders>
          </w:tcPr>
          <w:p>
            <w:pPr>
              <w:ind w:left="210" w:leftChars="100"/>
              <w:jc w:val="left"/>
              <w:rPr>
                <w:rFonts w:ascii="Calibri" w:hAnsi="Calibri"/>
                <w:color w:val="000000"/>
                <w:sz w:val="24"/>
                <w:szCs w:val="24"/>
              </w:rPr>
            </w:pPr>
            <w:r>
              <w:rPr>
                <w:rFonts w:hint="eastAsia"/>
                <w:color w:val="000000"/>
                <w:sz w:val="18"/>
                <w:szCs w:val="18"/>
              </w:rPr>
              <w:t>第二册</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56</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0</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rPr>
            </w:pPr>
            <w:r>
              <w:rPr>
                <w:color w:val="000000"/>
                <w:sz w:val="18"/>
                <w:szCs w:val="18"/>
              </w:rPr>
              <w:t>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50" w:type="pct"/>
            <w:tcBorders>
              <w:top w:val="single" w:color="auto" w:sz="4" w:space="0"/>
              <w:left w:val="nil"/>
              <w:bottom w:val="single" w:color="auto" w:sz="4" w:space="0"/>
              <w:right w:val="single" w:color="auto" w:sz="4" w:space="0"/>
            </w:tcBorders>
          </w:tcPr>
          <w:p>
            <w:pPr>
              <w:ind w:left="210" w:leftChars="100"/>
              <w:jc w:val="left"/>
              <w:rPr>
                <w:rFonts w:ascii="Calibri" w:hAnsi="Calibri"/>
                <w:color w:val="000000"/>
                <w:sz w:val="24"/>
                <w:szCs w:val="24"/>
              </w:rPr>
            </w:pPr>
            <w:r>
              <w:rPr>
                <w:rFonts w:hint="eastAsia"/>
                <w:color w:val="000000"/>
                <w:sz w:val="18"/>
                <w:szCs w:val="18"/>
              </w:rPr>
              <w:t>第三册</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56</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0</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rPr>
            </w:pPr>
            <w:r>
              <w:rPr>
                <w:color w:val="000000"/>
                <w:sz w:val="18"/>
                <w:szCs w:val="18"/>
              </w:rPr>
              <w:t>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50" w:type="pct"/>
            <w:tcBorders>
              <w:top w:val="single" w:color="auto" w:sz="4" w:space="0"/>
              <w:left w:val="nil"/>
              <w:bottom w:val="single" w:color="auto" w:sz="4" w:space="0"/>
              <w:right w:val="single" w:color="auto" w:sz="4" w:space="0"/>
            </w:tcBorders>
          </w:tcPr>
          <w:p>
            <w:pPr>
              <w:ind w:left="210" w:leftChars="100"/>
              <w:jc w:val="left"/>
              <w:rPr>
                <w:rFonts w:ascii="Calibri" w:hAnsi="Calibri"/>
                <w:color w:val="000000"/>
                <w:sz w:val="24"/>
                <w:szCs w:val="24"/>
              </w:rPr>
            </w:pPr>
            <w:r>
              <w:rPr>
                <w:rFonts w:hint="eastAsia"/>
                <w:color w:val="000000"/>
                <w:sz w:val="18"/>
                <w:szCs w:val="18"/>
              </w:rPr>
              <w:t>第四册</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32</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0</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rPr>
            </w:pPr>
            <w:r>
              <w:rPr>
                <w:color w:val="000000"/>
                <w:sz w:val="18"/>
                <w:szCs w:val="18"/>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250" w:type="pct"/>
            <w:tcBorders>
              <w:top w:val="single" w:color="auto" w:sz="4" w:space="0"/>
              <w:left w:val="nil"/>
              <w:bottom w:val="single" w:color="auto" w:sz="4" w:space="0"/>
              <w:right w:val="single" w:color="auto" w:sz="4" w:space="0"/>
            </w:tcBorders>
          </w:tcPr>
          <w:p>
            <w:pPr>
              <w:jc w:val="center"/>
              <w:rPr>
                <w:rFonts w:ascii="Calibri" w:hAnsi="Calibri"/>
                <w:color w:val="000000"/>
                <w:sz w:val="24"/>
                <w:szCs w:val="24"/>
              </w:rPr>
            </w:pPr>
            <w:r>
              <w:rPr>
                <w:rFonts w:hint="eastAsia"/>
                <w:color w:val="000000"/>
                <w:sz w:val="18"/>
                <w:szCs w:val="18"/>
              </w:rPr>
              <w:t>合计</w:t>
            </w:r>
          </w:p>
        </w:tc>
        <w:tc>
          <w:tcPr>
            <w:tcW w:w="1254"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200</w:t>
            </w:r>
          </w:p>
        </w:tc>
        <w:tc>
          <w:tcPr>
            <w:tcW w:w="1299" w:type="pct"/>
            <w:tcBorders>
              <w:top w:val="single" w:color="auto" w:sz="4" w:space="0"/>
              <w:left w:val="single" w:color="auto" w:sz="4" w:space="0"/>
              <w:bottom w:val="single" w:color="auto" w:sz="4" w:space="0"/>
              <w:right w:val="single" w:color="auto" w:sz="4" w:space="0"/>
            </w:tcBorders>
          </w:tcPr>
          <w:p>
            <w:pPr>
              <w:jc w:val="center"/>
              <w:rPr>
                <w:color w:val="000000"/>
                <w:sz w:val="18"/>
                <w:szCs w:val="18"/>
              </w:rPr>
            </w:pPr>
            <w:r>
              <w:rPr>
                <w:color w:val="000000"/>
                <w:sz w:val="18"/>
                <w:szCs w:val="18"/>
              </w:rPr>
              <w:t>0</w:t>
            </w:r>
          </w:p>
        </w:tc>
        <w:tc>
          <w:tcPr>
            <w:tcW w:w="1194" w:type="pct"/>
            <w:tcBorders>
              <w:top w:val="single" w:color="auto" w:sz="4" w:space="0"/>
              <w:left w:val="single" w:color="auto" w:sz="4" w:space="0"/>
              <w:bottom w:val="single" w:color="auto" w:sz="4" w:space="0"/>
              <w:right w:val="nil"/>
            </w:tcBorders>
          </w:tcPr>
          <w:p>
            <w:pPr>
              <w:jc w:val="center"/>
              <w:rPr>
                <w:color w:val="000000"/>
                <w:sz w:val="18"/>
                <w:szCs w:val="18"/>
              </w:rPr>
            </w:pPr>
            <w:r>
              <w:rPr>
                <w:color w:val="000000"/>
                <w:sz w:val="18"/>
                <w:szCs w:val="18"/>
              </w:rPr>
              <w:t>200</w:t>
            </w:r>
          </w:p>
        </w:tc>
      </w:tr>
    </w:tbl>
    <w:p>
      <w:pPr>
        <w:spacing w:line="360" w:lineRule="auto"/>
        <w:rPr>
          <w:rFonts w:ascii="宋体" w:hAnsi="宋体"/>
          <w:color w:val="000000"/>
          <w:kern w:val="0"/>
          <w:szCs w:val="21"/>
        </w:rPr>
      </w:pPr>
      <w:r>
        <w:rPr>
          <w:rFonts w:hint="eastAsia" w:ascii="宋体" w:hAnsi="宋体"/>
          <w:color w:val="000000"/>
          <w:kern w:val="0"/>
        </w:rPr>
        <w:t xml:space="preserve"> </w:t>
      </w:r>
    </w:p>
    <w:p>
      <w:pPr>
        <w:spacing w:line="360" w:lineRule="auto"/>
        <w:ind w:left="420" w:hanging="420"/>
        <w:rPr>
          <w:rFonts w:ascii="Calibri" w:hAnsi="Calibri" w:eastAsia="黑体"/>
          <w:color w:val="000000"/>
        </w:rPr>
      </w:pPr>
      <w:bookmarkStart w:id="33" w:name="_Toc32122"/>
      <w:bookmarkEnd w:id="33"/>
      <w:r>
        <w:rPr>
          <w:rFonts w:hint="eastAsia" w:ascii="黑体" w:hAnsi="黑体" w:eastAsia="黑体"/>
          <w:color w:val="000000"/>
        </w:rPr>
        <w:t>六、教材、补充教材及参考资料</w:t>
      </w:r>
    </w:p>
    <w:p>
      <w:pPr>
        <w:spacing w:line="360" w:lineRule="auto"/>
        <w:ind w:firstLine="367" w:firstLineChars="175"/>
        <w:rPr>
          <w:color w:val="000000"/>
        </w:rPr>
      </w:pPr>
      <w:r>
        <w:rPr>
          <w:color w:val="000000"/>
        </w:rPr>
        <w:t>1</w:t>
      </w:r>
      <w:r>
        <w:rPr>
          <w:rFonts w:ascii="宋体" w:hAnsi="宋体"/>
          <w:color w:val="000000"/>
        </w:rPr>
        <w:t>、郑树棠总主编，新视野大学英语（读写教程）（第一册），普通高等教育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9787560071114</w:t>
      </w:r>
      <w:r>
        <w:rPr>
          <w:rFonts w:ascii="宋体" w:hAnsi="宋体"/>
          <w:color w:val="000000"/>
        </w:rPr>
        <w:t>，外语教学与研究出版社。</w:t>
      </w:r>
    </w:p>
    <w:p>
      <w:pPr>
        <w:spacing w:line="360" w:lineRule="auto"/>
        <w:ind w:firstLine="367" w:firstLineChars="175"/>
        <w:rPr>
          <w:color w:val="000000"/>
        </w:rPr>
      </w:pPr>
      <w:r>
        <w:rPr>
          <w:color w:val="000000"/>
        </w:rPr>
        <w:t>2</w:t>
      </w:r>
      <w:r>
        <w:rPr>
          <w:rFonts w:ascii="宋体" w:hAnsi="宋体"/>
          <w:color w:val="000000"/>
        </w:rPr>
        <w:t>、郑树棠总主编，新视野大学英语（读写教程）（第二册），普通高等教育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9787560072975</w:t>
      </w:r>
      <w:r>
        <w:rPr>
          <w:rFonts w:ascii="宋体" w:hAnsi="宋体"/>
          <w:color w:val="000000"/>
        </w:rPr>
        <w:t>，外语教学与研究出版社。</w:t>
      </w:r>
    </w:p>
    <w:p>
      <w:pPr>
        <w:spacing w:line="360" w:lineRule="auto"/>
        <w:ind w:firstLine="367" w:firstLineChars="175"/>
        <w:rPr>
          <w:color w:val="000000"/>
        </w:rPr>
      </w:pPr>
      <w:r>
        <w:rPr>
          <w:color w:val="000000"/>
        </w:rPr>
        <w:t>3</w:t>
      </w:r>
      <w:r>
        <w:rPr>
          <w:rFonts w:ascii="宋体" w:hAnsi="宋体"/>
          <w:color w:val="000000"/>
        </w:rPr>
        <w:t>、郑树棠总主编，新视野大学英语（读写教程）（第三册），普通高等教育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9787560072982</w:t>
      </w:r>
      <w:r>
        <w:rPr>
          <w:rFonts w:ascii="宋体" w:hAnsi="宋体"/>
          <w:color w:val="000000"/>
        </w:rPr>
        <w:t>，外语教学与研究出版社。</w:t>
      </w:r>
    </w:p>
    <w:p>
      <w:pPr>
        <w:spacing w:line="360" w:lineRule="auto"/>
        <w:ind w:firstLine="367" w:firstLineChars="175"/>
        <w:rPr>
          <w:color w:val="000000"/>
        </w:rPr>
      </w:pPr>
      <w:r>
        <w:rPr>
          <w:color w:val="000000"/>
        </w:rPr>
        <w:t>4</w:t>
      </w:r>
      <w:r>
        <w:rPr>
          <w:rFonts w:ascii="宋体" w:hAnsi="宋体"/>
          <w:color w:val="000000"/>
        </w:rPr>
        <w:t>、郑树棠总主编，新视野大学英语（读写教程）（第四册），普通高等教育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9787560072999</w:t>
      </w:r>
      <w:r>
        <w:rPr>
          <w:rFonts w:ascii="宋体" w:hAnsi="宋体"/>
          <w:color w:val="000000"/>
        </w:rPr>
        <w:t>，外语教学与研究出版社。</w:t>
      </w:r>
    </w:p>
    <w:p>
      <w:pPr>
        <w:spacing w:line="360" w:lineRule="auto"/>
        <w:ind w:firstLine="367" w:firstLineChars="175"/>
        <w:rPr>
          <w:color w:val="000000"/>
        </w:rPr>
      </w:pPr>
      <w:r>
        <w:rPr>
          <w:color w:val="000000"/>
        </w:rPr>
        <w:t>5</w:t>
      </w:r>
      <w:r>
        <w:rPr>
          <w:rFonts w:ascii="宋体" w:hAnsi="宋体"/>
          <w:color w:val="000000"/>
        </w:rPr>
        <w:t>、郑树棠总主编，新视野大学英语（读写教程）（第一册）教学参考书，普通高等教育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9787560073002</w:t>
      </w:r>
      <w:r>
        <w:rPr>
          <w:rFonts w:ascii="宋体" w:hAnsi="宋体"/>
          <w:color w:val="000000"/>
        </w:rPr>
        <w:t>，外语教学与研究出版社。</w:t>
      </w:r>
    </w:p>
    <w:p>
      <w:pPr>
        <w:spacing w:line="360" w:lineRule="auto"/>
        <w:ind w:firstLine="367" w:firstLineChars="175"/>
        <w:rPr>
          <w:color w:val="000000"/>
        </w:rPr>
      </w:pPr>
      <w:r>
        <w:rPr>
          <w:color w:val="000000"/>
        </w:rPr>
        <w:t>6</w:t>
      </w:r>
      <w:r>
        <w:rPr>
          <w:rFonts w:ascii="宋体" w:hAnsi="宋体"/>
          <w:color w:val="000000"/>
        </w:rPr>
        <w:t>、郑树棠总主编，新视野大学英语（读写教程）（第二册）教学参考书，普通高等教育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9787560073019</w:t>
      </w:r>
      <w:r>
        <w:rPr>
          <w:rFonts w:ascii="宋体" w:hAnsi="宋体"/>
          <w:color w:val="000000"/>
        </w:rPr>
        <w:t>，外语教学与研究出版社。</w:t>
      </w:r>
    </w:p>
    <w:p>
      <w:pPr>
        <w:spacing w:line="360" w:lineRule="auto"/>
        <w:ind w:firstLine="367" w:firstLineChars="175"/>
        <w:rPr>
          <w:color w:val="000000"/>
        </w:rPr>
      </w:pPr>
      <w:r>
        <w:rPr>
          <w:color w:val="000000"/>
        </w:rPr>
        <w:t>7</w:t>
      </w:r>
      <w:r>
        <w:rPr>
          <w:rFonts w:ascii="宋体" w:hAnsi="宋体"/>
          <w:color w:val="000000"/>
        </w:rPr>
        <w:t>、郑树棠总主编，新视野大学英语（读写教程）（第三册）教学参考书，普通高等教育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9787560073026</w:t>
      </w:r>
      <w:r>
        <w:rPr>
          <w:rFonts w:ascii="宋体" w:hAnsi="宋体"/>
          <w:color w:val="000000"/>
        </w:rPr>
        <w:t>，外语教学与研究出版社。</w:t>
      </w:r>
    </w:p>
    <w:p>
      <w:pPr>
        <w:spacing w:line="360" w:lineRule="auto"/>
        <w:ind w:firstLine="367" w:firstLineChars="175"/>
        <w:rPr>
          <w:color w:val="000000"/>
        </w:rPr>
      </w:pPr>
      <w:r>
        <w:rPr>
          <w:color w:val="000000"/>
        </w:rPr>
        <w:t>8</w:t>
      </w:r>
      <w:r>
        <w:rPr>
          <w:rFonts w:ascii="宋体" w:hAnsi="宋体"/>
          <w:color w:val="000000"/>
        </w:rPr>
        <w:t>、郑树棠总主编，新视野大学英语（读写教程）（第四册）教学参考书，普通高等教育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9787560073033</w:t>
      </w:r>
      <w:r>
        <w:rPr>
          <w:rFonts w:ascii="宋体" w:hAnsi="宋体"/>
          <w:color w:val="000000"/>
        </w:rPr>
        <w:t>，外语教学与研究出版社。</w:t>
      </w:r>
    </w:p>
    <w:p>
      <w:pPr>
        <w:spacing w:line="360" w:lineRule="auto"/>
        <w:ind w:firstLine="367" w:firstLineChars="175"/>
        <w:rPr>
          <w:color w:val="000000"/>
        </w:rPr>
      </w:pPr>
      <w:r>
        <w:rPr>
          <w:color w:val="000000"/>
        </w:rPr>
        <w:t>9</w:t>
      </w:r>
      <w:r>
        <w:rPr>
          <w:rFonts w:ascii="宋体" w:hAnsi="宋体"/>
          <w:color w:val="000000"/>
        </w:rPr>
        <w:t>、李荫华总主编，全新版大学英语（听说教程）（第一册），普通高等教育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9787544632249</w:t>
      </w:r>
      <w:r>
        <w:rPr>
          <w:rFonts w:ascii="宋体" w:hAnsi="宋体"/>
          <w:color w:val="000000"/>
        </w:rPr>
        <w:t>，上海外语教育出版社。</w:t>
      </w:r>
    </w:p>
    <w:p>
      <w:pPr>
        <w:spacing w:line="360" w:lineRule="auto"/>
        <w:ind w:firstLine="367" w:firstLineChars="175"/>
        <w:rPr>
          <w:color w:val="000000"/>
        </w:rPr>
      </w:pPr>
      <w:r>
        <w:rPr>
          <w:color w:val="000000"/>
        </w:rPr>
        <w:t>10</w:t>
      </w:r>
      <w:r>
        <w:rPr>
          <w:rFonts w:ascii="宋体" w:hAnsi="宋体"/>
          <w:color w:val="000000"/>
        </w:rPr>
        <w:t>、李荫华总主编，全新版大学英语（听说教程）（第二册），普通高等教育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9787544632256</w:t>
      </w:r>
      <w:r>
        <w:rPr>
          <w:rFonts w:ascii="宋体" w:hAnsi="宋体"/>
          <w:color w:val="000000"/>
        </w:rPr>
        <w:t>，上海外语教育出版社。</w:t>
      </w:r>
    </w:p>
    <w:p>
      <w:pPr>
        <w:spacing w:line="360" w:lineRule="auto"/>
        <w:ind w:firstLine="367" w:firstLineChars="175"/>
        <w:rPr>
          <w:color w:val="000000"/>
        </w:rPr>
      </w:pPr>
      <w:r>
        <w:rPr>
          <w:color w:val="000000"/>
        </w:rPr>
        <w:t>11</w:t>
      </w:r>
      <w:r>
        <w:rPr>
          <w:rFonts w:ascii="宋体" w:hAnsi="宋体"/>
          <w:color w:val="000000"/>
        </w:rPr>
        <w:t>、李荫华总主编，全新版大学英语（听说教程）（第三册），普通高等教育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9787544632263</w:t>
      </w:r>
      <w:r>
        <w:rPr>
          <w:rFonts w:ascii="宋体" w:hAnsi="宋体"/>
          <w:color w:val="000000"/>
        </w:rPr>
        <w:t>，上海外语教育出版社。</w:t>
      </w:r>
    </w:p>
    <w:p>
      <w:pPr>
        <w:spacing w:line="360" w:lineRule="auto"/>
        <w:ind w:firstLine="367" w:firstLineChars="175"/>
        <w:rPr>
          <w:color w:val="000000"/>
        </w:rPr>
      </w:pPr>
      <w:r>
        <w:rPr>
          <w:color w:val="000000"/>
        </w:rPr>
        <w:t>12</w:t>
      </w:r>
      <w:r>
        <w:rPr>
          <w:rFonts w:ascii="宋体" w:hAnsi="宋体"/>
          <w:color w:val="000000"/>
        </w:rPr>
        <w:t>、李荫华总主编，全新版大学英语（听说教程）（第四册），普通高等教育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9787544632270</w:t>
      </w:r>
      <w:r>
        <w:rPr>
          <w:rFonts w:ascii="宋体" w:hAnsi="宋体"/>
          <w:color w:val="000000"/>
        </w:rPr>
        <w:t>，上海外语教育出版社。</w:t>
      </w:r>
    </w:p>
    <w:p>
      <w:pPr>
        <w:spacing w:line="360" w:lineRule="auto"/>
        <w:ind w:firstLine="367" w:firstLineChars="175"/>
        <w:rPr>
          <w:color w:val="000000"/>
        </w:rPr>
      </w:pPr>
      <w:r>
        <w:rPr>
          <w:color w:val="000000"/>
        </w:rPr>
        <w:t>13</w:t>
      </w:r>
      <w:r>
        <w:rPr>
          <w:rFonts w:ascii="宋体" w:hAnsi="宋体"/>
          <w:color w:val="000000"/>
        </w:rPr>
        <w:t>、李荫华总主编，全新版大学英语（听说教程）（第一册），教师手册，普通高等教育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9787544632300</w:t>
      </w:r>
      <w:r>
        <w:rPr>
          <w:rFonts w:ascii="宋体" w:hAnsi="宋体"/>
          <w:color w:val="000000"/>
        </w:rPr>
        <w:t>，上海外语教育出版社。</w:t>
      </w:r>
    </w:p>
    <w:p>
      <w:pPr>
        <w:spacing w:line="360" w:lineRule="auto"/>
        <w:ind w:firstLine="367" w:firstLineChars="175"/>
        <w:rPr>
          <w:color w:val="000000"/>
        </w:rPr>
      </w:pPr>
      <w:r>
        <w:rPr>
          <w:color w:val="000000"/>
        </w:rPr>
        <w:t>14</w:t>
      </w:r>
      <w:r>
        <w:rPr>
          <w:rFonts w:ascii="宋体" w:hAnsi="宋体"/>
          <w:color w:val="000000"/>
        </w:rPr>
        <w:t>、李荫华总主编，全新版大学英语（听说教程）（第二册），教师手册，普通高等教育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9787544632317</w:t>
      </w:r>
      <w:r>
        <w:rPr>
          <w:rFonts w:ascii="宋体" w:hAnsi="宋体"/>
          <w:color w:val="000000"/>
        </w:rPr>
        <w:t>，上海外语教育出版社。</w:t>
      </w:r>
    </w:p>
    <w:p>
      <w:pPr>
        <w:spacing w:line="360" w:lineRule="auto"/>
        <w:ind w:firstLine="367" w:firstLineChars="175"/>
        <w:rPr>
          <w:color w:val="000000"/>
        </w:rPr>
      </w:pPr>
      <w:r>
        <w:rPr>
          <w:color w:val="000000"/>
        </w:rPr>
        <w:t>15</w:t>
      </w:r>
      <w:r>
        <w:rPr>
          <w:rFonts w:ascii="宋体" w:hAnsi="宋体"/>
          <w:color w:val="000000"/>
        </w:rPr>
        <w:t>、李荫华总主编，全新版大学英语（听说教程）（第三册），教师手册，普通高等教育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9787544632324</w:t>
      </w:r>
      <w:r>
        <w:rPr>
          <w:rFonts w:ascii="宋体" w:hAnsi="宋体"/>
          <w:color w:val="000000"/>
        </w:rPr>
        <w:t>，上海外语教育出版社。</w:t>
      </w:r>
    </w:p>
    <w:p>
      <w:pPr>
        <w:spacing w:line="360" w:lineRule="auto"/>
        <w:ind w:firstLine="367" w:firstLineChars="175"/>
        <w:rPr>
          <w:color w:val="000000"/>
        </w:rPr>
      </w:pPr>
      <w:r>
        <w:rPr>
          <w:color w:val="000000"/>
        </w:rPr>
        <w:t>16</w:t>
      </w:r>
      <w:r>
        <w:rPr>
          <w:rFonts w:ascii="宋体" w:hAnsi="宋体"/>
          <w:color w:val="000000"/>
        </w:rPr>
        <w:t>、李荫华总主编，全新版大学英语（听说教程）（第四册），教师手册，普通高等教育</w:t>
      </w:r>
      <w:r>
        <w:rPr>
          <w:color w:val="000000"/>
        </w:rPr>
        <w:t>“</w:t>
      </w:r>
      <w:r>
        <w:rPr>
          <w:rFonts w:ascii="宋体" w:hAnsi="宋体"/>
          <w:color w:val="000000"/>
        </w:rPr>
        <w:t>十二五</w:t>
      </w:r>
      <w:r>
        <w:rPr>
          <w:color w:val="000000"/>
        </w:rPr>
        <w:t>”</w:t>
      </w:r>
      <w:r>
        <w:rPr>
          <w:rFonts w:ascii="宋体" w:hAnsi="宋体"/>
          <w:color w:val="000000"/>
        </w:rPr>
        <w:t>国家级规划教材，</w:t>
      </w:r>
      <w:r>
        <w:rPr>
          <w:color w:val="000000"/>
        </w:rPr>
        <w:t>ISBN 9787544632331</w:t>
      </w:r>
      <w:r>
        <w:rPr>
          <w:rFonts w:ascii="宋体" w:hAnsi="宋体"/>
          <w:color w:val="000000"/>
        </w:rPr>
        <w:t>，上海外语教育出版社。</w:t>
      </w:r>
    </w:p>
    <w:p>
      <w:pPr>
        <w:spacing w:line="360" w:lineRule="auto"/>
        <w:ind w:firstLine="367" w:firstLineChars="175"/>
        <w:rPr>
          <w:color w:val="000000"/>
        </w:rPr>
      </w:pPr>
      <w:r>
        <w:rPr>
          <w:color w:val="000000"/>
        </w:rPr>
        <w:t>17</w:t>
      </w:r>
      <w:r>
        <w:rPr>
          <w:rFonts w:ascii="宋体" w:hAnsi="宋体"/>
          <w:color w:val="000000"/>
        </w:rPr>
        <w:t>、音频、视频资料：资料链接</w:t>
      </w:r>
    </w:p>
    <w:p>
      <w:pPr>
        <w:spacing w:line="360" w:lineRule="auto"/>
        <w:ind w:firstLine="367" w:firstLineChars="175"/>
        <w:rPr>
          <w:color w:val="000000"/>
        </w:rPr>
      </w:pPr>
      <w:r>
        <w:rPr>
          <w:color w:val="000000"/>
        </w:rPr>
        <w:t xml:space="preserve">VOA </w:t>
      </w:r>
      <w:r>
        <w:fldChar w:fldCharType="begin"/>
      </w:r>
      <w:r>
        <w:instrText xml:space="preserve"> HYPERLINK "http://www.51voa.com/" </w:instrText>
      </w:r>
      <w:r>
        <w:fldChar w:fldCharType="separate"/>
      </w:r>
      <w:r>
        <w:rPr>
          <w:rStyle w:val="63"/>
          <w:color w:val="000000"/>
        </w:rPr>
        <w:t>http://www.51voa.com/</w:t>
      </w:r>
      <w:r>
        <w:rPr>
          <w:rStyle w:val="63"/>
          <w:color w:val="000000"/>
        </w:rPr>
        <w:fldChar w:fldCharType="end"/>
      </w:r>
    </w:p>
    <w:p>
      <w:pPr>
        <w:spacing w:line="360" w:lineRule="auto"/>
        <w:ind w:firstLine="367" w:firstLineChars="175"/>
        <w:rPr>
          <w:color w:val="000000"/>
        </w:rPr>
      </w:pPr>
      <w:r>
        <w:rPr>
          <w:color w:val="000000"/>
        </w:rPr>
        <w:t>BBC http://www.bbc.com/</w:t>
      </w:r>
    </w:p>
    <w:p>
      <w:pPr>
        <w:widowControl/>
        <w:spacing w:line="360" w:lineRule="auto"/>
        <w:jc w:val="left"/>
        <w:rPr>
          <w:rFonts w:eastAsia="黑体"/>
        </w:rPr>
      </w:pPr>
      <w:r>
        <w:rPr>
          <w:rFonts w:ascii="黑体" w:hAnsi="黑体" w:eastAsia="黑体"/>
        </w:rPr>
        <w:t>七、课程目标达成评价的途径和措施</w:t>
      </w:r>
    </w:p>
    <w:p>
      <w:pPr>
        <w:spacing w:line="360" w:lineRule="auto"/>
        <w:ind w:firstLine="420" w:firstLineChars="200"/>
        <w:jc w:val="left"/>
        <w:rPr>
          <w:color w:val="000000"/>
        </w:rPr>
      </w:pPr>
      <w:r>
        <w:rPr>
          <w:color w:val="000000"/>
        </w:rPr>
        <w:t>1</w:t>
      </w:r>
      <w:r>
        <w:rPr>
          <w:rFonts w:ascii="宋体" w:hAnsi="宋体"/>
          <w:color w:val="000000"/>
        </w:rPr>
        <w:t>、考核方式：考试、课外作业及课堂提问</w:t>
      </w:r>
    </w:p>
    <w:p>
      <w:pPr>
        <w:autoSpaceDE w:val="0"/>
        <w:spacing w:line="360" w:lineRule="auto"/>
        <w:ind w:firstLine="420" w:firstLineChars="200"/>
        <w:jc w:val="left"/>
        <w:rPr>
          <w:color w:val="000000"/>
        </w:rPr>
      </w:pPr>
      <w:r>
        <w:rPr>
          <w:color w:val="000000"/>
        </w:rPr>
        <w:t>2</w:t>
      </w:r>
      <w:r>
        <w:rPr>
          <w:rFonts w:ascii="宋体" w:hAnsi="宋体"/>
          <w:color w:val="000000"/>
        </w:rPr>
        <w:t>、考核目标：考查学生对课本所学内容的掌握情况以及相应水平应具备的基本知识和综合运用能力，考试内容包括本学期大学英语课程课本内容以及相应水平应掌握的语言知识。</w:t>
      </w:r>
    </w:p>
    <w:p>
      <w:pPr>
        <w:autoSpaceDE w:val="0"/>
        <w:spacing w:line="360" w:lineRule="auto"/>
        <w:ind w:firstLine="420" w:firstLineChars="200"/>
        <w:jc w:val="left"/>
        <w:rPr>
          <w:highlight w:val="yellow"/>
        </w:rPr>
      </w:pPr>
      <w:r>
        <w:t>3</w:t>
      </w:r>
      <w:r>
        <w:rPr>
          <w:rFonts w:ascii="宋体" w:hAnsi="宋体"/>
        </w:rPr>
        <w:t>、成绩构成：</w:t>
      </w:r>
    </w:p>
    <w:p>
      <w:pPr>
        <w:spacing w:line="360" w:lineRule="auto"/>
        <w:ind w:firstLine="420" w:firstLineChars="200"/>
      </w:pPr>
      <w:r>
        <w:rPr>
          <w:rFonts w:ascii="宋体" w:hAnsi="宋体"/>
        </w:rPr>
        <w:t>本课程通过</w:t>
      </w:r>
      <w:r>
        <w:t>“</w:t>
      </w:r>
      <w:r>
        <w:rPr>
          <w:rFonts w:ascii="宋体" w:hAnsi="宋体"/>
        </w:rPr>
        <w:t>平时成绩</w:t>
      </w:r>
      <w:r>
        <w:t>”</w:t>
      </w:r>
      <w:r>
        <w:rPr>
          <w:rFonts w:ascii="宋体" w:hAnsi="宋体"/>
        </w:rPr>
        <w:t>和</w:t>
      </w:r>
      <w:r>
        <w:t>“</w:t>
      </w:r>
      <w:r>
        <w:rPr>
          <w:rFonts w:ascii="宋体" w:hAnsi="宋体"/>
        </w:rPr>
        <w:t>期末考试</w:t>
      </w:r>
      <w:r>
        <w:t>”</w:t>
      </w:r>
      <w:r>
        <w:rPr>
          <w:rFonts w:ascii="宋体" w:hAnsi="宋体"/>
        </w:rPr>
        <w:t>两种方式对课程目标达成进行评价，考核成绩计算如下（本大纲中成绩均采用百分制）：</w:t>
      </w:r>
    </w:p>
    <w:p>
      <w:pPr>
        <w:spacing w:line="360" w:lineRule="auto"/>
        <w:jc w:val="center"/>
        <w:rPr>
          <w:rFonts w:ascii="Calibri" w:hAnsi="Calibri"/>
        </w:rPr>
      </w:pPr>
      <w:r>
        <w:rPr>
          <w:rFonts w:hint="eastAsia" w:ascii="宋体" w:hAnsi="宋体"/>
          <w:sz w:val="18"/>
          <w:szCs w:val="18"/>
        </w:rPr>
        <w:t>各环节成绩评定占比</w:t>
      </w:r>
      <w:r>
        <w:rPr>
          <w:sz w:val="18"/>
          <w:szCs w:val="18"/>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0"/>
        <w:gridCol w:w="2502"/>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59"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rFonts w:hint="eastAsia"/>
                <w:color w:val="000000"/>
                <w:sz w:val="18"/>
                <w:szCs w:val="18"/>
              </w:rPr>
              <w:t>课堂提问</w:t>
            </w:r>
            <w:r>
              <w:rPr>
                <w:rFonts w:hint="eastAsia"/>
                <w:sz w:val="18"/>
                <w:szCs w:val="18"/>
              </w:rPr>
              <w:t>（平时）</w:t>
            </w:r>
          </w:p>
        </w:tc>
        <w:tc>
          <w:tcPr>
            <w:tcW w:w="1468" w:type="pct"/>
            <w:tcBorders>
              <w:top w:val="single" w:color="auto" w:sz="4" w:space="0"/>
              <w:left w:val="nil"/>
              <w:bottom w:val="single" w:color="auto" w:sz="4" w:space="0"/>
              <w:right w:val="nil"/>
            </w:tcBorders>
            <w:vAlign w:val="center"/>
          </w:tcPr>
          <w:p>
            <w:pPr>
              <w:ind w:left="210" w:leftChars="100"/>
              <w:jc w:val="center"/>
              <w:rPr>
                <w:sz w:val="18"/>
                <w:szCs w:val="18"/>
              </w:rPr>
            </w:pPr>
            <w:r>
              <w:rPr>
                <w:rFonts w:hint="eastAsia" w:ascii="宋体" w:hAnsi="宋体"/>
                <w:sz w:val="18"/>
                <w:szCs w:val="18"/>
              </w:rPr>
              <w:t>作业</w:t>
            </w:r>
            <w:r>
              <w:rPr>
                <w:rFonts w:hint="eastAsia"/>
                <w:sz w:val="18"/>
                <w:szCs w:val="18"/>
              </w:rPr>
              <w:t>（平时）</w:t>
            </w:r>
          </w:p>
        </w:tc>
        <w:tc>
          <w:tcPr>
            <w:tcW w:w="1471" w:type="pct"/>
            <w:tcBorders>
              <w:top w:val="single" w:color="auto" w:sz="4" w:space="0"/>
              <w:left w:val="single" w:color="auto" w:sz="4" w:space="0"/>
              <w:bottom w:val="single" w:color="auto" w:sz="4" w:space="0"/>
              <w:right w:val="nil"/>
            </w:tcBorders>
            <w:vAlign w:val="center"/>
          </w:tcPr>
          <w:p>
            <w:pPr>
              <w:ind w:left="210" w:leftChars="100"/>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59" w:type="pct"/>
            <w:tcBorders>
              <w:top w:val="single" w:color="auto" w:sz="4" w:space="0"/>
              <w:left w:val="nil"/>
              <w:bottom w:val="single" w:color="auto" w:sz="4" w:space="0"/>
              <w:right w:val="single" w:color="auto" w:sz="4" w:space="0"/>
            </w:tcBorders>
            <w:vAlign w:val="center"/>
          </w:tcPr>
          <w:p>
            <w:pPr>
              <w:ind w:left="210" w:leftChars="100"/>
              <w:jc w:val="center"/>
              <w:rPr>
                <w:color w:val="C00000"/>
                <w:sz w:val="18"/>
                <w:szCs w:val="18"/>
              </w:rPr>
            </w:pPr>
            <w:r>
              <w:rPr>
                <w:color w:val="000000"/>
                <w:sz w:val="18"/>
                <w:szCs w:val="18"/>
              </w:rPr>
              <w:t>20</w:t>
            </w:r>
          </w:p>
        </w:tc>
        <w:tc>
          <w:tcPr>
            <w:tcW w:w="1468" w:type="pct"/>
            <w:tcBorders>
              <w:top w:val="single" w:color="auto" w:sz="4" w:space="0"/>
              <w:left w:val="nil"/>
              <w:bottom w:val="single" w:color="auto" w:sz="4" w:space="0"/>
              <w:right w:val="nil"/>
            </w:tcBorders>
            <w:vAlign w:val="center"/>
          </w:tcPr>
          <w:p>
            <w:pPr>
              <w:ind w:left="210" w:leftChars="100"/>
              <w:jc w:val="center"/>
              <w:rPr>
                <w:color w:val="C00000"/>
                <w:sz w:val="18"/>
                <w:szCs w:val="18"/>
              </w:rPr>
            </w:pPr>
            <w:r>
              <w:rPr>
                <w:color w:val="000000"/>
                <w:sz w:val="18"/>
                <w:szCs w:val="18"/>
              </w:rPr>
              <w:t>10</w:t>
            </w:r>
          </w:p>
        </w:tc>
        <w:tc>
          <w:tcPr>
            <w:tcW w:w="1471" w:type="pct"/>
            <w:tcBorders>
              <w:top w:val="single" w:color="auto" w:sz="4" w:space="0"/>
              <w:left w:val="single" w:color="auto" w:sz="4" w:space="0"/>
              <w:bottom w:val="single" w:color="auto" w:sz="4" w:space="0"/>
              <w:right w:val="nil"/>
            </w:tcBorders>
            <w:vAlign w:val="center"/>
          </w:tcPr>
          <w:p>
            <w:pPr>
              <w:ind w:left="210" w:leftChars="100"/>
              <w:jc w:val="center"/>
              <w:rPr>
                <w:color w:val="C00000"/>
                <w:sz w:val="18"/>
                <w:szCs w:val="18"/>
              </w:rPr>
            </w:pPr>
            <w:r>
              <w:rPr>
                <w:color w:val="000000"/>
                <w:sz w:val="18"/>
                <w:szCs w:val="18"/>
              </w:rPr>
              <w:t>70</w:t>
            </w:r>
          </w:p>
        </w:tc>
      </w:tr>
    </w:tbl>
    <w:p>
      <w:pPr>
        <w:spacing w:line="360" w:lineRule="auto"/>
        <w:rPr>
          <w:b/>
          <w:bCs/>
          <w:color w:val="1D41D5"/>
          <w:szCs w:val="21"/>
        </w:rPr>
      </w:pPr>
      <w:r>
        <w:rPr>
          <w:rFonts w:hint="eastAsia"/>
        </w:rPr>
        <w:tab/>
      </w:r>
      <w:r>
        <w:rPr>
          <w:rFonts w:ascii="宋体" w:hAnsi="宋体"/>
        </w:rPr>
        <w:t>指导性课程目标评价题目分数分配：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2"/>
        <w:gridCol w:w="2337"/>
        <w:gridCol w:w="1953"/>
        <w:gridCol w:w="21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204" w:type="pct"/>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课程目标</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课堂表现（平时）</w:t>
            </w:r>
          </w:p>
          <w:p>
            <w:pPr>
              <w:jc w:val="center"/>
              <w:rPr>
                <w:sz w:val="18"/>
                <w:szCs w:val="18"/>
              </w:rPr>
            </w:pPr>
            <w:r>
              <w:rPr>
                <w:sz w:val="18"/>
                <w:szCs w:val="18"/>
              </w:rPr>
              <w:t>W1</w:t>
            </w:r>
            <w:r>
              <w:rPr>
                <w:sz w:val="18"/>
                <w:szCs w:val="18"/>
                <w:vertAlign w:val="subscript"/>
              </w:rPr>
              <w:t>i</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作业（平时）</w:t>
            </w:r>
          </w:p>
          <w:p>
            <w:pPr>
              <w:jc w:val="center"/>
              <w:rPr>
                <w:sz w:val="18"/>
                <w:szCs w:val="18"/>
              </w:rPr>
            </w:pPr>
            <w:r>
              <w:rPr>
                <w:sz w:val="18"/>
                <w:szCs w:val="18"/>
              </w:rPr>
              <w:t>W2</w:t>
            </w:r>
            <w:r>
              <w:rPr>
                <w:sz w:val="18"/>
                <w:szCs w:val="18"/>
                <w:vertAlign w:val="subscript"/>
              </w:rPr>
              <w:t>i</w:t>
            </w:r>
          </w:p>
        </w:tc>
        <w:tc>
          <w:tcPr>
            <w:tcW w:w="1277"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期末考试</w:t>
            </w:r>
          </w:p>
          <w:p>
            <w:pPr>
              <w:jc w:val="center"/>
              <w:rPr>
                <w:sz w:val="18"/>
                <w:szCs w:val="18"/>
              </w:rPr>
            </w:pPr>
            <w:r>
              <w:rPr>
                <w:sz w:val="18"/>
                <w:szCs w:val="18"/>
              </w:rPr>
              <w:t>W3</w:t>
            </w:r>
            <w:r>
              <w:rPr>
                <w:sz w:val="18"/>
                <w:szCs w:val="18"/>
                <w:vertAlign w:val="subscript"/>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27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2</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27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27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4</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30-40</w:t>
            </w:r>
          </w:p>
        </w:tc>
        <w:tc>
          <w:tcPr>
            <w:tcW w:w="127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04"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w:t>
            </w:r>
          </w:p>
        </w:tc>
        <w:tc>
          <w:tcPr>
            <w:tcW w:w="1371"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146"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30-40</w:t>
            </w:r>
          </w:p>
        </w:tc>
        <w:tc>
          <w:tcPr>
            <w:tcW w:w="127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20-30</w:t>
            </w:r>
          </w:p>
        </w:tc>
      </w:tr>
    </w:tbl>
    <w:p>
      <w:pPr>
        <w:autoSpaceDE w:val="0"/>
        <w:spacing w:line="360" w:lineRule="auto"/>
        <w:rPr>
          <w:rFonts w:ascii="Calibri" w:hAnsi="Calibri"/>
          <w:szCs w:val="21"/>
        </w:rPr>
      </w:pPr>
      <w:r>
        <w:rPr>
          <w:rFonts w:hint="eastAsia"/>
        </w:rPr>
        <w:tab/>
      </w:r>
      <w:r>
        <w:rPr>
          <w:rFonts w:hint="eastAsia" w:ascii="宋体" w:hAnsi="宋体"/>
        </w:rPr>
        <w:t>分目标达成值由每个部分对应的实际得分与题目总分数相比后，各环节加权求和得到。</w:t>
      </w:r>
    </w:p>
    <w:p>
      <w:pPr>
        <w:autoSpaceDE w:val="0"/>
        <w:spacing w:line="360" w:lineRule="auto"/>
      </w:pPr>
      <w:r>
        <w:rPr>
          <w:rFonts w:hint="eastAsia"/>
        </w:rPr>
        <w:tab/>
      </w:r>
      <w:r>
        <w:rPr>
          <w:rFonts w:hint="eastAsia" w:ascii="宋体" w:hAnsi="宋体"/>
        </w:rPr>
        <w:t>总课程目标达成值由每个环节的总平均分，按照各环节加权求和得到。</w:t>
      </w:r>
    </w:p>
    <w:p>
      <w:pPr>
        <w:autoSpaceDE w:val="0"/>
        <w:spacing w:line="360" w:lineRule="auto"/>
      </w:pPr>
      <w:r>
        <w:rPr>
          <w:rFonts w:hint="eastAsia"/>
        </w:rPr>
        <w:tab/>
      </w:r>
      <w:r>
        <w:rPr>
          <w:rFonts w:hint="eastAsia" w:ascii="宋体" w:hAnsi="宋体"/>
        </w:rPr>
        <w:t>各环节的评价标准参见课程成绩分析报告。</w:t>
      </w:r>
    </w:p>
    <w:p>
      <w:pPr>
        <w:spacing w:line="360" w:lineRule="auto"/>
        <w:ind w:firstLine="420" w:firstLineChars="200"/>
        <w:rPr>
          <w:szCs w:val="21"/>
          <w:highlight w:val="yellow"/>
        </w:rPr>
      </w:pPr>
    </w:p>
    <w:p>
      <w:pPr>
        <w:widowControl/>
        <w:jc w:val="left"/>
        <w:rPr>
          <w:rFonts w:eastAsia="黑体"/>
          <w:sz w:val="28"/>
          <w:szCs w:val="28"/>
        </w:rPr>
      </w:pPr>
      <w:bookmarkStart w:id="34" w:name="_Toc23128"/>
      <w:r>
        <w:rPr>
          <w:rFonts w:eastAsia="黑体"/>
          <w:sz w:val="28"/>
          <w:szCs w:val="28"/>
        </w:rPr>
        <w:br w:type="page"/>
      </w:r>
    </w:p>
    <w:p>
      <w:pPr>
        <w:spacing w:before="312" w:beforeLines="100"/>
        <w:jc w:val="center"/>
        <w:outlineLvl w:val="2"/>
        <w:rPr>
          <w:rFonts w:eastAsia="黑体"/>
          <w:szCs w:val="21"/>
        </w:rPr>
      </w:pPr>
      <w:r>
        <w:rPr>
          <w:rFonts w:hint="eastAsia" w:eastAsia="黑体"/>
          <w:sz w:val="28"/>
          <w:szCs w:val="28"/>
        </w:rPr>
        <w:t>《</w:t>
      </w:r>
      <w:r>
        <w:rPr>
          <w:kern w:val="0"/>
          <w:sz w:val="28"/>
          <w:szCs w:val="28"/>
        </w:rPr>
        <w:t>X01110001</w:t>
      </w:r>
      <w:r>
        <w:rPr>
          <w:snapToGrid w:val="0"/>
          <w:kern w:val="0"/>
          <w:sz w:val="28"/>
          <w:szCs w:val="28"/>
        </w:rPr>
        <w:t>、X01110002、X01110003、X01110004</w:t>
      </w:r>
      <w:r>
        <w:rPr>
          <w:rFonts w:hint="eastAsia" w:eastAsia="黑体"/>
          <w:szCs w:val="21"/>
        </w:rPr>
        <w:t>-</w:t>
      </w:r>
      <w:r>
        <w:rPr>
          <w:rFonts w:hint="eastAsia" w:eastAsia="黑体"/>
          <w:sz w:val="28"/>
          <w:szCs w:val="28"/>
        </w:rPr>
        <w:t>大学体育》</w:t>
      </w:r>
      <w:bookmarkStart w:id="35" w:name="_Toc47728303"/>
      <w:bookmarkStart w:id="36" w:name="_Toc47691150"/>
      <w:bookmarkStart w:id="37" w:name="_Toc47702356"/>
      <w:r>
        <w:rPr>
          <w:rFonts w:eastAsia="黑体"/>
          <w:sz w:val="28"/>
          <w:szCs w:val="28"/>
        </w:rPr>
        <w:t>教学大纲</w:t>
      </w:r>
      <w:bookmarkEnd w:id="34"/>
      <w:bookmarkEnd w:id="35"/>
      <w:bookmarkEnd w:id="36"/>
      <w:bookmarkEnd w:id="37"/>
    </w:p>
    <w:p>
      <w:pPr>
        <w:spacing w:line="360" w:lineRule="auto"/>
        <w:rPr>
          <w:rFonts w:eastAsia="黑体"/>
          <w:szCs w:val="21"/>
        </w:rPr>
      </w:pPr>
      <w:r>
        <w:rPr>
          <w:rFonts w:hint="eastAsia" w:eastAsia="黑体"/>
          <w:szCs w:val="21"/>
        </w:rPr>
        <w:t xml:space="preserve">   </w:t>
      </w:r>
      <w:r>
        <w:rPr>
          <w:rFonts w:eastAsia="黑体"/>
          <w:szCs w:val="21"/>
        </w:rPr>
        <w:t>课程编号：</w:t>
      </w:r>
      <w:r>
        <w:rPr>
          <w:rFonts w:hint="eastAsia" w:ascii="宋体" w:hAnsi="宋体" w:cs="Arial"/>
          <w:kern w:val="0"/>
          <w:sz w:val="20"/>
        </w:rPr>
        <w:t>X01110001</w:t>
      </w:r>
      <w:r>
        <w:rPr>
          <w:rFonts w:hint="eastAsia" w:ascii="宋体" w:hAnsi="宋体" w:cs="宋体"/>
          <w:snapToGrid w:val="0"/>
          <w:kern w:val="0"/>
          <w:szCs w:val="21"/>
        </w:rPr>
        <w:t>、X01110002、X01110003、X01110004</w:t>
      </w:r>
    </w:p>
    <w:p>
      <w:pPr>
        <w:spacing w:line="360" w:lineRule="auto"/>
        <w:ind w:firstLine="315" w:firstLineChars="150"/>
        <w:rPr>
          <w:rFonts w:eastAsia="黑体"/>
          <w:szCs w:val="21"/>
        </w:rPr>
      </w:pPr>
      <w:r>
        <w:rPr>
          <w:rFonts w:eastAsia="黑体"/>
          <w:szCs w:val="21"/>
        </w:rPr>
        <w:t>课程名称：</w:t>
      </w:r>
      <w:r>
        <w:rPr>
          <w:rFonts w:hint="eastAsia" w:ascii="宋体" w:hAnsi="宋体"/>
          <w:szCs w:val="21"/>
        </w:rPr>
        <w:t xml:space="preserve">大学体育                     </w:t>
      </w:r>
      <w:r>
        <w:rPr>
          <w:rFonts w:eastAsia="黑体"/>
          <w:szCs w:val="21"/>
        </w:rPr>
        <w:t>开课单位：</w:t>
      </w:r>
      <w:r>
        <w:rPr>
          <w:rFonts w:hint="eastAsia" w:hAnsi="宋体"/>
          <w:szCs w:val="21"/>
        </w:rPr>
        <w:t>体育学院</w:t>
      </w:r>
    </w:p>
    <w:p>
      <w:pPr>
        <w:spacing w:line="360" w:lineRule="auto"/>
        <w:rPr>
          <w:rFonts w:eastAsia="黑体"/>
          <w:szCs w:val="21"/>
        </w:rPr>
      </w:pPr>
      <w:r>
        <w:rPr>
          <w:rFonts w:eastAsia="黑体"/>
          <w:szCs w:val="21"/>
        </w:rPr>
        <w:t xml:space="preserve">   </w:t>
      </w:r>
      <w:r>
        <w:rPr>
          <w:rFonts w:eastAsia="黑体"/>
          <w:spacing w:val="60"/>
          <w:szCs w:val="21"/>
        </w:rPr>
        <w:t>总学</w:t>
      </w:r>
      <w:r>
        <w:rPr>
          <w:rFonts w:eastAsia="黑体"/>
          <w:szCs w:val="21"/>
        </w:rPr>
        <w:t>时：</w:t>
      </w:r>
      <w:r>
        <w:rPr>
          <w:rFonts w:hint="eastAsia" w:eastAsia="黑体"/>
          <w:szCs w:val="21"/>
        </w:rPr>
        <w:t>144</w:t>
      </w:r>
      <w:r>
        <w:rPr>
          <w:rFonts w:eastAsia="黑体"/>
          <w:szCs w:val="21"/>
        </w:rPr>
        <w:t xml:space="preserve">                  </w:t>
      </w:r>
      <w:r>
        <w:rPr>
          <w:rFonts w:hint="eastAsia" w:eastAsia="黑体"/>
          <w:szCs w:val="21"/>
        </w:rPr>
        <w:t xml:space="preserve">      </w:t>
      </w:r>
      <w:r>
        <w:rPr>
          <w:rFonts w:eastAsia="黑体"/>
          <w:szCs w:val="21"/>
        </w:rPr>
        <w:t xml:space="preserve">  学    分：</w:t>
      </w:r>
      <w:r>
        <w:rPr>
          <w:rFonts w:hint="eastAsia" w:eastAsia="黑体"/>
          <w:szCs w:val="21"/>
        </w:rPr>
        <w:t>4</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int="eastAsia" w:hAnsi="宋体"/>
          <w:szCs w:val="21"/>
        </w:rPr>
        <w:t>无</w:t>
      </w:r>
    </w:p>
    <w:p>
      <w:pPr>
        <w:spacing w:line="360" w:lineRule="auto"/>
        <w:ind w:firstLine="315" w:firstLineChars="150"/>
        <w:rPr>
          <w:rFonts w:ascii="宋体" w:hAnsi="宋体"/>
          <w:szCs w:val="21"/>
        </w:rPr>
      </w:pPr>
      <w:r>
        <w:rPr>
          <w:rFonts w:hint="eastAsia" w:eastAsia="黑体"/>
          <w:szCs w:val="21"/>
        </w:rPr>
        <w:t>大纲编写（修订）时间：</w:t>
      </w:r>
      <w:r>
        <w:rPr>
          <w:szCs w:val="21"/>
        </w:rPr>
        <w:t>2019</w:t>
      </w:r>
      <w:r>
        <w:rPr>
          <w:rFonts w:hint="eastAsia" w:ascii="宋体" w:hAnsi="宋体" w:cs="宋体"/>
          <w:szCs w:val="21"/>
        </w:rPr>
        <w:t>年</w:t>
      </w:r>
      <w:r>
        <w:rPr>
          <w:szCs w:val="21"/>
        </w:rPr>
        <w:t>4</w:t>
      </w:r>
      <w:r>
        <w:rPr>
          <w:rFonts w:hint="eastAsia" w:ascii="宋体" w:hAnsi="宋体" w:cs="宋体"/>
          <w:szCs w:val="21"/>
        </w:rPr>
        <w:t>月</w:t>
      </w:r>
    </w:p>
    <w:p>
      <w:pPr>
        <w:rPr>
          <w:sz w:val="24"/>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376" w:firstLineChars="200"/>
        <w:rPr>
          <w:rFonts w:ascii="宋体" w:hAnsi="宋体"/>
          <w:color w:val="000000"/>
          <w:szCs w:val="21"/>
        </w:rPr>
      </w:pPr>
      <w:r>
        <w:rPr>
          <w:rFonts w:hint="eastAsia" w:ascii="宋体" w:hAnsi="宋体"/>
          <w:color w:val="000000"/>
          <w:spacing w:val="-11"/>
          <w:szCs w:val="21"/>
        </w:rPr>
        <w:t>《大学体育》是普通高等学校本科学生的必修课程之一。通过教学，使学生系统地了解体育运动的理论知</w:t>
      </w:r>
      <w:r>
        <w:rPr>
          <w:rFonts w:hint="eastAsia" w:ascii="宋体" w:hAnsi="宋体"/>
          <w:color w:val="000000"/>
          <w:szCs w:val="21"/>
        </w:rPr>
        <w:t>识，掌握专项运动的基本技术、战术，具备临场比赛的组织和实战能力，培养学生团结协作，克服困难，吃苦耐劳，勇往直前的品质，最终达到锻炼身体，增强体质，提高兴趣，终身受益的目的。</w:t>
      </w:r>
    </w:p>
    <w:p>
      <w:pPr>
        <w:adjustRightInd w:val="0"/>
        <w:snapToGrid w:val="0"/>
        <w:spacing w:line="360" w:lineRule="auto"/>
        <w:ind w:firstLine="420" w:firstLineChars="200"/>
        <w:rPr>
          <w:rFonts w:ascii="宋体" w:hAnsi="宋体"/>
          <w:szCs w:val="21"/>
        </w:rPr>
      </w:pPr>
    </w:p>
    <w:p>
      <w:pPr>
        <w:spacing w:line="360" w:lineRule="auto"/>
        <w:rPr>
          <w:rFonts w:eastAsia="黑体"/>
          <w:szCs w:val="21"/>
        </w:rPr>
      </w:pPr>
      <w:r>
        <w:rPr>
          <w:rFonts w:eastAsia="黑体"/>
          <w:szCs w:val="21"/>
        </w:rPr>
        <w:t>二、课程目标</w:t>
      </w:r>
    </w:p>
    <w:p>
      <w:pPr>
        <w:spacing w:line="360" w:lineRule="auto"/>
        <w:ind w:firstLine="420" w:firstLineChars="200"/>
        <w:rPr>
          <w:b/>
          <w:bCs/>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4767"/>
        <w:gridCol w:w="3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797" w:type="pct"/>
            <w:shd w:val="clear" w:color="auto" w:fill="auto"/>
          </w:tcPr>
          <w:p>
            <w:pPr>
              <w:spacing w:line="360" w:lineRule="auto"/>
              <w:jc w:val="center"/>
              <w:rPr>
                <w:sz w:val="18"/>
                <w:szCs w:val="18"/>
              </w:rPr>
            </w:pPr>
            <w:r>
              <w:rPr>
                <w:rFonts w:hint="eastAsia"/>
                <w:sz w:val="18"/>
                <w:szCs w:val="18"/>
              </w:rPr>
              <w:t>课程目标</w:t>
            </w:r>
          </w:p>
        </w:tc>
        <w:tc>
          <w:tcPr>
            <w:tcW w:w="1860"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797" w:type="pct"/>
            <w:shd w:val="clear" w:color="auto" w:fill="auto"/>
          </w:tcPr>
          <w:p>
            <w:pPr>
              <w:tabs>
                <w:tab w:val="left" w:pos="420"/>
              </w:tabs>
              <w:adjustRightInd w:val="0"/>
              <w:snapToGrid w:val="0"/>
              <w:spacing w:line="360" w:lineRule="auto"/>
              <w:rPr>
                <w:sz w:val="18"/>
                <w:szCs w:val="18"/>
              </w:rPr>
            </w:pPr>
            <w:r>
              <w:rPr>
                <w:rFonts w:hint="eastAsia"/>
                <w:sz w:val="18"/>
                <w:szCs w:val="18"/>
              </w:rPr>
              <w:t>通过体育教育及体育活动培养大学生的合作、交往和适应能力，形成良好的人际关系和团结协作的团队精神；通过学习使学生对体育课程有正确的认识，提高学生参与体育锻炼的积极性，在团队合作中能够有情绪调控能力和树立健康向上的自信心等方面。</w:t>
            </w:r>
          </w:p>
        </w:tc>
        <w:tc>
          <w:tcPr>
            <w:tcW w:w="1860" w:type="pct"/>
            <w:shd w:val="clear" w:color="auto" w:fill="auto"/>
          </w:tcPr>
          <w:p>
            <w:pPr>
              <w:adjustRightInd w:val="0"/>
              <w:snapToGrid w:val="0"/>
              <w:spacing w:line="360" w:lineRule="auto"/>
              <w:rPr>
                <w:sz w:val="18"/>
                <w:szCs w:val="18"/>
              </w:rPr>
            </w:pPr>
            <w:r>
              <w:rPr>
                <w:rFonts w:hint="eastAsia"/>
                <w:b/>
                <w:sz w:val="18"/>
                <w:szCs w:val="18"/>
              </w:rPr>
              <w:t>指标点9-1 团队意识：</w:t>
            </w:r>
            <w:r>
              <w:rPr>
                <w:rFonts w:hint="eastAsia"/>
                <w:sz w:val="18"/>
                <w:szCs w:val="18"/>
              </w:rPr>
              <w:t>具备团队合作意识，愿意与团队其他成员共享信息，并给予他人帮助。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797" w:type="pct"/>
            <w:shd w:val="clear" w:color="auto" w:fill="auto"/>
          </w:tcPr>
          <w:p>
            <w:pPr>
              <w:tabs>
                <w:tab w:val="left" w:pos="420"/>
              </w:tabs>
              <w:adjustRightInd w:val="0"/>
              <w:snapToGrid w:val="0"/>
              <w:spacing w:line="360" w:lineRule="auto"/>
              <w:rPr>
                <w:sz w:val="18"/>
                <w:szCs w:val="18"/>
              </w:rPr>
            </w:pPr>
            <w:r>
              <w:rPr>
                <w:rFonts w:hint="eastAsia"/>
                <w:sz w:val="18"/>
                <w:szCs w:val="18"/>
              </w:rPr>
              <w:t>通过本课程的学习，能够身心健康，即身体健康目标、心理健康目标。身体健康目标是通过体育课程学习和锻炼，使学生在耐力、力量、柔韧及协调性等主要素质方面得到提高。心理健康目标主要体现在情绪的调控能力和树立健康向上的自信心等方面。运动参与目标。使他们能自觉地、积极地、经常地参与体育锻炼实现，身体运动的参与目标。</w:t>
            </w:r>
          </w:p>
        </w:tc>
        <w:tc>
          <w:tcPr>
            <w:tcW w:w="1860" w:type="pct"/>
            <w:shd w:val="clear" w:color="auto" w:fill="auto"/>
          </w:tcPr>
          <w:p>
            <w:pPr>
              <w:adjustRightInd w:val="0"/>
              <w:snapToGrid w:val="0"/>
              <w:spacing w:line="360" w:lineRule="auto"/>
              <w:rPr>
                <w:sz w:val="18"/>
                <w:szCs w:val="18"/>
              </w:rPr>
            </w:pPr>
            <w:r>
              <w:rPr>
                <w:rFonts w:hint="eastAsia"/>
                <w:b/>
                <w:sz w:val="18"/>
                <w:szCs w:val="18"/>
              </w:rPr>
              <w:t>指标点9-1 团队意识：</w:t>
            </w:r>
            <w:r>
              <w:rPr>
                <w:rFonts w:hint="eastAsia"/>
                <w:sz w:val="18"/>
                <w:szCs w:val="18"/>
              </w:rPr>
              <w:t>具备团队合作意识，愿意与团队其他成员共享信息，并给予他人帮助。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797" w:type="pct"/>
            <w:shd w:val="clear" w:color="auto" w:fill="auto"/>
          </w:tcPr>
          <w:p>
            <w:pPr>
              <w:tabs>
                <w:tab w:val="left" w:pos="420"/>
              </w:tabs>
              <w:adjustRightInd w:val="0"/>
              <w:snapToGrid w:val="0"/>
              <w:spacing w:line="360" w:lineRule="auto"/>
              <w:rPr>
                <w:sz w:val="18"/>
                <w:szCs w:val="18"/>
              </w:rPr>
            </w:pPr>
            <w:r>
              <w:rPr>
                <w:rFonts w:hint="eastAsia"/>
                <w:sz w:val="18"/>
                <w:szCs w:val="18"/>
              </w:rPr>
              <w:t>学生通过体育课程的学习，掌握两项自己较为喜欢的运动项目和锻炼方法，并在某一方面形成一定的爱好和兴趣，为“终身体育”打好基础。学生能够掌握科学锻炼身体的基本原理和方法，如掌握合理有效的健身方法、运动损伤的预防与处理、锻炼效果的自我评价等，用科学的理论知识指导实践，使学生认识到身体健康是一生要追求的目标。</w:t>
            </w:r>
          </w:p>
        </w:tc>
        <w:tc>
          <w:tcPr>
            <w:tcW w:w="1860" w:type="pct"/>
            <w:shd w:val="clear" w:color="auto" w:fill="auto"/>
          </w:tcPr>
          <w:p>
            <w:pPr>
              <w:adjustRightInd w:val="0"/>
              <w:snapToGrid w:val="0"/>
              <w:spacing w:line="360" w:lineRule="auto"/>
              <w:rPr>
                <w:sz w:val="18"/>
                <w:szCs w:val="18"/>
              </w:rPr>
            </w:pPr>
            <w:r>
              <w:rPr>
                <w:rFonts w:hint="eastAsia"/>
                <w:b/>
                <w:sz w:val="18"/>
                <w:szCs w:val="18"/>
              </w:rPr>
              <w:t>指标点9-2 明确个人责任：</w:t>
            </w:r>
            <w:r>
              <w:rPr>
                <w:rFonts w:hint="eastAsia"/>
                <w:sz w:val="18"/>
                <w:szCs w:val="18"/>
              </w:rPr>
              <w:t>能够在多学科背景下的团队中承担个体、团队成员以及负责人的角色并理解该角色应当承担的责任、权利和义务。</w:t>
            </w:r>
          </w:p>
        </w:tc>
      </w:tr>
    </w:tbl>
    <w:p>
      <w:pPr>
        <w:spacing w:line="360" w:lineRule="auto"/>
        <w:rPr>
          <w:rFonts w:eastAsia="黑体"/>
          <w:szCs w:val="21"/>
        </w:rPr>
      </w:pPr>
    </w:p>
    <w:p>
      <w:pPr>
        <w:spacing w:line="360" w:lineRule="auto"/>
        <w:rPr>
          <w:rFonts w:eastAsia="黑体"/>
          <w:color w:val="0B5FD1"/>
          <w:szCs w:val="21"/>
        </w:rPr>
      </w:pPr>
      <w:r>
        <w:rPr>
          <w:rFonts w:eastAsia="黑体"/>
          <w:szCs w:val="21"/>
        </w:rPr>
        <w:t>三、</w:t>
      </w:r>
      <w:r>
        <w:rPr>
          <w:rFonts w:hint="eastAsia" w:eastAsia="黑体"/>
          <w:szCs w:val="21"/>
        </w:rPr>
        <w:t>教学</w:t>
      </w:r>
      <w:r>
        <w:rPr>
          <w:rFonts w:eastAsia="黑体"/>
          <w:szCs w:val="21"/>
        </w:rPr>
        <w:t>内容及基本要求</w:t>
      </w:r>
    </w:p>
    <w:p>
      <w:pPr>
        <w:adjustRightInd w:val="0"/>
        <w:snapToGrid w:val="0"/>
        <w:spacing w:line="360" w:lineRule="auto"/>
        <w:ind w:firstLine="424" w:firstLineChars="202"/>
        <w:rPr>
          <w:rFonts w:ascii="宋体" w:hAnsi="宋体"/>
          <w:kern w:val="0"/>
          <w:szCs w:val="21"/>
        </w:rPr>
      </w:pPr>
      <w:r>
        <w:rPr>
          <w:rFonts w:hint="eastAsia"/>
          <w:szCs w:val="21"/>
        </w:rPr>
        <w:t>1、本课程基础教育课程，</w:t>
      </w:r>
      <w:r>
        <w:rPr>
          <w:rFonts w:hint="eastAsia" w:ascii="宋体" w:hAnsi="宋体"/>
          <w:kern w:val="0"/>
          <w:szCs w:val="21"/>
        </w:rPr>
        <w:t>要求学生了解有关体育运动的基本知识，掌握基本技术和技能，为今后的自我练习和实现终身体育打下坚实的基础。</w:t>
      </w:r>
    </w:p>
    <w:p>
      <w:pPr>
        <w:adjustRightInd w:val="0"/>
        <w:snapToGrid w:val="0"/>
        <w:spacing w:line="360" w:lineRule="auto"/>
        <w:ind w:firstLine="424" w:firstLineChars="202"/>
        <w:rPr>
          <w:szCs w:val="21"/>
        </w:rPr>
      </w:pPr>
      <w:r>
        <w:rPr>
          <w:rFonts w:hint="eastAsia" w:ascii="宋体" w:hAnsi="宋体"/>
          <w:kern w:val="0"/>
          <w:szCs w:val="21"/>
        </w:rPr>
        <w:t>2、</w:t>
      </w:r>
      <w:r>
        <w:rPr>
          <w:szCs w:val="21"/>
        </w:rPr>
        <w:t>通过理论课的学习，使学生对所学知识有更深刻的理解，形成以人为本、健康第一的新理念。掌握科学锻炼身体、正确评价自身体质健康状况的方法。</w:t>
      </w:r>
    </w:p>
    <w:p>
      <w:pPr>
        <w:adjustRightInd w:val="0"/>
        <w:snapToGrid w:val="0"/>
        <w:spacing w:line="360" w:lineRule="auto"/>
        <w:ind w:firstLine="424" w:firstLineChars="202"/>
        <w:rPr>
          <w:szCs w:val="21"/>
        </w:rPr>
      </w:pPr>
      <w:r>
        <w:rPr>
          <w:rFonts w:hint="eastAsia"/>
          <w:szCs w:val="21"/>
        </w:rPr>
        <w:t>3、</w:t>
      </w:r>
      <w:r>
        <w:rPr>
          <w:szCs w:val="21"/>
        </w:rPr>
        <w:t>通过实践课（</w:t>
      </w:r>
      <w:r>
        <w:rPr>
          <w:rFonts w:hint="eastAsia"/>
          <w:szCs w:val="21"/>
        </w:rPr>
        <w:t>大学体育课</w:t>
      </w:r>
      <w:r>
        <w:rPr>
          <w:szCs w:val="21"/>
        </w:rPr>
        <w:t>）的教学，适时地安排教学比赛、游戏，丰富教学内容，提高课堂的趣味性，使学生掌握最基本的技术、战术。</w:t>
      </w:r>
    </w:p>
    <w:p>
      <w:pPr>
        <w:adjustRightInd w:val="0"/>
        <w:snapToGrid w:val="0"/>
        <w:spacing w:line="360" w:lineRule="auto"/>
        <w:ind w:firstLine="424" w:firstLineChars="202"/>
        <w:rPr>
          <w:rFonts w:ascii="宋体" w:hAnsi="宋体"/>
          <w:kern w:val="0"/>
          <w:szCs w:val="21"/>
        </w:rPr>
      </w:pPr>
      <w:r>
        <w:rPr>
          <w:rFonts w:hint="eastAsia"/>
          <w:szCs w:val="21"/>
        </w:rPr>
        <w:t>4、</w:t>
      </w:r>
      <w:r>
        <w:rPr>
          <w:szCs w:val="21"/>
        </w:rPr>
        <w:t xml:space="preserve">通过不同选项课的教学，提高学生的学习兴趣，使学生较熟练的掌握1-2项运动项目，从而达到锻炼身体的目的。 </w:t>
      </w:r>
    </w:p>
    <w:p>
      <w:pPr>
        <w:adjustRightInd w:val="0"/>
        <w:snapToGrid w:val="0"/>
        <w:spacing w:line="360" w:lineRule="auto"/>
        <w:ind w:firstLine="315" w:firstLineChars="150"/>
        <w:rPr>
          <w:rFonts w:ascii="黑体" w:hAnsi="黑体" w:eastAsia="黑体"/>
          <w:b/>
          <w:bCs/>
          <w:szCs w:val="21"/>
        </w:rPr>
      </w:pPr>
      <w:r>
        <w:rPr>
          <w:rFonts w:hint="eastAsia" w:ascii="黑体" w:hAnsi="黑体" w:eastAsia="黑体"/>
          <w:szCs w:val="21"/>
        </w:rPr>
        <w:t>（一）理论部分（学时14）</w:t>
      </w:r>
    </w:p>
    <w:p>
      <w:pPr>
        <w:widowControl/>
        <w:adjustRightInd w:val="0"/>
        <w:snapToGrid w:val="0"/>
        <w:spacing w:line="360" w:lineRule="auto"/>
        <w:ind w:firstLine="420" w:firstLineChars="200"/>
        <w:jc w:val="left"/>
        <w:rPr>
          <w:szCs w:val="21"/>
        </w:rPr>
      </w:pPr>
      <w:r>
        <w:rPr>
          <w:rFonts w:hint="eastAsia"/>
          <w:szCs w:val="21"/>
        </w:rPr>
        <w:t>1.了解大学体育的定位以及实现大学体育目的、任务的主要途径。</w:t>
      </w:r>
    </w:p>
    <w:p>
      <w:pPr>
        <w:widowControl/>
        <w:adjustRightInd w:val="0"/>
        <w:snapToGrid w:val="0"/>
        <w:spacing w:line="360" w:lineRule="auto"/>
        <w:ind w:firstLine="420" w:firstLineChars="200"/>
        <w:jc w:val="left"/>
        <w:rPr>
          <w:szCs w:val="21"/>
        </w:rPr>
      </w:pPr>
      <w:r>
        <w:rPr>
          <w:rFonts w:hint="eastAsia"/>
          <w:szCs w:val="21"/>
        </w:rPr>
        <w:t>2.掌握大学体育的健康功能及影响健康的因素，掌握促进健康的行为。</w:t>
      </w:r>
    </w:p>
    <w:p>
      <w:pPr>
        <w:widowControl/>
        <w:adjustRightInd w:val="0"/>
        <w:snapToGrid w:val="0"/>
        <w:spacing w:line="360" w:lineRule="auto"/>
        <w:ind w:firstLine="420" w:firstLineChars="200"/>
        <w:jc w:val="left"/>
        <w:rPr>
          <w:szCs w:val="21"/>
        </w:rPr>
      </w:pPr>
      <w:r>
        <w:rPr>
          <w:rFonts w:hint="eastAsia"/>
          <w:szCs w:val="21"/>
        </w:rPr>
        <w:t>3.了解体育文化的内涵。</w:t>
      </w:r>
    </w:p>
    <w:p>
      <w:pPr>
        <w:widowControl/>
        <w:adjustRightInd w:val="0"/>
        <w:snapToGrid w:val="0"/>
        <w:spacing w:line="360" w:lineRule="auto"/>
        <w:ind w:firstLine="420" w:firstLineChars="200"/>
        <w:jc w:val="left"/>
        <w:rPr>
          <w:szCs w:val="21"/>
        </w:rPr>
      </w:pPr>
      <w:r>
        <w:rPr>
          <w:rFonts w:hint="eastAsia"/>
          <w:szCs w:val="21"/>
        </w:rPr>
        <w:t>4.了解造成运动损伤的原因、预防措施、常见运动损伤的症状及处理方法。</w:t>
      </w:r>
    </w:p>
    <w:p>
      <w:pPr>
        <w:widowControl/>
        <w:adjustRightInd w:val="0"/>
        <w:snapToGrid w:val="0"/>
        <w:spacing w:line="360" w:lineRule="auto"/>
        <w:ind w:firstLine="420" w:firstLineChars="200"/>
        <w:jc w:val="left"/>
        <w:rPr>
          <w:szCs w:val="21"/>
        </w:rPr>
      </w:pPr>
      <w:r>
        <w:rPr>
          <w:rFonts w:hint="eastAsia"/>
          <w:szCs w:val="21"/>
        </w:rPr>
        <w:t>5.掌握所选专项项目的相关理论知识。</w:t>
      </w:r>
    </w:p>
    <w:p>
      <w:pPr>
        <w:adjustRightInd w:val="0"/>
        <w:snapToGrid w:val="0"/>
        <w:spacing w:line="360" w:lineRule="auto"/>
        <w:ind w:firstLine="420" w:firstLineChars="200"/>
        <w:rPr>
          <w:szCs w:val="21"/>
        </w:rPr>
      </w:pPr>
      <w:r>
        <w:rPr>
          <w:rFonts w:hint="eastAsia"/>
          <w:szCs w:val="21"/>
        </w:rPr>
        <w:t xml:space="preserve">本部分内容支撑课程目标 </w:t>
      </w:r>
      <w:r>
        <w:rPr>
          <w:szCs w:val="21"/>
        </w:rPr>
        <w:t>1</w:t>
      </w:r>
      <w:r>
        <w:rPr>
          <w:rFonts w:hint="eastAsia"/>
          <w:szCs w:val="21"/>
        </w:rPr>
        <w:t>、2、3。</w:t>
      </w:r>
    </w:p>
    <w:p>
      <w:pPr>
        <w:adjustRightInd w:val="0"/>
        <w:snapToGrid w:val="0"/>
        <w:spacing w:line="360" w:lineRule="auto"/>
        <w:ind w:firstLine="315" w:firstLineChars="150"/>
        <w:rPr>
          <w:rFonts w:ascii="黑体" w:hAnsi="黑体" w:eastAsia="黑体"/>
          <w:szCs w:val="21"/>
        </w:rPr>
      </w:pPr>
      <w:r>
        <w:rPr>
          <w:rFonts w:ascii="黑体" w:hAnsi="黑体" w:eastAsia="黑体"/>
          <w:szCs w:val="21"/>
        </w:rPr>
        <w:t>（二）实践部分</w:t>
      </w:r>
    </w:p>
    <w:p>
      <w:pPr>
        <w:adjustRightInd w:val="0"/>
        <w:snapToGrid w:val="0"/>
        <w:spacing w:line="360" w:lineRule="auto"/>
        <w:ind w:firstLine="420" w:firstLineChars="200"/>
        <w:rPr>
          <w:szCs w:val="21"/>
        </w:rPr>
      </w:pPr>
      <w:r>
        <w:rPr>
          <w:szCs w:val="21"/>
        </w:rPr>
        <w:t>1 体操舞蹈类项目（健美操、啦啦操、健排舞、瑜伽、拉丁舞、交谊舞）</w:t>
      </w:r>
      <w:r>
        <w:rPr>
          <w:rFonts w:hint="eastAsia"/>
          <w:szCs w:val="21"/>
        </w:rPr>
        <w:t>（学时28）</w:t>
      </w:r>
    </w:p>
    <w:p>
      <w:pPr>
        <w:adjustRightInd w:val="0"/>
        <w:snapToGrid w:val="0"/>
        <w:spacing w:line="360" w:lineRule="auto"/>
        <w:ind w:firstLine="420" w:firstLineChars="200"/>
      </w:pPr>
      <w:r>
        <w:rPr>
          <w:szCs w:val="21"/>
        </w:rPr>
        <w:t xml:space="preserve">1.1 </w:t>
      </w:r>
      <w:r>
        <w:t>掌握某一项体育舞蹈类项目基本步伐、基本套路；</w:t>
      </w:r>
    </w:p>
    <w:p>
      <w:pPr>
        <w:adjustRightInd w:val="0"/>
        <w:snapToGrid w:val="0"/>
        <w:spacing w:line="360" w:lineRule="auto"/>
        <w:ind w:firstLine="420" w:firstLineChars="200"/>
        <w:rPr>
          <w:szCs w:val="21"/>
        </w:rPr>
      </w:pPr>
      <w:r>
        <w:rPr>
          <w:szCs w:val="21"/>
        </w:rPr>
        <w:t>1.2 掌握不同舞蹈风格的基本技术动作；</w:t>
      </w:r>
    </w:p>
    <w:p>
      <w:pPr>
        <w:adjustRightInd w:val="0"/>
        <w:snapToGrid w:val="0"/>
        <w:spacing w:line="360" w:lineRule="auto"/>
        <w:ind w:firstLine="420" w:firstLineChars="200"/>
        <w:rPr>
          <w:szCs w:val="21"/>
        </w:rPr>
      </w:pPr>
      <w:r>
        <w:rPr>
          <w:szCs w:val="21"/>
        </w:rPr>
        <w:t>1.3 提高音乐素养，塑造学生美的形体和美的姿态。</w:t>
      </w:r>
    </w:p>
    <w:p>
      <w:pPr>
        <w:adjustRightInd w:val="0"/>
        <w:snapToGrid w:val="0"/>
        <w:spacing w:line="360" w:lineRule="auto"/>
        <w:ind w:firstLine="420" w:firstLineChars="200"/>
        <w:rPr>
          <w:snapToGrid w:val="0"/>
          <w:kern w:val="0"/>
          <w:szCs w:val="21"/>
        </w:rPr>
      </w:pPr>
      <w:r>
        <w:rPr>
          <w:snapToGrid w:val="0"/>
          <w:kern w:val="0"/>
          <w:szCs w:val="21"/>
        </w:rPr>
        <w:t>难点：掌握不同舞蹈风格的基本技术动作</w:t>
      </w:r>
    </w:p>
    <w:p>
      <w:pPr>
        <w:widowControl/>
        <w:adjustRightInd w:val="0"/>
        <w:snapToGrid w:val="0"/>
        <w:spacing w:line="360" w:lineRule="auto"/>
        <w:ind w:firstLine="420" w:firstLineChars="200"/>
        <w:jc w:val="left"/>
        <w:rPr>
          <w:snapToGrid w:val="0"/>
          <w:kern w:val="0"/>
          <w:szCs w:val="21"/>
        </w:rPr>
      </w:pPr>
      <w:r>
        <w:rPr>
          <w:snapToGrid w:val="0"/>
          <w:kern w:val="0"/>
          <w:szCs w:val="21"/>
        </w:rPr>
        <w:t>重点：能够连贯完成基本套路</w:t>
      </w:r>
    </w:p>
    <w:p>
      <w:pPr>
        <w:adjustRightInd w:val="0"/>
        <w:snapToGrid w:val="0"/>
        <w:spacing w:line="360" w:lineRule="auto"/>
        <w:ind w:firstLine="420" w:firstLineChars="200"/>
        <w:rPr>
          <w:szCs w:val="21"/>
        </w:rPr>
      </w:pPr>
      <w:r>
        <w:rPr>
          <w:rFonts w:hint="eastAsia"/>
          <w:szCs w:val="21"/>
        </w:rPr>
        <w:t xml:space="preserve">本章支撑课程目标 </w:t>
      </w:r>
      <w:r>
        <w:rPr>
          <w:szCs w:val="21"/>
        </w:rPr>
        <w:t>1</w:t>
      </w:r>
      <w:r>
        <w:rPr>
          <w:rFonts w:hint="eastAsia"/>
          <w:szCs w:val="21"/>
        </w:rPr>
        <w:t>、2。</w:t>
      </w:r>
    </w:p>
    <w:p>
      <w:pPr>
        <w:adjustRightInd w:val="0"/>
        <w:snapToGrid w:val="0"/>
        <w:spacing w:line="360" w:lineRule="auto"/>
        <w:ind w:firstLine="420" w:firstLineChars="200"/>
        <w:rPr>
          <w:szCs w:val="21"/>
        </w:rPr>
      </w:pPr>
      <w:r>
        <w:rPr>
          <w:szCs w:val="21"/>
        </w:rPr>
        <w:t>2小球类项目（羽毛球、网球、乒乓球）</w:t>
      </w:r>
      <w:r>
        <w:rPr>
          <w:rFonts w:hint="eastAsia"/>
          <w:szCs w:val="21"/>
        </w:rPr>
        <w:t>（学时28）</w:t>
      </w:r>
    </w:p>
    <w:p>
      <w:pPr>
        <w:adjustRightInd w:val="0"/>
        <w:snapToGrid w:val="0"/>
        <w:spacing w:line="360" w:lineRule="auto"/>
        <w:ind w:firstLine="420" w:firstLineChars="200"/>
        <w:rPr>
          <w:szCs w:val="21"/>
        </w:rPr>
      </w:pPr>
      <w:r>
        <w:rPr>
          <w:szCs w:val="21"/>
        </w:rPr>
        <w:t>2.1</w:t>
      </w:r>
      <w:r>
        <w:t>通过小球类项目的教学使学生掌握握拍方法、发球和正反手击球等基本技术</w:t>
      </w:r>
    </w:p>
    <w:p>
      <w:pPr>
        <w:adjustRightInd w:val="0"/>
        <w:snapToGrid w:val="0"/>
        <w:spacing w:line="360" w:lineRule="auto"/>
        <w:ind w:firstLine="420" w:firstLineChars="200"/>
        <w:rPr>
          <w:szCs w:val="21"/>
        </w:rPr>
      </w:pPr>
      <w:r>
        <w:rPr>
          <w:szCs w:val="21"/>
        </w:rPr>
        <w:t>2.2 掌握小球类项目的单打和双打战术</w:t>
      </w:r>
    </w:p>
    <w:p>
      <w:pPr>
        <w:adjustRightInd w:val="0"/>
        <w:snapToGrid w:val="0"/>
        <w:spacing w:line="360" w:lineRule="auto"/>
        <w:ind w:firstLine="420" w:firstLineChars="200"/>
        <w:rPr>
          <w:szCs w:val="21"/>
        </w:rPr>
      </w:pPr>
      <w:r>
        <w:rPr>
          <w:szCs w:val="21"/>
        </w:rPr>
        <w:t>2.3了解小球类项目的比赛规则和裁判法</w:t>
      </w:r>
    </w:p>
    <w:p>
      <w:pPr>
        <w:autoSpaceDE w:val="0"/>
        <w:autoSpaceDN w:val="0"/>
        <w:adjustRightInd w:val="0"/>
        <w:snapToGrid w:val="0"/>
        <w:spacing w:line="360" w:lineRule="auto"/>
        <w:ind w:left="945" w:leftChars="200" w:hanging="525" w:hangingChars="250"/>
        <w:rPr>
          <w:szCs w:val="21"/>
          <w:lang w:val="zh-CN"/>
        </w:rPr>
      </w:pPr>
      <w:r>
        <w:rPr>
          <w:snapToGrid w:val="0"/>
          <w:kern w:val="0"/>
          <w:szCs w:val="21"/>
        </w:rPr>
        <w:t>难点：</w:t>
      </w:r>
      <w:r>
        <w:rPr>
          <w:szCs w:val="21"/>
          <w:lang w:val="zh-CN"/>
        </w:rPr>
        <w:t>基本技战术的分类及各技战术的特点，明确战术类型和特征及临场应变能力。</w:t>
      </w:r>
    </w:p>
    <w:p>
      <w:pPr>
        <w:widowControl/>
        <w:adjustRightInd w:val="0"/>
        <w:snapToGrid w:val="0"/>
        <w:spacing w:line="360" w:lineRule="auto"/>
        <w:ind w:firstLine="420" w:firstLineChars="200"/>
        <w:jc w:val="left"/>
        <w:rPr>
          <w:color w:val="000000"/>
          <w:szCs w:val="21"/>
        </w:rPr>
      </w:pPr>
      <w:r>
        <w:rPr>
          <w:snapToGrid w:val="0"/>
          <w:kern w:val="0"/>
          <w:szCs w:val="21"/>
        </w:rPr>
        <w:t>重点：</w:t>
      </w:r>
      <w:r>
        <w:rPr>
          <w:color w:val="000000"/>
          <w:szCs w:val="21"/>
        </w:rPr>
        <w:t>技术动作的熟练性、准确性和各技术动作的衔接性。</w:t>
      </w:r>
    </w:p>
    <w:p>
      <w:pPr>
        <w:widowControl/>
        <w:adjustRightInd w:val="0"/>
        <w:snapToGrid w:val="0"/>
        <w:spacing w:line="360" w:lineRule="auto"/>
        <w:ind w:firstLine="420" w:firstLineChars="200"/>
        <w:jc w:val="left"/>
        <w:rPr>
          <w:color w:val="000000"/>
          <w:szCs w:val="21"/>
        </w:rPr>
      </w:pPr>
      <w:r>
        <w:rPr>
          <w:rFonts w:hint="eastAsia"/>
          <w:color w:val="000000"/>
          <w:szCs w:val="21"/>
        </w:rPr>
        <w:t xml:space="preserve">本章内容支撑课程目标 </w:t>
      </w:r>
      <w:r>
        <w:rPr>
          <w:color w:val="000000"/>
          <w:szCs w:val="21"/>
        </w:rPr>
        <w:t>1</w:t>
      </w:r>
      <w:r>
        <w:rPr>
          <w:rFonts w:hint="eastAsia"/>
          <w:color w:val="000000"/>
          <w:szCs w:val="21"/>
        </w:rPr>
        <w:t>、2、3。</w:t>
      </w:r>
    </w:p>
    <w:p>
      <w:pPr>
        <w:adjustRightInd w:val="0"/>
        <w:snapToGrid w:val="0"/>
        <w:spacing w:line="360" w:lineRule="auto"/>
        <w:ind w:firstLine="420" w:firstLineChars="200"/>
        <w:rPr>
          <w:szCs w:val="21"/>
        </w:rPr>
      </w:pPr>
      <w:r>
        <w:rPr>
          <w:szCs w:val="21"/>
        </w:rPr>
        <w:t>3大球类项目（足球、篮球、排球）</w:t>
      </w:r>
      <w:r>
        <w:rPr>
          <w:rFonts w:hint="eastAsia"/>
          <w:szCs w:val="21"/>
        </w:rPr>
        <w:t>（学时28）</w:t>
      </w:r>
    </w:p>
    <w:p>
      <w:pPr>
        <w:adjustRightInd w:val="0"/>
        <w:snapToGrid w:val="0"/>
        <w:spacing w:line="360" w:lineRule="auto"/>
        <w:ind w:left="1050" w:leftChars="200" w:hanging="630" w:hangingChars="300"/>
      </w:pPr>
      <w:r>
        <w:rPr>
          <w:szCs w:val="21"/>
        </w:rPr>
        <w:t>3.1</w:t>
      </w:r>
      <w:r>
        <w:t>通过大球类项目的教学使学生掌握发球、运球、传球等基本技术。</w:t>
      </w:r>
    </w:p>
    <w:p>
      <w:pPr>
        <w:adjustRightInd w:val="0"/>
        <w:snapToGrid w:val="0"/>
        <w:spacing w:line="360" w:lineRule="auto"/>
        <w:ind w:left="1050" w:leftChars="200" w:hanging="630" w:hangingChars="300"/>
      </w:pPr>
      <w:r>
        <w:rPr>
          <w:szCs w:val="21"/>
        </w:rPr>
        <w:t>3.2掌握进攻战术及防守战术。</w:t>
      </w:r>
    </w:p>
    <w:p>
      <w:pPr>
        <w:adjustRightInd w:val="0"/>
        <w:snapToGrid w:val="0"/>
        <w:spacing w:line="360" w:lineRule="auto"/>
        <w:ind w:left="1050" w:leftChars="200" w:hanging="630" w:hangingChars="300"/>
      </w:pPr>
      <w:r>
        <w:rPr>
          <w:szCs w:val="21"/>
        </w:rPr>
        <w:t>3.3了解球类比赛的规则，能进行比赛。</w:t>
      </w:r>
    </w:p>
    <w:p>
      <w:pPr>
        <w:adjustRightInd w:val="0"/>
        <w:snapToGrid w:val="0"/>
        <w:spacing w:line="360" w:lineRule="auto"/>
        <w:ind w:left="1050" w:leftChars="200" w:hanging="630" w:hangingChars="300"/>
      </w:pPr>
      <w:r>
        <w:rPr>
          <w:color w:val="000000"/>
          <w:szCs w:val="21"/>
        </w:rPr>
        <w:t>难点：技术动作的熟练性、准确性和各技术动作的衔接性及攻防配合。</w:t>
      </w:r>
    </w:p>
    <w:p>
      <w:pPr>
        <w:adjustRightInd w:val="0"/>
        <w:snapToGrid w:val="0"/>
        <w:spacing w:line="360" w:lineRule="auto"/>
        <w:ind w:left="1050" w:leftChars="200" w:hanging="630" w:hangingChars="300"/>
        <w:rPr>
          <w:color w:val="000000"/>
          <w:szCs w:val="21"/>
        </w:rPr>
      </w:pPr>
      <w:r>
        <w:rPr>
          <w:snapToGrid w:val="0"/>
          <w:kern w:val="0"/>
          <w:szCs w:val="21"/>
        </w:rPr>
        <w:t>重点：</w:t>
      </w:r>
      <w:r>
        <w:rPr>
          <w:color w:val="000000"/>
          <w:szCs w:val="21"/>
        </w:rPr>
        <w:t>传接球、运球及攻防战术。</w:t>
      </w:r>
    </w:p>
    <w:p>
      <w:pPr>
        <w:widowControl/>
        <w:adjustRightInd w:val="0"/>
        <w:snapToGrid w:val="0"/>
        <w:spacing w:line="360" w:lineRule="auto"/>
        <w:ind w:firstLine="420" w:firstLineChars="200"/>
        <w:jc w:val="left"/>
        <w:rPr>
          <w:color w:val="000000"/>
          <w:szCs w:val="21"/>
        </w:rPr>
      </w:pPr>
      <w:r>
        <w:rPr>
          <w:rFonts w:hint="eastAsia"/>
          <w:color w:val="000000"/>
          <w:szCs w:val="21"/>
        </w:rPr>
        <w:t xml:space="preserve">本章内容支撑课程目标 </w:t>
      </w:r>
      <w:r>
        <w:rPr>
          <w:color w:val="000000"/>
          <w:szCs w:val="21"/>
        </w:rPr>
        <w:t>1</w:t>
      </w:r>
      <w:r>
        <w:rPr>
          <w:rFonts w:hint="eastAsia"/>
          <w:color w:val="000000"/>
          <w:szCs w:val="21"/>
        </w:rPr>
        <w:t>、2、3。</w:t>
      </w:r>
    </w:p>
    <w:p>
      <w:pPr>
        <w:adjustRightInd w:val="0"/>
        <w:snapToGrid w:val="0"/>
        <w:spacing w:line="360" w:lineRule="auto"/>
        <w:ind w:firstLine="420" w:firstLineChars="200"/>
        <w:rPr>
          <w:szCs w:val="21"/>
        </w:rPr>
      </w:pPr>
      <w:r>
        <w:rPr>
          <w:szCs w:val="21"/>
        </w:rPr>
        <w:t>4民传类项目（武术、跆拳道、拳击）</w:t>
      </w:r>
      <w:r>
        <w:rPr>
          <w:rFonts w:hint="eastAsia"/>
          <w:szCs w:val="21"/>
        </w:rPr>
        <w:t>（学时28）</w:t>
      </w:r>
    </w:p>
    <w:p>
      <w:pPr>
        <w:adjustRightInd w:val="0"/>
        <w:snapToGrid w:val="0"/>
        <w:spacing w:line="360" w:lineRule="auto"/>
        <w:ind w:firstLine="420" w:firstLineChars="200"/>
      </w:pPr>
      <w:r>
        <w:rPr>
          <w:szCs w:val="21"/>
        </w:rPr>
        <w:t>4.1</w:t>
      </w:r>
      <w:r>
        <w:t>掌握某一项民传类项目的手型、手法，步型、步法及腿法</w:t>
      </w:r>
    </w:p>
    <w:p>
      <w:pPr>
        <w:adjustRightInd w:val="0"/>
        <w:snapToGrid w:val="0"/>
        <w:spacing w:line="360" w:lineRule="auto"/>
        <w:ind w:firstLine="420" w:firstLineChars="200"/>
      </w:pPr>
      <w:r>
        <w:rPr>
          <w:szCs w:val="21"/>
        </w:rPr>
        <w:t>4.2</w:t>
      </w:r>
      <w:r>
        <w:t>掌握格挡防守的技战术</w:t>
      </w:r>
    </w:p>
    <w:p>
      <w:pPr>
        <w:adjustRightInd w:val="0"/>
        <w:snapToGrid w:val="0"/>
        <w:spacing w:line="360" w:lineRule="auto"/>
        <w:ind w:firstLine="420" w:firstLineChars="200"/>
      </w:pPr>
      <w:r>
        <w:rPr>
          <w:szCs w:val="21"/>
        </w:rPr>
        <w:t>4.3</w:t>
      </w:r>
      <w:r>
        <w:t>掌握段位制三段动作技术</w:t>
      </w:r>
    </w:p>
    <w:p>
      <w:pPr>
        <w:widowControl/>
        <w:adjustRightInd w:val="0"/>
        <w:snapToGrid w:val="0"/>
        <w:spacing w:line="360" w:lineRule="auto"/>
        <w:ind w:firstLine="420" w:firstLineChars="200"/>
        <w:jc w:val="left"/>
        <w:rPr>
          <w:snapToGrid w:val="0"/>
          <w:kern w:val="0"/>
          <w:szCs w:val="21"/>
        </w:rPr>
      </w:pPr>
      <w:r>
        <w:rPr>
          <w:snapToGrid w:val="0"/>
          <w:kern w:val="0"/>
          <w:szCs w:val="21"/>
        </w:rPr>
        <w:t>难点：</w:t>
      </w:r>
      <w:r>
        <w:rPr>
          <w:szCs w:val="21"/>
          <w:shd w:val="clear" w:color="auto" w:fill="FFFFFF"/>
        </w:rPr>
        <w:t>单人演练艺术水平与增强对打格斗技能的统一</w:t>
      </w:r>
      <w:r>
        <w:rPr>
          <w:snapToGrid w:val="0"/>
          <w:kern w:val="0"/>
          <w:szCs w:val="21"/>
        </w:rPr>
        <w:t xml:space="preserve">         </w:t>
      </w:r>
    </w:p>
    <w:p>
      <w:pPr>
        <w:widowControl/>
        <w:adjustRightInd w:val="0"/>
        <w:snapToGrid w:val="0"/>
        <w:spacing w:line="360" w:lineRule="auto"/>
        <w:ind w:firstLine="420" w:firstLineChars="200"/>
        <w:jc w:val="left"/>
        <w:rPr>
          <w:snapToGrid w:val="0"/>
          <w:kern w:val="0"/>
          <w:szCs w:val="21"/>
        </w:rPr>
      </w:pPr>
      <w:r>
        <w:rPr>
          <w:snapToGrid w:val="0"/>
          <w:kern w:val="0"/>
          <w:szCs w:val="21"/>
        </w:rPr>
        <w:t>重点：掌握各项目的基础技术动作</w:t>
      </w:r>
    </w:p>
    <w:p>
      <w:pPr>
        <w:widowControl/>
        <w:adjustRightInd w:val="0"/>
        <w:snapToGrid w:val="0"/>
        <w:spacing w:line="360" w:lineRule="auto"/>
        <w:ind w:firstLine="420" w:firstLineChars="200"/>
        <w:jc w:val="left"/>
        <w:rPr>
          <w:color w:val="000000"/>
          <w:szCs w:val="21"/>
        </w:rPr>
      </w:pPr>
      <w:r>
        <w:rPr>
          <w:rFonts w:hint="eastAsia"/>
          <w:color w:val="000000"/>
          <w:szCs w:val="21"/>
        </w:rPr>
        <w:t>本章内容支撑课程目标2、3。</w:t>
      </w:r>
    </w:p>
    <w:p>
      <w:pPr>
        <w:adjustRightInd w:val="0"/>
        <w:snapToGrid w:val="0"/>
        <w:spacing w:line="360" w:lineRule="auto"/>
        <w:ind w:firstLine="420" w:firstLineChars="200"/>
        <w:rPr>
          <w:szCs w:val="21"/>
        </w:rPr>
      </w:pPr>
      <w:r>
        <w:rPr>
          <w:szCs w:val="21"/>
        </w:rPr>
        <w:t>5其他类（游泳、拓展训练、毽球、轮滑、塑形健身跑）</w:t>
      </w:r>
      <w:r>
        <w:rPr>
          <w:rFonts w:hint="eastAsia"/>
          <w:szCs w:val="21"/>
        </w:rPr>
        <w:t>（学时18）</w:t>
      </w:r>
    </w:p>
    <w:p>
      <w:pPr>
        <w:adjustRightInd w:val="0"/>
        <w:snapToGrid w:val="0"/>
        <w:spacing w:line="360" w:lineRule="auto"/>
        <w:ind w:firstLine="420"/>
        <w:rPr>
          <w:szCs w:val="21"/>
        </w:rPr>
      </w:pPr>
      <w:r>
        <w:rPr>
          <w:szCs w:val="21"/>
        </w:rPr>
        <w:t>5.1了解新兴体育项目，更好地与社会接轨</w:t>
      </w:r>
    </w:p>
    <w:p>
      <w:pPr>
        <w:adjustRightInd w:val="0"/>
        <w:snapToGrid w:val="0"/>
        <w:spacing w:line="360" w:lineRule="auto"/>
        <w:ind w:firstLine="420"/>
        <w:rPr>
          <w:szCs w:val="21"/>
        </w:rPr>
      </w:pPr>
      <w:r>
        <w:rPr>
          <w:szCs w:val="21"/>
        </w:rPr>
        <w:t>5.2掌握某一项新兴体育项目的专项技术</w:t>
      </w:r>
    </w:p>
    <w:p>
      <w:pPr>
        <w:adjustRightInd w:val="0"/>
        <w:snapToGrid w:val="0"/>
        <w:spacing w:line="360" w:lineRule="auto"/>
        <w:ind w:firstLine="420"/>
        <w:rPr>
          <w:szCs w:val="21"/>
        </w:rPr>
      </w:pPr>
      <w:r>
        <w:rPr>
          <w:szCs w:val="21"/>
        </w:rPr>
        <w:t>5.3提高应变应急能力及社会适应能力</w:t>
      </w:r>
    </w:p>
    <w:p>
      <w:pPr>
        <w:adjustRightInd w:val="0"/>
        <w:snapToGrid w:val="0"/>
        <w:spacing w:line="360" w:lineRule="auto"/>
        <w:ind w:firstLine="420"/>
        <w:rPr>
          <w:szCs w:val="21"/>
        </w:rPr>
      </w:pPr>
      <w:r>
        <w:rPr>
          <w:szCs w:val="21"/>
        </w:rPr>
        <w:t>难点：灵活运用</w:t>
      </w:r>
    </w:p>
    <w:p>
      <w:pPr>
        <w:adjustRightInd w:val="0"/>
        <w:snapToGrid w:val="0"/>
        <w:spacing w:line="360" w:lineRule="auto"/>
        <w:ind w:firstLine="420"/>
        <w:rPr>
          <w:szCs w:val="21"/>
        </w:rPr>
      </w:pPr>
      <w:r>
        <w:rPr>
          <w:szCs w:val="21"/>
        </w:rPr>
        <w:t>重点：不同项目的专项技术</w:t>
      </w:r>
    </w:p>
    <w:p>
      <w:pPr>
        <w:adjustRightInd w:val="0"/>
        <w:snapToGrid w:val="0"/>
        <w:spacing w:line="360" w:lineRule="auto"/>
        <w:ind w:firstLine="420" w:firstLineChars="200"/>
        <w:rPr>
          <w:szCs w:val="21"/>
        </w:rPr>
      </w:pPr>
      <w:r>
        <w:rPr>
          <w:rFonts w:hint="eastAsia"/>
          <w:szCs w:val="21"/>
        </w:rPr>
        <w:t xml:space="preserve">本章节内容支撑课程目标 </w:t>
      </w:r>
      <w:r>
        <w:rPr>
          <w:szCs w:val="21"/>
        </w:rPr>
        <w:t>2</w:t>
      </w:r>
      <w:r>
        <w:rPr>
          <w:rFonts w:hint="eastAsia"/>
          <w:szCs w:val="21"/>
        </w:rPr>
        <w:t>、3。</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四、实验教学内容</w:t>
      </w:r>
    </w:p>
    <w:p>
      <w:pPr>
        <w:spacing w:line="360" w:lineRule="auto"/>
        <w:ind w:firstLine="424"/>
        <w:rPr>
          <w:rFonts w:ascii="宋体" w:hAnsi="宋体" w:cs="宋体"/>
          <w:b/>
          <w:bCs/>
          <w:color w:val="0B5FD1"/>
          <w:kern w:val="0"/>
          <w:szCs w:val="21"/>
        </w:rPr>
      </w:pPr>
      <w:r>
        <w:rPr>
          <w:rFonts w:hint="eastAsia" w:ascii="宋体" w:hAnsi="宋体" w:cs="宋体"/>
          <w:kern w:val="0"/>
          <w:szCs w:val="21"/>
        </w:rPr>
        <w:t>无。</w:t>
      </w:r>
    </w:p>
    <w:p>
      <w:pPr>
        <w:spacing w:line="360" w:lineRule="auto"/>
        <w:rPr>
          <w:rFonts w:eastAsia="黑体"/>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2475"/>
        <w:gridCol w:w="2475"/>
        <w:gridCol w:w="10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adjustRightInd w:val="0"/>
              <w:snapToGrid w:val="0"/>
              <w:jc w:val="center"/>
              <w:rPr>
                <w:sz w:val="18"/>
                <w:szCs w:val="18"/>
              </w:rPr>
            </w:pPr>
            <w:r>
              <w:rPr>
                <w:rFonts w:hint="eastAsia"/>
                <w:sz w:val="18"/>
                <w:szCs w:val="18"/>
              </w:rPr>
              <w:t>知识点及内容</w:t>
            </w:r>
          </w:p>
        </w:tc>
        <w:tc>
          <w:tcPr>
            <w:tcW w:w="1452" w:type="pct"/>
            <w:vAlign w:val="center"/>
          </w:tcPr>
          <w:p>
            <w:pPr>
              <w:adjustRightInd w:val="0"/>
              <w:snapToGrid w:val="0"/>
              <w:jc w:val="center"/>
              <w:rPr>
                <w:sz w:val="18"/>
                <w:szCs w:val="18"/>
              </w:rPr>
            </w:pPr>
            <w:r>
              <w:rPr>
                <w:rFonts w:hint="eastAsia"/>
                <w:sz w:val="18"/>
                <w:szCs w:val="18"/>
              </w:rPr>
              <w:t>讲授（学时）</w:t>
            </w:r>
          </w:p>
        </w:tc>
        <w:tc>
          <w:tcPr>
            <w:tcW w:w="1452" w:type="pct"/>
            <w:vAlign w:val="center"/>
          </w:tcPr>
          <w:p>
            <w:pPr>
              <w:adjustRightInd w:val="0"/>
              <w:snapToGrid w:val="0"/>
              <w:jc w:val="center"/>
              <w:rPr>
                <w:sz w:val="18"/>
                <w:szCs w:val="18"/>
              </w:rPr>
            </w:pPr>
            <w:r>
              <w:rPr>
                <w:rFonts w:hint="eastAsia"/>
                <w:sz w:val="18"/>
                <w:szCs w:val="18"/>
              </w:rPr>
              <w:t>考试（学时）</w:t>
            </w:r>
          </w:p>
        </w:tc>
        <w:tc>
          <w:tcPr>
            <w:tcW w:w="645"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snapToGrid w:val="0"/>
                <w:kern w:val="0"/>
                <w:sz w:val="18"/>
                <w:szCs w:val="18"/>
              </w:rPr>
            </w:pPr>
            <w:r>
              <w:rPr>
                <w:rFonts w:hint="eastAsia" w:ascii="宋体" w:hAnsi="宋体" w:cs="宋体"/>
                <w:bCs/>
                <w:snapToGrid w:val="0"/>
                <w:kern w:val="0"/>
                <w:sz w:val="18"/>
                <w:szCs w:val="18"/>
              </w:rPr>
              <w:t>1理论部分</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14</w:t>
            </w:r>
          </w:p>
        </w:tc>
        <w:tc>
          <w:tcPr>
            <w:tcW w:w="1452" w:type="pct"/>
            <w:vAlign w:val="center"/>
          </w:tcPr>
          <w:p>
            <w:pPr>
              <w:widowControl/>
              <w:adjustRightInd w:val="0"/>
              <w:snapToGrid w:val="0"/>
              <w:spacing w:before="100" w:beforeAutospacing="1" w:after="100" w:afterAutospacing="1"/>
              <w:ind w:firstLine="397"/>
              <w:jc w:val="center"/>
              <w:rPr>
                <w:rFonts w:ascii="宋体" w:hAnsi="宋体" w:cs="宋体"/>
                <w:kern w:val="0"/>
                <w:sz w:val="18"/>
                <w:szCs w:val="18"/>
              </w:rPr>
            </w:pP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snapToGrid w:val="0"/>
                <w:kern w:val="0"/>
                <w:sz w:val="18"/>
                <w:szCs w:val="18"/>
              </w:rPr>
            </w:pPr>
            <w:r>
              <w:rPr>
                <w:rFonts w:hint="eastAsia" w:ascii="宋体" w:hAnsi="宋体" w:cs="宋体"/>
                <w:bCs/>
                <w:snapToGrid w:val="0"/>
                <w:kern w:val="0"/>
                <w:sz w:val="18"/>
                <w:szCs w:val="18"/>
              </w:rPr>
              <w:t>2 体操类</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4</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kern w:val="0"/>
                <w:sz w:val="18"/>
                <w:szCs w:val="18"/>
              </w:rPr>
            </w:pPr>
            <w:r>
              <w:rPr>
                <w:rFonts w:hint="eastAsia" w:ascii="宋体" w:hAnsi="宋体" w:cs="宋体"/>
                <w:snapToGrid w:val="0"/>
                <w:kern w:val="0"/>
                <w:sz w:val="18"/>
                <w:szCs w:val="18"/>
              </w:rPr>
              <w:t>3 小球类</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4</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kern w:val="0"/>
                <w:sz w:val="18"/>
                <w:szCs w:val="18"/>
              </w:rPr>
            </w:pPr>
            <w:r>
              <w:rPr>
                <w:rFonts w:hint="eastAsia" w:ascii="宋体" w:hAnsi="宋体" w:cs="宋体"/>
                <w:snapToGrid w:val="0"/>
                <w:kern w:val="0"/>
                <w:sz w:val="18"/>
                <w:szCs w:val="18"/>
              </w:rPr>
              <w:t>4 大球类</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4</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kern w:val="0"/>
                <w:sz w:val="18"/>
                <w:szCs w:val="18"/>
              </w:rPr>
            </w:pPr>
            <w:r>
              <w:rPr>
                <w:rFonts w:hint="eastAsia" w:ascii="宋体" w:hAnsi="宋体"/>
                <w:snapToGrid w:val="0"/>
                <w:kern w:val="0"/>
                <w:sz w:val="18"/>
                <w:szCs w:val="18"/>
              </w:rPr>
              <w:t>5 民传类</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4</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ind w:firstLine="282" w:firstLineChars="157"/>
              <w:jc w:val="left"/>
              <w:rPr>
                <w:rFonts w:ascii="宋体" w:hAnsi="宋体" w:cs="宋体"/>
                <w:kern w:val="0"/>
                <w:sz w:val="18"/>
                <w:szCs w:val="18"/>
              </w:rPr>
            </w:pPr>
            <w:r>
              <w:rPr>
                <w:rFonts w:hint="eastAsia" w:ascii="宋体" w:hAnsi="宋体" w:cs="宋体"/>
                <w:kern w:val="0"/>
                <w:sz w:val="18"/>
                <w:szCs w:val="18"/>
              </w:rPr>
              <w:t>6其他类</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4</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小计</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124</w:t>
            </w:r>
          </w:p>
        </w:tc>
        <w:tc>
          <w:tcPr>
            <w:tcW w:w="1452"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20</w:t>
            </w:r>
          </w:p>
        </w:tc>
        <w:tc>
          <w:tcPr>
            <w:tcW w:w="645" w:type="pct"/>
            <w:vAlign w:val="center"/>
          </w:tcPr>
          <w:p>
            <w:pPr>
              <w:widowControl/>
              <w:adjustRightInd w:val="0"/>
              <w:snapToGrid w:val="0"/>
              <w:spacing w:before="100" w:beforeAutospacing="1" w:after="100" w:afterAutospacing="1"/>
              <w:jc w:val="center"/>
              <w:rPr>
                <w:rFonts w:ascii="宋体" w:hAnsi="宋体" w:cs="宋体"/>
                <w:kern w:val="0"/>
                <w:sz w:val="18"/>
                <w:szCs w:val="18"/>
              </w:rPr>
            </w:pPr>
            <w:r>
              <w:rPr>
                <w:rFonts w:hint="eastAsia" w:ascii="宋体" w:hAnsi="宋体" w:cs="宋体"/>
                <w:kern w:val="0"/>
                <w:sz w:val="18"/>
                <w:szCs w:val="18"/>
              </w:rPr>
              <w:t>144</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numPr>
          <w:ilvl w:val="0"/>
          <w:numId w:val="6"/>
        </w:numPr>
        <w:spacing w:line="360" w:lineRule="auto"/>
        <w:rPr>
          <w:szCs w:val="21"/>
        </w:rPr>
      </w:pPr>
      <w:r>
        <w:rPr>
          <w:szCs w:val="21"/>
        </w:rPr>
        <w:t>刘定一主编.《大学体育》</w:t>
      </w:r>
      <w:r>
        <w:rPr>
          <w:rFonts w:hint="eastAsia"/>
          <w:szCs w:val="21"/>
        </w:rPr>
        <w:t xml:space="preserve">，ISBN:9787811006230, </w:t>
      </w:r>
      <w:r>
        <w:rPr>
          <w:szCs w:val="21"/>
        </w:rPr>
        <w:t>北京体育大学出版社</w:t>
      </w:r>
      <w:r>
        <w:rPr>
          <w:rFonts w:hint="eastAsia"/>
          <w:szCs w:val="21"/>
        </w:rPr>
        <w:t>。</w:t>
      </w:r>
    </w:p>
    <w:p>
      <w:pPr>
        <w:numPr>
          <w:ilvl w:val="0"/>
          <w:numId w:val="6"/>
        </w:numPr>
        <w:rPr>
          <w:szCs w:val="21"/>
        </w:rPr>
      </w:pPr>
      <w:r>
        <w:rPr>
          <w:szCs w:val="21"/>
        </w:rPr>
        <w:t>《球类运动》编写组编</w:t>
      </w:r>
      <w:r>
        <w:rPr>
          <w:rFonts w:hint="eastAsia"/>
          <w:szCs w:val="21"/>
        </w:rPr>
        <w:t>.</w:t>
      </w:r>
      <w:r>
        <w:rPr>
          <w:szCs w:val="21"/>
        </w:rPr>
        <w:t>球类运动</w:t>
      </w:r>
      <w:r>
        <w:rPr>
          <w:rFonts w:hint="eastAsia"/>
          <w:szCs w:val="21"/>
        </w:rPr>
        <w:t>, ISBN:</w:t>
      </w:r>
      <w:r>
        <w:rPr>
          <w:szCs w:val="21"/>
        </w:rPr>
        <w:t>9787040196795</w:t>
      </w:r>
      <w:r>
        <w:rPr>
          <w:rFonts w:hint="eastAsia"/>
          <w:szCs w:val="21"/>
        </w:rPr>
        <w:t xml:space="preserve">, </w:t>
      </w:r>
      <w:r>
        <w:rPr>
          <w:szCs w:val="21"/>
        </w:rPr>
        <w:t>高等教育出版社</w:t>
      </w:r>
      <w:r>
        <w:rPr>
          <w:rFonts w:hint="eastAsia"/>
          <w:szCs w:val="21"/>
        </w:rPr>
        <w:t>。</w:t>
      </w:r>
    </w:p>
    <w:p>
      <w:pPr>
        <w:widowControl/>
        <w:numPr>
          <w:ilvl w:val="0"/>
          <w:numId w:val="6"/>
        </w:numPr>
        <w:wordWrap w:val="0"/>
        <w:spacing w:line="400" w:lineRule="exact"/>
        <w:jc w:val="left"/>
        <w:rPr>
          <w:szCs w:val="21"/>
        </w:rPr>
      </w:pPr>
      <w:r>
        <w:rPr>
          <w:rStyle w:val="67"/>
          <w:rFonts w:ascii="Helvetica" w:hAnsi="Helvetica" w:cs="Helvetica"/>
          <w:szCs w:val="21"/>
          <w:shd w:val="clear" w:color="auto" w:fill="FFFFFF"/>
        </w:rPr>
        <w:t>国家体育总局</w:t>
      </w:r>
      <w:r>
        <w:rPr>
          <w:rStyle w:val="67"/>
          <w:rFonts w:hint="eastAsia" w:ascii="Helvetica" w:hAnsi="Helvetica" w:cs="Helvetica"/>
          <w:szCs w:val="21"/>
          <w:shd w:val="clear" w:color="auto" w:fill="FFFFFF"/>
        </w:rPr>
        <w:t xml:space="preserve">. </w:t>
      </w:r>
      <w:r>
        <w:rPr>
          <w:szCs w:val="21"/>
        </w:rPr>
        <w:t>国家健美操</w:t>
      </w:r>
      <w:r>
        <w:rPr>
          <w:rFonts w:hint="eastAsia"/>
          <w:szCs w:val="21"/>
        </w:rPr>
        <w:t>指导员</w:t>
      </w:r>
      <w:r>
        <w:rPr>
          <w:szCs w:val="21"/>
        </w:rPr>
        <w:t>培训教材</w:t>
      </w:r>
      <w:r>
        <w:rPr>
          <w:rFonts w:hint="eastAsia"/>
          <w:szCs w:val="21"/>
        </w:rPr>
        <w:t xml:space="preserve">, </w:t>
      </w:r>
      <w:r>
        <w:rPr>
          <w:szCs w:val="21"/>
        </w:rPr>
        <w:t>国家体育总局体操管理中心</w:t>
      </w:r>
      <w:r>
        <w:rPr>
          <w:rFonts w:hint="eastAsia"/>
          <w:szCs w:val="21"/>
        </w:rPr>
        <w:t>。</w:t>
      </w:r>
    </w:p>
    <w:p>
      <w:pPr>
        <w:numPr>
          <w:ilvl w:val="0"/>
          <w:numId w:val="6"/>
        </w:numPr>
        <w:spacing w:line="360" w:lineRule="auto"/>
        <w:rPr>
          <w:bCs/>
          <w:szCs w:val="21"/>
        </w:rPr>
      </w:pPr>
      <w:r>
        <w:rPr>
          <w:bCs/>
          <w:szCs w:val="21"/>
        </w:rPr>
        <w:t>国家体育总局武术研究院编.中国武术段位制系列教程</w:t>
      </w:r>
      <w:r>
        <w:rPr>
          <w:rFonts w:hint="eastAsia"/>
          <w:bCs/>
          <w:szCs w:val="21"/>
        </w:rPr>
        <w:t xml:space="preserve">, </w:t>
      </w:r>
      <w:r>
        <w:rPr>
          <w:rFonts w:hint="eastAsia"/>
          <w:szCs w:val="21"/>
        </w:rPr>
        <w:t xml:space="preserve">ISBN: </w:t>
      </w:r>
      <w:r>
        <w:rPr>
          <w:rFonts w:ascii="Arial" w:hAnsi="Arial" w:cs="Arial"/>
          <w:szCs w:val="21"/>
          <w:shd w:val="clear" w:color="auto" w:fill="FFFFFF"/>
        </w:rPr>
        <w:t>9787040258295</w:t>
      </w:r>
      <w:r>
        <w:rPr>
          <w:bCs/>
          <w:szCs w:val="21"/>
        </w:rPr>
        <w:t>高等教育出版社</w:t>
      </w:r>
      <w:r>
        <w:rPr>
          <w:rFonts w:hint="eastAsia"/>
          <w:bCs/>
          <w:szCs w:val="21"/>
        </w:rPr>
        <w:t>。</w:t>
      </w:r>
    </w:p>
    <w:p>
      <w:pPr>
        <w:numPr>
          <w:ilvl w:val="0"/>
          <w:numId w:val="6"/>
        </w:numPr>
        <w:spacing w:line="360" w:lineRule="auto"/>
        <w:rPr>
          <w:bCs/>
          <w:szCs w:val="21"/>
        </w:rPr>
      </w:pPr>
      <w:r>
        <w:rPr>
          <w:szCs w:val="21"/>
        </w:rPr>
        <w:t>童昭岗</w:t>
      </w:r>
      <w:r>
        <w:rPr>
          <w:rFonts w:hint="eastAsia"/>
          <w:szCs w:val="21"/>
        </w:rPr>
        <w:t>,</w:t>
      </w:r>
      <w:r>
        <w:rPr>
          <w:szCs w:val="21"/>
        </w:rPr>
        <w:t>雷咏时.体育舞蹈</w:t>
      </w:r>
      <w:r>
        <w:rPr>
          <w:rFonts w:hint="eastAsia"/>
          <w:szCs w:val="21"/>
        </w:rPr>
        <w:t xml:space="preserve">, ISBN: </w:t>
      </w:r>
      <w:r>
        <w:rPr>
          <w:rFonts w:ascii="Arial" w:hAnsi="Arial" w:cs="Arial"/>
          <w:szCs w:val="21"/>
          <w:shd w:val="clear" w:color="auto" w:fill="FFFFFF"/>
        </w:rPr>
        <w:t>9787563354917</w:t>
      </w:r>
      <w:r>
        <w:rPr>
          <w:rFonts w:hint="eastAsia" w:ascii="Arial" w:hAnsi="Arial" w:cs="Arial"/>
          <w:szCs w:val="21"/>
          <w:shd w:val="clear" w:color="auto" w:fill="FFFFFF"/>
        </w:rPr>
        <w:t xml:space="preserve">, </w:t>
      </w:r>
      <w:r>
        <w:rPr>
          <w:szCs w:val="21"/>
        </w:rPr>
        <w:t>广西师范大学出版社</w:t>
      </w:r>
      <w:r>
        <w:rPr>
          <w:rFonts w:hint="eastAsia"/>
          <w:szCs w:val="21"/>
        </w:rPr>
        <w:t>。</w:t>
      </w:r>
    </w:p>
    <w:p>
      <w:pPr>
        <w:numPr>
          <w:ilvl w:val="0"/>
          <w:numId w:val="6"/>
        </w:numPr>
        <w:spacing w:line="360" w:lineRule="auto"/>
        <w:rPr>
          <w:szCs w:val="21"/>
        </w:rPr>
      </w:pPr>
      <w:r>
        <w:rPr>
          <w:szCs w:val="21"/>
        </w:rPr>
        <w:t>钱永健.拓展训练</w:t>
      </w:r>
      <w:r>
        <w:rPr>
          <w:rFonts w:hint="eastAsia"/>
          <w:szCs w:val="21"/>
        </w:rPr>
        <w:t xml:space="preserve">, ISBN: </w:t>
      </w:r>
      <w:r>
        <w:rPr>
          <w:rFonts w:ascii="Arial" w:hAnsi="Arial" w:cs="Arial"/>
          <w:szCs w:val="21"/>
          <w:shd w:val="clear" w:color="auto" w:fill="FFFFFF"/>
        </w:rPr>
        <w:t>9787516413166</w:t>
      </w:r>
      <w:r>
        <w:rPr>
          <w:rFonts w:hint="eastAsia" w:ascii="Arial" w:hAnsi="Arial" w:cs="Arial"/>
          <w:szCs w:val="21"/>
          <w:shd w:val="clear" w:color="auto" w:fill="FFFFFF"/>
        </w:rPr>
        <w:t xml:space="preserve">, </w:t>
      </w:r>
      <w:r>
        <w:rPr>
          <w:szCs w:val="21"/>
        </w:rPr>
        <w:t>企业管理出版社</w:t>
      </w:r>
      <w:r>
        <w:rPr>
          <w:rFonts w:hint="eastAsia"/>
          <w:szCs w:val="21"/>
        </w:rPr>
        <w:t>。</w:t>
      </w:r>
    </w:p>
    <w:p>
      <w:pPr>
        <w:widowControl/>
        <w:numPr>
          <w:ilvl w:val="0"/>
          <w:numId w:val="6"/>
        </w:numPr>
        <w:wordWrap w:val="0"/>
        <w:spacing w:line="400" w:lineRule="exact"/>
        <w:jc w:val="left"/>
        <w:rPr>
          <w:szCs w:val="21"/>
        </w:rPr>
      </w:pPr>
      <w:r>
        <w:rPr>
          <w:szCs w:val="21"/>
        </w:rPr>
        <w:t>杨文轩</w:t>
      </w:r>
      <w:r>
        <w:rPr>
          <w:rFonts w:hint="eastAsia"/>
          <w:szCs w:val="21"/>
        </w:rPr>
        <w:t>,</w:t>
      </w:r>
      <w:r>
        <w:rPr>
          <w:rFonts w:ascii="Helvetica" w:hAnsi="Helvetica" w:cs="Helvetica"/>
          <w:szCs w:val="21"/>
          <w:shd w:val="clear" w:color="auto" w:fill="FFFFFF"/>
        </w:rPr>
        <w:t xml:space="preserve"> 陈琦</w:t>
      </w:r>
      <w:r>
        <w:rPr>
          <w:rFonts w:hint="eastAsia" w:ascii="Helvetica" w:hAnsi="Helvetica" w:cs="Helvetica"/>
          <w:szCs w:val="21"/>
          <w:shd w:val="clear" w:color="auto" w:fill="FFFFFF"/>
        </w:rPr>
        <w:t>.</w:t>
      </w:r>
      <w:r>
        <w:rPr>
          <w:szCs w:val="21"/>
        </w:rPr>
        <w:t>大学体育</w:t>
      </w:r>
      <w:r>
        <w:rPr>
          <w:rFonts w:hint="eastAsia"/>
          <w:szCs w:val="21"/>
        </w:rPr>
        <w:t xml:space="preserve">, </w:t>
      </w:r>
      <w:r>
        <w:rPr>
          <w:rStyle w:val="66"/>
          <w:rFonts w:ascii="Helvetica" w:hAnsi="Helvetica" w:cs="Helvetica"/>
          <w:szCs w:val="21"/>
          <w:shd w:val="clear" w:color="auto" w:fill="FFFFFF"/>
        </w:rPr>
        <w:t>ISBN: </w:t>
      </w:r>
      <w:r>
        <w:rPr>
          <w:rStyle w:val="67"/>
          <w:rFonts w:ascii="Helvetica" w:hAnsi="Helvetica" w:cs="Helvetica"/>
          <w:szCs w:val="21"/>
          <w:shd w:val="clear" w:color="auto" w:fill="FFFFFF"/>
        </w:rPr>
        <w:t>9787040377903</w:t>
      </w:r>
      <w:r>
        <w:rPr>
          <w:szCs w:val="21"/>
        </w:rPr>
        <w:t>2007</w:t>
      </w:r>
      <w:r>
        <w:rPr>
          <w:rFonts w:hint="eastAsia"/>
          <w:szCs w:val="21"/>
        </w:rPr>
        <w:t xml:space="preserve">, </w:t>
      </w:r>
      <w:r>
        <w:rPr>
          <w:szCs w:val="21"/>
        </w:rPr>
        <w:t>高等教育出版社。</w:t>
      </w:r>
    </w:p>
    <w:p>
      <w:pPr>
        <w:widowControl/>
        <w:wordWrap w:val="0"/>
        <w:spacing w:line="400" w:lineRule="exact"/>
        <w:ind w:left="846"/>
        <w:jc w:val="left"/>
        <w:rPr>
          <w:szCs w:val="21"/>
        </w:rPr>
      </w:pP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1、考核方式：素质考试、专项考试、平时成绩。</w:t>
      </w:r>
    </w:p>
    <w:p>
      <w:pPr>
        <w:spacing w:line="360" w:lineRule="auto"/>
        <w:ind w:firstLine="420" w:firstLineChars="200"/>
        <w:rPr>
          <w:b/>
          <w:bCs/>
          <w:color w:val="1D41D5"/>
          <w:szCs w:val="21"/>
        </w:rPr>
      </w:pPr>
      <w:r>
        <w:rPr>
          <w:rFonts w:hint="eastAsia"/>
          <w:szCs w:val="21"/>
        </w:rPr>
        <w:t>2、考核目标：在考核学生身体素质的基础上，重点考核学生对专项技术的掌握程度。</w:t>
      </w:r>
    </w:p>
    <w:p>
      <w:pPr>
        <w:spacing w:line="360" w:lineRule="auto"/>
        <w:ind w:firstLine="420" w:firstLineChars="200"/>
        <w:rPr>
          <w:szCs w:val="21"/>
        </w:rPr>
      </w:pPr>
      <w:r>
        <w:rPr>
          <w:rFonts w:hint="eastAsia"/>
          <w:szCs w:val="21"/>
        </w:rPr>
        <w:t>3、成绩构成：本课程通过“平时成绩”、“素质考试”、  和“专项考试”三种方式对课程目标达成进行评价，考核成绩计算公式如下（本大纲中成绩均采用百分制）：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2959"/>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pct"/>
            <w:tcBorders>
              <w:top w:val="single" w:color="auto" w:sz="4" w:space="0"/>
              <w:left w:val="nil"/>
              <w:bottom w:val="single" w:color="auto" w:sz="4" w:space="0"/>
              <w:right w:val="single" w:color="auto" w:sz="4" w:space="0"/>
            </w:tcBorders>
            <w:vAlign w:val="center"/>
          </w:tcPr>
          <w:p>
            <w:pPr>
              <w:widowControl/>
              <w:jc w:val="center"/>
              <w:rPr>
                <w:sz w:val="18"/>
                <w:szCs w:val="18"/>
              </w:rPr>
            </w:pPr>
            <w:r>
              <w:rPr>
                <w:rFonts w:hint="eastAsia"/>
                <w:sz w:val="18"/>
                <w:szCs w:val="18"/>
              </w:rPr>
              <w:t>课堂表现（平时）</w:t>
            </w:r>
          </w:p>
        </w:tc>
        <w:tc>
          <w:tcPr>
            <w:tcW w:w="173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素质考试</w:t>
            </w:r>
          </w:p>
        </w:tc>
        <w:tc>
          <w:tcPr>
            <w:tcW w:w="1952"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专项考试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12"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w:t>
            </w:r>
          </w:p>
        </w:tc>
        <w:tc>
          <w:tcPr>
            <w:tcW w:w="173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40</w:t>
            </w:r>
          </w:p>
        </w:tc>
        <w:tc>
          <w:tcPr>
            <w:tcW w:w="1952"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50</w:t>
            </w:r>
          </w:p>
        </w:tc>
      </w:tr>
    </w:tbl>
    <w:p>
      <w:pPr>
        <w:spacing w:line="360" w:lineRule="auto"/>
        <w:rPr>
          <w:b/>
          <w:bCs/>
          <w:szCs w:val="21"/>
        </w:rPr>
      </w:pPr>
      <w:r>
        <w:rPr>
          <w:rFonts w:hint="eastAsia"/>
          <w:szCs w:val="21"/>
        </w:rPr>
        <w:t>指导性课程目标评价题目分数分配：</w:t>
      </w:r>
      <w:r>
        <w:rPr>
          <w:rFonts w:hint="eastAsia"/>
          <w:b/>
          <w:bCs/>
          <w:szCs w:val="21"/>
        </w:rPr>
        <w:t xml:space="preserve"> </w:t>
      </w:r>
    </w:p>
    <w:tbl>
      <w:tblPr>
        <w:tblStyle w:val="22"/>
        <w:tblW w:w="5000" w:type="pct"/>
        <w:jc w:val="center"/>
        <w:tblLayout w:type="autofit"/>
        <w:tblCellMar>
          <w:top w:w="0" w:type="dxa"/>
          <w:left w:w="108" w:type="dxa"/>
          <w:bottom w:w="0" w:type="dxa"/>
          <w:right w:w="108" w:type="dxa"/>
        </w:tblCellMar>
      </w:tblPr>
      <w:tblGrid>
        <w:gridCol w:w="1880"/>
        <w:gridCol w:w="2192"/>
        <w:gridCol w:w="2037"/>
        <w:gridCol w:w="2413"/>
      </w:tblGrid>
      <w:tr>
        <w:tblPrEx>
          <w:tblCellMar>
            <w:top w:w="0" w:type="dxa"/>
            <w:left w:w="108" w:type="dxa"/>
            <w:bottom w:w="0" w:type="dxa"/>
            <w:right w:w="108" w:type="dxa"/>
          </w:tblCellMar>
        </w:tblPrEx>
        <w:trPr>
          <w:trHeight w:val="986" w:hRule="atLeast"/>
          <w:jc w:val="center"/>
        </w:trPr>
        <w:tc>
          <w:tcPr>
            <w:tcW w:w="110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28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平时成绩</w:t>
            </w:r>
          </w:p>
          <w:p>
            <w:pPr>
              <w:jc w:val="center"/>
              <w:rPr>
                <w:sz w:val="18"/>
                <w:szCs w:val="18"/>
              </w:rPr>
            </w:pPr>
            <w:r>
              <w:rPr>
                <w:rFonts w:hint="eastAsia"/>
                <w:sz w:val="18"/>
                <w:szCs w:val="18"/>
              </w:rPr>
              <w:t>W1</w:t>
            </w:r>
            <w:r>
              <w:rPr>
                <w:rFonts w:hint="eastAsia"/>
                <w:sz w:val="18"/>
                <w:szCs w:val="18"/>
                <w:vertAlign w:val="subscript"/>
              </w:rPr>
              <w:t>i</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素质考试</w:t>
            </w:r>
          </w:p>
          <w:p>
            <w:pPr>
              <w:jc w:val="center"/>
              <w:rPr>
                <w:sz w:val="18"/>
                <w:szCs w:val="18"/>
              </w:rPr>
            </w:pPr>
            <w:r>
              <w:rPr>
                <w:rFonts w:hint="eastAsia"/>
                <w:sz w:val="18"/>
                <w:szCs w:val="18"/>
              </w:rPr>
              <w:t>W2</w:t>
            </w:r>
            <w:r>
              <w:rPr>
                <w:rFonts w:hint="eastAsia"/>
                <w:sz w:val="18"/>
                <w:szCs w:val="18"/>
                <w:vertAlign w:val="subscript"/>
              </w:rPr>
              <w:t>i</w:t>
            </w:r>
          </w:p>
        </w:tc>
        <w:tc>
          <w:tcPr>
            <w:tcW w:w="1417"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专项考试</w:t>
            </w:r>
          </w:p>
          <w:p>
            <w:pPr>
              <w:jc w:val="center"/>
              <w:rPr>
                <w:sz w:val="18"/>
                <w:szCs w:val="18"/>
              </w:rPr>
            </w:pPr>
            <w:r>
              <w:rPr>
                <w:rFonts w:hint="eastAsia"/>
                <w:sz w:val="18"/>
                <w:szCs w:val="18"/>
              </w:rPr>
              <w:t>W3</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03" w:type="pct"/>
            <w:tcBorders>
              <w:top w:val="nil"/>
              <w:left w:val="nil"/>
              <w:bottom w:val="single" w:color="auto" w:sz="4" w:space="0"/>
              <w:right w:val="single" w:color="auto" w:sz="4" w:space="0"/>
            </w:tcBorders>
            <w:vAlign w:val="center"/>
          </w:tcPr>
          <w:p>
            <w:pPr>
              <w:jc w:val="center"/>
              <w:rPr>
                <w:sz w:val="18"/>
                <w:szCs w:val="18"/>
              </w:rPr>
            </w:pPr>
            <w:r>
              <w:rPr>
                <w:sz w:val="18"/>
                <w:szCs w:val="18"/>
              </w:rPr>
              <w:t>1</w:t>
            </w:r>
          </w:p>
        </w:tc>
        <w:tc>
          <w:tcPr>
            <w:tcW w:w="128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417"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30—40</w:t>
            </w:r>
          </w:p>
        </w:tc>
      </w:tr>
      <w:tr>
        <w:tblPrEx>
          <w:tblCellMar>
            <w:top w:w="0" w:type="dxa"/>
            <w:left w:w="108" w:type="dxa"/>
            <w:bottom w:w="0" w:type="dxa"/>
            <w:right w:w="108" w:type="dxa"/>
          </w:tblCellMar>
        </w:tblPrEx>
        <w:trPr>
          <w:jc w:val="center"/>
        </w:trPr>
        <w:tc>
          <w:tcPr>
            <w:tcW w:w="1103" w:type="pct"/>
            <w:tcBorders>
              <w:top w:val="nil"/>
              <w:left w:val="nil"/>
              <w:bottom w:val="single" w:color="auto" w:sz="4" w:space="0"/>
              <w:right w:val="single" w:color="auto" w:sz="4" w:space="0"/>
            </w:tcBorders>
            <w:vAlign w:val="center"/>
          </w:tcPr>
          <w:p>
            <w:pPr>
              <w:jc w:val="center"/>
              <w:rPr>
                <w:sz w:val="18"/>
                <w:szCs w:val="18"/>
              </w:rPr>
            </w:pPr>
            <w:r>
              <w:rPr>
                <w:sz w:val="18"/>
                <w:szCs w:val="18"/>
              </w:rPr>
              <w:t>2</w:t>
            </w:r>
          </w:p>
        </w:tc>
        <w:tc>
          <w:tcPr>
            <w:tcW w:w="128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20—30</w:t>
            </w:r>
          </w:p>
        </w:tc>
        <w:tc>
          <w:tcPr>
            <w:tcW w:w="1417"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40—50</w:t>
            </w:r>
          </w:p>
        </w:tc>
      </w:tr>
      <w:tr>
        <w:tblPrEx>
          <w:tblCellMar>
            <w:top w:w="0" w:type="dxa"/>
            <w:left w:w="108" w:type="dxa"/>
            <w:bottom w:w="0" w:type="dxa"/>
            <w:right w:w="108" w:type="dxa"/>
          </w:tblCellMar>
        </w:tblPrEx>
        <w:trPr>
          <w:jc w:val="center"/>
        </w:trPr>
        <w:tc>
          <w:tcPr>
            <w:tcW w:w="1103"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28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20—30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40—50</w:t>
            </w:r>
          </w:p>
        </w:tc>
        <w:tc>
          <w:tcPr>
            <w:tcW w:w="1417"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10—20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rPr>
          <w:szCs w:val="21"/>
        </w:rPr>
      </w:pPr>
      <w:r>
        <w:rPr>
          <w:rFonts w:hint="eastAsia"/>
          <w:szCs w:val="21"/>
        </w:rPr>
        <w:br w:type="page"/>
      </w:r>
    </w:p>
    <w:p>
      <w:pPr>
        <w:pStyle w:val="20"/>
        <w:spacing w:before="312" w:after="468"/>
      </w:pPr>
      <w:bookmarkStart w:id="38" w:name="_Toc22043473"/>
      <w:bookmarkStart w:id="39" w:name="_Toc4593"/>
      <w:bookmarkStart w:id="40" w:name="_Toc498711449"/>
      <w:r>
        <w:t>《X01250001</w:t>
      </w:r>
      <w:r>
        <w:rPr>
          <w:rFonts w:hint="eastAsia"/>
        </w:rPr>
        <w:t>-</w:t>
      </w:r>
      <w:r>
        <w:t>安全教育》教学大纲</w:t>
      </w:r>
      <w:bookmarkEnd w:id="38"/>
      <w:bookmarkEnd w:id="39"/>
      <w:bookmarkEnd w:id="40"/>
    </w:p>
    <w:p>
      <w:pPr>
        <w:adjustRightInd w:val="0"/>
        <w:snapToGrid w:val="0"/>
        <w:spacing w:line="360" w:lineRule="auto"/>
        <w:rPr>
          <w:bCs/>
          <w:kern w:val="0"/>
        </w:rPr>
      </w:pPr>
      <w:r>
        <w:rPr>
          <w:rFonts w:hint="eastAsia" w:eastAsia="黑体"/>
          <w:szCs w:val="21"/>
        </w:rPr>
        <w:t>课程编号：</w:t>
      </w:r>
      <w:r>
        <w:rPr>
          <w:rFonts w:eastAsia="黑体"/>
          <w:szCs w:val="21"/>
        </w:rPr>
        <w:t>X01250001</w:t>
      </w:r>
    </w:p>
    <w:p>
      <w:pPr>
        <w:adjustRightInd w:val="0"/>
        <w:snapToGrid w:val="0"/>
        <w:spacing w:line="360" w:lineRule="auto"/>
        <w:rPr>
          <w:snapToGrid w:val="0"/>
          <w:kern w:val="0"/>
          <w:szCs w:val="21"/>
        </w:rPr>
      </w:pPr>
      <w:r>
        <w:rPr>
          <w:rFonts w:hint="eastAsia" w:eastAsia="黑体"/>
          <w:szCs w:val="21"/>
        </w:rPr>
        <w:t>课程名称：</w:t>
      </w:r>
      <w:r>
        <w:rPr>
          <w:szCs w:val="21"/>
        </w:rPr>
        <w:t>安全教育</w:t>
      </w:r>
      <w:r>
        <w:rPr>
          <w:szCs w:val="21"/>
        </w:rPr>
        <w:tab/>
      </w:r>
      <w:r>
        <w:rPr>
          <w:szCs w:val="21"/>
        </w:rPr>
        <w:tab/>
      </w:r>
      <w:r>
        <w:rPr>
          <w:szCs w:val="21"/>
        </w:rPr>
        <w:tab/>
      </w:r>
      <w:r>
        <w:rPr>
          <w:szCs w:val="21"/>
        </w:rPr>
        <w:tab/>
      </w:r>
      <w:r>
        <w:rPr>
          <w:rFonts w:hint="eastAsia"/>
          <w:szCs w:val="21"/>
        </w:rPr>
        <w:tab/>
      </w:r>
      <w:r>
        <w:rPr>
          <w:rFonts w:hint="eastAsia" w:eastAsia="黑体"/>
          <w:szCs w:val="21"/>
        </w:rPr>
        <w:t>开课单位：</w:t>
      </w:r>
      <w:r>
        <w:rPr>
          <w:rFonts w:hint="eastAsia" w:ascii="宋体" w:hAnsi="宋体" w:cs="宋体"/>
        </w:rPr>
        <w:t>人文社会科学类教育课程</w:t>
      </w:r>
    </w:p>
    <w:p>
      <w:pPr>
        <w:adjustRightInd w:val="0"/>
        <w:snapToGrid w:val="0"/>
        <w:spacing w:line="360" w:lineRule="auto"/>
        <w:rPr>
          <w:rFonts w:eastAsia="黑体"/>
          <w:szCs w:val="21"/>
        </w:rPr>
      </w:pPr>
      <w:r>
        <w:rPr>
          <w:rFonts w:hint="eastAsia" w:eastAsia="黑体"/>
          <w:szCs w:val="21"/>
        </w:rPr>
        <w:t>总 学 时：</w:t>
      </w:r>
      <w:r>
        <w:rPr>
          <w:rFonts w:eastAsia="黑体"/>
          <w:szCs w:val="21"/>
        </w:rPr>
        <w:t>32</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1</w:t>
      </w:r>
    </w:p>
    <w:p>
      <w:pPr>
        <w:adjustRightInd w:val="0"/>
        <w:snapToGrid w:val="0"/>
        <w:spacing w:line="360" w:lineRule="auto"/>
        <w:rPr>
          <w:rFonts w:eastAsia="黑体"/>
          <w:szCs w:val="21"/>
        </w:rPr>
      </w:pPr>
      <w:r>
        <w:rPr>
          <w:rFonts w:hint="eastAsia" w:eastAsia="黑体"/>
          <w:szCs w:val="21"/>
        </w:rPr>
        <w:t>适用专业：</w:t>
      </w:r>
      <w:r>
        <w:rPr>
          <w:rFonts w:hint="eastAsia"/>
          <w:szCs w:val="21"/>
        </w:rPr>
        <w:t>工程类各专业</w:t>
      </w:r>
    </w:p>
    <w:p>
      <w:pPr>
        <w:adjustRightInd w:val="0"/>
        <w:snapToGrid w:val="0"/>
        <w:spacing w:line="360" w:lineRule="auto"/>
        <w:rPr>
          <w:rFonts w:eastAsia="黑体"/>
          <w:szCs w:val="21"/>
        </w:rPr>
      </w:pPr>
      <w:r>
        <w:rPr>
          <w:rFonts w:hint="eastAsia" w:eastAsia="黑体"/>
          <w:szCs w:val="21"/>
        </w:rPr>
        <w:t>先修课程：</w:t>
      </w:r>
      <w:r>
        <w:rPr>
          <w:rFonts w:hint="eastAsia" w:ascii="宋体" w:hAnsi="宋体" w:cs="宋体"/>
          <w:szCs w:val="21"/>
        </w:rPr>
        <w:t>无</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eastAsiaTheme="minorEastAsia"/>
          <w:szCs w:val="21"/>
        </w:rPr>
        <w:t>2019</w:t>
      </w:r>
      <w:r>
        <w:rPr>
          <w:rFonts w:hint="eastAsia" w:ascii="宋体" w:hAnsi="宋体" w:cs="宋体"/>
          <w:szCs w:val="21"/>
        </w:rPr>
        <w:t>年</w:t>
      </w:r>
      <w:r>
        <w:rPr>
          <w:rFonts w:eastAsiaTheme="minorEastAsia"/>
          <w:szCs w:val="21"/>
        </w:rPr>
        <w:t>4</w:t>
      </w:r>
      <w:r>
        <w:rPr>
          <w:rFonts w:hint="eastAsia" w:ascii="宋体" w:hAnsi="宋体" w:cs="宋体"/>
          <w:szCs w:val="21"/>
        </w:rPr>
        <w:t>月</w:t>
      </w:r>
    </w:p>
    <w:p>
      <w:pPr>
        <w:spacing w:line="360" w:lineRule="auto"/>
        <w:rPr>
          <w:rFonts w:eastAsia="黑体"/>
          <w:szCs w:val="21"/>
        </w:rPr>
      </w:pPr>
    </w:p>
    <w:p>
      <w:pPr>
        <w:adjustRightInd w:val="0"/>
        <w:snapToGrid w:val="0"/>
        <w:spacing w:line="360" w:lineRule="auto"/>
        <w:rPr>
          <w:rFonts w:eastAsia="黑体"/>
          <w:szCs w:val="21"/>
        </w:rPr>
      </w:pPr>
      <w:bookmarkStart w:id="41" w:name="_Toc31580"/>
      <w:r>
        <w:rPr>
          <w:rFonts w:hint="eastAsia" w:eastAsia="黑体"/>
          <w:szCs w:val="21"/>
        </w:rPr>
        <w:t>一、</w:t>
      </w:r>
      <w:r>
        <w:rPr>
          <w:rFonts w:eastAsia="黑体"/>
          <w:szCs w:val="21"/>
        </w:rPr>
        <w:t>课程在教学计划中的地位、作用</w:t>
      </w:r>
      <w:bookmarkEnd w:id="41"/>
    </w:p>
    <w:p>
      <w:pPr>
        <w:pStyle w:val="19"/>
        <w:spacing w:before="0" w:beforeAutospacing="0" w:after="0" w:afterAutospacing="0" w:line="360" w:lineRule="auto"/>
        <w:ind w:firstLine="420" w:firstLineChars="200"/>
        <w:jc w:val="both"/>
        <w:rPr>
          <w:rFonts w:ascii="Times New Roman" w:hAnsi="Times New Roman"/>
          <w:color w:val="000000"/>
          <w:sz w:val="21"/>
          <w:szCs w:val="21"/>
        </w:rPr>
      </w:pPr>
      <w:r>
        <w:rPr>
          <w:rFonts w:ascii="Times New Roman" w:hAnsi="Times New Roman"/>
          <w:color w:val="000000"/>
          <w:sz w:val="21"/>
          <w:szCs w:val="21"/>
        </w:rPr>
        <w:t>大学生安全教育既强调安全在人生发展中的重要地位，又关注学生的全面发展。对大学生进行安全教育，是贯彻落实科学发展观的具体措施，是高校人才培养工作的重要组成部分。大学生是受过长时间连续正规教育，文化素质较高的群体，是祖国的未来、民族的希望。青年学生步入大学校园后，身体、心理、知识、能力都处在成长成熟和发展定型阶段，由于大学生尚未完全走向社会，安全防范知识和技能相对欠缺，以至在遇到安全问题时不知道如何正确应对、处置，使个人、群体的人身和财产安全受到不法侵害，造成不必要的损失。因此，有必要采取有效措施和多种形式努力推进高校大学生安全教育工作，不断提高大学生的安全防范意识和避险自救能力，为大学生的成长、成才提供保障。</w:t>
      </w:r>
    </w:p>
    <w:p>
      <w:pPr>
        <w:pStyle w:val="19"/>
        <w:spacing w:before="0" w:beforeAutospacing="0" w:after="0" w:afterAutospacing="0" w:line="360" w:lineRule="auto"/>
        <w:ind w:firstLine="420" w:firstLineChars="200"/>
        <w:jc w:val="both"/>
        <w:rPr>
          <w:rFonts w:ascii="Times New Roman" w:hAnsi="Times New Roman"/>
          <w:color w:val="000000"/>
          <w:sz w:val="21"/>
          <w:szCs w:val="21"/>
        </w:rPr>
      </w:pPr>
      <w:r>
        <w:rPr>
          <w:rFonts w:ascii="Times New Roman" w:hAnsi="Times New Roman"/>
          <w:color w:val="000000"/>
          <w:sz w:val="21"/>
          <w:szCs w:val="21"/>
        </w:rPr>
        <w:t>通过对本课程的学习，激发大学生的主观安全意识，确立正确的安全价值观，促进学生主动</w:t>
      </w:r>
      <w:r>
        <w:rPr>
          <w:rFonts w:hint="eastAsia" w:ascii="Times New Roman" w:hAnsi="Times New Roman"/>
          <w:sz w:val="21"/>
          <w:szCs w:val="21"/>
        </w:rPr>
        <w:t>了解</w:t>
      </w:r>
      <w:r>
        <w:rPr>
          <w:rFonts w:ascii="Times New Roman" w:hAnsi="Times New Roman"/>
          <w:color w:val="000000"/>
          <w:sz w:val="21"/>
          <w:szCs w:val="21"/>
        </w:rPr>
        <w:t>安全防范知识，培养学生的安全防范能力，全面提升大学生安全整体素质。</w:t>
      </w:r>
    </w:p>
    <w:p>
      <w:pPr>
        <w:pStyle w:val="19"/>
        <w:spacing w:before="0" w:beforeAutospacing="0" w:after="0" w:afterAutospacing="0" w:line="360" w:lineRule="auto"/>
        <w:ind w:firstLine="420" w:firstLineChars="200"/>
        <w:jc w:val="both"/>
        <w:rPr>
          <w:rFonts w:ascii="Times New Roman" w:hAnsi="Times New Roman"/>
          <w:color w:val="000000"/>
          <w:sz w:val="21"/>
          <w:szCs w:val="21"/>
        </w:rPr>
      </w:pPr>
    </w:p>
    <w:p>
      <w:pPr>
        <w:pStyle w:val="19"/>
        <w:spacing w:before="0" w:beforeAutospacing="0" w:after="0" w:afterAutospacing="0" w:line="360" w:lineRule="auto"/>
        <w:jc w:val="both"/>
        <w:rPr>
          <w:rFonts w:ascii="Times New Roman" w:hAnsi="Times New Roman" w:eastAsia="黑体"/>
          <w:sz w:val="21"/>
          <w:szCs w:val="21"/>
        </w:rPr>
      </w:pPr>
      <w:bookmarkStart w:id="42" w:name="_Toc21253"/>
      <w:r>
        <w:rPr>
          <w:rFonts w:ascii="Times New Roman" w:hAnsi="Times New Roman" w:eastAsia="黑体"/>
          <w:sz w:val="21"/>
          <w:szCs w:val="21"/>
        </w:rPr>
        <w:t>二、课程目标</w:t>
      </w:r>
      <w:bookmarkEnd w:id="42"/>
    </w:p>
    <w:p>
      <w:pPr>
        <w:spacing w:line="360" w:lineRule="auto"/>
        <w:ind w:firstLine="420" w:firstLineChars="200"/>
        <w:rPr>
          <w:szCs w:val="21"/>
        </w:rPr>
      </w:pPr>
      <w:r>
        <w:rPr>
          <w:rFonts w:hint="eastAsia"/>
          <w:szCs w:val="21"/>
        </w:rPr>
        <w:t>本大纲适用于工程类专业选择使用，专业在选用时要关注本课程目标是否与专业培养方案设定的能力矩阵一致。</w:t>
      </w:r>
    </w:p>
    <w:tbl>
      <w:tblPr>
        <w:tblStyle w:val="23"/>
        <w:tblW w:w="5002"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931"/>
        <w:gridCol w:w="38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305"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72"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sz w:val="18"/>
                <w:szCs w:val="18"/>
              </w:rPr>
            </w:pPr>
            <w:r>
              <w:rPr>
                <w:rFonts w:hint="eastAsia"/>
                <w:sz w:val="18"/>
                <w:szCs w:val="18"/>
              </w:rPr>
              <w:t>1</w:t>
            </w:r>
          </w:p>
        </w:tc>
        <w:tc>
          <w:tcPr>
            <w:tcW w:w="2305" w:type="pct"/>
          </w:tcPr>
          <w:p>
            <w:pPr>
              <w:adjustRightInd w:val="0"/>
              <w:snapToGrid w:val="0"/>
              <w:spacing w:line="360" w:lineRule="auto"/>
              <w:rPr>
                <w:sz w:val="18"/>
                <w:szCs w:val="18"/>
              </w:rPr>
            </w:pPr>
            <w:r>
              <w:rPr>
                <w:sz w:val="18"/>
                <w:szCs w:val="18"/>
              </w:rPr>
              <w:t>态度层面：通过安全教育，大学生应当树立起生命至上、安全第一的思想，树立积极正确的安 全价值观，把安全问题与个人发展和国家需要、社会发展相结合，为构筑平安人生主动付出积极的努力；</w:t>
            </w:r>
          </w:p>
        </w:tc>
        <w:tc>
          <w:tcPr>
            <w:tcW w:w="2272" w:type="pct"/>
          </w:tcPr>
          <w:p>
            <w:pPr>
              <w:adjustRightInd w:val="0"/>
              <w:snapToGrid w:val="0"/>
              <w:spacing w:line="360" w:lineRule="auto"/>
              <w:rPr>
                <w:sz w:val="18"/>
                <w:szCs w:val="18"/>
              </w:rPr>
            </w:pPr>
            <w:r>
              <w:rPr>
                <w:b/>
                <w:bCs/>
                <w:sz w:val="18"/>
                <w:szCs w:val="18"/>
              </w:rPr>
              <w:t>毕业要求6工程与社会：</w:t>
            </w:r>
            <w:r>
              <w:rPr>
                <w:sz w:val="18"/>
                <w:szCs w:val="18"/>
              </w:rPr>
              <w:t>能够基于工程相关背景知识进行合理分析，评价专业工程实践和复杂工程问题解决方案对社会、健康、安全、法律以及文化的影响，并理解应承担的责任。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sz w:val="18"/>
                <w:szCs w:val="18"/>
              </w:rPr>
            </w:pPr>
            <w:r>
              <w:rPr>
                <w:rFonts w:hint="eastAsia"/>
                <w:sz w:val="18"/>
                <w:szCs w:val="18"/>
              </w:rPr>
              <w:t>2</w:t>
            </w:r>
          </w:p>
        </w:tc>
        <w:tc>
          <w:tcPr>
            <w:tcW w:w="2305" w:type="pct"/>
          </w:tcPr>
          <w:p>
            <w:pPr>
              <w:adjustRightInd w:val="0"/>
              <w:snapToGrid w:val="0"/>
              <w:spacing w:line="360" w:lineRule="auto"/>
              <w:rPr>
                <w:bCs/>
                <w:sz w:val="18"/>
                <w:szCs w:val="18"/>
              </w:rPr>
            </w:pPr>
            <w:r>
              <w:rPr>
                <w:sz w:val="18"/>
                <w:szCs w:val="18"/>
              </w:rPr>
              <w:t>知识层面：通过安全教育，使大学生了解安全基本知识，</w:t>
            </w:r>
            <w:r>
              <w:rPr>
                <w:rFonts w:hint="eastAsia"/>
                <w:sz w:val="18"/>
                <w:szCs w:val="18"/>
              </w:rPr>
              <w:t>了解</w:t>
            </w:r>
            <w:r>
              <w:rPr>
                <w:sz w:val="18"/>
                <w:szCs w:val="18"/>
              </w:rPr>
              <w:t>与安全问题相关的法律法规和校纪校规，安全问题所包含的基本内容，安全问题的社会、校园环境；了解安全信息、相关的安全问题分类知识以及安全保障的基本知识；</w:t>
            </w:r>
          </w:p>
        </w:tc>
        <w:tc>
          <w:tcPr>
            <w:tcW w:w="2272" w:type="pct"/>
          </w:tcPr>
          <w:p>
            <w:pPr>
              <w:adjustRightInd w:val="0"/>
              <w:snapToGrid w:val="0"/>
              <w:spacing w:line="360" w:lineRule="auto"/>
              <w:rPr>
                <w:rFonts w:cs="宋体"/>
                <w:sz w:val="18"/>
                <w:szCs w:val="18"/>
              </w:rPr>
            </w:pPr>
            <w:r>
              <w:rPr>
                <w:b/>
                <w:bCs/>
                <w:sz w:val="18"/>
                <w:szCs w:val="18"/>
              </w:rPr>
              <w:t>毕业要求8职业规范：</w:t>
            </w:r>
            <w:r>
              <w:rPr>
                <w:sz w:val="18"/>
                <w:szCs w:val="18"/>
              </w:rPr>
              <w:t>具有人文社会科学素养、社会责任感，能够在工程实践中理解并遵守工程职业道德和规范，履行责任。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vAlign w:val="center"/>
          </w:tcPr>
          <w:p>
            <w:pPr>
              <w:adjustRightInd w:val="0"/>
              <w:snapToGrid w:val="0"/>
              <w:spacing w:line="360" w:lineRule="auto"/>
              <w:jc w:val="center"/>
              <w:rPr>
                <w:rFonts w:cs="宋体"/>
                <w:sz w:val="18"/>
                <w:szCs w:val="18"/>
              </w:rPr>
            </w:pPr>
            <w:r>
              <w:rPr>
                <w:rFonts w:hint="eastAsia"/>
                <w:sz w:val="18"/>
                <w:szCs w:val="18"/>
              </w:rPr>
              <w:t>3</w:t>
            </w:r>
          </w:p>
        </w:tc>
        <w:tc>
          <w:tcPr>
            <w:tcW w:w="2305" w:type="pct"/>
          </w:tcPr>
          <w:p>
            <w:pPr>
              <w:adjustRightInd w:val="0"/>
              <w:snapToGrid w:val="0"/>
              <w:spacing w:line="360" w:lineRule="auto"/>
              <w:rPr>
                <w:rFonts w:cs="宋体"/>
                <w:sz w:val="18"/>
                <w:szCs w:val="18"/>
              </w:rPr>
            </w:pPr>
            <w:r>
              <w:rPr>
                <w:sz w:val="18"/>
                <w:szCs w:val="18"/>
              </w:rPr>
              <w:t>技能层面：通过安全教育，大学生应当</w:t>
            </w:r>
            <w:r>
              <w:rPr>
                <w:rFonts w:hint="eastAsia"/>
                <w:sz w:val="18"/>
                <w:szCs w:val="18"/>
              </w:rPr>
              <w:t>了解</w:t>
            </w:r>
            <w:r>
              <w:rPr>
                <w:sz w:val="18"/>
                <w:szCs w:val="18"/>
              </w:rPr>
              <w:t>安全防范技能、防灾避险能力、安全信息搜索与安全管理技能。掌握以安全为前提的自我保护技能、沟通技能、问题解决技能等等。</w:t>
            </w:r>
          </w:p>
        </w:tc>
        <w:tc>
          <w:tcPr>
            <w:tcW w:w="2272" w:type="pct"/>
          </w:tcPr>
          <w:p>
            <w:pPr>
              <w:adjustRightInd w:val="0"/>
              <w:snapToGrid w:val="0"/>
              <w:spacing w:line="360" w:lineRule="auto"/>
              <w:rPr>
                <w:rFonts w:cs="宋体"/>
                <w:sz w:val="18"/>
                <w:szCs w:val="18"/>
              </w:rPr>
            </w:pPr>
            <w:r>
              <w:rPr>
                <w:b/>
                <w:bCs/>
                <w:sz w:val="18"/>
                <w:szCs w:val="18"/>
              </w:rPr>
              <w:t>毕业要求6工程与社会：</w:t>
            </w:r>
            <w:r>
              <w:rPr>
                <w:sz w:val="18"/>
                <w:szCs w:val="18"/>
              </w:rPr>
              <w:t>能够基于工程相关背景知识进行合理分析，评价专业工程实践和复杂工程问题解决方案对社会、健康、安全、法律以及文化的影响，并理解应承担的责任。</w:t>
            </w:r>
          </w:p>
        </w:tc>
      </w:tr>
    </w:tbl>
    <w:p>
      <w:pPr>
        <w:spacing w:line="360" w:lineRule="auto"/>
        <w:rPr>
          <w:color w:val="FF0000"/>
          <w:szCs w:val="21"/>
          <w:highlight w:val="yellow"/>
        </w:rPr>
      </w:pPr>
    </w:p>
    <w:p>
      <w:pPr>
        <w:tabs>
          <w:tab w:val="left" w:pos="420"/>
        </w:tabs>
        <w:adjustRightInd w:val="0"/>
        <w:snapToGrid w:val="0"/>
        <w:spacing w:line="360" w:lineRule="auto"/>
        <w:rPr>
          <w:b/>
          <w:bCs/>
          <w:szCs w:val="21"/>
        </w:rPr>
      </w:pPr>
      <w:bookmarkStart w:id="43" w:name="_Toc25977"/>
      <w:r>
        <w:rPr>
          <w:rFonts w:eastAsia="黑体"/>
          <w:szCs w:val="21"/>
        </w:rPr>
        <w:t>三、</w:t>
      </w:r>
      <w:bookmarkEnd w:id="43"/>
      <w:r>
        <w:rPr>
          <w:rFonts w:hint="eastAsia" w:eastAsia="黑体"/>
          <w:szCs w:val="21"/>
        </w:rPr>
        <w:t>教学</w:t>
      </w:r>
      <w:r>
        <w:rPr>
          <w:rFonts w:eastAsia="黑体"/>
          <w:szCs w:val="21"/>
        </w:rPr>
        <w:t>内容及基本要求</w:t>
      </w:r>
    </w:p>
    <w:p>
      <w:pPr>
        <w:spacing w:line="360" w:lineRule="auto"/>
        <w:ind w:firstLine="420" w:firstLineChars="200"/>
        <w:rPr>
          <w:szCs w:val="21"/>
        </w:rPr>
      </w:pPr>
      <w:r>
        <w:rPr>
          <w:szCs w:val="21"/>
        </w:rPr>
        <w:t xml:space="preserve">1、大学生安全教育课程既有知识的传授，也有技能的培养，还有态度、观念的转变，是集理论课、实务课和经验课为一体的综合课程。 </w:t>
      </w:r>
    </w:p>
    <w:p>
      <w:pPr>
        <w:spacing w:line="360" w:lineRule="auto"/>
        <w:ind w:firstLine="420" w:firstLineChars="200"/>
        <w:rPr>
          <w:szCs w:val="21"/>
        </w:rPr>
      </w:pPr>
      <w:r>
        <w:rPr>
          <w:szCs w:val="21"/>
        </w:rPr>
        <w:t>2、在教学中注重基础知识、基本概念和思维方法的传授，应当充分发挥师生双方在教学中的主动性和创造性。引导学生积极开展分析、探索、实践、小组讨论等活动，启发学生分析问题、辨别分险，提高学生</w:t>
      </w:r>
      <w:r>
        <w:rPr>
          <w:rFonts w:hint="eastAsia"/>
          <w:szCs w:val="21"/>
        </w:rPr>
        <w:t>了解</w:t>
      </w:r>
      <w:r>
        <w:rPr>
          <w:szCs w:val="21"/>
        </w:rPr>
        <w:t xml:space="preserve">避险的方法。利用课程辅助，应重点培养学生实际操作、灵活运用知识的能力，把理论知识运用到实际中去的技能，帮助学生获得有效的避险技能。 </w:t>
      </w:r>
    </w:p>
    <w:p>
      <w:pPr>
        <w:spacing w:line="360" w:lineRule="auto"/>
        <w:ind w:firstLine="420" w:firstLineChars="200"/>
        <w:rPr>
          <w:szCs w:val="21"/>
        </w:rPr>
      </w:pPr>
      <w:r>
        <w:rPr>
          <w:szCs w:val="21"/>
        </w:rPr>
        <w:t>3、本课程应采用理论与实践相结合、讲授与训练相结合的方式进行。教学可采用课堂讲授、典型案例分析、情景模拟训练、小组讨论、角色扮演、社会调查、实习见习等方法。</w:t>
      </w:r>
    </w:p>
    <w:p>
      <w:pPr>
        <w:spacing w:line="360" w:lineRule="auto"/>
        <w:ind w:firstLine="420" w:firstLineChars="200"/>
        <w:rPr>
          <w:szCs w:val="21"/>
        </w:rPr>
      </w:pPr>
      <w:r>
        <w:rPr>
          <w:szCs w:val="21"/>
        </w:rPr>
        <w:t>4、在教学的过程中，要充分利用各种资源。除了教师和学生自身的资源之外，还需要使用相关的安全教育工具，包括相关影视资料、具体安全器械等；可以调动社会资源，采取与消防专家、急救医生、反恐专家专题讲座和座谈相结合的方法。</w:t>
      </w:r>
    </w:p>
    <w:p>
      <w:pPr>
        <w:spacing w:line="360" w:lineRule="auto"/>
        <w:ind w:firstLine="420" w:firstLineChars="200"/>
        <w:rPr>
          <w:szCs w:val="21"/>
        </w:rPr>
      </w:pPr>
      <w:r>
        <w:rPr>
          <w:szCs w:val="21"/>
        </w:rPr>
        <w:t>5、本课程是一门实践性很强的课程。要求学生通过实训环节把所学的内容巩固和</w:t>
      </w:r>
      <w:r>
        <w:rPr>
          <w:rFonts w:hint="eastAsia"/>
          <w:szCs w:val="21"/>
        </w:rPr>
        <w:t>了解</w:t>
      </w:r>
      <w:r>
        <w:rPr>
          <w:szCs w:val="21"/>
        </w:rPr>
        <w:t>，要求在CAI教室及室外进行授课，并且教学和实训交替进行。</w:t>
      </w:r>
    </w:p>
    <w:p>
      <w:pPr>
        <w:widowControl/>
        <w:spacing w:line="360" w:lineRule="auto"/>
        <w:ind w:firstLine="420" w:firstLineChars="200"/>
        <w:rPr>
          <w:szCs w:val="21"/>
        </w:rPr>
      </w:pPr>
      <w:r>
        <w:rPr>
          <w:szCs w:val="21"/>
        </w:rPr>
        <w:t>本课程重点：各类安全问题的风险识别和预判、防范策略和方法、处置思路和要领。</w:t>
      </w:r>
    </w:p>
    <w:p>
      <w:pPr>
        <w:widowControl/>
        <w:spacing w:line="360" w:lineRule="auto"/>
        <w:ind w:firstLine="420" w:firstLineChars="200"/>
        <w:rPr>
          <w:szCs w:val="21"/>
        </w:rPr>
      </w:pPr>
      <w:r>
        <w:rPr>
          <w:szCs w:val="21"/>
        </w:rPr>
        <w:t>深度和广度说明：大学生安全教育课程既有知识的传授，也有技能的培养，还有态度、观念的转变。对理论知识的讲解，可以使其了解安全教育相关理论，增加其对社会生活中的安全风险认识。重点是使其掌握遇到不同的安全问题、面对紧急情况及风险存在等方面的各种技能，因此要重点讲授以使学生完全掌握。</w:t>
      </w:r>
    </w:p>
    <w:p>
      <w:pPr>
        <w:spacing w:line="360" w:lineRule="auto"/>
        <w:ind w:left="426"/>
        <w:jc w:val="left"/>
        <w:rPr>
          <w:rFonts w:eastAsia="黑体"/>
          <w:color w:val="000000"/>
          <w:szCs w:val="21"/>
        </w:rPr>
      </w:pPr>
      <w:r>
        <w:rPr>
          <w:rFonts w:eastAsia="黑体"/>
          <w:color w:val="000000"/>
          <w:szCs w:val="21"/>
        </w:rPr>
        <w:t>1 大学生安全教育概述</w:t>
      </w:r>
      <w:r>
        <w:rPr>
          <w:rFonts w:hint="eastAsia" w:eastAsia="黑体"/>
          <w:color w:val="000000"/>
          <w:szCs w:val="21"/>
        </w:rPr>
        <w:t>（1学时）</w:t>
      </w:r>
    </w:p>
    <w:p>
      <w:pPr>
        <w:spacing w:line="360" w:lineRule="auto"/>
        <w:ind w:left="426"/>
        <w:jc w:val="left"/>
        <w:rPr>
          <w:color w:val="000000"/>
          <w:szCs w:val="21"/>
        </w:rPr>
      </w:pPr>
      <w:r>
        <w:rPr>
          <w:rFonts w:eastAsia="黑体"/>
          <w:color w:val="000000"/>
          <w:szCs w:val="21"/>
        </w:rPr>
        <w:t>教学目标：</w:t>
      </w:r>
      <w:r>
        <w:rPr>
          <w:color w:val="000000"/>
          <w:szCs w:val="21"/>
        </w:rPr>
        <w:t>通过本部分学习，使大学生了解当前安全形势，理解大学生安全教育的目的和意义，明确大学生安全课的内容、要求、学习方法。</w:t>
      </w:r>
    </w:p>
    <w:p>
      <w:pPr>
        <w:spacing w:line="360" w:lineRule="auto"/>
        <w:ind w:left="426"/>
        <w:jc w:val="left"/>
        <w:rPr>
          <w:rFonts w:eastAsia="黑体"/>
          <w:color w:val="000000"/>
          <w:szCs w:val="21"/>
        </w:rPr>
      </w:pPr>
      <w:r>
        <w:rPr>
          <w:rFonts w:eastAsia="黑体"/>
          <w:color w:val="000000"/>
          <w:szCs w:val="21"/>
        </w:rPr>
        <w:t>教学内容：</w:t>
      </w:r>
    </w:p>
    <w:p>
      <w:pPr>
        <w:spacing w:line="360" w:lineRule="auto"/>
        <w:ind w:left="426"/>
        <w:jc w:val="left"/>
        <w:rPr>
          <w:color w:val="000000"/>
          <w:szCs w:val="21"/>
        </w:rPr>
      </w:pPr>
      <w:r>
        <w:rPr>
          <w:color w:val="000000"/>
          <w:szCs w:val="21"/>
        </w:rPr>
        <w:t>1.1、我国社会经济发展现阶段的安全形势，大学生成长成才面临的安全形势；</w:t>
      </w:r>
    </w:p>
    <w:p>
      <w:pPr>
        <w:spacing w:line="360" w:lineRule="auto"/>
        <w:ind w:left="426"/>
        <w:jc w:val="left"/>
        <w:rPr>
          <w:color w:val="000000"/>
          <w:szCs w:val="21"/>
        </w:rPr>
      </w:pPr>
      <w:r>
        <w:rPr>
          <w:color w:val="000000"/>
          <w:szCs w:val="21"/>
        </w:rPr>
        <w:t>1.2、大学生接受安全教育的重要性、目的和意义；</w:t>
      </w:r>
    </w:p>
    <w:p>
      <w:pPr>
        <w:spacing w:line="360" w:lineRule="auto"/>
        <w:ind w:left="426"/>
        <w:jc w:val="left"/>
        <w:rPr>
          <w:color w:val="000000"/>
          <w:szCs w:val="21"/>
        </w:rPr>
      </w:pPr>
      <w:r>
        <w:rPr>
          <w:color w:val="000000"/>
          <w:szCs w:val="21"/>
        </w:rPr>
        <w:t xml:space="preserve">1.3、大学生安全教育课程的基本内容框架； </w:t>
      </w:r>
    </w:p>
    <w:p>
      <w:pPr>
        <w:spacing w:line="360" w:lineRule="auto"/>
        <w:ind w:left="426"/>
        <w:jc w:val="left"/>
        <w:rPr>
          <w:color w:val="000000"/>
          <w:szCs w:val="21"/>
        </w:rPr>
      </w:pPr>
      <w:r>
        <w:rPr>
          <w:color w:val="000000"/>
          <w:szCs w:val="21"/>
        </w:rPr>
        <w:t>1.4、大学生学习安全知识的方法，培养安全技能的途径。</w:t>
      </w:r>
    </w:p>
    <w:p>
      <w:pPr>
        <w:spacing w:line="360" w:lineRule="auto"/>
        <w:ind w:left="426"/>
        <w:jc w:val="left"/>
        <w:rPr>
          <w:color w:val="000000"/>
          <w:szCs w:val="21"/>
        </w:rPr>
      </w:pPr>
      <w:r>
        <w:rPr>
          <w:rFonts w:eastAsia="黑体"/>
          <w:color w:val="000000"/>
          <w:szCs w:val="21"/>
        </w:rPr>
        <w:t>教学方法：</w:t>
      </w:r>
      <w:r>
        <w:rPr>
          <w:color w:val="000000"/>
          <w:szCs w:val="21"/>
        </w:rPr>
        <w:t>案例分析、情景再现、理论讲授。</w:t>
      </w:r>
    </w:p>
    <w:p>
      <w:pPr>
        <w:spacing w:line="360" w:lineRule="auto"/>
        <w:ind w:left="426"/>
        <w:jc w:val="left"/>
        <w:rPr>
          <w:color w:val="000000"/>
          <w:szCs w:val="21"/>
        </w:rPr>
      </w:pPr>
      <w:r>
        <w:rPr>
          <w:rFonts w:eastAsia="黑体"/>
          <w:color w:val="000000"/>
          <w:szCs w:val="21"/>
        </w:rPr>
        <w:t>问题思考：</w:t>
      </w:r>
      <w:r>
        <w:rPr>
          <w:color w:val="000000"/>
          <w:szCs w:val="21"/>
        </w:rPr>
        <w:t xml:space="preserve"> </w:t>
      </w:r>
    </w:p>
    <w:p>
      <w:pPr>
        <w:numPr>
          <w:ilvl w:val="0"/>
          <w:numId w:val="7"/>
        </w:numPr>
        <w:spacing w:line="360" w:lineRule="auto"/>
        <w:ind w:left="426"/>
        <w:jc w:val="left"/>
        <w:rPr>
          <w:color w:val="000000"/>
          <w:szCs w:val="21"/>
        </w:rPr>
      </w:pPr>
      <w:r>
        <w:rPr>
          <w:color w:val="000000"/>
          <w:szCs w:val="21"/>
        </w:rPr>
        <w:t>在当今社会我们必须</w:t>
      </w:r>
      <w:r>
        <w:rPr>
          <w:rFonts w:hint="eastAsia"/>
          <w:szCs w:val="21"/>
        </w:rPr>
        <w:t>了解</w:t>
      </w:r>
      <w:r>
        <w:rPr>
          <w:color w:val="000000"/>
          <w:szCs w:val="21"/>
        </w:rPr>
        <w:t xml:space="preserve">那些安全防范内容？ </w:t>
      </w:r>
    </w:p>
    <w:p>
      <w:pPr>
        <w:spacing w:line="360" w:lineRule="auto"/>
        <w:ind w:left="426"/>
        <w:jc w:val="left"/>
        <w:rPr>
          <w:color w:val="000000"/>
          <w:szCs w:val="21"/>
        </w:rPr>
      </w:pPr>
      <w:r>
        <w:rPr>
          <w:color w:val="000000"/>
          <w:szCs w:val="21"/>
        </w:rPr>
        <w:t>2.在生活中如何更好的学习安全知识、培养安全技能？</w:t>
      </w:r>
    </w:p>
    <w:p>
      <w:pPr>
        <w:spacing w:line="360" w:lineRule="auto"/>
        <w:ind w:left="426"/>
        <w:jc w:val="left"/>
        <w:rPr>
          <w:color w:val="000000"/>
          <w:szCs w:val="21"/>
        </w:rPr>
      </w:pPr>
      <w:r>
        <w:rPr>
          <w:rFonts w:hint="eastAsia"/>
          <w:color w:val="000000"/>
          <w:szCs w:val="21"/>
        </w:rPr>
        <w:t>本章节内容支撑课程目标1、2。</w:t>
      </w:r>
    </w:p>
    <w:p>
      <w:pPr>
        <w:spacing w:line="360" w:lineRule="auto"/>
        <w:ind w:left="426"/>
        <w:jc w:val="left"/>
        <w:rPr>
          <w:rFonts w:eastAsia="黑体"/>
          <w:color w:val="000000"/>
          <w:szCs w:val="21"/>
        </w:rPr>
      </w:pPr>
      <w:r>
        <w:rPr>
          <w:rFonts w:eastAsia="黑体"/>
          <w:color w:val="000000"/>
          <w:szCs w:val="21"/>
        </w:rPr>
        <w:t>2 公共安全与应急避险</w:t>
      </w:r>
      <w:r>
        <w:rPr>
          <w:rFonts w:hint="eastAsia" w:eastAsia="黑体"/>
          <w:color w:val="000000"/>
          <w:szCs w:val="21"/>
        </w:rPr>
        <w:t>（2学时）</w:t>
      </w:r>
    </w:p>
    <w:p>
      <w:pPr>
        <w:spacing w:line="360" w:lineRule="auto"/>
        <w:ind w:left="426"/>
        <w:jc w:val="left"/>
        <w:rPr>
          <w:color w:val="000000"/>
          <w:szCs w:val="21"/>
        </w:rPr>
      </w:pPr>
      <w:r>
        <w:rPr>
          <w:rFonts w:eastAsia="黑体"/>
          <w:color w:val="000000"/>
          <w:szCs w:val="21"/>
        </w:rPr>
        <w:t>教学目标：</w:t>
      </w:r>
      <w:r>
        <w:rPr>
          <w:color w:val="000000"/>
          <w:szCs w:val="21"/>
        </w:rPr>
        <w:t>通过学习，知晓公共场所、公共舆论、群体事件的风险因素和安全特性，</w:t>
      </w:r>
      <w:r>
        <w:rPr>
          <w:rFonts w:hint="eastAsia"/>
          <w:szCs w:val="21"/>
        </w:rPr>
        <w:t>了解</w:t>
      </w:r>
      <w:r>
        <w:rPr>
          <w:color w:val="000000"/>
          <w:szCs w:val="21"/>
        </w:rPr>
        <w:t>基本的应急逃生知识和自救互救技能。</w:t>
      </w:r>
    </w:p>
    <w:p>
      <w:pPr>
        <w:spacing w:line="360" w:lineRule="auto"/>
        <w:ind w:left="426"/>
        <w:jc w:val="left"/>
        <w:rPr>
          <w:rFonts w:eastAsia="黑体"/>
          <w:color w:val="000000"/>
          <w:szCs w:val="21"/>
        </w:rPr>
      </w:pPr>
      <w:r>
        <w:rPr>
          <w:rFonts w:eastAsia="黑体"/>
          <w:color w:val="000000"/>
          <w:szCs w:val="21"/>
        </w:rPr>
        <w:t>教学内容：</w:t>
      </w:r>
    </w:p>
    <w:p>
      <w:pPr>
        <w:spacing w:line="360" w:lineRule="auto"/>
        <w:ind w:left="426"/>
        <w:jc w:val="left"/>
        <w:rPr>
          <w:color w:val="000000"/>
          <w:szCs w:val="21"/>
        </w:rPr>
      </w:pPr>
      <w:r>
        <w:rPr>
          <w:color w:val="000000"/>
          <w:szCs w:val="21"/>
        </w:rPr>
        <w:t xml:space="preserve">2.1、公共场所的特点和风险； </w:t>
      </w:r>
    </w:p>
    <w:p>
      <w:pPr>
        <w:spacing w:line="360" w:lineRule="auto"/>
        <w:ind w:left="426"/>
        <w:jc w:val="left"/>
        <w:rPr>
          <w:color w:val="000000"/>
          <w:szCs w:val="21"/>
        </w:rPr>
      </w:pPr>
      <w:r>
        <w:rPr>
          <w:color w:val="000000"/>
          <w:szCs w:val="21"/>
        </w:rPr>
        <w:t>2.2、公共舆论的形成、发展及大学生应有的正确态度 ；</w:t>
      </w:r>
    </w:p>
    <w:p>
      <w:pPr>
        <w:spacing w:line="360" w:lineRule="auto"/>
        <w:ind w:left="426"/>
        <w:jc w:val="left"/>
        <w:rPr>
          <w:color w:val="000000"/>
          <w:szCs w:val="21"/>
        </w:rPr>
      </w:pPr>
      <w:r>
        <w:rPr>
          <w:color w:val="000000"/>
          <w:szCs w:val="21"/>
        </w:rPr>
        <w:t>2.3、群体事件的类型、特点，控制与对策；</w:t>
      </w:r>
    </w:p>
    <w:p>
      <w:pPr>
        <w:spacing w:line="360" w:lineRule="auto"/>
        <w:ind w:left="426"/>
        <w:jc w:val="left"/>
        <w:rPr>
          <w:rFonts w:eastAsia="黑体"/>
          <w:color w:val="000000"/>
          <w:szCs w:val="21"/>
        </w:rPr>
      </w:pPr>
      <w:r>
        <w:rPr>
          <w:color w:val="000000"/>
          <w:szCs w:val="21"/>
        </w:rPr>
        <w:t>2.4、灾难、事故、紧急事件的应急常识；</w:t>
      </w:r>
    </w:p>
    <w:p>
      <w:pPr>
        <w:spacing w:line="360" w:lineRule="auto"/>
        <w:ind w:left="426"/>
        <w:jc w:val="left"/>
        <w:rPr>
          <w:color w:val="000000"/>
          <w:szCs w:val="21"/>
        </w:rPr>
      </w:pPr>
      <w:r>
        <w:rPr>
          <w:color w:val="000000"/>
          <w:szCs w:val="21"/>
        </w:rPr>
        <w:t>2.5、危害、伤害发生时常用的自救、互救知识。</w:t>
      </w:r>
    </w:p>
    <w:p>
      <w:pPr>
        <w:spacing w:line="360" w:lineRule="auto"/>
        <w:ind w:left="426"/>
        <w:jc w:val="left"/>
        <w:rPr>
          <w:color w:val="000000"/>
          <w:szCs w:val="21"/>
        </w:rPr>
      </w:pPr>
      <w:r>
        <w:rPr>
          <w:rFonts w:eastAsia="黑体"/>
          <w:color w:val="000000"/>
          <w:szCs w:val="21"/>
        </w:rPr>
        <w:t>教学方法：</w:t>
      </w:r>
      <w:r>
        <w:rPr>
          <w:color w:val="000000"/>
          <w:szCs w:val="21"/>
        </w:rPr>
        <w:t>理论讲授、案例分析、课堂示范。</w:t>
      </w:r>
    </w:p>
    <w:p>
      <w:pPr>
        <w:spacing w:line="360" w:lineRule="auto"/>
        <w:ind w:left="426"/>
        <w:jc w:val="left"/>
        <w:rPr>
          <w:rFonts w:eastAsia="黑体"/>
          <w:color w:val="000000"/>
          <w:szCs w:val="21"/>
        </w:rPr>
      </w:pPr>
      <w:r>
        <w:rPr>
          <w:rFonts w:eastAsia="黑体"/>
          <w:color w:val="000000"/>
          <w:szCs w:val="21"/>
        </w:rPr>
        <w:t xml:space="preserve">问题思考： </w:t>
      </w:r>
    </w:p>
    <w:p>
      <w:pPr>
        <w:numPr>
          <w:ilvl w:val="0"/>
          <w:numId w:val="8"/>
        </w:numPr>
        <w:spacing w:line="360" w:lineRule="auto"/>
        <w:ind w:left="426"/>
        <w:jc w:val="left"/>
        <w:rPr>
          <w:color w:val="000000"/>
          <w:szCs w:val="21"/>
        </w:rPr>
      </w:pPr>
      <w:r>
        <w:rPr>
          <w:color w:val="000000"/>
          <w:szCs w:val="21"/>
        </w:rPr>
        <w:t xml:space="preserve">大学校园哪些地方是公共场所？ </w:t>
      </w:r>
    </w:p>
    <w:p>
      <w:pPr>
        <w:numPr>
          <w:ilvl w:val="0"/>
          <w:numId w:val="8"/>
        </w:numPr>
        <w:spacing w:line="360" w:lineRule="auto"/>
        <w:ind w:left="426"/>
        <w:jc w:val="left"/>
        <w:rPr>
          <w:color w:val="000000"/>
          <w:szCs w:val="21"/>
        </w:rPr>
      </w:pPr>
      <w:r>
        <w:rPr>
          <w:color w:val="000000"/>
          <w:szCs w:val="21"/>
        </w:rPr>
        <w:t>大学生活会遇到哪些紧急事件？</w:t>
      </w:r>
    </w:p>
    <w:p>
      <w:pPr>
        <w:spacing w:line="360" w:lineRule="auto"/>
        <w:ind w:left="426"/>
        <w:jc w:val="left"/>
        <w:rPr>
          <w:color w:val="000000"/>
          <w:szCs w:val="21"/>
        </w:rPr>
      </w:pPr>
      <w:r>
        <w:rPr>
          <w:color w:val="000000"/>
          <w:szCs w:val="21"/>
        </w:rPr>
        <w:t>3、群体事件中怎么做才是正确的选择？</w:t>
      </w:r>
    </w:p>
    <w:p>
      <w:pPr>
        <w:spacing w:line="360" w:lineRule="auto"/>
        <w:ind w:left="426"/>
        <w:jc w:val="left"/>
        <w:rPr>
          <w:color w:val="000000"/>
          <w:szCs w:val="21"/>
        </w:rPr>
      </w:pPr>
      <w:r>
        <w:rPr>
          <w:rFonts w:hint="eastAsia"/>
          <w:color w:val="000000"/>
          <w:szCs w:val="21"/>
        </w:rPr>
        <w:t>本章节内容支撑课程目标2。</w:t>
      </w:r>
    </w:p>
    <w:p>
      <w:pPr>
        <w:spacing w:line="360" w:lineRule="auto"/>
        <w:ind w:left="426"/>
        <w:jc w:val="left"/>
        <w:rPr>
          <w:rFonts w:eastAsia="黑体"/>
          <w:color w:val="000000"/>
          <w:szCs w:val="21"/>
        </w:rPr>
      </w:pPr>
      <w:r>
        <w:rPr>
          <w:rFonts w:eastAsia="黑体"/>
          <w:color w:val="000000"/>
          <w:szCs w:val="21"/>
        </w:rPr>
        <w:t>3 消防安全与环境安全</w:t>
      </w:r>
      <w:r>
        <w:rPr>
          <w:rFonts w:hint="eastAsia" w:eastAsia="黑体"/>
          <w:color w:val="000000"/>
          <w:szCs w:val="21"/>
        </w:rPr>
        <w:t>（6学时）</w:t>
      </w:r>
    </w:p>
    <w:p>
      <w:pPr>
        <w:spacing w:line="360" w:lineRule="auto"/>
        <w:ind w:left="426"/>
        <w:jc w:val="left"/>
        <w:rPr>
          <w:rFonts w:eastAsia="黑体"/>
          <w:color w:val="000000"/>
          <w:szCs w:val="21"/>
        </w:rPr>
      </w:pPr>
      <w:r>
        <w:rPr>
          <w:rFonts w:eastAsia="黑体"/>
          <w:color w:val="000000"/>
          <w:szCs w:val="21"/>
        </w:rPr>
        <w:t>教学目标：</w:t>
      </w:r>
      <w:r>
        <w:rPr>
          <w:color w:val="000000"/>
          <w:szCs w:val="21"/>
        </w:rPr>
        <w:t>通过本部分学习，使大学生了解高校火灾事故的多发性和巨大危害性，了解校园内外环境危险区域，引导大学生牢固树立消防安全责任意识和自我防范意识，知晓辨识和预防各类火灾、环境危险因素的方法、措施，</w:t>
      </w:r>
      <w:r>
        <w:rPr>
          <w:rFonts w:hint="eastAsia"/>
          <w:szCs w:val="21"/>
        </w:rPr>
        <w:t>了解</w:t>
      </w:r>
      <w:r>
        <w:rPr>
          <w:color w:val="000000"/>
          <w:szCs w:val="21"/>
        </w:rPr>
        <w:t>火灾报警、初起火灾处置的基本程序和技能，熟知火场逃生的要求和应对环境危害的策略。</w:t>
      </w:r>
    </w:p>
    <w:p>
      <w:pPr>
        <w:spacing w:line="360" w:lineRule="auto"/>
        <w:ind w:left="426"/>
        <w:jc w:val="left"/>
        <w:rPr>
          <w:rFonts w:eastAsia="黑体"/>
          <w:color w:val="000000"/>
          <w:szCs w:val="21"/>
        </w:rPr>
      </w:pPr>
      <w:r>
        <w:rPr>
          <w:rFonts w:eastAsia="黑体"/>
          <w:color w:val="000000"/>
          <w:szCs w:val="21"/>
        </w:rPr>
        <w:t xml:space="preserve">教学内容： </w:t>
      </w:r>
    </w:p>
    <w:p>
      <w:pPr>
        <w:spacing w:line="360" w:lineRule="auto"/>
        <w:ind w:left="426"/>
        <w:jc w:val="left"/>
        <w:rPr>
          <w:color w:val="000000"/>
          <w:szCs w:val="21"/>
        </w:rPr>
      </w:pPr>
      <w:r>
        <w:rPr>
          <w:color w:val="000000"/>
          <w:szCs w:val="21"/>
        </w:rPr>
        <w:t>3.1、高校火灾事故常见的类型、危害性及预防措施；</w:t>
      </w:r>
    </w:p>
    <w:p>
      <w:pPr>
        <w:spacing w:line="360" w:lineRule="auto"/>
        <w:ind w:left="426"/>
        <w:jc w:val="left"/>
        <w:rPr>
          <w:color w:val="000000"/>
          <w:szCs w:val="21"/>
        </w:rPr>
      </w:pPr>
      <w:r>
        <w:rPr>
          <w:color w:val="000000"/>
          <w:szCs w:val="21"/>
        </w:rPr>
        <w:t xml:space="preserve">3.2、初起火灾处置及灭火器材的选用，常见火灾的扑救方法； </w:t>
      </w:r>
    </w:p>
    <w:p>
      <w:pPr>
        <w:spacing w:line="360" w:lineRule="auto"/>
        <w:ind w:left="426"/>
        <w:jc w:val="left"/>
        <w:rPr>
          <w:color w:val="000000"/>
          <w:szCs w:val="21"/>
        </w:rPr>
      </w:pPr>
      <w:r>
        <w:rPr>
          <w:color w:val="000000"/>
          <w:szCs w:val="21"/>
        </w:rPr>
        <w:t>3.3、火场逃生的原则和要点；</w:t>
      </w:r>
    </w:p>
    <w:p>
      <w:pPr>
        <w:spacing w:line="360" w:lineRule="auto"/>
        <w:ind w:left="426"/>
        <w:jc w:val="left"/>
        <w:rPr>
          <w:color w:val="000000"/>
          <w:szCs w:val="21"/>
        </w:rPr>
      </w:pPr>
      <w:r>
        <w:rPr>
          <w:color w:val="000000"/>
          <w:szCs w:val="21"/>
        </w:rPr>
        <w:t xml:space="preserve">3.4、校园内外危险易发区域、危险因素； </w:t>
      </w:r>
    </w:p>
    <w:p>
      <w:pPr>
        <w:spacing w:line="360" w:lineRule="auto"/>
        <w:ind w:left="426"/>
        <w:jc w:val="left"/>
        <w:rPr>
          <w:color w:val="000000"/>
          <w:szCs w:val="21"/>
        </w:rPr>
      </w:pPr>
      <w:r>
        <w:rPr>
          <w:color w:val="000000"/>
          <w:szCs w:val="21"/>
        </w:rPr>
        <w:t>3.5、环境危害避险措施。</w:t>
      </w:r>
    </w:p>
    <w:p>
      <w:pPr>
        <w:spacing w:line="360" w:lineRule="auto"/>
        <w:ind w:left="426"/>
        <w:jc w:val="left"/>
        <w:rPr>
          <w:rFonts w:eastAsia="黑体"/>
          <w:color w:val="000000"/>
          <w:szCs w:val="21"/>
        </w:rPr>
      </w:pPr>
      <w:r>
        <w:rPr>
          <w:rFonts w:eastAsia="黑体"/>
          <w:color w:val="000000"/>
          <w:szCs w:val="21"/>
        </w:rPr>
        <w:t>教学方法：</w:t>
      </w:r>
      <w:r>
        <w:rPr>
          <w:color w:val="000000"/>
          <w:szCs w:val="21"/>
        </w:rPr>
        <w:t>课堂讲授、互动问答、实物演示、应急演练。</w:t>
      </w:r>
    </w:p>
    <w:p>
      <w:pPr>
        <w:spacing w:line="360" w:lineRule="auto"/>
        <w:ind w:left="426"/>
        <w:jc w:val="left"/>
        <w:rPr>
          <w:rFonts w:eastAsia="黑体"/>
          <w:color w:val="000000"/>
          <w:szCs w:val="21"/>
        </w:rPr>
      </w:pPr>
      <w:r>
        <w:rPr>
          <w:rFonts w:eastAsia="黑体"/>
          <w:color w:val="000000"/>
          <w:szCs w:val="21"/>
        </w:rPr>
        <w:t>问题思考：</w:t>
      </w:r>
    </w:p>
    <w:p>
      <w:pPr>
        <w:spacing w:line="360" w:lineRule="auto"/>
        <w:ind w:left="426"/>
        <w:jc w:val="left"/>
        <w:rPr>
          <w:color w:val="000000"/>
          <w:szCs w:val="21"/>
        </w:rPr>
      </w:pPr>
      <w:r>
        <w:rPr>
          <w:color w:val="000000"/>
          <w:szCs w:val="21"/>
        </w:rPr>
        <w:t xml:space="preserve">1、对照所学消防知识，列举入校以来所发现的火灾隐患？ </w:t>
      </w:r>
    </w:p>
    <w:p>
      <w:pPr>
        <w:spacing w:line="360" w:lineRule="auto"/>
        <w:ind w:left="426"/>
        <w:jc w:val="left"/>
        <w:rPr>
          <w:color w:val="000000"/>
          <w:szCs w:val="21"/>
        </w:rPr>
      </w:pPr>
      <w:r>
        <w:rPr>
          <w:color w:val="000000"/>
          <w:szCs w:val="21"/>
        </w:rPr>
        <w:t xml:space="preserve">2、怎样预防宿舍火灾事故，宿舍发生火灾时采取何种措施处置并安全逃生？ </w:t>
      </w:r>
    </w:p>
    <w:p>
      <w:pPr>
        <w:spacing w:line="360" w:lineRule="auto"/>
        <w:ind w:left="426"/>
        <w:jc w:val="left"/>
        <w:rPr>
          <w:color w:val="000000"/>
          <w:szCs w:val="21"/>
        </w:rPr>
      </w:pPr>
      <w:r>
        <w:rPr>
          <w:color w:val="000000"/>
          <w:szCs w:val="21"/>
        </w:rPr>
        <w:t>3、在校园及周边有哪些场所可能存在危险的环境安全隐患，如何应对？</w:t>
      </w:r>
    </w:p>
    <w:p>
      <w:pPr>
        <w:spacing w:line="360" w:lineRule="auto"/>
        <w:ind w:left="426"/>
        <w:jc w:val="left"/>
        <w:rPr>
          <w:color w:val="000000"/>
          <w:szCs w:val="21"/>
        </w:rPr>
      </w:pPr>
      <w:r>
        <w:rPr>
          <w:rFonts w:hint="eastAsia"/>
          <w:color w:val="000000"/>
          <w:szCs w:val="21"/>
        </w:rPr>
        <w:t>本章节内容支撑课程目标2、3。</w:t>
      </w:r>
    </w:p>
    <w:p>
      <w:pPr>
        <w:snapToGrid w:val="0"/>
        <w:spacing w:line="360" w:lineRule="auto"/>
        <w:ind w:left="426"/>
        <w:jc w:val="left"/>
        <w:rPr>
          <w:rFonts w:eastAsia="黑体"/>
          <w:color w:val="000000"/>
          <w:szCs w:val="21"/>
        </w:rPr>
      </w:pPr>
      <w:r>
        <w:rPr>
          <w:rFonts w:eastAsia="黑体"/>
          <w:color w:val="000000"/>
          <w:szCs w:val="21"/>
        </w:rPr>
        <w:t>4 人身安全与财产安全</w:t>
      </w:r>
      <w:r>
        <w:rPr>
          <w:rFonts w:hint="eastAsia" w:eastAsia="黑体"/>
          <w:color w:val="000000"/>
          <w:szCs w:val="21"/>
        </w:rPr>
        <w:t>（1学时）</w:t>
      </w:r>
    </w:p>
    <w:p>
      <w:pPr>
        <w:snapToGrid w:val="0"/>
        <w:spacing w:line="360" w:lineRule="auto"/>
        <w:ind w:left="426"/>
        <w:rPr>
          <w:color w:val="000000"/>
          <w:szCs w:val="21"/>
        </w:rPr>
      </w:pPr>
      <w:r>
        <w:rPr>
          <w:rFonts w:eastAsia="黑体"/>
          <w:color w:val="000000"/>
          <w:szCs w:val="21"/>
        </w:rPr>
        <w:t>教学目标：</w:t>
      </w:r>
      <w:r>
        <w:rPr>
          <w:color w:val="000000"/>
          <w:szCs w:val="21"/>
        </w:rPr>
        <w:t>帮助大学生认识、珍惜、尊重和热爱生命，培养积极的“三生观”。认识人身安全的威胁因素，了解提高生命质量的方法及保障自身安全和生存的技能，及提高技能的途径。提高大学生物品保管、财产安全意识和能力，维护个人合法的财产权益。了解诈骗的主要手段，</w:t>
      </w:r>
      <w:r>
        <w:rPr>
          <w:rFonts w:hint="eastAsia"/>
          <w:szCs w:val="21"/>
        </w:rPr>
        <w:t>了解</w:t>
      </w:r>
      <w:r>
        <w:rPr>
          <w:color w:val="000000"/>
          <w:szCs w:val="21"/>
        </w:rPr>
        <w:t>防诈骗要领。了解生活中的基本权益与常见的财产侵权行为，</w:t>
      </w:r>
      <w:r>
        <w:rPr>
          <w:rFonts w:hint="eastAsia"/>
          <w:szCs w:val="21"/>
        </w:rPr>
        <w:t>了解</w:t>
      </w:r>
      <w:r>
        <w:rPr>
          <w:color w:val="000000"/>
          <w:szCs w:val="21"/>
        </w:rPr>
        <w:t>财产权益保护的方法与途径。</w:t>
      </w:r>
    </w:p>
    <w:p>
      <w:pPr>
        <w:snapToGrid w:val="0"/>
        <w:spacing w:line="360" w:lineRule="auto"/>
        <w:ind w:left="426"/>
        <w:rPr>
          <w:rFonts w:eastAsia="黑体"/>
          <w:color w:val="000000"/>
          <w:szCs w:val="21"/>
        </w:rPr>
      </w:pPr>
      <w:r>
        <w:rPr>
          <w:rFonts w:eastAsia="黑体"/>
          <w:color w:val="000000"/>
          <w:szCs w:val="21"/>
        </w:rPr>
        <w:t xml:space="preserve">教学内容： </w:t>
      </w:r>
    </w:p>
    <w:p>
      <w:pPr>
        <w:snapToGrid w:val="0"/>
        <w:spacing w:line="360" w:lineRule="auto"/>
        <w:ind w:left="426"/>
        <w:rPr>
          <w:color w:val="000000"/>
          <w:szCs w:val="21"/>
        </w:rPr>
      </w:pPr>
      <w:r>
        <w:rPr>
          <w:color w:val="000000"/>
          <w:szCs w:val="21"/>
        </w:rPr>
        <w:t xml:space="preserve">4.1、树立正确的“三生观”； </w:t>
      </w:r>
    </w:p>
    <w:p>
      <w:pPr>
        <w:snapToGrid w:val="0"/>
        <w:spacing w:line="360" w:lineRule="auto"/>
        <w:ind w:left="426"/>
        <w:rPr>
          <w:rFonts w:eastAsia="黑体"/>
          <w:color w:val="000000"/>
          <w:szCs w:val="21"/>
        </w:rPr>
      </w:pPr>
      <w:r>
        <w:rPr>
          <w:color w:val="000000"/>
          <w:szCs w:val="21"/>
        </w:rPr>
        <w:t>4.2、校园暴力滋扰的危害及防范与处理；</w:t>
      </w:r>
      <w:r>
        <w:rPr>
          <w:rFonts w:eastAsia="黑体"/>
          <w:color w:val="000000"/>
          <w:szCs w:val="21"/>
        </w:rPr>
        <w:t xml:space="preserve"> </w:t>
      </w:r>
    </w:p>
    <w:p>
      <w:pPr>
        <w:snapToGrid w:val="0"/>
        <w:spacing w:line="360" w:lineRule="auto"/>
        <w:ind w:left="426"/>
        <w:rPr>
          <w:color w:val="000000"/>
          <w:szCs w:val="21"/>
        </w:rPr>
      </w:pPr>
      <w:r>
        <w:rPr>
          <w:color w:val="000000"/>
          <w:szCs w:val="21"/>
        </w:rPr>
        <w:t>4.3、大学生纠纷、打架斗殴、抢劫、抢夺等暴力事件的危害及防范与处理；</w:t>
      </w:r>
    </w:p>
    <w:p>
      <w:pPr>
        <w:snapToGrid w:val="0"/>
        <w:spacing w:line="360" w:lineRule="auto"/>
        <w:ind w:left="426"/>
        <w:rPr>
          <w:color w:val="000000"/>
          <w:szCs w:val="21"/>
        </w:rPr>
      </w:pPr>
      <w:r>
        <w:rPr>
          <w:color w:val="000000"/>
          <w:szCs w:val="21"/>
        </w:rPr>
        <w:t xml:space="preserve">4.4、大学生遭受性侵害防范与处理； </w:t>
      </w:r>
    </w:p>
    <w:p>
      <w:pPr>
        <w:snapToGrid w:val="0"/>
        <w:spacing w:line="360" w:lineRule="auto"/>
        <w:ind w:left="426"/>
        <w:rPr>
          <w:color w:val="000000"/>
          <w:szCs w:val="21"/>
        </w:rPr>
      </w:pPr>
      <w:r>
        <w:rPr>
          <w:color w:val="000000"/>
          <w:szCs w:val="21"/>
        </w:rPr>
        <w:t>4.5、各类场合防盗的基本常识；</w:t>
      </w:r>
    </w:p>
    <w:p>
      <w:pPr>
        <w:snapToGrid w:val="0"/>
        <w:spacing w:line="360" w:lineRule="auto"/>
        <w:ind w:left="426"/>
        <w:jc w:val="left"/>
        <w:rPr>
          <w:color w:val="000000"/>
          <w:szCs w:val="21"/>
        </w:rPr>
      </w:pPr>
      <w:r>
        <w:rPr>
          <w:color w:val="000000"/>
          <w:szCs w:val="21"/>
        </w:rPr>
        <w:t>4.6、常见诈骗形式及预防措施。</w:t>
      </w:r>
    </w:p>
    <w:p>
      <w:pPr>
        <w:snapToGrid w:val="0"/>
        <w:spacing w:line="360" w:lineRule="auto"/>
        <w:ind w:left="426"/>
        <w:jc w:val="left"/>
        <w:rPr>
          <w:rFonts w:eastAsia="黑体"/>
          <w:color w:val="000000"/>
          <w:szCs w:val="21"/>
        </w:rPr>
      </w:pPr>
      <w:r>
        <w:rPr>
          <w:rFonts w:eastAsia="黑体"/>
          <w:color w:val="000000"/>
          <w:szCs w:val="21"/>
        </w:rPr>
        <w:t>教学方法：</w:t>
      </w:r>
      <w:r>
        <w:rPr>
          <w:color w:val="000000"/>
          <w:szCs w:val="21"/>
        </w:rPr>
        <w:t>课堂讲授、案例分析、小组讨论、经验交流。</w:t>
      </w:r>
    </w:p>
    <w:p>
      <w:pPr>
        <w:snapToGrid w:val="0"/>
        <w:spacing w:line="360" w:lineRule="auto"/>
        <w:ind w:left="426"/>
        <w:jc w:val="left"/>
        <w:rPr>
          <w:rFonts w:eastAsia="黑体"/>
          <w:color w:val="000000"/>
          <w:szCs w:val="21"/>
        </w:rPr>
      </w:pPr>
      <w:r>
        <w:rPr>
          <w:rFonts w:eastAsia="黑体"/>
          <w:color w:val="000000"/>
          <w:szCs w:val="21"/>
        </w:rPr>
        <w:t xml:space="preserve">问题思考： </w:t>
      </w:r>
    </w:p>
    <w:p>
      <w:pPr>
        <w:snapToGrid w:val="0"/>
        <w:spacing w:line="360" w:lineRule="auto"/>
        <w:ind w:left="426"/>
        <w:jc w:val="left"/>
        <w:rPr>
          <w:rFonts w:eastAsia="黑体"/>
          <w:color w:val="000000"/>
          <w:szCs w:val="21"/>
        </w:rPr>
      </w:pPr>
      <w:r>
        <w:rPr>
          <w:color w:val="000000"/>
          <w:szCs w:val="21"/>
        </w:rPr>
        <w:t>1、大学生如何保障自身免受伤害？</w:t>
      </w:r>
      <w:r>
        <w:rPr>
          <w:rFonts w:eastAsia="黑体"/>
          <w:color w:val="000000"/>
          <w:szCs w:val="21"/>
        </w:rPr>
        <w:t xml:space="preserve"> </w:t>
      </w:r>
    </w:p>
    <w:p>
      <w:pPr>
        <w:snapToGrid w:val="0"/>
        <w:spacing w:line="360" w:lineRule="auto"/>
        <w:ind w:left="426"/>
        <w:jc w:val="left"/>
        <w:rPr>
          <w:rFonts w:eastAsia="黑体"/>
          <w:color w:val="000000"/>
          <w:szCs w:val="21"/>
        </w:rPr>
      </w:pPr>
      <w:r>
        <w:rPr>
          <w:color w:val="000000"/>
          <w:szCs w:val="21"/>
        </w:rPr>
        <w:t xml:space="preserve">2、高校盗窃案有哪几种？各有什么特点？ </w:t>
      </w:r>
    </w:p>
    <w:p>
      <w:pPr>
        <w:snapToGrid w:val="0"/>
        <w:spacing w:line="360" w:lineRule="auto"/>
        <w:ind w:left="426"/>
        <w:jc w:val="left"/>
        <w:rPr>
          <w:color w:val="000000"/>
          <w:szCs w:val="21"/>
        </w:rPr>
      </w:pPr>
      <w:r>
        <w:rPr>
          <w:color w:val="000000"/>
          <w:szCs w:val="21"/>
        </w:rPr>
        <w:t>3、针对大学生的诈骗案主要有哪些？</w:t>
      </w:r>
    </w:p>
    <w:p>
      <w:pPr>
        <w:snapToGrid w:val="0"/>
        <w:spacing w:line="360" w:lineRule="auto"/>
        <w:ind w:left="426"/>
        <w:jc w:val="left"/>
        <w:rPr>
          <w:color w:val="000000"/>
          <w:szCs w:val="21"/>
        </w:rPr>
      </w:pPr>
      <w:r>
        <w:rPr>
          <w:rFonts w:hint="eastAsia"/>
          <w:color w:val="000000"/>
          <w:szCs w:val="21"/>
        </w:rPr>
        <w:t>本章节内容支撑课程目标1、2。</w:t>
      </w:r>
    </w:p>
    <w:p>
      <w:pPr>
        <w:spacing w:line="360" w:lineRule="auto"/>
        <w:ind w:left="426"/>
        <w:jc w:val="left"/>
        <w:rPr>
          <w:rFonts w:eastAsia="黑体"/>
          <w:color w:val="000000"/>
          <w:szCs w:val="21"/>
        </w:rPr>
      </w:pPr>
      <w:r>
        <w:rPr>
          <w:rFonts w:eastAsia="黑体"/>
          <w:color w:val="000000"/>
          <w:szCs w:val="21"/>
        </w:rPr>
        <w:t>5 生活安全与食品安全</w:t>
      </w:r>
      <w:r>
        <w:rPr>
          <w:rFonts w:hint="eastAsia" w:eastAsia="黑体"/>
          <w:color w:val="000000"/>
          <w:szCs w:val="21"/>
        </w:rPr>
        <w:t>（2学时）</w:t>
      </w:r>
    </w:p>
    <w:p>
      <w:pPr>
        <w:spacing w:line="360" w:lineRule="auto"/>
        <w:ind w:left="426"/>
        <w:jc w:val="left"/>
        <w:rPr>
          <w:rFonts w:eastAsia="黑体"/>
          <w:color w:val="000000"/>
          <w:szCs w:val="21"/>
        </w:rPr>
      </w:pPr>
      <w:r>
        <w:rPr>
          <w:rFonts w:eastAsia="黑体"/>
          <w:color w:val="000000"/>
          <w:szCs w:val="21"/>
        </w:rPr>
        <w:t>教学目标：</w:t>
      </w:r>
      <w:r>
        <w:rPr>
          <w:color w:val="000000"/>
          <w:szCs w:val="21"/>
        </w:rPr>
        <w:t>通过本部分学习，使大学生了解人际交往中常见的安全问题及防范，以及黄赌毒和酗酒危害，了解生活中安全用电、防范溺水和急救技能。了解卫生法规，养成良好饮食习惯。</w:t>
      </w:r>
      <w:r>
        <w:rPr>
          <w:rFonts w:hint="eastAsia"/>
          <w:szCs w:val="21"/>
        </w:rPr>
        <w:t>了解</w:t>
      </w:r>
      <w:r>
        <w:rPr>
          <w:color w:val="000000"/>
          <w:szCs w:val="21"/>
        </w:rPr>
        <w:t>食物中毒的相关知识，提高实际鉴别、防范和救助的能力。</w:t>
      </w:r>
    </w:p>
    <w:p>
      <w:pPr>
        <w:spacing w:line="360" w:lineRule="auto"/>
        <w:ind w:left="426"/>
        <w:jc w:val="left"/>
        <w:rPr>
          <w:rFonts w:eastAsia="黑体"/>
          <w:color w:val="000000"/>
          <w:szCs w:val="21"/>
        </w:rPr>
      </w:pPr>
      <w:r>
        <w:rPr>
          <w:rFonts w:eastAsia="黑体"/>
          <w:color w:val="000000"/>
          <w:szCs w:val="21"/>
        </w:rPr>
        <w:t xml:space="preserve">教学内容： </w:t>
      </w:r>
    </w:p>
    <w:p>
      <w:pPr>
        <w:spacing w:line="360" w:lineRule="auto"/>
        <w:ind w:left="426"/>
        <w:jc w:val="left"/>
        <w:rPr>
          <w:rFonts w:eastAsia="黑体"/>
          <w:color w:val="000000"/>
          <w:szCs w:val="21"/>
        </w:rPr>
      </w:pPr>
      <w:r>
        <w:rPr>
          <w:color w:val="000000"/>
          <w:szCs w:val="21"/>
        </w:rPr>
        <w:t>5.1、大学生人际交往中常见的安全问题；</w:t>
      </w:r>
      <w:r>
        <w:rPr>
          <w:rFonts w:eastAsia="黑体"/>
          <w:color w:val="000000"/>
          <w:szCs w:val="21"/>
        </w:rPr>
        <w:t xml:space="preserve"> </w:t>
      </w:r>
    </w:p>
    <w:p>
      <w:pPr>
        <w:spacing w:line="360" w:lineRule="auto"/>
        <w:ind w:left="426"/>
        <w:jc w:val="left"/>
        <w:rPr>
          <w:rFonts w:eastAsia="黑体"/>
          <w:color w:val="000000"/>
          <w:szCs w:val="21"/>
        </w:rPr>
      </w:pPr>
      <w:r>
        <w:rPr>
          <w:color w:val="000000"/>
          <w:szCs w:val="21"/>
        </w:rPr>
        <w:t>5.2、正确处理与异性的关系；</w:t>
      </w:r>
      <w:r>
        <w:rPr>
          <w:rFonts w:eastAsia="黑体"/>
          <w:color w:val="000000"/>
          <w:szCs w:val="21"/>
        </w:rPr>
        <w:t xml:space="preserve"> </w:t>
      </w:r>
    </w:p>
    <w:p>
      <w:pPr>
        <w:spacing w:line="360" w:lineRule="auto"/>
        <w:ind w:left="426"/>
        <w:jc w:val="left"/>
        <w:rPr>
          <w:color w:val="000000"/>
          <w:szCs w:val="21"/>
        </w:rPr>
      </w:pPr>
      <w:r>
        <w:rPr>
          <w:color w:val="000000"/>
          <w:szCs w:val="21"/>
        </w:rPr>
        <w:t xml:space="preserve">5.3、法律法规、校纪校规对远离黄赌毒的重要意义。 </w:t>
      </w:r>
    </w:p>
    <w:p>
      <w:pPr>
        <w:spacing w:line="360" w:lineRule="auto"/>
        <w:ind w:left="426"/>
        <w:jc w:val="left"/>
        <w:rPr>
          <w:color w:val="000000"/>
          <w:szCs w:val="21"/>
        </w:rPr>
      </w:pPr>
      <w:r>
        <w:rPr>
          <w:color w:val="000000"/>
          <w:szCs w:val="21"/>
        </w:rPr>
        <w:t xml:space="preserve">5.4、生活中安全用电、防范溺水和生活急救技能； </w:t>
      </w:r>
    </w:p>
    <w:p>
      <w:pPr>
        <w:spacing w:line="360" w:lineRule="auto"/>
        <w:ind w:left="426"/>
        <w:jc w:val="left"/>
        <w:rPr>
          <w:color w:val="000000"/>
          <w:szCs w:val="21"/>
        </w:rPr>
      </w:pPr>
      <w:r>
        <w:rPr>
          <w:color w:val="000000"/>
          <w:szCs w:val="21"/>
        </w:rPr>
        <w:t>5.5、良好饮食卫生习惯。</w:t>
      </w:r>
    </w:p>
    <w:p>
      <w:pPr>
        <w:spacing w:line="360" w:lineRule="auto"/>
        <w:ind w:left="426"/>
        <w:jc w:val="left"/>
        <w:rPr>
          <w:rFonts w:eastAsia="黑体"/>
          <w:color w:val="000000"/>
          <w:szCs w:val="21"/>
        </w:rPr>
      </w:pPr>
      <w:r>
        <w:rPr>
          <w:rFonts w:eastAsia="黑体"/>
          <w:color w:val="000000"/>
          <w:szCs w:val="21"/>
        </w:rPr>
        <w:t>教学方法：</w:t>
      </w:r>
      <w:r>
        <w:rPr>
          <w:color w:val="000000"/>
          <w:szCs w:val="21"/>
        </w:rPr>
        <w:t>案例分析、情景再现、理论讲授、课堂讨论。</w:t>
      </w:r>
    </w:p>
    <w:p>
      <w:pPr>
        <w:spacing w:line="360" w:lineRule="auto"/>
        <w:ind w:left="426"/>
        <w:jc w:val="left"/>
        <w:rPr>
          <w:rFonts w:eastAsia="黑体"/>
          <w:color w:val="000000"/>
          <w:szCs w:val="21"/>
        </w:rPr>
      </w:pPr>
      <w:r>
        <w:rPr>
          <w:rFonts w:eastAsia="黑体"/>
          <w:color w:val="000000"/>
          <w:szCs w:val="21"/>
        </w:rPr>
        <w:t xml:space="preserve">问题思考： </w:t>
      </w:r>
    </w:p>
    <w:p>
      <w:pPr>
        <w:spacing w:line="360" w:lineRule="auto"/>
        <w:ind w:left="426"/>
        <w:jc w:val="left"/>
        <w:rPr>
          <w:color w:val="000000"/>
          <w:szCs w:val="21"/>
        </w:rPr>
      </w:pPr>
      <w:r>
        <w:rPr>
          <w:color w:val="000000"/>
          <w:szCs w:val="21"/>
        </w:rPr>
        <w:t xml:space="preserve">1、大学生怎样做到安全交往？ </w:t>
      </w:r>
    </w:p>
    <w:p>
      <w:pPr>
        <w:spacing w:line="360" w:lineRule="auto"/>
        <w:ind w:left="426"/>
        <w:jc w:val="left"/>
        <w:rPr>
          <w:color w:val="000000"/>
          <w:szCs w:val="21"/>
        </w:rPr>
      </w:pPr>
      <w:r>
        <w:rPr>
          <w:color w:val="000000"/>
          <w:szCs w:val="21"/>
        </w:rPr>
        <w:t>2、食用无证摊贩的食物有何危害，为何不能吃无证摊贩的食物？</w:t>
      </w:r>
    </w:p>
    <w:p>
      <w:pPr>
        <w:spacing w:line="360" w:lineRule="auto"/>
        <w:ind w:left="426"/>
        <w:jc w:val="left"/>
        <w:rPr>
          <w:color w:val="000000"/>
          <w:szCs w:val="21"/>
        </w:rPr>
      </w:pPr>
      <w:r>
        <w:rPr>
          <w:rFonts w:hint="eastAsia"/>
          <w:color w:val="000000"/>
          <w:szCs w:val="21"/>
        </w:rPr>
        <w:t>本章节内容支撑课程目标1、2。</w:t>
      </w:r>
    </w:p>
    <w:p>
      <w:pPr>
        <w:spacing w:line="360" w:lineRule="auto"/>
        <w:ind w:left="426"/>
        <w:jc w:val="left"/>
        <w:rPr>
          <w:rFonts w:eastAsia="黑体"/>
          <w:bCs/>
          <w:color w:val="000000"/>
          <w:szCs w:val="21"/>
        </w:rPr>
      </w:pPr>
      <w:r>
        <w:rPr>
          <w:rFonts w:eastAsia="黑体"/>
          <w:bCs/>
          <w:color w:val="000000"/>
          <w:szCs w:val="21"/>
        </w:rPr>
        <w:t>6 户外活动与交通安全</w:t>
      </w:r>
      <w:r>
        <w:rPr>
          <w:rFonts w:hint="eastAsia" w:eastAsia="黑体"/>
          <w:bCs/>
          <w:color w:val="000000"/>
          <w:szCs w:val="21"/>
        </w:rPr>
        <w:t>（4学时）</w:t>
      </w:r>
    </w:p>
    <w:p>
      <w:pPr>
        <w:spacing w:line="360" w:lineRule="auto"/>
        <w:ind w:left="426"/>
        <w:jc w:val="left"/>
        <w:rPr>
          <w:bCs/>
          <w:color w:val="000000"/>
          <w:szCs w:val="21"/>
        </w:rPr>
      </w:pPr>
      <w:r>
        <w:rPr>
          <w:rFonts w:eastAsia="黑体"/>
          <w:bCs/>
          <w:color w:val="000000"/>
          <w:szCs w:val="21"/>
        </w:rPr>
        <w:t>教学目标：</w:t>
      </w:r>
      <w:r>
        <w:rPr>
          <w:bCs/>
          <w:color w:val="000000"/>
          <w:szCs w:val="21"/>
        </w:rPr>
        <w:t>通过学习，使大学生了解户外活动和交通安全的基本知识，培养自觉遵守和维护交通法规法规的意识，</w:t>
      </w:r>
      <w:r>
        <w:rPr>
          <w:rFonts w:hint="eastAsia"/>
          <w:szCs w:val="21"/>
        </w:rPr>
        <w:t>了解</w:t>
      </w:r>
      <w:r>
        <w:rPr>
          <w:bCs/>
          <w:color w:val="000000"/>
          <w:szCs w:val="21"/>
        </w:rPr>
        <w:t>户外活动的安全基本技能，</w:t>
      </w:r>
      <w:r>
        <w:rPr>
          <w:rFonts w:hint="eastAsia"/>
          <w:szCs w:val="21"/>
        </w:rPr>
        <w:t>了解</w:t>
      </w:r>
      <w:r>
        <w:rPr>
          <w:bCs/>
          <w:color w:val="000000"/>
          <w:szCs w:val="21"/>
        </w:rPr>
        <w:t>交通行为的基本安全要求。</w:t>
      </w:r>
    </w:p>
    <w:p>
      <w:pPr>
        <w:spacing w:line="360" w:lineRule="auto"/>
        <w:ind w:left="426"/>
        <w:jc w:val="left"/>
        <w:rPr>
          <w:rFonts w:eastAsia="黑体"/>
          <w:bCs/>
          <w:color w:val="000000"/>
          <w:szCs w:val="21"/>
        </w:rPr>
      </w:pPr>
      <w:r>
        <w:rPr>
          <w:rFonts w:eastAsia="黑体"/>
          <w:bCs/>
          <w:color w:val="000000"/>
          <w:szCs w:val="21"/>
        </w:rPr>
        <w:t xml:space="preserve">教学内容： </w:t>
      </w:r>
    </w:p>
    <w:p>
      <w:pPr>
        <w:spacing w:line="360" w:lineRule="auto"/>
        <w:ind w:left="426"/>
        <w:jc w:val="left"/>
        <w:rPr>
          <w:bCs/>
          <w:color w:val="000000"/>
          <w:szCs w:val="21"/>
        </w:rPr>
      </w:pPr>
      <w:r>
        <w:rPr>
          <w:color w:val="000000"/>
          <w:szCs w:val="21"/>
        </w:rPr>
        <w:t>6.1、</w:t>
      </w:r>
      <w:r>
        <w:rPr>
          <w:bCs/>
          <w:color w:val="000000"/>
          <w:szCs w:val="21"/>
        </w:rPr>
        <w:t xml:space="preserve">大学生常见户外活动事故的类型和原因； </w:t>
      </w:r>
    </w:p>
    <w:p>
      <w:pPr>
        <w:spacing w:line="360" w:lineRule="auto"/>
        <w:ind w:left="426"/>
        <w:jc w:val="left"/>
        <w:rPr>
          <w:bCs/>
          <w:color w:val="000000"/>
          <w:szCs w:val="21"/>
        </w:rPr>
      </w:pPr>
      <w:r>
        <w:rPr>
          <w:color w:val="000000"/>
          <w:szCs w:val="21"/>
        </w:rPr>
        <w:t>6.2、</w:t>
      </w:r>
      <w:r>
        <w:rPr>
          <w:bCs/>
          <w:color w:val="000000"/>
          <w:szCs w:val="21"/>
        </w:rPr>
        <w:t xml:space="preserve">外出郊游安全常识和安全基本技能； </w:t>
      </w:r>
    </w:p>
    <w:p>
      <w:pPr>
        <w:spacing w:line="360" w:lineRule="auto"/>
        <w:ind w:left="426"/>
        <w:jc w:val="left"/>
        <w:rPr>
          <w:rFonts w:eastAsia="黑体"/>
          <w:bCs/>
          <w:color w:val="000000"/>
          <w:szCs w:val="21"/>
        </w:rPr>
      </w:pPr>
      <w:r>
        <w:rPr>
          <w:color w:val="000000"/>
          <w:szCs w:val="21"/>
        </w:rPr>
        <w:t>6.3、</w:t>
      </w:r>
      <w:r>
        <w:rPr>
          <w:bCs/>
          <w:color w:val="000000"/>
          <w:szCs w:val="21"/>
        </w:rPr>
        <w:t>大学生常见交通事故的类型和原因；</w:t>
      </w:r>
      <w:r>
        <w:rPr>
          <w:rFonts w:eastAsia="黑体"/>
          <w:bCs/>
          <w:color w:val="000000"/>
          <w:szCs w:val="21"/>
        </w:rPr>
        <w:t xml:space="preserve"> </w:t>
      </w:r>
    </w:p>
    <w:p>
      <w:pPr>
        <w:spacing w:line="360" w:lineRule="auto"/>
        <w:ind w:left="426"/>
        <w:jc w:val="left"/>
        <w:rPr>
          <w:bCs/>
          <w:color w:val="000000"/>
          <w:szCs w:val="21"/>
        </w:rPr>
      </w:pPr>
      <w:r>
        <w:rPr>
          <w:color w:val="000000"/>
          <w:szCs w:val="21"/>
        </w:rPr>
        <w:t>6.4、</w:t>
      </w:r>
      <w:r>
        <w:rPr>
          <w:bCs/>
          <w:color w:val="000000"/>
          <w:szCs w:val="21"/>
        </w:rPr>
        <w:t>道路交通安全常识和安全基本技能；</w:t>
      </w:r>
    </w:p>
    <w:p>
      <w:pPr>
        <w:spacing w:line="360" w:lineRule="auto"/>
        <w:ind w:left="426"/>
        <w:jc w:val="left"/>
        <w:rPr>
          <w:rFonts w:eastAsia="黑体"/>
          <w:bCs/>
          <w:color w:val="000000"/>
          <w:szCs w:val="21"/>
        </w:rPr>
      </w:pPr>
      <w:r>
        <w:rPr>
          <w:color w:val="000000"/>
          <w:szCs w:val="21"/>
        </w:rPr>
        <w:t>6.5、</w:t>
      </w:r>
      <w:r>
        <w:rPr>
          <w:bCs/>
          <w:color w:val="000000"/>
          <w:szCs w:val="21"/>
        </w:rPr>
        <w:t>水运和航运安全常识和安全基本技能。</w:t>
      </w:r>
    </w:p>
    <w:p>
      <w:pPr>
        <w:spacing w:line="360" w:lineRule="auto"/>
        <w:ind w:left="426"/>
        <w:jc w:val="left"/>
        <w:rPr>
          <w:bCs/>
          <w:color w:val="000000"/>
          <w:szCs w:val="21"/>
        </w:rPr>
      </w:pPr>
      <w:r>
        <w:rPr>
          <w:rFonts w:eastAsia="黑体"/>
          <w:bCs/>
          <w:color w:val="000000"/>
          <w:szCs w:val="21"/>
        </w:rPr>
        <w:t>教学方法：</w:t>
      </w:r>
      <w:r>
        <w:rPr>
          <w:bCs/>
          <w:color w:val="000000"/>
          <w:szCs w:val="21"/>
        </w:rPr>
        <w:t>案例分析、情景再现、理论讲授、课堂讨论。</w:t>
      </w:r>
    </w:p>
    <w:p>
      <w:pPr>
        <w:spacing w:line="360" w:lineRule="auto"/>
        <w:ind w:left="426"/>
        <w:jc w:val="left"/>
        <w:rPr>
          <w:rFonts w:eastAsia="黑体"/>
          <w:bCs/>
          <w:color w:val="000000"/>
          <w:szCs w:val="21"/>
        </w:rPr>
      </w:pPr>
      <w:r>
        <w:rPr>
          <w:rFonts w:eastAsia="黑体"/>
          <w:bCs/>
          <w:color w:val="000000"/>
          <w:szCs w:val="21"/>
        </w:rPr>
        <w:t xml:space="preserve">问题思考： </w:t>
      </w:r>
    </w:p>
    <w:p>
      <w:pPr>
        <w:spacing w:line="360" w:lineRule="auto"/>
        <w:ind w:left="426"/>
        <w:jc w:val="left"/>
        <w:rPr>
          <w:rFonts w:eastAsia="黑体"/>
          <w:bCs/>
          <w:color w:val="000000"/>
          <w:szCs w:val="21"/>
        </w:rPr>
      </w:pPr>
      <w:r>
        <w:rPr>
          <w:color w:val="000000"/>
          <w:szCs w:val="21"/>
        </w:rPr>
        <w:t>1、</w:t>
      </w:r>
      <w:r>
        <w:rPr>
          <w:bCs/>
          <w:color w:val="000000"/>
          <w:szCs w:val="21"/>
        </w:rPr>
        <w:t>野外迷路怎么办？野外求救方式有哪些？</w:t>
      </w:r>
      <w:r>
        <w:rPr>
          <w:rFonts w:eastAsia="黑体"/>
          <w:bCs/>
          <w:color w:val="000000"/>
          <w:szCs w:val="21"/>
        </w:rPr>
        <w:t xml:space="preserve"> </w:t>
      </w:r>
    </w:p>
    <w:p>
      <w:pPr>
        <w:spacing w:line="360" w:lineRule="auto"/>
        <w:ind w:left="426"/>
        <w:jc w:val="left"/>
        <w:rPr>
          <w:bCs/>
          <w:color w:val="000000"/>
          <w:szCs w:val="21"/>
        </w:rPr>
      </w:pPr>
      <w:r>
        <w:rPr>
          <w:color w:val="000000"/>
          <w:szCs w:val="21"/>
        </w:rPr>
        <w:t>2、</w:t>
      </w:r>
      <w:r>
        <w:rPr>
          <w:bCs/>
          <w:color w:val="000000"/>
          <w:szCs w:val="21"/>
        </w:rPr>
        <w:t>乘坐黑车有什么危害，乘坐黑车时权益受到侵害怎么办？</w:t>
      </w:r>
    </w:p>
    <w:p>
      <w:pPr>
        <w:spacing w:line="360" w:lineRule="auto"/>
        <w:ind w:left="426"/>
        <w:jc w:val="left"/>
        <w:rPr>
          <w:bCs/>
          <w:color w:val="000000"/>
          <w:szCs w:val="21"/>
        </w:rPr>
      </w:pPr>
      <w:r>
        <w:rPr>
          <w:color w:val="000000"/>
          <w:szCs w:val="21"/>
        </w:rPr>
        <w:t>3、</w:t>
      </w:r>
      <w:r>
        <w:rPr>
          <w:bCs/>
          <w:color w:val="000000"/>
          <w:szCs w:val="21"/>
        </w:rPr>
        <w:t>校园内如何保持自己交通行为的合法性和警觉性？</w:t>
      </w:r>
    </w:p>
    <w:p>
      <w:pPr>
        <w:spacing w:line="360" w:lineRule="auto"/>
        <w:ind w:left="426"/>
        <w:jc w:val="left"/>
        <w:rPr>
          <w:bCs/>
          <w:color w:val="000000"/>
          <w:szCs w:val="21"/>
        </w:rPr>
      </w:pPr>
      <w:r>
        <w:rPr>
          <w:rFonts w:hint="eastAsia"/>
          <w:color w:val="000000"/>
          <w:szCs w:val="21"/>
        </w:rPr>
        <w:t>本章节内容支撑课程目标2、3。</w:t>
      </w:r>
    </w:p>
    <w:p>
      <w:pPr>
        <w:spacing w:line="360" w:lineRule="auto"/>
        <w:ind w:left="426"/>
        <w:jc w:val="left"/>
        <w:rPr>
          <w:rFonts w:eastAsia="黑体"/>
          <w:color w:val="000000"/>
          <w:szCs w:val="21"/>
        </w:rPr>
      </w:pPr>
      <w:r>
        <w:rPr>
          <w:rFonts w:eastAsia="黑体"/>
          <w:color w:val="000000"/>
          <w:szCs w:val="21"/>
        </w:rPr>
        <w:t>7 教学与实验实习安全</w:t>
      </w:r>
      <w:r>
        <w:rPr>
          <w:rFonts w:hint="eastAsia" w:eastAsia="黑体"/>
          <w:color w:val="000000"/>
          <w:szCs w:val="21"/>
        </w:rPr>
        <w:t>（2学时）</w:t>
      </w:r>
    </w:p>
    <w:p>
      <w:pPr>
        <w:spacing w:line="360" w:lineRule="auto"/>
        <w:ind w:left="426"/>
        <w:jc w:val="left"/>
        <w:rPr>
          <w:color w:val="000000"/>
          <w:szCs w:val="21"/>
        </w:rPr>
      </w:pPr>
      <w:r>
        <w:rPr>
          <w:rFonts w:eastAsia="黑体"/>
          <w:color w:val="000000"/>
          <w:szCs w:val="21"/>
        </w:rPr>
        <w:t>教学目标：</w:t>
      </w:r>
      <w:r>
        <w:rPr>
          <w:color w:val="000000"/>
          <w:szCs w:val="21"/>
        </w:rPr>
        <w:t>通过本部分学习，使大学生</w:t>
      </w:r>
      <w:r>
        <w:rPr>
          <w:rFonts w:hint="eastAsia"/>
          <w:szCs w:val="21"/>
        </w:rPr>
        <w:t>了解</w:t>
      </w:r>
      <w:r>
        <w:rPr>
          <w:color w:val="000000"/>
          <w:szCs w:val="21"/>
        </w:rPr>
        <w:t>课堂教学、体育教学以及实验实习教学过程中的安全要求，了解在进行第二课堂活动时学生如何做好自我保护，了解相关的法律法规制度，学会运用心理调适克服安全难题的方法。</w:t>
      </w:r>
    </w:p>
    <w:p>
      <w:pPr>
        <w:spacing w:line="360" w:lineRule="auto"/>
        <w:ind w:left="426"/>
        <w:jc w:val="left"/>
        <w:rPr>
          <w:rFonts w:eastAsia="黑体"/>
          <w:color w:val="000000"/>
          <w:szCs w:val="21"/>
        </w:rPr>
      </w:pPr>
      <w:r>
        <w:rPr>
          <w:rFonts w:eastAsia="黑体"/>
          <w:color w:val="000000"/>
          <w:szCs w:val="21"/>
        </w:rPr>
        <w:t xml:space="preserve">教学内容： </w:t>
      </w:r>
    </w:p>
    <w:p>
      <w:pPr>
        <w:spacing w:line="360" w:lineRule="auto"/>
        <w:ind w:left="426"/>
        <w:jc w:val="left"/>
        <w:rPr>
          <w:color w:val="000000"/>
          <w:szCs w:val="21"/>
        </w:rPr>
      </w:pPr>
      <w:r>
        <w:rPr>
          <w:color w:val="000000"/>
          <w:szCs w:val="21"/>
        </w:rPr>
        <w:t>7.1、课堂教学、体育教学过程中突发事件的预防及其处置；</w:t>
      </w:r>
    </w:p>
    <w:p>
      <w:pPr>
        <w:spacing w:line="360" w:lineRule="auto"/>
        <w:ind w:left="426"/>
        <w:jc w:val="left"/>
        <w:rPr>
          <w:color w:val="000000"/>
          <w:szCs w:val="21"/>
        </w:rPr>
      </w:pPr>
      <w:r>
        <w:rPr>
          <w:color w:val="000000"/>
          <w:szCs w:val="21"/>
        </w:rPr>
        <w:t>7.2、实验实习过程中应遵守的安全制度及预防措施；</w:t>
      </w:r>
    </w:p>
    <w:p>
      <w:pPr>
        <w:spacing w:line="360" w:lineRule="auto"/>
        <w:ind w:left="426"/>
        <w:jc w:val="left"/>
        <w:rPr>
          <w:color w:val="000000"/>
          <w:szCs w:val="21"/>
        </w:rPr>
      </w:pPr>
      <w:r>
        <w:rPr>
          <w:color w:val="000000"/>
          <w:szCs w:val="21"/>
        </w:rPr>
        <w:t>7.3、第二课堂活动过程中学生应注意的事项及其相关规章制度。</w:t>
      </w:r>
    </w:p>
    <w:p>
      <w:pPr>
        <w:spacing w:line="360" w:lineRule="auto"/>
        <w:ind w:left="426"/>
        <w:jc w:val="left"/>
        <w:rPr>
          <w:color w:val="000000"/>
          <w:szCs w:val="21"/>
        </w:rPr>
      </w:pPr>
      <w:r>
        <w:rPr>
          <w:rFonts w:eastAsia="黑体"/>
          <w:color w:val="000000"/>
          <w:szCs w:val="21"/>
        </w:rPr>
        <w:t>教学方法：</w:t>
      </w:r>
      <w:r>
        <w:rPr>
          <w:color w:val="000000"/>
          <w:szCs w:val="21"/>
        </w:rPr>
        <w:t>理论讲授、案例分析、课堂讨论。</w:t>
      </w:r>
    </w:p>
    <w:p>
      <w:pPr>
        <w:spacing w:line="360" w:lineRule="auto"/>
        <w:ind w:left="426"/>
        <w:jc w:val="left"/>
        <w:rPr>
          <w:rFonts w:eastAsia="黑体"/>
          <w:color w:val="000000"/>
          <w:szCs w:val="21"/>
        </w:rPr>
      </w:pPr>
      <w:r>
        <w:rPr>
          <w:rFonts w:eastAsia="黑体"/>
          <w:color w:val="000000"/>
          <w:szCs w:val="21"/>
        </w:rPr>
        <w:t xml:space="preserve">问题思考： </w:t>
      </w:r>
    </w:p>
    <w:p>
      <w:pPr>
        <w:spacing w:line="360" w:lineRule="auto"/>
        <w:ind w:left="426"/>
        <w:jc w:val="left"/>
        <w:rPr>
          <w:rFonts w:eastAsia="黑体"/>
          <w:color w:val="000000"/>
          <w:szCs w:val="21"/>
        </w:rPr>
      </w:pPr>
      <w:r>
        <w:rPr>
          <w:color w:val="000000"/>
          <w:szCs w:val="21"/>
        </w:rPr>
        <w:t>1、结合各自专业特点，在实验或实习中应注意的安全事项及如何防范？</w:t>
      </w:r>
      <w:r>
        <w:rPr>
          <w:rFonts w:eastAsia="黑体"/>
          <w:color w:val="000000"/>
          <w:szCs w:val="21"/>
        </w:rPr>
        <w:t xml:space="preserve"> </w:t>
      </w:r>
    </w:p>
    <w:p>
      <w:pPr>
        <w:spacing w:line="360" w:lineRule="auto"/>
        <w:ind w:left="426"/>
        <w:jc w:val="left"/>
        <w:rPr>
          <w:color w:val="000000"/>
          <w:szCs w:val="21"/>
        </w:rPr>
      </w:pPr>
      <w:r>
        <w:rPr>
          <w:color w:val="000000"/>
          <w:szCs w:val="21"/>
        </w:rPr>
        <w:t>2、体育课中突发事件的预防及其处置方法有哪些？</w:t>
      </w:r>
    </w:p>
    <w:p>
      <w:pPr>
        <w:spacing w:line="360" w:lineRule="auto"/>
        <w:ind w:left="426"/>
        <w:jc w:val="left"/>
        <w:rPr>
          <w:color w:val="000000"/>
          <w:szCs w:val="21"/>
        </w:rPr>
      </w:pPr>
      <w:r>
        <w:rPr>
          <w:rFonts w:hint="eastAsia"/>
          <w:color w:val="000000"/>
          <w:szCs w:val="21"/>
        </w:rPr>
        <w:t>本章节内容支撑课程目标2。</w:t>
      </w:r>
    </w:p>
    <w:p>
      <w:pPr>
        <w:adjustRightInd w:val="0"/>
        <w:snapToGrid w:val="0"/>
        <w:spacing w:line="360" w:lineRule="auto"/>
        <w:ind w:left="426"/>
        <w:jc w:val="left"/>
        <w:rPr>
          <w:rFonts w:eastAsia="黑体"/>
          <w:color w:val="000000"/>
          <w:szCs w:val="21"/>
        </w:rPr>
      </w:pPr>
      <w:r>
        <w:rPr>
          <w:rFonts w:eastAsia="黑体"/>
          <w:color w:val="000000"/>
          <w:szCs w:val="21"/>
        </w:rPr>
        <w:t>8 网络安全与信息安全</w:t>
      </w:r>
      <w:r>
        <w:rPr>
          <w:rFonts w:hint="eastAsia" w:eastAsia="黑体"/>
          <w:color w:val="000000"/>
          <w:szCs w:val="21"/>
        </w:rPr>
        <w:t>（1学时）</w:t>
      </w:r>
    </w:p>
    <w:p>
      <w:pPr>
        <w:adjustRightInd w:val="0"/>
        <w:snapToGrid w:val="0"/>
        <w:spacing w:line="360" w:lineRule="auto"/>
        <w:ind w:left="426"/>
        <w:jc w:val="left"/>
        <w:rPr>
          <w:color w:val="000000"/>
          <w:szCs w:val="21"/>
        </w:rPr>
      </w:pPr>
      <w:r>
        <w:rPr>
          <w:rFonts w:eastAsia="黑体"/>
          <w:color w:val="000000"/>
          <w:szCs w:val="21"/>
        </w:rPr>
        <w:t>教学目标：</w:t>
      </w:r>
      <w:r>
        <w:rPr>
          <w:color w:val="000000"/>
          <w:szCs w:val="21"/>
        </w:rPr>
        <w:t>帮助大学生全面了解国家关于互联网的法律法规，具备辨别不良信息能力，形成良好的上网习惯，具备基本网络道德，远离网络犯罪。通过本部分学习，使学生树立营造健康、积极、向上的网络文化氛围的思想，明确构建优秀网络安全文化的重要意义。</w:t>
      </w:r>
      <w:r>
        <w:rPr>
          <w:rFonts w:hint="eastAsia"/>
          <w:szCs w:val="21"/>
        </w:rPr>
        <w:t>了解</w:t>
      </w:r>
      <w:r>
        <w:rPr>
          <w:color w:val="000000"/>
          <w:szCs w:val="21"/>
        </w:rPr>
        <w:t>网络犯罪威胁信息安全的形式、种类和防范方法，具备网络犯罪危机防范和应对能力。</w:t>
      </w:r>
    </w:p>
    <w:p>
      <w:pPr>
        <w:adjustRightInd w:val="0"/>
        <w:snapToGrid w:val="0"/>
        <w:spacing w:line="360" w:lineRule="auto"/>
        <w:ind w:left="426"/>
        <w:jc w:val="left"/>
        <w:rPr>
          <w:rFonts w:eastAsia="黑体"/>
          <w:color w:val="000000"/>
          <w:szCs w:val="21"/>
        </w:rPr>
      </w:pPr>
      <w:r>
        <w:rPr>
          <w:rFonts w:eastAsia="黑体"/>
          <w:color w:val="000000"/>
          <w:szCs w:val="21"/>
        </w:rPr>
        <w:t xml:space="preserve">教学内容： </w:t>
      </w:r>
    </w:p>
    <w:p>
      <w:pPr>
        <w:adjustRightInd w:val="0"/>
        <w:snapToGrid w:val="0"/>
        <w:spacing w:line="360" w:lineRule="auto"/>
        <w:ind w:left="426"/>
        <w:jc w:val="left"/>
        <w:rPr>
          <w:color w:val="000000"/>
          <w:szCs w:val="21"/>
        </w:rPr>
      </w:pPr>
      <w:r>
        <w:rPr>
          <w:color w:val="000000"/>
          <w:szCs w:val="21"/>
        </w:rPr>
        <w:t>8.1、大学生网络安全基本知识，网络不良信息对大学生的危害，大学生上网时应当注意的问题；</w:t>
      </w:r>
    </w:p>
    <w:p>
      <w:pPr>
        <w:adjustRightInd w:val="0"/>
        <w:snapToGrid w:val="0"/>
        <w:spacing w:line="360" w:lineRule="auto"/>
        <w:ind w:left="426"/>
        <w:jc w:val="left"/>
        <w:rPr>
          <w:color w:val="000000"/>
          <w:szCs w:val="21"/>
        </w:rPr>
      </w:pPr>
      <w:r>
        <w:rPr>
          <w:color w:val="000000"/>
          <w:szCs w:val="21"/>
        </w:rPr>
        <w:t xml:space="preserve">8.2、大学生网络成瘾的原因及有效的预防措施； </w:t>
      </w:r>
    </w:p>
    <w:p>
      <w:pPr>
        <w:adjustRightInd w:val="0"/>
        <w:snapToGrid w:val="0"/>
        <w:spacing w:line="360" w:lineRule="auto"/>
        <w:ind w:left="426"/>
        <w:jc w:val="left"/>
        <w:rPr>
          <w:color w:val="000000"/>
          <w:szCs w:val="21"/>
        </w:rPr>
      </w:pPr>
      <w:r>
        <w:rPr>
          <w:color w:val="000000"/>
          <w:szCs w:val="21"/>
        </w:rPr>
        <w:t xml:space="preserve">8.3、常见网络犯罪类型，国家有关互联网相关法律法规 </w:t>
      </w:r>
    </w:p>
    <w:p>
      <w:pPr>
        <w:adjustRightInd w:val="0"/>
        <w:snapToGrid w:val="0"/>
        <w:spacing w:line="360" w:lineRule="auto"/>
        <w:ind w:left="426"/>
        <w:jc w:val="left"/>
        <w:rPr>
          <w:color w:val="000000"/>
          <w:szCs w:val="21"/>
        </w:rPr>
      </w:pPr>
      <w:r>
        <w:rPr>
          <w:color w:val="000000"/>
          <w:szCs w:val="21"/>
        </w:rPr>
        <w:t>8.</w:t>
      </w:r>
      <w:r>
        <w:rPr>
          <w:rFonts w:hint="eastAsia"/>
          <w:color w:val="000000"/>
          <w:szCs w:val="21"/>
        </w:rPr>
        <w:t>4</w:t>
      </w:r>
      <w:r>
        <w:rPr>
          <w:color w:val="000000"/>
          <w:szCs w:val="21"/>
        </w:rPr>
        <w:t>、网络安全文化构建的方针与原则，实施的方法与途径。</w:t>
      </w:r>
    </w:p>
    <w:p>
      <w:pPr>
        <w:adjustRightInd w:val="0"/>
        <w:snapToGrid w:val="0"/>
        <w:spacing w:line="360" w:lineRule="auto"/>
        <w:ind w:left="426"/>
        <w:jc w:val="left"/>
        <w:rPr>
          <w:color w:val="000000"/>
          <w:szCs w:val="21"/>
        </w:rPr>
      </w:pPr>
      <w:r>
        <w:rPr>
          <w:rFonts w:eastAsia="黑体"/>
          <w:color w:val="000000"/>
          <w:szCs w:val="21"/>
        </w:rPr>
        <w:t>教学方法：</w:t>
      </w:r>
      <w:r>
        <w:rPr>
          <w:color w:val="000000"/>
          <w:szCs w:val="21"/>
        </w:rPr>
        <w:t>课堂讲授、案例分析、课堂活动与小组讨论。</w:t>
      </w:r>
    </w:p>
    <w:p>
      <w:pPr>
        <w:adjustRightInd w:val="0"/>
        <w:snapToGrid w:val="0"/>
        <w:spacing w:line="360" w:lineRule="auto"/>
        <w:ind w:left="426"/>
        <w:jc w:val="left"/>
        <w:rPr>
          <w:rFonts w:eastAsia="黑体"/>
          <w:color w:val="000000"/>
          <w:szCs w:val="21"/>
        </w:rPr>
      </w:pPr>
      <w:r>
        <w:rPr>
          <w:rFonts w:eastAsia="黑体"/>
          <w:color w:val="000000"/>
          <w:szCs w:val="21"/>
        </w:rPr>
        <w:t xml:space="preserve">问题思考： </w:t>
      </w:r>
    </w:p>
    <w:p>
      <w:pPr>
        <w:adjustRightInd w:val="0"/>
        <w:snapToGrid w:val="0"/>
        <w:spacing w:line="360" w:lineRule="auto"/>
        <w:ind w:left="426"/>
        <w:jc w:val="left"/>
        <w:rPr>
          <w:rFonts w:eastAsia="黑体"/>
          <w:color w:val="000000"/>
          <w:szCs w:val="21"/>
        </w:rPr>
      </w:pPr>
      <w:r>
        <w:rPr>
          <w:color w:val="000000"/>
          <w:szCs w:val="21"/>
        </w:rPr>
        <w:t>1、列举当前网络中存在的不良信息，讨论对学生造成的负面影响。</w:t>
      </w:r>
      <w:r>
        <w:rPr>
          <w:rFonts w:eastAsia="黑体"/>
          <w:color w:val="000000"/>
          <w:szCs w:val="21"/>
        </w:rPr>
        <w:t xml:space="preserve"> </w:t>
      </w:r>
    </w:p>
    <w:p>
      <w:pPr>
        <w:adjustRightInd w:val="0"/>
        <w:snapToGrid w:val="0"/>
        <w:spacing w:line="360" w:lineRule="auto"/>
        <w:ind w:left="426"/>
        <w:jc w:val="left"/>
        <w:rPr>
          <w:rFonts w:eastAsia="黑体"/>
          <w:color w:val="000000"/>
          <w:szCs w:val="21"/>
        </w:rPr>
      </w:pPr>
      <w:r>
        <w:rPr>
          <w:color w:val="000000"/>
          <w:szCs w:val="21"/>
        </w:rPr>
        <w:t>2、列举确保网络信息安全需要注意哪些事项？</w:t>
      </w:r>
      <w:r>
        <w:rPr>
          <w:rFonts w:eastAsia="黑体"/>
          <w:color w:val="000000"/>
          <w:szCs w:val="21"/>
        </w:rPr>
        <w:t xml:space="preserve"> </w:t>
      </w:r>
    </w:p>
    <w:p>
      <w:pPr>
        <w:adjustRightInd w:val="0"/>
        <w:snapToGrid w:val="0"/>
        <w:spacing w:line="360" w:lineRule="auto"/>
        <w:ind w:left="426"/>
        <w:jc w:val="left"/>
        <w:rPr>
          <w:color w:val="000000"/>
          <w:szCs w:val="21"/>
        </w:rPr>
      </w:pPr>
      <w:r>
        <w:rPr>
          <w:color w:val="000000"/>
          <w:szCs w:val="21"/>
        </w:rPr>
        <w:t>3、如果遇到网络病毒、信息泄露等事件该如何应对？</w:t>
      </w:r>
    </w:p>
    <w:p>
      <w:pPr>
        <w:adjustRightInd w:val="0"/>
        <w:snapToGrid w:val="0"/>
        <w:spacing w:line="360" w:lineRule="auto"/>
        <w:ind w:left="426"/>
        <w:jc w:val="left"/>
        <w:rPr>
          <w:color w:val="000000"/>
          <w:szCs w:val="21"/>
        </w:rPr>
      </w:pPr>
      <w:r>
        <w:rPr>
          <w:rFonts w:hint="eastAsia"/>
          <w:color w:val="000000"/>
          <w:szCs w:val="21"/>
        </w:rPr>
        <w:t>本章节内容支撑课程目标1、2。</w:t>
      </w:r>
    </w:p>
    <w:p>
      <w:pPr>
        <w:spacing w:line="360" w:lineRule="auto"/>
        <w:ind w:left="426"/>
        <w:jc w:val="left"/>
        <w:rPr>
          <w:rFonts w:eastAsia="黑体"/>
          <w:color w:val="000000"/>
          <w:szCs w:val="21"/>
        </w:rPr>
      </w:pPr>
      <w:r>
        <w:rPr>
          <w:rFonts w:eastAsia="黑体"/>
          <w:color w:val="000000"/>
          <w:szCs w:val="21"/>
        </w:rPr>
        <w:t>9 国家安全与政治稳定</w:t>
      </w:r>
      <w:r>
        <w:rPr>
          <w:rFonts w:hint="eastAsia" w:eastAsia="黑体"/>
          <w:color w:val="000000"/>
          <w:szCs w:val="21"/>
        </w:rPr>
        <w:t>（5学时）</w:t>
      </w:r>
    </w:p>
    <w:p>
      <w:pPr>
        <w:spacing w:line="360" w:lineRule="auto"/>
        <w:ind w:left="426"/>
        <w:jc w:val="left"/>
        <w:rPr>
          <w:rFonts w:eastAsia="黑体"/>
          <w:color w:val="000000"/>
          <w:szCs w:val="21"/>
        </w:rPr>
      </w:pPr>
      <w:r>
        <w:rPr>
          <w:rFonts w:eastAsia="黑体"/>
          <w:color w:val="000000"/>
          <w:szCs w:val="21"/>
        </w:rPr>
        <w:t>教学目标：</w:t>
      </w:r>
      <w:r>
        <w:rPr>
          <w:color w:val="000000"/>
          <w:szCs w:val="21"/>
        </w:rPr>
        <w:t>通过本部分学习，使学生了解国家安全与政治安全的基本定义、内容，</w:t>
      </w:r>
      <w:r>
        <w:rPr>
          <w:rFonts w:hint="eastAsia"/>
          <w:szCs w:val="21"/>
        </w:rPr>
        <w:t>了解</w:t>
      </w:r>
      <w:r>
        <w:rPr>
          <w:color w:val="000000"/>
          <w:szCs w:val="21"/>
        </w:rPr>
        <w:t>维护国家安全的权力与义务，破坏国家安全的危害与责任，规范行为准则。了解影响国家政治安全的因素、维护高校政治安全的措施及大学生应尽的责任，认识恐怖主义与邪教的危害，启发学生树立崇尚科学和自觉树立反对恐怖主义的意识。</w:t>
      </w:r>
    </w:p>
    <w:p>
      <w:pPr>
        <w:spacing w:line="360" w:lineRule="auto"/>
        <w:ind w:left="426"/>
        <w:jc w:val="left"/>
        <w:rPr>
          <w:color w:val="000000"/>
          <w:szCs w:val="21"/>
        </w:rPr>
      </w:pPr>
      <w:r>
        <w:rPr>
          <w:rFonts w:eastAsia="黑体"/>
          <w:color w:val="000000"/>
          <w:szCs w:val="21"/>
        </w:rPr>
        <w:t>教学内容：</w:t>
      </w:r>
      <w:r>
        <w:rPr>
          <w:color w:val="000000"/>
          <w:szCs w:val="21"/>
        </w:rPr>
        <w:t xml:space="preserve"> </w:t>
      </w:r>
    </w:p>
    <w:p>
      <w:pPr>
        <w:spacing w:line="360" w:lineRule="auto"/>
        <w:ind w:left="426"/>
        <w:jc w:val="left"/>
        <w:rPr>
          <w:color w:val="000000"/>
          <w:szCs w:val="21"/>
        </w:rPr>
      </w:pPr>
      <w:r>
        <w:rPr>
          <w:rFonts w:hint="eastAsia"/>
          <w:color w:val="000000"/>
          <w:szCs w:val="21"/>
        </w:rPr>
        <w:t>9</w:t>
      </w:r>
      <w:r>
        <w:rPr>
          <w:color w:val="000000"/>
          <w:szCs w:val="21"/>
        </w:rPr>
        <w:t>.1、国家安全的含义、危害国家安全行为的界定及法律责任。</w:t>
      </w:r>
    </w:p>
    <w:p>
      <w:pPr>
        <w:spacing w:line="360" w:lineRule="auto"/>
        <w:ind w:left="426"/>
        <w:jc w:val="left"/>
        <w:rPr>
          <w:color w:val="000000"/>
          <w:szCs w:val="21"/>
        </w:rPr>
      </w:pPr>
      <w:r>
        <w:rPr>
          <w:rFonts w:hint="eastAsia"/>
          <w:color w:val="000000"/>
          <w:szCs w:val="21"/>
        </w:rPr>
        <w:t>9</w:t>
      </w:r>
      <w:r>
        <w:rPr>
          <w:color w:val="000000"/>
          <w:szCs w:val="21"/>
        </w:rPr>
        <w:t>.</w:t>
      </w:r>
      <w:r>
        <w:rPr>
          <w:rFonts w:hint="eastAsia"/>
          <w:color w:val="000000"/>
          <w:szCs w:val="21"/>
        </w:rPr>
        <w:t>2</w:t>
      </w:r>
      <w:r>
        <w:rPr>
          <w:color w:val="000000"/>
          <w:szCs w:val="21"/>
        </w:rPr>
        <w:t xml:space="preserve">、保密知识，涉外及出国（境）安全防范和注意事项。 </w:t>
      </w:r>
    </w:p>
    <w:p>
      <w:pPr>
        <w:spacing w:line="360" w:lineRule="auto"/>
        <w:ind w:left="426"/>
        <w:jc w:val="left"/>
        <w:rPr>
          <w:color w:val="000000"/>
          <w:szCs w:val="21"/>
        </w:rPr>
      </w:pPr>
      <w:r>
        <w:rPr>
          <w:rFonts w:hint="eastAsia"/>
          <w:color w:val="000000"/>
          <w:szCs w:val="21"/>
        </w:rPr>
        <w:t>9</w:t>
      </w:r>
      <w:r>
        <w:rPr>
          <w:color w:val="000000"/>
          <w:szCs w:val="21"/>
        </w:rPr>
        <w:t>.</w:t>
      </w:r>
      <w:r>
        <w:rPr>
          <w:rFonts w:hint="eastAsia"/>
          <w:color w:val="000000"/>
          <w:szCs w:val="21"/>
        </w:rPr>
        <w:t>3</w:t>
      </w:r>
      <w:r>
        <w:rPr>
          <w:color w:val="000000"/>
          <w:szCs w:val="21"/>
        </w:rPr>
        <w:t xml:space="preserve">、政治安全的概念及影响国家政治安全的因素 </w:t>
      </w:r>
    </w:p>
    <w:p>
      <w:pPr>
        <w:spacing w:line="360" w:lineRule="auto"/>
        <w:ind w:left="426"/>
        <w:jc w:val="left"/>
        <w:rPr>
          <w:color w:val="000000"/>
          <w:szCs w:val="21"/>
        </w:rPr>
      </w:pPr>
      <w:r>
        <w:rPr>
          <w:rFonts w:hint="eastAsia"/>
          <w:color w:val="000000"/>
          <w:szCs w:val="21"/>
        </w:rPr>
        <w:t>9</w:t>
      </w:r>
      <w:r>
        <w:rPr>
          <w:color w:val="000000"/>
          <w:szCs w:val="21"/>
        </w:rPr>
        <w:t>.</w:t>
      </w:r>
      <w:r>
        <w:rPr>
          <w:rFonts w:hint="eastAsia"/>
          <w:color w:val="000000"/>
          <w:szCs w:val="21"/>
        </w:rPr>
        <w:t>4</w:t>
      </w:r>
      <w:r>
        <w:rPr>
          <w:color w:val="000000"/>
          <w:szCs w:val="21"/>
        </w:rPr>
        <w:t>、国内外恐怖主义的形式及对大学生安全的威胁。</w:t>
      </w:r>
    </w:p>
    <w:p>
      <w:pPr>
        <w:spacing w:line="360" w:lineRule="auto"/>
        <w:ind w:left="426"/>
        <w:jc w:val="left"/>
        <w:rPr>
          <w:color w:val="000000"/>
          <w:szCs w:val="21"/>
        </w:rPr>
      </w:pPr>
      <w:r>
        <w:rPr>
          <w:rFonts w:hint="eastAsia"/>
          <w:color w:val="000000"/>
          <w:szCs w:val="21"/>
        </w:rPr>
        <w:t>9</w:t>
      </w:r>
      <w:r>
        <w:rPr>
          <w:color w:val="000000"/>
          <w:szCs w:val="21"/>
        </w:rPr>
        <w:t>.</w:t>
      </w:r>
      <w:r>
        <w:rPr>
          <w:rFonts w:hint="eastAsia"/>
          <w:color w:val="000000"/>
          <w:szCs w:val="21"/>
        </w:rPr>
        <w:t>5</w:t>
      </w:r>
      <w:r>
        <w:rPr>
          <w:color w:val="000000"/>
          <w:szCs w:val="21"/>
        </w:rPr>
        <w:t xml:space="preserve">、宗教信仰的含义及我国对宗教信仰的政策和法律保障。 </w:t>
      </w:r>
    </w:p>
    <w:p>
      <w:pPr>
        <w:spacing w:line="360" w:lineRule="auto"/>
        <w:ind w:left="426"/>
        <w:jc w:val="left"/>
        <w:rPr>
          <w:color w:val="000000"/>
          <w:szCs w:val="21"/>
        </w:rPr>
      </w:pPr>
      <w:r>
        <w:rPr>
          <w:rFonts w:hint="eastAsia"/>
          <w:color w:val="000000"/>
          <w:szCs w:val="21"/>
        </w:rPr>
        <w:t>9</w:t>
      </w:r>
      <w:r>
        <w:rPr>
          <w:color w:val="000000"/>
          <w:szCs w:val="21"/>
        </w:rPr>
        <w:t>.</w:t>
      </w:r>
      <w:r>
        <w:rPr>
          <w:rFonts w:hint="eastAsia"/>
          <w:color w:val="000000"/>
          <w:szCs w:val="21"/>
        </w:rPr>
        <w:t>6</w:t>
      </w:r>
      <w:r>
        <w:rPr>
          <w:color w:val="000000"/>
          <w:szCs w:val="21"/>
        </w:rPr>
        <w:t>、邪教的界定、危害，大学生崇尚科学、反对邪教的基本要求。</w:t>
      </w:r>
    </w:p>
    <w:p>
      <w:pPr>
        <w:spacing w:line="360" w:lineRule="auto"/>
        <w:ind w:left="426"/>
        <w:jc w:val="left"/>
        <w:rPr>
          <w:rFonts w:eastAsia="黑体"/>
          <w:color w:val="000000"/>
          <w:szCs w:val="21"/>
        </w:rPr>
      </w:pPr>
      <w:r>
        <w:rPr>
          <w:rFonts w:eastAsia="黑体"/>
          <w:color w:val="000000"/>
          <w:szCs w:val="21"/>
        </w:rPr>
        <w:t>教学方法：</w:t>
      </w:r>
      <w:r>
        <w:rPr>
          <w:color w:val="000000"/>
          <w:szCs w:val="21"/>
        </w:rPr>
        <w:t>理论讲授、案例分析、情景再现、小组讨论、应急演练。</w:t>
      </w:r>
    </w:p>
    <w:p>
      <w:pPr>
        <w:spacing w:line="360" w:lineRule="auto"/>
        <w:ind w:left="426"/>
        <w:jc w:val="left"/>
        <w:rPr>
          <w:rFonts w:eastAsia="黑体"/>
          <w:color w:val="000000"/>
          <w:szCs w:val="21"/>
        </w:rPr>
      </w:pPr>
      <w:r>
        <w:rPr>
          <w:rFonts w:eastAsia="黑体"/>
          <w:color w:val="000000"/>
          <w:szCs w:val="21"/>
        </w:rPr>
        <w:t xml:space="preserve">问题思考： </w:t>
      </w:r>
    </w:p>
    <w:p>
      <w:pPr>
        <w:spacing w:line="360" w:lineRule="auto"/>
        <w:ind w:left="426"/>
        <w:jc w:val="left"/>
        <w:rPr>
          <w:color w:val="000000"/>
          <w:szCs w:val="21"/>
        </w:rPr>
      </w:pPr>
      <w:r>
        <w:rPr>
          <w:color w:val="000000"/>
          <w:szCs w:val="21"/>
        </w:rPr>
        <w:t xml:space="preserve">1、为什么说维护高校稳定是大学生的责任？ </w:t>
      </w:r>
    </w:p>
    <w:p>
      <w:pPr>
        <w:spacing w:line="360" w:lineRule="auto"/>
        <w:ind w:left="426"/>
        <w:jc w:val="left"/>
        <w:rPr>
          <w:color w:val="000000"/>
          <w:szCs w:val="21"/>
        </w:rPr>
      </w:pPr>
      <w:r>
        <w:rPr>
          <w:rFonts w:hint="eastAsia"/>
          <w:color w:val="000000"/>
          <w:szCs w:val="21"/>
        </w:rPr>
        <w:t>2</w:t>
      </w:r>
      <w:r>
        <w:rPr>
          <w:color w:val="000000"/>
          <w:szCs w:val="21"/>
        </w:rPr>
        <w:t xml:space="preserve">、恐怖主义对大学生安全的威胁有哪些？ </w:t>
      </w:r>
    </w:p>
    <w:p>
      <w:pPr>
        <w:spacing w:line="360" w:lineRule="auto"/>
        <w:ind w:left="426"/>
        <w:jc w:val="left"/>
        <w:rPr>
          <w:color w:val="000000"/>
          <w:szCs w:val="21"/>
        </w:rPr>
      </w:pPr>
      <w:r>
        <w:rPr>
          <w:rFonts w:hint="eastAsia"/>
          <w:color w:val="000000"/>
          <w:szCs w:val="21"/>
        </w:rPr>
        <w:t>3</w:t>
      </w:r>
      <w:r>
        <w:rPr>
          <w:color w:val="000000"/>
          <w:szCs w:val="21"/>
        </w:rPr>
        <w:t>、邪教的危害有哪些？大学生如何反对邪教？</w:t>
      </w:r>
    </w:p>
    <w:p>
      <w:pPr>
        <w:spacing w:line="360" w:lineRule="auto"/>
        <w:ind w:left="426"/>
        <w:jc w:val="left"/>
        <w:rPr>
          <w:color w:val="000000"/>
          <w:szCs w:val="21"/>
        </w:rPr>
      </w:pPr>
      <w:r>
        <w:rPr>
          <w:rFonts w:hint="eastAsia"/>
          <w:color w:val="000000"/>
          <w:szCs w:val="21"/>
        </w:rPr>
        <w:t>本章节内容支撑课程目标2、3。</w:t>
      </w:r>
    </w:p>
    <w:p>
      <w:pPr>
        <w:spacing w:line="360" w:lineRule="auto"/>
        <w:ind w:left="426"/>
        <w:jc w:val="left"/>
        <w:rPr>
          <w:rFonts w:eastAsia="黑体"/>
          <w:color w:val="000000"/>
          <w:szCs w:val="21"/>
        </w:rPr>
      </w:pPr>
      <w:r>
        <w:rPr>
          <w:rFonts w:hint="eastAsia" w:eastAsia="黑体"/>
          <w:color w:val="000000"/>
          <w:szCs w:val="21"/>
        </w:rPr>
        <w:t xml:space="preserve">10 </w:t>
      </w:r>
      <w:r>
        <w:rPr>
          <w:rFonts w:eastAsia="黑体"/>
          <w:color w:val="000000"/>
          <w:szCs w:val="21"/>
        </w:rPr>
        <w:t>自然灾害事故预防</w:t>
      </w:r>
      <w:r>
        <w:rPr>
          <w:rFonts w:hint="eastAsia" w:eastAsia="黑体"/>
          <w:color w:val="000000"/>
          <w:szCs w:val="21"/>
        </w:rPr>
        <w:t>（4学时）</w:t>
      </w:r>
    </w:p>
    <w:p>
      <w:pPr>
        <w:spacing w:line="360" w:lineRule="auto"/>
        <w:ind w:left="426"/>
        <w:jc w:val="left"/>
        <w:rPr>
          <w:color w:val="000000"/>
          <w:szCs w:val="21"/>
        </w:rPr>
      </w:pPr>
      <w:r>
        <w:rPr>
          <w:rFonts w:eastAsia="黑体"/>
          <w:color w:val="000000"/>
          <w:szCs w:val="21"/>
        </w:rPr>
        <w:t>教学目标：</w:t>
      </w:r>
      <w:r>
        <w:rPr>
          <w:color w:val="000000"/>
          <w:szCs w:val="21"/>
        </w:rPr>
        <w:t>通过学习，使学生了解如何应对自然灾害，基本</w:t>
      </w:r>
      <w:r>
        <w:rPr>
          <w:rFonts w:hint="eastAsia"/>
          <w:color w:val="000000"/>
          <w:szCs w:val="21"/>
        </w:rPr>
        <w:t>学会</w:t>
      </w:r>
      <w:r>
        <w:rPr>
          <w:color w:val="000000"/>
          <w:szCs w:val="21"/>
        </w:rPr>
        <w:t>应对自然灾害的常识，提高应对自然灾害的能力，引导大学生通过学习来提高自我保护、自我救助和相互救援的能力。</w:t>
      </w:r>
    </w:p>
    <w:p>
      <w:pPr>
        <w:spacing w:line="360" w:lineRule="auto"/>
        <w:ind w:left="426"/>
        <w:jc w:val="left"/>
        <w:rPr>
          <w:color w:val="000000"/>
          <w:szCs w:val="21"/>
        </w:rPr>
      </w:pPr>
      <w:r>
        <w:rPr>
          <w:rFonts w:eastAsia="黑体"/>
          <w:color w:val="000000"/>
          <w:szCs w:val="21"/>
        </w:rPr>
        <w:t>教学内容：</w:t>
      </w:r>
      <w:r>
        <w:rPr>
          <w:color w:val="000000"/>
          <w:szCs w:val="21"/>
        </w:rPr>
        <w:t xml:space="preserve"> </w:t>
      </w:r>
    </w:p>
    <w:p>
      <w:pPr>
        <w:spacing w:line="360" w:lineRule="auto"/>
        <w:ind w:left="426"/>
        <w:jc w:val="left"/>
        <w:rPr>
          <w:color w:val="000000"/>
          <w:szCs w:val="21"/>
        </w:rPr>
      </w:pPr>
      <w:r>
        <w:rPr>
          <w:szCs w:val="21"/>
        </w:rPr>
        <w:t>10.1、</w:t>
      </w:r>
      <w:r>
        <w:rPr>
          <w:color w:val="000000"/>
          <w:szCs w:val="21"/>
        </w:rPr>
        <w:t>自然灾害的基本常识，自然灾害的客观必然性、规律性和分类</w:t>
      </w:r>
      <w:r>
        <w:rPr>
          <w:rFonts w:hint="eastAsia"/>
          <w:color w:val="000000"/>
          <w:szCs w:val="21"/>
        </w:rPr>
        <w:t>；</w:t>
      </w:r>
      <w:r>
        <w:rPr>
          <w:color w:val="000000"/>
          <w:szCs w:val="21"/>
        </w:rPr>
        <w:t xml:space="preserve"> </w:t>
      </w:r>
    </w:p>
    <w:p>
      <w:pPr>
        <w:spacing w:line="360" w:lineRule="auto"/>
        <w:ind w:left="426"/>
        <w:jc w:val="left"/>
        <w:rPr>
          <w:color w:val="000000"/>
          <w:szCs w:val="21"/>
        </w:rPr>
      </w:pPr>
      <w:r>
        <w:rPr>
          <w:szCs w:val="21"/>
        </w:rPr>
        <w:t>10.</w:t>
      </w:r>
      <w:r>
        <w:rPr>
          <w:rFonts w:hint="eastAsia"/>
          <w:szCs w:val="21"/>
        </w:rPr>
        <w:t>2</w:t>
      </w:r>
      <w:r>
        <w:rPr>
          <w:szCs w:val="21"/>
        </w:rPr>
        <w:t>、</w:t>
      </w:r>
      <w:r>
        <w:rPr>
          <w:color w:val="000000"/>
          <w:szCs w:val="21"/>
        </w:rPr>
        <w:t>各类常见自然灾害事故的应对和避险知识</w:t>
      </w:r>
      <w:r>
        <w:rPr>
          <w:rFonts w:hint="eastAsia"/>
          <w:color w:val="000000"/>
          <w:szCs w:val="21"/>
        </w:rPr>
        <w:t>；</w:t>
      </w:r>
      <w:r>
        <w:rPr>
          <w:color w:val="000000"/>
          <w:szCs w:val="21"/>
        </w:rPr>
        <w:t xml:space="preserve"> </w:t>
      </w:r>
    </w:p>
    <w:p>
      <w:pPr>
        <w:spacing w:line="360" w:lineRule="auto"/>
        <w:ind w:left="426"/>
        <w:jc w:val="left"/>
        <w:rPr>
          <w:color w:val="000000"/>
          <w:szCs w:val="21"/>
        </w:rPr>
      </w:pPr>
      <w:r>
        <w:rPr>
          <w:szCs w:val="21"/>
        </w:rPr>
        <w:t>10.</w:t>
      </w:r>
      <w:r>
        <w:rPr>
          <w:rFonts w:hint="eastAsia"/>
          <w:szCs w:val="21"/>
        </w:rPr>
        <w:t>3</w:t>
      </w:r>
      <w:r>
        <w:rPr>
          <w:szCs w:val="21"/>
        </w:rPr>
        <w:t>、</w:t>
      </w:r>
      <w:r>
        <w:rPr>
          <w:color w:val="000000"/>
          <w:szCs w:val="21"/>
        </w:rPr>
        <w:t>国家防灾减灾的法律法规以及自然灾害事故应急预案体系。</w:t>
      </w:r>
    </w:p>
    <w:p>
      <w:pPr>
        <w:spacing w:line="360" w:lineRule="auto"/>
        <w:ind w:left="426"/>
        <w:jc w:val="left"/>
        <w:rPr>
          <w:color w:val="000000"/>
          <w:szCs w:val="21"/>
        </w:rPr>
      </w:pPr>
      <w:r>
        <w:rPr>
          <w:rFonts w:eastAsia="黑体"/>
          <w:color w:val="000000"/>
          <w:szCs w:val="21"/>
        </w:rPr>
        <w:t>教学方法：</w:t>
      </w:r>
      <w:r>
        <w:rPr>
          <w:color w:val="000000"/>
          <w:szCs w:val="21"/>
        </w:rPr>
        <w:t>课堂讲授、案例分析、应急演练。</w:t>
      </w:r>
    </w:p>
    <w:p>
      <w:pPr>
        <w:spacing w:line="360" w:lineRule="auto"/>
        <w:ind w:left="426"/>
        <w:jc w:val="left"/>
        <w:rPr>
          <w:rFonts w:eastAsia="黑体"/>
          <w:color w:val="000000"/>
          <w:szCs w:val="21"/>
        </w:rPr>
      </w:pPr>
      <w:r>
        <w:rPr>
          <w:rFonts w:eastAsia="黑体"/>
          <w:color w:val="000000"/>
          <w:szCs w:val="21"/>
        </w:rPr>
        <w:t>问题</w:t>
      </w:r>
      <w:r>
        <w:rPr>
          <w:rFonts w:hint="eastAsia" w:eastAsia="黑体"/>
          <w:color w:val="000000"/>
          <w:szCs w:val="21"/>
        </w:rPr>
        <w:t>思考</w:t>
      </w:r>
      <w:r>
        <w:rPr>
          <w:rFonts w:eastAsia="黑体"/>
          <w:color w:val="000000"/>
          <w:szCs w:val="21"/>
        </w:rPr>
        <w:t xml:space="preserve">： </w:t>
      </w:r>
    </w:p>
    <w:p>
      <w:pPr>
        <w:spacing w:line="360" w:lineRule="auto"/>
        <w:ind w:left="426"/>
        <w:jc w:val="left"/>
        <w:rPr>
          <w:szCs w:val="21"/>
        </w:rPr>
      </w:pPr>
      <w:r>
        <w:rPr>
          <w:color w:val="000000"/>
          <w:szCs w:val="21"/>
        </w:rPr>
        <w:t>1、</w:t>
      </w:r>
      <w:r>
        <w:rPr>
          <w:szCs w:val="21"/>
        </w:rPr>
        <w:t xml:space="preserve">一旦面对灾难，大学生应具备怎样的思想和心理准备、物质准备和技能准备？ </w:t>
      </w:r>
    </w:p>
    <w:p>
      <w:pPr>
        <w:spacing w:line="360" w:lineRule="auto"/>
        <w:ind w:left="426"/>
        <w:jc w:val="left"/>
        <w:rPr>
          <w:szCs w:val="21"/>
        </w:rPr>
      </w:pPr>
      <w:r>
        <w:rPr>
          <w:rFonts w:hint="eastAsia"/>
          <w:color w:val="000000"/>
          <w:szCs w:val="21"/>
        </w:rPr>
        <w:t>2</w:t>
      </w:r>
      <w:r>
        <w:rPr>
          <w:color w:val="000000"/>
          <w:szCs w:val="21"/>
        </w:rPr>
        <w:t>、</w:t>
      </w:r>
      <w:r>
        <w:rPr>
          <w:szCs w:val="21"/>
        </w:rPr>
        <w:t>如何应对各种自然灾害及做好自我保护？</w:t>
      </w:r>
    </w:p>
    <w:p>
      <w:pPr>
        <w:spacing w:line="360" w:lineRule="auto"/>
        <w:ind w:left="426"/>
        <w:jc w:val="left"/>
        <w:rPr>
          <w:szCs w:val="21"/>
        </w:rPr>
      </w:pPr>
      <w:r>
        <w:rPr>
          <w:rFonts w:hint="eastAsia"/>
          <w:color w:val="000000"/>
          <w:szCs w:val="21"/>
        </w:rPr>
        <w:t>本章节内容支撑课程目标2、3。</w:t>
      </w:r>
    </w:p>
    <w:p>
      <w:pPr>
        <w:spacing w:line="360" w:lineRule="auto"/>
        <w:ind w:left="426"/>
        <w:jc w:val="left"/>
        <w:rPr>
          <w:rFonts w:eastAsia="黑体" w:cs="黑体"/>
          <w:szCs w:val="21"/>
        </w:rPr>
      </w:pPr>
      <w:r>
        <w:rPr>
          <w:rFonts w:hint="eastAsia"/>
          <w:szCs w:val="21"/>
        </w:rPr>
        <w:t xml:space="preserve">11 </w:t>
      </w:r>
      <w:r>
        <w:rPr>
          <w:rFonts w:hint="eastAsia" w:eastAsia="黑体" w:cs="黑体"/>
          <w:szCs w:val="21"/>
        </w:rPr>
        <w:t>社会兼职与就业安全（1学时）</w:t>
      </w:r>
    </w:p>
    <w:p>
      <w:pPr>
        <w:spacing w:line="360" w:lineRule="auto"/>
        <w:ind w:left="426"/>
        <w:jc w:val="left"/>
        <w:rPr>
          <w:szCs w:val="21"/>
        </w:rPr>
      </w:pPr>
      <w:r>
        <w:rPr>
          <w:rFonts w:eastAsia="黑体" w:cs="黑体"/>
          <w:szCs w:val="21"/>
        </w:rPr>
        <w:t>教学目标：</w:t>
      </w:r>
      <w:r>
        <w:rPr>
          <w:szCs w:val="21"/>
        </w:rPr>
        <w:t>通过学习，使大学生了解社会兼职中的安全隐患和风险，</w:t>
      </w:r>
      <w:r>
        <w:rPr>
          <w:rFonts w:hint="eastAsia"/>
          <w:szCs w:val="21"/>
        </w:rPr>
        <w:t>了解</w:t>
      </w:r>
      <w:r>
        <w:rPr>
          <w:szCs w:val="21"/>
        </w:rPr>
        <w:t>基本的识别和防范常识。使大学生熟悉基本的就业政策和相关的法律法规，了解常见的就业陷阱，提高防范意识和甄别能力，</w:t>
      </w:r>
      <w:r>
        <w:rPr>
          <w:rFonts w:hint="eastAsia"/>
          <w:szCs w:val="21"/>
        </w:rPr>
        <w:t>了解</w:t>
      </w:r>
      <w:r>
        <w:rPr>
          <w:szCs w:val="21"/>
        </w:rPr>
        <w:t>就业安全防范措施，维护自身权益。</w:t>
      </w:r>
    </w:p>
    <w:p>
      <w:pPr>
        <w:spacing w:line="360" w:lineRule="auto"/>
        <w:ind w:left="426"/>
        <w:jc w:val="left"/>
        <w:rPr>
          <w:rFonts w:eastAsia="黑体" w:cs="黑体"/>
          <w:szCs w:val="21"/>
        </w:rPr>
      </w:pPr>
      <w:r>
        <w:rPr>
          <w:rFonts w:eastAsia="黑体" w:cs="黑体"/>
          <w:szCs w:val="21"/>
        </w:rPr>
        <w:t>教学内容：</w:t>
      </w:r>
    </w:p>
    <w:p>
      <w:pPr>
        <w:spacing w:line="360" w:lineRule="auto"/>
        <w:ind w:left="426"/>
        <w:jc w:val="left"/>
        <w:rPr>
          <w:szCs w:val="21"/>
        </w:rPr>
      </w:pPr>
      <w:r>
        <w:rPr>
          <w:szCs w:val="21"/>
        </w:rPr>
        <w:t>1</w:t>
      </w:r>
      <w:r>
        <w:rPr>
          <w:rFonts w:hint="eastAsia"/>
          <w:szCs w:val="21"/>
        </w:rPr>
        <w:t>1</w:t>
      </w:r>
      <w:r>
        <w:rPr>
          <w:szCs w:val="21"/>
        </w:rPr>
        <w:t>.1、社会兼职中常见的骗局和安全隐患，基本防范要领</w:t>
      </w:r>
      <w:r>
        <w:rPr>
          <w:rFonts w:hint="eastAsia"/>
          <w:szCs w:val="21"/>
        </w:rPr>
        <w:t>；</w:t>
      </w:r>
    </w:p>
    <w:p>
      <w:pPr>
        <w:spacing w:line="360" w:lineRule="auto"/>
        <w:ind w:left="426"/>
        <w:jc w:val="left"/>
        <w:rPr>
          <w:szCs w:val="21"/>
        </w:rPr>
      </w:pPr>
      <w:r>
        <w:rPr>
          <w:szCs w:val="21"/>
        </w:rPr>
        <w:t>1</w:t>
      </w:r>
      <w:r>
        <w:rPr>
          <w:rFonts w:hint="eastAsia"/>
          <w:szCs w:val="21"/>
        </w:rPr>
        <w:t>1</w:t>
      </w:r>
      <w:r>
        <w:rPr>
          <w:szCs w:val="21"/>
        </w:rPr>
        <w:t>.</w:t>
      </w:r>
      <w:r>
        <w:rPr>
          <w:rFonts w:hint="eastAsia"/>
          <w:szCs w:val="21"/>
        </w:rPr>
        <w:t>2</w:t>
      </w:r>
      <w:r>
        <w:rPr>
          <w:szCs w:val="21"/>
        </w:rPr>
        <w:t>、就业政策和相关法律法规</w:t>
      </w:r>
      <w:r>
        <w:rPr>
          <w:rFonts w:hint="eastAsia"/>
          <w:szCs w:val="21"/>
        </w:rPr>
        <w:t>；</w:t>
      </w:r>
    </w:p>
    <w:p>
      <w:pPr>
        <w:spacing w:line="360" w:lineRule="auto"/>
        <w:ind w:left="426"/>
        <w:jc w:val="left"/>
        <w:rPr>
          <w:szCs w:val="21"/>
        </w:rPr>
      </w:pPr>
      <w:r>
        <w:rPr>
          <w:szCs w:val="21"/>
        </w:rPr>
        <w:t>1</w:t>
      </w:r>
      <w:r>
        <w:rPr>
          <w:rFonts w:hint="eastAsia"/>
          <w:szCs w:val="21"/>
        </w:rPr>
        <w:t>1</w:t>
      </w:r>
      <w:r>
        <w:rPr>
          <w:szCs w:val="21"/>
        </w:rPr>
        <w:t>.</w:t>
      </w:r>
      <w:r>
        <w:rPr>
          <w:rFonts w:hint="eastAsia"/>
          <w:szCs w:val="21"/>
        </w:rPr>
        <w:t>3</w:t>
      </w:r>
      <w:r>
        <w:rPr>
          <w:szCs w:val="21"/>
        </w:rPr>
        <w:t>、常见就业陷阱分析，防范措施。</w:t>
      </w:r>
    </w:p>
    <w:p>
      <w:pPr>
        <w:spacing w:line="360" w:lineRule="auto"/>
        <w:ind w:left="426"/>
        <w:jc w:val="left"/>
        <w:rPr>
          <w:szCs w:val="21"/>
        </w:rPr>
      </w:pPr>
      <w:r>
        <w:rPr>
          <w:rFonts w:eastAsia="黑体" w:cs="黑体"/>
          <w:szCs w:val="21"/>
        </w:rPr>
        <w:t>教学方法：</w:t>
      </w:r>
      <w:r>
        <w:rPr>
          <w:szCs w:val="21"/>
        </w:rPr>
        <w:t>课堂讲授、案例分析、小组讨论。</w:t>
      </w:r>
    </w:p>
    <w:p>
      <w:pPr>
        <w:spacing w:line="360" w:lineRule="auto"/>
        <w:ind w:left="426"/>
        <w:jc w:val="left"/>
        <w:rPr>
          <w:rFonts w:eastAsia="黑体" w:cs="黑体"/>
          <w:szCs w:val="21"/>
        </w:rPr>
      </w:pPr>
      <w:r>
        <w:rPr>
          <w:rFonts w:eastAsia="黑体" w:cs="黑体"/>
          <w:szCs w:val="21"/>
        </w:rPr>
        <w:t>问题思考：</w:t>
      </w:r>
    </w:p>
    <w:p>
      <w:pPr>
        <w:spacing w:line="360" w:lineRule="auto"/>
        <w:ind w:left="426"/>
        <w:jc w:val="left"/>
        <w:rPr>
          <w:szCs w:val="21"/>
        </w:rPr>
      </w:pPr>
      <w:r>
        <w:rPr>
          <w:color w:val="000000"/>
          <w:szCs w:val="21"/>
        </w:rPr>
        <w:t>1、</w:t>
      </w:r>
      <w:r>
        <w:rPr>
          <w:szCs w:val="21"/>
        </w:rPr>
        <w:t>大学生如何识别就业过程中的传销陷阱？</w:t>
      </w:r>
    </w:p>
    <w:p>
      <w:pPr>
        <w:spacing w:line="360" w:lineRule="auto"/>
        <w:ind w:left="426"/>
        <w:jc w:val="left"/>
        <w:rPr>
          <w:szCs w:val="21"/>
        </w:rPr>
      </w:pPr>
      <w:r>
        <w:rPr>
          <w:szCs w:val="21"/>
        </w:rPr>
        <w:t>2、社会兼职时如何做到确保安全？</w:t>
      </w:r>
    </w:p>
    <w:p>
      <w:pPr>
        <w:spacing w:line="360" w:lineRule="auto"/>
        <w:ind w:left="426"/>
        <w:jc w:val="left"/>
        <w:rPr>
          <w:szCs w:val="21"/>
        </w:rPr>
      </w:pPr>
      <w:r>
        <w:rPr>
          <w:rFonts w:hint="eastAsia"/>
          <w:color w:val="000000"/>
          <w:szCs w:val="21"/>
        </w:rPr>
        <w:t>本章节内容支撑课程目标1、2。</w:t>
      </w:r>
    </w:p>
    <w:p>
      <w:pPr>
        <w:spacing w:line="360" w:lineRule="auto"/>
        <w:ind w:left="426"/>
        <w:jc w:val="left"/>
        <w:rPr>
          <w:rFonts w:eastAsia="黑体" w:cs="黑体"/>
          <w:szCs w:val="21"/>
        </w:rPr>
      </w:pPr>
      <w:r>
        <w:rPr>
          <w:rFonts w:hint="eastAsia"/>
          <w:szCs w:val="21"/>
        </w:rPr>
        <w:t xml:space="preserve">12 </w:t>
      </w:r>
      <w:r>
        <w:rPr>
          <w:rFonts w:hint="eastAsia" w:eastAsia="黑体" w:cs="黑体"/>
          <w:szCs w:val="21"/>
        </w:rPr>
        <w:t>其他安全常识（1学时）</w:t>
      </w:r>
    </w:p>
    <w:p>
      <w:pPr>
        <w:spacing w:line="360" w:lineRule="auto"/>
        <w:ind w:left="426"/>
        <w:jc w:val="left"/>
        <w:rPr>
          <w:szCs w:val="21"/>
        </w:rPr>
      </w:pPr>
      <w:r>
        <w:rPr>
          <w:rFonts w:eastAsia="黑体" w:cs="黑体"/>
          <w:szCs w:val="21"/>
        </w:rPr>
        <w:t>教学目标：</w:t>
      </w:r>
      <w:r>
        <w:rPr>
          <w:szCs w:val="21"/>
        </w:rPr>
        <w:t>通过本部分的学习，使大学生树立意识，懂得常规安全之外，还可能遇到发生几率极小的其他安全问题，学会识别判断校园周围和学习生活过程中特殊的环境和危险因素。</w:t>
      </w:r>
    </w:p>
    <w:p>
      <w:pPr>
        <w:spacing w:line="360" w:lineRule="auto"/>
        <w:ind w:left="426"/>
        <w:jc w:val="left"/>
        <w:rPr>
          <w:szCs w:val="21"/>
        </w:rPr>
      </w:pPr>
      <w:r>
        <w:rPr>
          <w:rFonts w:eastAsia="黑体" w:cs="黑体"/>
          <w:szCs w:val="21"/>
        </w:rPr>
        <w:t>教学内容：</w:t>
      </w:r>
      <w:r>
        <w:rPr>
          <w:szCs w:val="21"/>
        </w:rPr>
        <w:t xml:space="preserve"> </w:t>
      </w:r>
    </w:p>
    <w:p>
      <w:pPr>
        <w:spacing w:line="360" w:lineRule="auto"/>
        <w:ind w:left="426"/>
        <w:jc w:val="left"/>
        <w:rPr>
          <w:szCs w:val="21"/>
        </w:rPr>
      </w:pPr>
      <w:r>
        <w:rPr>
          <w:szCs w:val="21"/>
        </w:rPr>
        <w:t>1</w:t>
      </w:r>
      <w:r>
        <w:rPr>
          <w:rFonts w:hint="eastAsia"/>
          <w:szCs w:val="21"/>
        </w:rPr>
        <w:t>2</w:t>
      </w:r>
      <w:r>
        <w:rPr>
          <w:szCs w:val="21"/>
        </w:rPr>
        <w:t>.</w:t>
      </w:r>
      <w:r>
        <w:rPr>
          <w:rFonts w:hint="eastAsia"/>
          <w:szCs w:val="21"/>
        </w:rPr>
        <w:t>1</w:t>
      </w:r>
      <w:r>
        <w:rPr>
          <w:szCs w:val="21"/>
        </w:rPr>
        <w:t>、不具备普遍性的不常见安全问题</w:t>
      </w:r>
      <w:r>
        <w:rPr>
          <w:rFonts w:hint="eastAsia"/>
          <w:szCs w:val="21"/>
        </w:rPr>
        <w:t>；</w:t>
      </w:r>
    </w:p>
    <w:p>
      <w:pPr>
        <w:spacing w:line="360" w:lineRule="auto"/>
        <w:ind w:left="426"/>
        <w:jc w:val="left"/>
        <w:rPr>
          <w:szCs w:val="21"/>
        </w:rPr>
      </w:pPr>
      <w:r>
        <w:rPr>
          <w:szCs w:val="21"/>
        </w:rPr>
        <w:t>1</w:t>
      </w:r>
      <w:r>
        <w:rPr>
          <w:rFonts w:hint="eastAsia"/>
          <w:szCs w:val="21"/>
        </w:rPr>
        <w:t>2</w:t>
      </w:r>
      <w:r>
        <w:rPr>
          <w:szCs w:val="21"/>
        </w:rPr>
        <w:t>.</w:t>
      </w:r>
      <w:r>
        <w:rPr>
          <w:rFonts w:hint="eastAsia"/>
          <w:szCs w:val="21"/>
        </w:rPr>
        <w:t>2</w:t>
      </w:r>
      <w:r>
        <w:rPr>
          <w:szCs w:val="21"/>
        </w:rPr>
        <w:t>、简要例举军事禁区、军工设备、核设施、铁路沿线、海洋、边境、民族风俗习惯、外教留学生等等安全相关问题，了解安全防范常识。</w:t>
      </w:r>
    </w:p>
    <w:p>
      <w:pPr>
        <w:spacing w:line="360" w:lineRule="auto"/>
        <w:ind w:left="426"/>
        <w:jc w:val="left"/>
        <w:rPr>
          <w:szCs w:val="21"/>
        </w:rPr>
      </w:pPr>
      <w:r>
        <w:rPr>
          <w:rFonts w:eastAsia="黑体" w:cs="黑体"/>
          <w:szCs w:val="21"/>
        </w:rPr>
        <w:t>教学方法：</w:t>
      </w:r>
      <w:r>
        <w:rPr>
          <w:szCs w:val="21"/>
        </w:rPr>
        <w:t>课堂讲授、课堂讨论。</w:t>
      </w:r>
    </w:p>
    <w:p>
      <w:pPr>
        <w:spacing w:line="360" w:lineRule="auto"/>
        <w:ind w:left="426"/>
        <w:jc w:val="left"/>
        <w:rPr>
          <w:szCs w:val="21"/>
        </w:rPr>
      </w:pPr>
      <w:r>
        <w:rPr>
          <w:rFonts w:eastAsia="黑体" w:cs="黑体"/>
          <w:szCs w:val="21"/>
        </w:rPr>
        <w:t>问题思考：</w:t>
      </w:r>
      <w:r>
        <w:rPr>
          <w:szCs w:val="21"/>
        </w:rPr>
        <w:t>结合本校环境和自身情况，思考可能遇到哪些非常见安全问题。</w:t>
      </w:r>
    </w:p>
    <w:p>
      <w:pPr>
        <w:spacing w:line="360" w:lineRule="auto"/>
        <w:ind w:left="426"/>
        <w:jc w:val="left"/>
        <w:rPr>
          <w:color w:val="000000"/>
          <w:szCs w:val="21"/>
        </w:rPr>
      </w:pPr>
      <w:r>
        <w:rPr>
          <w:rFonts w:hint="eastAsia"/>
          <w:color w:val="000000"/>
          <w:szCs w:val="21"/>
        </w:rPr>
        <w:t>本章节内容支撑课程目标2。</w:t>
      </w:r>
      <w:bookmarkStart w:id="44" w:name="_Toc646"/>
    </w:p>
    <w:p>
      <w:pPr>
        <w:spacing w:line="360" w:lineRule="auto"/>
        <w:jc w:val="left"/>
        <w:rPr>
          <w:color w:val="000000"/>
          <w:szCs w:val="21"/>
        </w:rPr>
      </w:pPr>
    </w:p>
    <w:p>
      <w:pPr>
        <w:widowControl/>
        <w:spacing w:line="360" w:lineRule="auto"/>
        <w:jc w:val="left"/>
        <w:rPr>
          <w:rFonts w:ascii="宋体" w:hAnsi="宋体" w:cs="宋体"/>
          <w:color w:val="000000"/>
          <w:szCs w:val="21"/>
        </w:rPr>
      </w:pPr>
      <w:r>
        <w:rPr>
          <w:rFonts w:hint="eastAsia" w:eastAsia="黑体"/>
          <w:kern w:val="0"/>
          <w:szCs w:val="21"/>
        </w:rPr>
        <w:t>四、实验教学内容</w:t>
      </w:r>
    </w:p>
    <w:p>
      <w:pPr>
        <w:widowControl/>
        <w:spacing w:line="360" w:lineRule="auto"/>
        <w:ind w:firstLine="420" w:firstLineChars="200"/>
        <w:jc w:val="left"/>
        <w:rPr>
          <w:rFonts w:ascii="宋体" w:hAnsi="宋体" w:cs="宋体"/>
          <w:color w:val="000000"/>
          <w:szCs w:val="21"/>
        </w:rPr>
      </w:pPr>
      <w:r>
        <w:rPr>
          <w:rFonts w:hint="eastAsia" w:ascii="宋体" w:hAnsi="宋体" w:cs="宋体"/>
          <w:color w:val="000000"/>
          <w:szCs w:val="21"/>
        </w:rPr>
        <w:t>课程相应的实验学时为8学时。</w:t>
      </w:r>
    </w:p>
    <w:p>
      <w:pPr>
        <w:widowControl/>
        <w:spacing w:line="360" w:lineRule="auto"/>
        <w:ind w:firstLine="420" w:firstLineChars="200"/>
        <w:jc w:val="left"/>
        <w:rPr>
          <w:rFonts w:ascii="宋体" w:hAnsi="宋体" w:cs="宋体"/>
          <w:color w:val="000000"/>
          <w:szCs w:val="21"/>
        </w:rPr>
      </w:pPr>
    </w:p>
    <w:p>
      <w:pPr>
        <w:widowControl/>
        <w:spacing w:line="360" w:lineRule="auto"/>
        <w:jc w:val="left"/>
        <w:rPr>
          <w:rFonts w:eastAsia="黑体"/>
          <w:kern w:val="0"/>
          <w:szCs w:val="21"/>
        </w:rPr>
      </w:pPr>
      <w:r>
        <w:rPr>
          <w:rFonts w:hint="eastAsia" w:eastAsia="黑体"/>
          <w:kern w:val="0"/>
          <w:szCs w:val="21"/>
        </w:rPr>
        <w:t>五</w:t>
      </w:r>
      <w:r>
        <w:rPr>
          <w:rFonts w:eastAsia="黑体"/>
          <w:kern w:val="0"/>
          <w:szCs w:val="21"/>
        </w:rPr>
        <w:t>、学时分配</w:t>
      </w:r>
      <w:bookmarkEnd w:id="44"/>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1423"/>
        <w:gridCol w:w="1514"/>
        <w:gridCol w:w="13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adjustRightInd w:val="0"/>
              <w:snapToGrid w:val="0"/>
              <w:jc w:val="center"/>
              <w:rPr>
                <w:sz w:val="18"/>
                <w:szCs w:val="18"/>
              </w:rPr>
            </w:pPr>
            <w:r>
              <w:rPr>
                <w:sz w:val="18"/>
                <w:szCs w:val="18"/>
              </w:rPr>
              <w:t>知识点及内容</w:t>
            </w:r>
          </w:p>
        </w:tc>
        <w:tc>
          <w:tcPr>
            <w:tcW w:w="835" w:type="pct"/>
            <w:tcBorders>
              <w:tl2br w:val="nil"/>
              <w:tr2bl w:val="nil"/>
            </w:tcBorders>
            <w:vAlign w:val="center"/>
          </w:tcPr>
          <w:p>
            <w:pPr>
              <w:adjustRightInd w:val="0"/>
              <w:snapToGrid w:val="0"/>
              <w:jc w:val="center"/>
              <w:rPr>
                <w:sz w:val="18"/>
                <w:szCs w:val="18"/>
              </w:rPr>
            </w:pPr>
            <w:r>
              <w:rPr>
                <w:sz w:val="18"/>
                <w:szCs w:val="18"/>
              </w:rPr>
              <w:t>讲授（学时）</w:t>
            </w:r>
          </w:p>
        </w:tc>
        <w:tc>
          <w:tcPr>
            <w:tcW w:w="888" w:type="pct"/>
            <w:tcBorders>
              <w:tl2br w:val="nil"/>
              <w:tr2bl w:val="nil"/>
            </w:tcBorders>
            <w:vAlign w:val="center"/>
          </w:tcPr>
          <w:p>
            <w:pPr>
              <w:adjustRightInd w:val="0"/>
              <w:snapToGrid w:val="0"/>
              <w:jc w:val="center"/>
              <w:rPr>
                <w:sz w:val="18"/>
                <w:szCs w:val="18"/>
              </w:rPr>
            </w:pPr>
            <w:r>
              <w:rPr>
                <w:sz w:val="18"/>
                <w:szCs w:val="18"/>
              </w:rPr>
              <w:t>实验（学时）</w:t>
            </w:r>
          </w:p>
        </w:tc>
        <w:tc>
          <w:tcPr>
            <w:tcW w:w="803" w:type="pct"/>
            <w:tcBorders>
              <w:tl2br w:val="nil"/>
              <w:tr2bl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snapToGrid w:val="0"/>
                <w:kern w:val="0"/>
                <w:sz w:val="18"/>
                <w:szCs w:val="18"/>
              </w:rPr>
            </w:pPr>
            <w:r>
              <w:rPr>
                <w:bCs/>
                <w:snapToGrid w:val="0"/>
                <w:kern w:val="0"/>
                <w:sz w:val="18"/>
                <w:szCs w:val="18"/>
              </w:rPr>
              <w:t xml:space="preserve">1 </w:t>
            </w:r>
            <w:r>
              <w:rPr>
                <w:sz w:val="18"/>
                <w:szCs w:val="18"/>
              </w:rPr>
              <w:t>大学生安全教育概述</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snapToGrid w:val="0"/>
                <w:kern w:val="0"/>
                <w:sz w:val="18"/>
                <w:szCs w:val="18"/>
              </w:rPr>
            </w:pPr>
            <w:r>
              <w:rPr>
                <w:bCs/>
                <w:snapToGrid w:val="0"/>
                <w:kern w:val="0"/>
                <w:sz w:val="18"/>
                <w:szCs w:val="18"/>
              </w:rPr>
              <w:t>2 公共安全与应急避险</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snapToGrid w:val="0"/>
                <w:kern w:val="0"/>
                <w:sz w:val="18"/>
                <w:szCs w:val="18"/>
              </w:rPr>
              <w:t>3 消防安全与环境安全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4</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snapToGrid w:val="0"/>
                <w:kern w:val="0"/>
                <w:sz w:val="18"/>
                <w:szCs w:val="18"/>
              </w:rPr>
              <w:t>4 人身安全与财产安全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snapToGrid w:val="0"/>
                <w:kern w:val="0"/>
                <w:sz w:val="18"/>
                <w:szCs w:val="18"/>
              </w:rPr>
              <w:t>5 生活安全与食品安全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kern w:val="0"/>
                <w:sz w:val="18"/>
                <w:szCs w:val="18"/>
              </w:rPr>
              <w:t>6 户外活动与交通安全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kern w:val="0"/>
                <w:sz w:val="18"/>
                <w:szCs w:val="18"/>
              </w:rPr>
              <w:t>7 教学与实验实习安全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adjustRightInd w:val="0"/>
              <w:snapToGrid w:val="0"/>
              <w:spacing w:before="100" w:beforeAutospacing="1" w:after="100" w:afterAutospacing="1"/>
              <w:ind w:firstLine="219" w:firstLineChars="122"/>
              <w:rPr>
                <w:kern w:val="0"/>
                <w:sz w:val="18"/>
                <w:szCs w:val="18"/>
              </w:rPr>
            </w:pPr>
            <w:r>
              <w:rPr>
                <w:kern w:val="0"/>
                <w:sz w:val="18"/>
                <w:szCs w:val="18"/>
              </w:rPr>
              <w:t>8</w:t>
            </w:r>
            <w:r>
              <w:rPr>
                <w:rFonts w:hint="eastAsia"/>
                <w:kern w:val="0"/>
                <w:sz w:val="18"/>
                <w:szCs w:val="18"/>
              </w:rPr>
              <w:t xml:space="preserve"> </w:t>
            </w:r>
            <w:r>
              <w:rPr>
                <w:kern w:val="0"/>
                <w:sz w:val="18"/>
                <w:szCs w:val="18"/>
              </w:rPr>
              <w:t>网络安全与信息安全</w:t>
            </w:r>
          </w:p>
        </w:tc>
        <w:tc>
          <w:tcPr>
            <w:tcW w:w="835"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1</w:t>
            </w:r>
          </w:p>
        </w:tc>
        <w:tc>
          <w:tcPr>
            <w:tcW w:w="888"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adjustRightInd w:val="0"/>
              <w:snapToGrid w:val="0"/>
              <w:spacing w:before="100" w:beforeAutospacing="1" w:after="100" w:afterAutospacing="1"/>
              <w:ind w:firstLine="219" w:firstLineChars="122"/>
              <w:rPr>
                <w:kern w:val="0"/>
                <w:sz w:val="18"/>
                <w:szCs w:val="18"/>
              </w:rPr>
            </w:pPr>
            <w:r>
              <w:rPr>
                <w:kern w:val="0"/>
                <w:sz w:val="18"/>
                <w:szCs w:val="18"/>
              </w:rPr>
              <w:t>9</w:t>
            </w:r>
            <w:r>
              <w:rPr>
                <w:rFonts w:hint="eastAsia"/>
                <w:kern w:val="0"/>
                <w:sz w:val="18"/>
                <w:szCs w:val="18"/>
              </w:rPr>
              <w:t xml:space="preserve"> </w:t>
            </w:r>
            <w:r>
              <w:rPr>
                <w:kern w:val="0"/>
                <w:sz w:val="18"/>
                <w:szCs w:val="18"/>
              </w:rPr>
              <w:t>国家安全与政治稳定</w:t>
            </w:r>
          </w:p>
        </w:tc>
        <w:tc>
          <w:tcPr>
            <w:tcW w:w="835"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3</w:t>
            </w:r>
          </w:p>
        </w:tc>
        <w:tc>
          <w:tcPr>
            <w:tcW w:w="888"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03"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kern w:val="0"/>
                <w:sz w:val="18"/>
                <w:szCs w:val="18"/>
              </w:rPr>
              <w:t>10自然灾害事故预防</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rFonts w:hint="eastAsia"/>
                <w:kern w:val="0"/>
                <w:sz w:val="18"/>
                <w:szCs w:val="18"/>
              </w:rPr>
              <w:t>11 社会兼职与就业安全</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rFonts w:hint="eastAsia"/>
                <w:kern w:val="0"/>
                <w:sz w:val="18"/>
                <w:szCs w:val="18"/>
              </w:rPr>
              <w:t>12 其他安全常识</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widowControl/>
              <w:adjustRightInd w:val="0"/>
              <w:snapToGrid w:val="0"/>
              <w:spacing w:before="100" w:beforeAutospacing="1" w:after="100" w:afterAutospacing="1"/>
              <w:ind w:firstLine="219" w:firstLineChars="122"/>
              <w:rPr>
                <w:kern w:val="0"/>
                <w:sz w:val="18"/>
                <w:szCs w:val="18"/>
              </w:rPr>
            </w:pPr>
            <w:r>
              <w:rPr>
                <w:rFonts w:hint="eastAsia"/>
                <w:kern w:val="0"/>
                <w:sz w:val="18"/>
                <w:szCs w:val="18"/>
              </w:rPr>
              <w:t>开卷考试</w:t>
            </w:r>
          </w:p>
        </w:tc>
        <w:tc>
          <w:tcPr>
            <w:tcW w:w="835"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c>
          <w:tcPr>
            <w:tcW w:w="888"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3" w:type="pct"/>
            <w:tcBorders>
              <w:tl2br w:val="nil"/>
              <w:tr2bl w:val="nil"/>
            </w:tcBorders>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2" w:type="pct"/>
            <w:tcBorders>
              <w:tl2br w:val="nil"/>
              <w:tr2bl w:val="nil"/>
            </w:tcBorders>
            <w:vAlign w:val="center"/>
          </w:tcPr>
          <w:p>
            <w:pPr>
              <w:adjustRightInd w:val="0"/>
              <w:snapToGrid w:val="0"/>
              <w:spacing w:before="100" w:beforeAutospacing="1" w:after="100" w:afterAutospacing="1"/>
              <w:jc w:val="center"/>
              <w:rPr>
                <w:kern w:val="0"/>
                <w:sz w:val="18"/>
                <w:szCs w:val="18"/>
              </w:rPr>
            </w:pPr>
            <w:r>
              <w:rPr>
                <w:kern w:val="0"/>
                <w:sz w:val="18"/>
                <w:szCs w:val="18"/>
              </w:rPr>
              <w:t>小计</w:t>
            </w:r>
          </w:p>
        </w:tc>
        <w:tc>
          <w:tcPr>
            <w:tcW w:w="835"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24</w:t>
            </w:r>
          </w:p>
        </w:tc>
        <w:tc>
          <w:tcPr>
            <w:tcW w:w="888"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8</w:t>
            </w:r>
          </w:p>
        </w:tc>
        <w:tc>
          <w:tcPr>
            <w:tcW w:w="803" w:type="pct"/>
            <w:tcBorders>
              <w:tl2br w:val="nil"/>
              <w:tr2bl w:val="nil"/>
            </w:tcBorders>
            <w:vAlign w:val="center"/>
          </w:tcPr>
          <w:p>
            <w:pPr>
              <w:adjustRightInd w:val="0"/>
              <w:snapToGrid w:val="0"/>
              <w:spacing w:before="100" w:beforeAutospacing="1" w:after="100" w:afterAutospacing="1"/>
              <w:jc w:val="center"/>
              <w:rPr>
                <w:kern w:val="0"/>
                <w:sz w:val="18"/>
                <w:szCs w:val="18"/>
              </w:rPr>
            </w:pPr>
            <w:r>
              <w:rPr>
                <w:rFonts w:hint="eastAsia"/>
                <w:kern w:val="0"/>
                <w:sz w:val="18"/>
                <w:szCs w:val="18"/>
              </w:rPr>
              <w:t>32</w:t>
            </w:r>
          </w:p>
        </w:tc>
      </w:tr>
    </w:tbl>
    <w:p>
      <w:pPr>
        <w:tabs>
          <w:tab w:val="left" w:pos="420"/>
        </w:tabs>
        <w:spacing w:line="360" w:lineRule="auto"/>
        <w:rPr>
          <w:rFonts w:eastAsia="黑体"/>
          <w:szCs w:val="24"/>
        </w:rPr>
      </w:pPr>
      <w:bookmarkStart w:id="45" w:name="_Toc2139"/>
    </w:p>
    <w:p>
      <w:pPr>
        <w:tabs>
          <w:tab w:val="left" w:pos="420"/>
        </w:tabs>
        <w:spacing w:line="360" w:lineRule="auto"/>
        <w:rPr>
          <w:rFonts w:eastAsia="黑体"/>
          <w:szCs w:val="24"/>
        </w:rPr>
      </w:pPr>
      <w:r>
        <w:rPr>
          <w:rFonts w:hint="eastAsia" w:eastAsia="黑体"/>
          <w:szCs w:val="24"/>
        </w:rPr>
        <w:t>六</w:t>
      </w:r>
      <w:r>
        <w:rPr>
          <w:rFonts w:eastAsia="黑体"/>
          <w:szCs w:val="24"/>
        </w:rPr>
        <w:t>、教材、补充教材及参考资料</w:t>
      </w:r>
      <w:bookmarkEnd w:id="45"/>
    </w:p>
    <w:p>
      <w:pPr>
        <w:spacing w:line="360" w:lineRule="auto"/>
        <w:ind w:firstLine="420" w:firstLineChars="200"/>
        <w:rPr>
          <w:szCs w:val="21"/>
        </w:rPr>
      </w:pPr>
      <w:r>
        <w:rPr>
          <w:rFonts w:hint="eastAsia"/>
          <w:szCs w:val="21"/>
        </w:rPr>
        <w:t>1、</w:t>
      </w:r>
      <w:r>
        <w:rPr>
          <w:szCs w:val="21"/>
        </w:rPr>
        <w:t>《大学生安全教育》，国防出版社第1版</w:t>
      </w:r>
      <w:r>
        <w:rPr>
          <w:rFonts w:hint="eastAsia"/>
          <w:szCs w:val="21"/>
        </w:rPr>
        <w:t>。</w:t>
      </w:r>
    </w:p>
    <w:p>
      <w:pPr>
        <w:spacing w:line="360" w:lineRule="auto"/>
        <w:ind w:firstLine="420" w:firstLineChars="200"/>
        <w:rPr>
          <w:szCs w:val="21"/>
        </w:rPr>
      </w:pPr>
      <w:r>
        <w:rPr>
          <w:rFonts w:hint="eastAsia"/>
          <w:szCs w:val="21"/>
        </w:rPr>
        <w:t>2、</w:t>
      </w:r>
      <w:r>
        <w:rPr>
          <w:szCs w:val="21"/>
        </w:rPr>
        <w:t>《大学生安全知识》，机械工业出版社第3版</w:t>
      </w:r>
      <w:r>
        <w:rPr>
          <w:rFonts w:hint="eastAsia"/>
          <w:szCs w:val="21"/>
        </w:rPr>
        <w:t>。</w:t>
      </w:r>
    </w:p>
    <w:p>
      <w:pPr>
        <w:spacing w:line="360" w:lineRule="auto"/>
        <w:ind w:firstLine="420" w:firstLineChars="200"/>
        <w:rPr>
          <w:szCs w:val="21"/>
        </w:rPr>
      </w:pPr>
      <w:r>
        <w:rPr>
          <w:rFonts w:hint="eastAsia"/>
          <w:szCs w:val="21"/>
        </w:rPr>
        <w:t>3、</w:t>
      </w:r>
      <w:r>
        <w:rPr>
          <w:szCs w:val="21"/>
        </w:rPr>
        <w:t>《大学生安全知识》，山西人民出版社第2版</w:t>
      </w:r>
      <w:r>
        <w:rPr>
          <w:rFonts w:hint="eastAsia"/>
          <w:szCs w:val="21"/>
        </w:rPr>
        <w:t>。</w:t>
      </w:r>
    </w:p>
    <w:p>
      <w:pPr>
        <w:spacing w:line="360" w:lineRule="auto"/>
        <w:ind w:firstLine="420" w:firstLineChars="200"/>
        <w:rPr>
          <w:szCs w:val="21"/>
        </w:rPr>
      </w:pPr>
    </w:p>
    <w:p>
      <w:pPr>
        <w:tabs>
          <w:tab w:val="left" w:pos="420"/>
        </w:tabs>
        <w:spacing w:line="360" w:lineRule="auto"/>
        <w:ind w:left="420" w:hanging="420"/>
        <w:rPr>
          <w:rFonts w:eastAsia="黑体"/>
          <w:szCs w:val="24"/>
        </w:rPr>
      </w:pPr>
      <w:bookmarkStart w:id="46" w:name="_Toc21555"/>
      <w:r>
        <w:rPr>
          <w:rFonts w:hint="eastAsia" w:eastAsia="黑体"/>
          <w:szCs w:val="24"/>
        </w:rPr>
        <w:t>七</w:t>
      </w:r>
      <w:r>
        <w:rPr>
          <w:rFonts w:eastAsia="黑体"/>
          <w:szCs w:val="24"/>
        </w:rPr>
        <w:t>、达成课程目标的途径和措施</w:t>
      </w:r>
      <w:bookmarkEnd w:id="46"/>
    </w:p>
    <w:p>
      <w:pPr>
        <w:spacing w:line="360" w:lineRule="auto"/>
        <w:ind w:firstLine="420" w:firstLineChars="200"/>
        <w:rPr>
          <w:szCs w:val="21"/>
          <w:highlight w:val="yellow"/>
        </w:rPr>
      </w:pPr>
      <w:r>
        <w:rPr>
          <w:rFonts w:hint="eastAsia"/>
          <w:szCs w:val="21"/>
        </w:rPr>
        <w:t>1、考核方式：</w:t>
      </w:r>
      <w:r>
        <w:rPr>
          <w:szCs w:val="21"/>
        </w:rPr>
        <w:t>平时成绩</w:t>
      </w:r>
      <w:r>
        <w:rPr>
          <w:rFonts w:hint="eastAsia"/>
          <w:szCs w:val="21"/>
        </w:rPr>
        <w:t>、</w:t>
      </w:r>
      <w:r>
        <w:rPr>
          <w:szCs w:val="21"/>
        </w:rPr>
        <w:t>结课考核</w:t>
      </w:r>
      <w:r>
        <w:rPr>
          <w:rFonts w:hint="eastAsia"/>
          <w:szCs w:val="21"/>
        </w:rPr>
        <w:t>、</w:t>
      </w:r>
      <w:r>
        <w:rPr>
          <w:szCs w:val="21"/>
        </w:rPr>
        <w:t>实践考核</w:t>
      </w:r>
      <w:r>
        <w:rPr>
          <w:rFonts w:hint="eastAsia"/>
          <w:szCs w:val="21"/>
        </w:rPr>
        <w:t>。</w:t>
      </w:r>
    </w:p>
    <w:p>
      <w:pPr>
        <w:spacing w:line="360" w:lineRule="auto"/>
        <w:ind w:firstLine="420" w:firstLineChars="200"/>
        <w:rPr>
          <w:szCs w:val="21"/>
        </w:rPr>
      </w:pPr>
      <w:r>
        <w:rPr>
          <w:rFonts w:hint="eastAsia"/>
          <w:szCs w:val="21"/>
        </w:rPr>
        <w:t>2、成绩构成：</w:t>
      </w:r>
    </w:p>
    <w:p>
      <w:pPr>
        <w:spacing w:line="360" w:lineRule="auto"/>
        <w:ind w:firstLine="420" w:firstLineChars="200"/>
        <w:rPr>
          <w:szCs w:val="21"/>
        </w:rPr>
      </w:pPr>
      <w:r>
        <w:rPr>
          <w:rFonts w:hint="eastAsia"/>
          <w:szCs w:val="21"/>
        </w:rPr>
        <w:t>本课程通过“平时成绩”和“考核成绩”两种方式对课程目标达成进行评价，（本大纲中成绩均采用百分制）：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平时成绩</w:t>
            </w:r>
          </w:p>
        </w:tc>
        <w:tc>
          <w:tcPr>
            <w:tcW w:w="1665"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结课考核</w:t>
            </w:r>
          </w:p>
        </w:tc>
        <w:tc>
          <w:tcPr>
            <w:tcW w:w="1669"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实践考核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20</w:t>
            </w:r>
          </w:p>
        </w:tc>
        <w:tc>
          <w:tcPr>
            <w:tcW w:w="1665"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50</w:t>
            </w:r>
          </w:p>
        </w:tc>
        <w:tc>
          <w:tcPr>
            <w:tcW w:w="1669"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30</w:t>
            </w:r>
          </w:p>
        </w:tc>
      </w:tr>
    </w:tbl>
    <w:p>
      <w:pPr>
        <w:spacing w:line="360" w:lineRule="auto"/>
        <w:ind w:firstLine="420" w:firstLineChars="200"/>
        <w:rPr>
          <w:b/>
          <w:bCs/>
          <w:color w:val="1D41D5"/>
          <w:szCs w:val="21"/>
        </w:rPr>
      </w:pPr>
      <w:r>
        <w:rPr>
          <w:rFonts w:hint="eastAsia"/>
          <w:szCs w:val="21"/>
        </w:rPr>
        <w:t>指导性课程目标评价题目分数分配：</w:t>
      </w:r>
    </w:p>
    <w:tbl>
      <w:tblPr>
        <w:tblStyle w:val="22"/>
        <w:tblW w:w="4998" w:type="pct"/>
        <w:jc w:val="center"/>
        <w:tblLayout w:type="autofit"/>
        <w:tblCellMar>
          <w:top w:w="0" w:type="dxa"/>
          <w:left w:w="108" w:type="dxa"/>
          <w:bottom w:w="0" w:type="dxa"/>
          <w:right w:w="108" w:type="dxa"/>
        </w:tblCellMar>
      </w:tblPr>
      <w:tblGrid>
        <w:gridCol w:w="1875"/>
        <w:gridCol w:w="2191"/>
        <w:gridCol w:w="2037"/>
        <w:gridCol w:w="2416"/>
      </w:tblGrid>
      <w:tr>
        <w:tblPrEx>
          <w:tblCellMar>
            <w:top w:w="0" w:type="dxa"/>
            <w:left w:w="108" w:type="dxa"/>
            <w:bottom w:w="0" w:type="dxa"/>
            <w:right w:w="108" w:type="dxa"/>
          </w:tblCellMar>
        </w:tblPrEx>
        <w:trPr>
          <w:trHeight w:val="23" w:hRule="atLeast"/>
          <w:jc w:val="center"/>
        </w:trPr>
        <w:tc>
          <w:tcPr>
            <w:tcW w:w="1100" w:type="pct"/>
            <w:tcBorders>
              <w:top w:val="single" w:color="auto" w:sz="4" w:space="0"/>
              <w:left w:val="nil"/>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课程目标</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平时成绩</w:t>
            </w:r>
          </w:p>
          <w:p>
            <w:pPr>
              <w:jc w:val="center"/>
              <w:rPr>
                <w:sz w:val="18"/>
                <w:szCs w:val="18"/>
              </w:rPr>
            </w:pPr>
            <w:r>
              <w:rPr>
                <w:rFonts w:hint="eastAsia"/>
                <w:sz w:val="18"/>
                <w:szCs w:val="18"/>
              </w:rPr>
              <w:t>W1</w:t>
            </w:r>
            <w:r>
              <w:rPr>
                <w:rFonts w:hint="eastAsia"/>
                <w:sz w:val="18"/>
                <w:szCs w:val="18"/>
                <w:vertAlign w:val="subscript"/>
              </w:rPr>
              <w:t>i</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结课考核</w:t>
            </w:r>
          </w:p>
          <w:p>
            <w:pPr>
              <w:jc w:val="center"/>
              <w:rPr>
                <w:sz w:val="18"/>
                <w:szCs w:val="18"/>
              </w:rPr>
            </w:pPr>
            <w:r>
              <w:rPr>
                <w:rFonts w:hint="eastAsia"/>
                <w:sz w:val="18"/>
                <w:szCs w:val="18"/>
              </w:rPr>
              <w:t>W2</w:t>
            </w:r>
            <w:r>
              <w:rPr>
                <w:rFonts w:hint="eastAsia"/>
                <w:sz w:val="18"/>
                <w:szCs w:val="18"/>
                <w:vertAlign w:val="subscript"/>
              </w:rPr>
              <w:t>i</w:t>
            </w:r>
          </w:p>
        </w:tc>
        <w:tc>
          <w:tcPr>
            <w:tcW w:w="141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实践考核</w:t>
            </w:r>
          </w:p>
          <w:p>
            <w:pPr>
              <w:jc w:val="center"/>
              <w:rPr>
                <w:sz w:val="18"/>
                <w:szCs w:val="18"/>
              </w:rPr>
            </w:pPr>
            <w:r>
              <w:rPr>
                <w:rFonts w:hint="eastAsia"/>
                <w:sz w:val="18"/>
                <w:szCs w:val="18"/>
              </w:rPr>
              <w:t>W3</w:t>
            </w:r>
            <w:r>
              <w:rPr>
                <w:rFonts w:hint="eastAsia"/>
                <w:sz w:val="18"/>
                <w:szCs w:val="18"/>
                <w:vertAlign w:val="subscript"/>
              </w:rPr>
              <w:t>i</w:t>
            </w:r>
          </w:p>
        </w:tc>
      </w:tr>
      <w:tr>
        <w:tblPrEx>
          <w:tblCellMar>
            <w:top w:w="0" w:type="dxa"/>
            <w:left w:w="108" w:type="dxa"/>
            <w:bottom w:w="0" w:type="dxa"/>
            <w:right w:w="108" w:type="dxa"/>
          </w:tblCellMar>
        </w:tblPrEx>
        <w:trPr>
          <w:trHeight w:val="23" w:hRule="atLeast"/>
          <w:jc w:val="center"/>
        </w:trPr>
        <w:tc>
          <w:tcPr>
            <w:tcW w:w="110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1</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50-60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30-40</w:t>
            </w:r>
          </w:p>
        </w:tc>
        <w:tc>
          <w:tcPr>
            <w:tcW w:w="1417"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20-30</w:t>
            </w:r>
          </w:p>
        </w:tc>
      </w:tr>
      <w:tr>
        <w:tblPrEx>
          <w:tblCellMar>
            <w:top w:w="0" w:type="dxa"/>
            <w:left w:w="108" w:type="dxa"/>
            <w:bottom w:w="0" w:type="dxa"/>
            <w:right w:w="108" w:type="dxa"/>
          </w:tblCellMar>
        </w:tblPrEx>
        <w:trPr>
          <w:trHeight w:val="23" w:hRule="atLeast"/>
          <w:jc w:val="center"/>
        </w:trPr>
        <w:tc>
          <w:tcPr>
            <w:tcW w:w="1100" w:type="pct"/>
            <w:tcBorders>
              <w:top w:val="nil"/>
              <w:left w:val="nil"/>
              <w:bottom w:val="single" w:color="auto" w:sz="4" w:space="0"/>
              <w:right w:val="single" w:color="auto" w:sz="4" w:space="0"/>
            </w:tcBorders>
            <w:vAlign w:val="center"/>
          </w:tcPr>
          <w:p>
            <w:pPr>
              <w:jc w:val="center"/>
              <w:rPr>
                <w:bCs/>
                <w:sz w:val="18"/>
                <w:szCs w:val="18"/>
              </w:rPr>
            </w:pPr>
            <w:r>
              <w:rPr>
                <w:bCs/>
                <w:sz w:val="18"/>
                <w:szCs w:val="18"/>
              </w:rPr>
              <w:t>2</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30-40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40-50</w:t>
            </w:r>
          </w:p>
        </w:tc>
        <w:tc>
          <w:tcPr>
            <w:tcW w:w="1417"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20-30</w:t>
            </w:r>
          </w:p>
        </w:tc>
      </w:tr>
      <w:tr>
        <w:tblPrEx>
          <w:tblCellMar>
            <w:top w:w="0" w:type="dxa"/>
            <w:left w:w="108" w:type="dxa"/>
            <w:bottom w:w="0" w:type="dxa"/>
            <w:right w:w="108" w:type="dxa"/>
          </w:tblCellMar>
        </w:tblPrEx>
        <w:trPr>
          <w:trHeight w:val="23" w:hRule="atLeast"/>
          <w:jc w:val="center"/>
        </w:trPr>
        <w:tc>
          <w:tcPr>
            <w:tcW w:w="1100" w:type="pct"/>
            <w:tcBorders>
              <w:top w:val="single" w:color="auto" w:sz="4" w:space="0"/>
              <w:left w:val="nil"/>
              <w:bottom w:val="single" w:color="auto" w:sz="4" w:space="0"/>
              <w:right w:val="single" w:color="auto" w:sz="4" w:space="0"/>
            </w:tcBorders>
            <w:vAlign w:val="center"/>
          </w:tcPr>
          <w:p>
            <w:pPr>
              <w:jc w:val="center"/>
              <w:rPr>
                <w:bCs/>
                <w:sz w:val="18"/>
                <w:szCs w:val="18"/>
              </w:rPr>
            </w:pPr>
            <w:r>
              <w:rPr>
                <w:bCs/>
                <w:sz w:val="18"/>
                <w:szCs w:val="18"/>
              </w:rPr>
              <w:t>3</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10-20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20-30</w:t>
            </w:r>
          </w:p>
        </w:tc>
        <w:tc>
          <w:tcPr>
            <w:tcW w:w="1417" w:type="pct"/>
            <w:tcBorders>
              <w:top w:val="single" w:color="auto" w:sz="4" w:space="0"/>
              <w:left w:val="single" w:color="auto" w:sz="4" w:space="0"/>
              <w:bottom w:val="single" w:color="auto" w:sz="4" w:space="0"/>
              <w:right w:val="single" w:color="auto" w:sz="4" w:space="0"/>
            </w:tcBorders>
            <w:vAlign w:val="center"/>
          </w:tcPr>
          <w:p>
            <w:pPr>
              <w:jc w:val="center"/>
              <w:rPr>
                <w:bCs/>
                <w:sz w:val="18"/>
                <w:szCs w:val="18"/>
              </w:rPr>
            </w:pPr>
            <w:r>
              <w:rPr>
                <w:bCs/>
                <w:sz w:val="18"/>
                <w:szCs w:val="18"/>
              </w:rPr>
              <w:t>40-50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pStyle w:val="20"/>
        <w:spacing w:before="312" w:after="468"/>
      </w:pPr>
      <w:r>
        <w:rPr>
          <w:rFonts w:hint="eastAsia"/>
          <w:szCs w:val="21"/>
        </w:rPr>
        <w:br w:type="page"/>
      </w:r>
      <w:bookmarkStart w:id="47" w:name="_Toc18115"/>
      <w:r>
        <w:t>《X01250002a</w:t>
      </w:r>
      <w:r>
        <w:rPr>
          <w:rFonts w:hint="eastAsia"/>
        </w:rPr>
        <w:t xml:space="preserve"> </w:t>
      </w:r>
      <w:r>
        <w:t>X01250002</w:t>
      </w:r>
      <w:r>
        <w:rPr>
          <w:rFonts w:hint="eastAsia"/>
        </w:rPr>
        <w:t>-</w:t>
      </w:r>
      <w:r>
        <w:t>大学生职业发展与就业指导》教学大纲</w:t>
      </w:r>
      <w:bookmarkEnd w:id="47"/>
    </w:p>
    <w:p>
      <w:pPr>
        <w:adjustRightInd w:val="0"/>
        <w:snapToGrid w:val="0"/>
        <w:spacing w:line="360" w:lineRule="auto"/>
        <w:rPr>
          <w:rFonts w:ascii="Calibri" w:hAnsi="Calibri" w:eastAsia="黑体"/>
          <w:color w:val="000000"/>
          <w:szCs w:val="21"/>
        </w:rPr>
      </w:pPr>
      <w:r>
        <w:rPr>
          <w:rFonts w:ascii="黑体" w:hAnsi="黑体" w:eastAsia="黑体"/>
          <w:color w:val="000000"/>
        </w:rPr>
        <w:t>课程编号：</w:t>
      </w:r>
      <w:r>
        <w:rPr>
          <w:rFonts w:eastAsia="黑体"/>
          <w:color w:val="000000"/>
        </w:rPr>
        <w:t>X01250002a</w:t>
      </w:r>
      <w:r>
        <w:rPr>
          <w:rFonts w:ascii="黑体" w:hAnsi="黑体" w:eastAsia="黑体"/>
          <w:color w:val="000000"/>
        </w:rPr>
        <w:t>、</w:t>
      </w:r>
      <w:r>
        <w:rPr>
          <w:rFonts w:eastAsia="黑体"/>
          <w:color w:val="000000"/>
        </w:rPr>
        <w:t>X01250002</w:t>
      </w:r>
    </w:p>
    <w:p>
      <w:pPr>
        <w:adjustRightInd w:val="0"/>
        <w:snapToGrid w:val="0"/>
        <w:spacing w:line="360" w:lineRule="auto"/>
        <w:jc w:val="left"/>
        <w:rPr>
          <w:rFonts w:eastAsia="黑体"/>
          <w:color w:val="000000"/>
        </w:rPr>
      </w:pPr>
      <w:r>
        <w:rPr>
          <w:rFonts w:ascii="黑体" w:hAnsi="黑体" w:eastAsia="黑体"/>
          <w:color w:val="000000"/>
        </w:rPr>
        <w:t>课程名称：</w:t>
      </w:r>
      <w:r>
        <w:rPr>
          <w:rFonts w:ascii="宋体" w:hAnsi="宋体"/>
          <w:color w:val="000000"/>
        </w:rPr>
        <w:t>大学生职业发展与就业指导</w:t>
      </w:r>
      <w:r>
        <w:rPr>
          <w:rFonts w:hint="eastAsia"/>
          <w:color w:val="000000"/>
        </w:rPr>
        <w:t xml:space="preserve">     </w:t>
      </w:r>
      <w:r>
        <w:rPr>
          <w:rFonts w:ascii="黑体" w:hAnsi="黑体" w:eastAsia="黑体"/>
          <w:color w:val="000000"/>
        </w:rPr>
        <w:t>开课单位：</w:t>
      </w:r>
      <w:r>
        <w:rPr>
          <w:rFonts w:ascii="宋体" w:hAnsi="宋体"/>
          <w:color w:val="000000"/>
        </w:rPr>
        <w:t>大学生职业发展与就业指导教研室</w:t>
      </w:r>
    </w:p>
    <w:p>
      <w:pPr>
        <w:adjustRightInd w:val="0"/>
        <w:snapToGrid w:val="0"/>
        <w:spacing w:line="360" w:lineRule="auto"/>
        <w:rPr>
          <w:rFonts w:eastAsia="黑体"/>
          <w:color w:val="000000"/>
        </w:rPr>
      </w:pPr>
      <w:r>
        <w:rPr>
          <w:rFonts w:ascii="黑体" w:hAnsi="黑体" w:eastAsia="黑体"/>
          <w:color w:val="000000"/>
        </w:rPr>
        <w:t>总</w:t>
      </w:r>
      <w:r>
        <w:rPr>
          <w:rFonts w:eastAsia="黑体"/>
          <w:color w:val="000000"/>
        </w:rPr>
        <w:t xml:space="preserve"> </w:t>
      </w:r>
      <w:r>
        <w:rPr>
          <w:rFonts w:ascii="黑体" w:hAnsi="黑体" w:eastAsia="黑体"/>
          <w:color w:val="000000"/>
        </w:rPr>
        <w:t>学</w:t>
      </w:r>
      <w:r>
        <w:rPr>
          <w:rFonts w:eastAsia="黑体"/>
          <w:color w:val="000000"/>
        </w:rPr>
        <w:t xml:space="preserve"> </w:t>
      </w:r>
      <w:r>
        <w:rPr>
          <w:rFonts w:ascii="黑体" w:hAnsi="黑体" w:eastAsia="黑体"/>
          <w:color w:val="000000"/>
        </w:rPr>
        <w:t>时：</w:t>
      </w:r>
      <w:r>
        <w:rPr>
          <w:rFonts w:eastAsia="黑体"/>
          <w:color w:val="000000"/>
        </w:rPr>
        <w:t xml:space="preserve">32               </w:t>
      </w:r>
      <w:r>
        <w:rPr>
          <w:rFonts w:eastAsia="黑体"/>
          <w:color w:val="000000"/>
        </w:rPr>
        <w:tab/>
      </w:r>
      <w:r>
        <w:rPr>
          <w:rFonts w:eastAsia="黑体"/>
          <w:color w:val="000000"/>
        </w:rPr>
        <w:t xml:space="preserve">          </w:t>
      </w:r>
      <w:r>
        <w:rPr>
          <w:rFonts w:hint="eastAsia" w:eastAsia="黑体"/>
          <w:color w:val="000000"/>
        </w:rPr>
        <w:t xml:space="preserve"> </w:t>
      </w:r>
      <w:r>
        <w:rPr>
          <w:rFonts w:ascii="黑体" w:hAnsi="黑体" w:eastAsia="黑体"/>
          <w:color w:val="000000"/>
        </w:rPr>
        <w:t>学</w:t>
      </w:r>
      <w:r>
        <w:rPr>
          <w:rFonts w:eastAsia="黑体"/>
          <w:color w:val="000000"/>
        </w:rPr>
        <w:t xml:space="preserve">    </w:t>
      </w:r>
      <w:r>
        <w:rPr>
          <w:rFonts w:ascii="黑体" w:hAnsi="黑体" w:eastAsia="黑体"/>
          <w:color w:val="000000"/>
        </w:rPr>
        <w:t>分：</w:t>
      </w:r>
      <w:r>
        <w:rPr>
          <w:rFonts w:eastAsia="黑体"/>
          <w:color w:val="000000"/>
        </w:rPr>
        <w:t>1</w:t>
      </w:r>
    </w:p>
    <w:p>
      <w:pPr>
        <w:adjustRightInd w:val="0"/>
        <w:snapToGrid w:val="0"/>
        <w:spacing w:line="360" w:lineRule="auto"/>
        <w:rPr>
          <w:rFonts w:eastAsia="黑体"/>
          <w:color w:val="000000"/>
        </w:rPr>
      </w:pPr>
      <w:r>
        <w:rPr>
          <w:rFonts w:ascii="黑体" w:hAnsi="黑体" w:eastAsia="黑体"/>
          <w:color w:val="000000"/>
        </w:rPr>
        <w:t>适用专业：</w:t>
      </w:r>
      <w:r>
        <w:rPr>
          <w:rFonts w:hint="eastAsia" w:ascii="宋体" w:hAnsi="宋体"/>
          <w:color w:val="000000"/>
        </w:rPr>
        <w:t>工程类各</w:t>
      </w:r>
      <w:r>
        <w:rPr>
          <w:rFonts w:ascii="宋体" w:hAnsi="宋体"/>
          <w:color w:val="000000"/>
        </w:rPr>
        <w:t>专业</w:t>
      </w:r>
    </w:p>
    <w:p>
      <w:pPr>
        <w:adjustRightInd w:val="0"/>
        <w:snapToGrid w:val="0"/>
        <w:spacing w:line="360" w:lineRule="auto"/>
        <w:rPr>
          <w:rFonts w:ascii="Calibri" w:hAnsi="Calibri"/>
          <w:color w:val="000000"/>
        </w:rPr>
      </w:pPr>
      <w:r>
        <w:rPr>
          <w:rFonts w:ascii="黑体" w:hAnsi="黑体" w:eastAsia="黑体"/>
          <w:color w:val="000000"/>
        </w:rPr>
        <w:t>先修课程：</w:t>
      </w:r>
      <w:r>
        <w:rPr>
          <w:rFonts w:ascii="宋体" w:hAnsi="宋体"/>
          <w:color w:val="000000"/>
        </w:rPr>
        <w:t>无</w:t>
      </w:r>
    </w:p>
    <w:p>
      <w:pPr>
        <w:adjustRightInd w:val="0"/>
        <w:snapToGrid w:val="0"/>
        <w:spacing w:line="360" w:lineRule="auto"/>
        <w:rPr>
          <w:color w:val="000000"/>
        </w:rPr>
      </w:pPr>
      <w:r>
        <w:rPr>
          <w:rFonts w:ascii="黑体" w:hAnsi="黑体" w:eastAsia="黑体"/>
          <w:color w:val="000000"/>
        </w:rPr>
        <w:t>大纲编写（修订）时间：</w:t>
      </w:r>
      <w:r>
        <w:rPr>
          <w:color w:val="000000"/>
        </w:rPr>
        <w:t>2019</w:t>
      </w:r>
      <w:r>
        <w:rPr>
          <w:rFonts w:ascii="宋体" w:hAnsi="宋体"/>
          <w:color w:val="000000"/>
        </w:rPr>
        <w:t>年</w:t>
      </w:r>
      <w:r>
        <w:rPr>
          <w:rFonts w:hint="eastAsia"/>
          <w:color w:val="000000"/>
        </w:rPr>
        <w:t>4</w:t>
      </w:r>
      <w:r>
        <w:rPr>
          <w:rFonts w:ascii="宋体" w:hAnsi="宋体"/>
          <w:color w:val="000000"/>
        </w:rPr>
        <w:t>月</w:t>
      </w:r>
    </w:p>
    <w:p>
      <w:pPr>
        <w:adjustRightInd w:val="0"/>
        <w:snapToGrid w:val="0"/>
        <w:spacing w:line="360" w:lineRule="auto"/>
        <w:rPr>
          <w:rFonts w:ascii="Calibri" w:hAnsi="Calibri"/>
          <w:color w:val="000000"/>
        </w:rPr>
      </w:pPr>
      <w:r>
        <w:rPr>
          <w:color w:val="000000"/>
        </w:rPr>
        <w:t xml:space="preserve"> </w:t>
      </w:r>
    </w:p>
    <w:p>
      <w:pPr>
        <w:spacing w:line="360" w:lineRule="auto"/>
        <w:ind w:left="420" w:hanging="420"/>
        <w:rPr>
          <w:rFonts w:eastAsia="黑体"/>
          <w:color w:val="000000"/>
        </w:rPr>
      </w:pPr>
      <w:r>
        <w:rPr>
          <w:rFonts w:hint="eastAsia" w:ascii="黑体" w:hAnsi="黑体" w:eastAsia="黑体"/>
          <w:color w:val="000000"/>
        </w:rPr>
        <w:t>一、课程在教学计划中的地位、作用</w:t>
      </w:r>
    </w:p>
    <w:p>
      <w:pPr>
        <w:spacing w:line="360" w:lineRule="auto"/>
        <w:ind w:firstLine="420" w:firstLineChars="200"/>
        <w:rPr>
          <w:rFonts w:hAnsi="宋体"/>
        </w:rPr>
      </w:pPr>
      <w:r>
        <w:rPr>
          <w:rFonts w:ascii="宋体" w:hAnsi="宋体"/>
        </w:rPr>
        <w:t>大学生职业发展与就业指导课程作为公共课，既强调职业在人生发展中的重要地位，又关注学生的全面发展和终身发展。通过激发大学生职业生涯发展的自主意识，树立正确的就业观，促使大学生理性地规划自身未来的发展，并努力在学习过程中自觉地提高就业能力和生涯管理能力。</w:t>
      </w:r>
    </w:p>
    <w:p>
      <w:pPr>
        <w:spacing w:line="360" w:lineRule="auto"/>
        <w:ind w:firstLine="420" w:firstLineChars="200"/>
        <w:rPr>
          <w:rFonts w:hAnsi="宋体"/>
        </w:rPr>
      </w:pPr>
      <w:r>
        <w:rPr>
          <w:rFonts w:hAnsi="宋体"/>
        </w:rPr>
        <w:t xml:space="preserve"> </w:t>
      </w:r>
    </w:p>
    <w:p>
      <w:pPr>
        <w:spacing w:line="360" w:lineRule="auto"/>
        <w:ind w:left="420" w:hanging="420"/>
        <w:rPr>
          <w:rFonts w:eastAsia="黑体"/>
          <w:color w:val="000000"/>
        </w:rPr>
      </w:pPr>
      <w:r>
        <w:rPr>
          <w:rFonts w:hint="eastAsia" w:ascii="黑体" w:hAnsi="黑体" w:eastAsia="黑体"/>
          <w:color w:val="000000"/>
        </w:rPr>
        <w:t>二、课程目标</w:t>
      </w:r>
    </w:p>
    <w:p>
      <w:pPr>
        <w:spacing w:line="360" w:lineRule="auto"/>
        <w:ind w:firstLine="420" w:firstLineChars="200"/>
        <w:rPr>
          <w:rFonts w:ascii="Calibri" w:hAnsi="Calibri"/>
          <w:color w:val="000000"/>
        </w:rPr>
      </w:pPr>
      <w:r>
        <w:rPr>
          <w:rFonts w:hint="eastAsia" w:ascii="宋体" w:hAnsi="宋体"/>
          <w:color w:val="000000"/>
        </w:rPr>
        <w:t>本大纲适用于工程类专业选择使用，专业在选用时要关注本课程目标是否与专业培养方案设定的能力矩阵一致。</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200"/>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86" w:type="dxa"/>
            <w:tcBorders>
              <w:top w:val="single" w:color="auto" w:sz="4" w:space="0"/>
              <w:left w:val="nil"/>
              <w:bottom w:val="single" w:color="auto" w:sz="4" w:space="0"/>
              <w:right w:val="single" w:color="auto" w:sz="4" w:space="0"/>
            </w:tcBorders>
            <w:vAlign w:val="bottom"/>
          </w:tcPr>
          <w:p>
            <w:pPr>
              <w:spacing w:line="360" w:lineRule="auto"/>
              <w:jc w:val="center"/>
              <w:rPr>
                <w:sz w:val="18"/>
                <w:szCs w:val="18"/>
              </w:rPr>
            </w:pPr>
            <w:r>
              <w:rPr>
                <w:rFonts w:hint="eastAsia"/>
                <w:sz w:val="18"/>
                <w:szCs w:val="18"/>
              </w:rPr>
              <w:t>序号</w:t>
            </w:r>
          </w:p>
        </w:tc>
        <w:tc>
          <w:tcPr>
            <w:tcW w:w="4200" w:type="dxa"/>
            <w:tcBorders>
              <w:top w:val="single" w:color="auto" w:sz="4" w:space="0"/>
              <w:left w:val="nil"/>
              <w:bottom w:val="single" w:color="auto" w:sz="4" w:space="0"/>
              <w:right w:val="single" w:color="auto" w:sz="4" w:space="0"/>
            </w:tcBorders>
            <w:vAlign w:val="bottom"/>
          </w:tcPr>
          <w:p>
            <w:pPr>
              <w:autoSpaceDE w:val="0"/>
              <w:adjustRightInd w:val="0"/>
              <w:snapToGrid w:val="0"/>
              <w:spacing w:line="360" w:lineRule="auto"/>
              <w:jc w:val="center"/>
              <w:rPr>
                <w:sz w:val="18"/>
                <w:szCs w:val="18"/>
              </w:rPr>
            </w:pPr>
            <w:r>
              <w:rPr>
                <w:rFonts w:hint="eastAsia"/>
                <w:sz w:val="18"/>
                <w:szCs w:val="18"/>
              </w:rPr>
              <w:t>课程目标</w:t>
            </w:r>
          </w:p>
        </w:tc>
        <w:tc>
          <w:tcPr>
            <w:tcW w:w="3736" w:type="dxa"/>
            <w:tcBorders>
              <w:top w:val="single" w:color="auto" w:sz="4" w:space="0"/>
              <w:left w:val="nil"/>
              <w:bottom w:val="single" w:color="auto" w:sz="4" w:space="0"/>
              <w:right w:val="nil"/>
            </w:tcBorders>
            <w:vAlign w:val="bottom"/>
          </w:tcPr>
          <w:p>
            <w:pPr>
              <w:autoSpaceDE w:val="0"/>
              <w:adjustRightInd w:val="0"/>
              <w:snapToGrid w:val="0"/>
              <w:spacing w:line="360" w:lineRule="auto"/>
              <w:jc w:val="center"/>
              <w:rPr>
                <w:sz w:val="18"/>
                <w:szCs w:val="18"/>
              </w:rPr>
            </w:pPr>
            <w:r>
              <w:rPr>
                <w:rFonts w:hint="eastAsia"/>
                <w:sz w:val="18"/>
                <w:szCs w:val="18"/>
              </w:rPr>
              <w:t>支撑工程类毕业要求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586"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4200" w:type="dxa"/>
            <w:tcBorders>
              <w:top w:val="single" w:color="auto" w:sz="4" w:space="0"/>
              <w:left w:val="nil"/>
              <w:bottom w:val="single" w:color="auto" w:sz="4" w:space="0"/>
              <w:right w:val="single" w:color="auto" w:sz="4" w:space="0"/>
            </w:tcBorders>
          </w:tcPr>
          <w:p>
            <w:pPr>
              <w:adjustRightInd w:val="0"/>
              <w:snapToGrid w:val="0"/>
              <w:spacing w:line="360" w:lineRule="auto"/>
              <w:rPr>
                <w:sz w:val="18"/>
                <w:szCs w:val="18"/>
              </w:rPr>
            </w:pPr>
            <w:r>
              <w:rPr>
                <w:sz w:val="18"/>
                <w:szCs w:val="18"/>
              </w:rPr>
              <w:t>态度层面：通过本课程的教学，大学生应当树立起职业生涯发展的自主意识，树立积极正确的人生观、价值观和就业观念，把个人发展和国家需要、社会发展相结合，确立职业的概念和意识，愿意为个人的生涯发展和社会发展主动付出积极的努力；</w:t>
            </w:r>
          </w:p>
        </w:tc>
        <w:tc>
          <w:tcPr>
            <w:tcW w:w="3736" w:type="dxa"/>
            <w:tcBorders>
              <w:top w:val="single" w:color="auto" w:sz="4" w:space="0"/>
              <w:left w:val="nil"/>
              <w:bottom w:val="single" w:color="auto" w:sz="4" w:space="0"/>
              <w:right w:val="nil"/>
            </w:tcBorders>
          </w:tcPr>
          <w:p>
            <w:pPr>
              <w:adjustRightInd w:val="0"/>
              <w:snapToGrid w:val="0"/>
              <w:spacing w:line="360" w:lineRule="auto"/>
              <w:rPr>
                <w:sz w:val="18"/>
                <w:szCs w:val="18"/>
              </w:rPr>
            </w:pPr>
            <w:r>
              <w:rPr>
                <w:b/>
                <w:bCs/>
                <w:sz w:val="18"/>
                <w:szCs w:val="18"/>
              </w:rPr>
              <w:t>毕业要求9</w:t>
            </w:r>
            <w:r>
              <w:rPr>
                <w:rFonts w:ascii="宋体" w:hAnsi="宋体"/>
                <w:b/>
                <w:bCs/>
                <w:sz w:val="18"/>
                <w:szCs w:val="18"/>
              </w:rPr>
              <w:t>个人和团队</w:t>
            </w:r>
            <w:r>
              <w:rPr>
                <w:sz w:val="18"/>
                <w:szCs w:val="18"/>
              </w:rPr>
              <w:t>：能够在多学科背景下的团队中承担个体、团队成员以及负责人的角色</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586"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4200" w:type="dxa"/>
            <w:tcBorders>
              <w:top w:val="single" w:color="auto" w:sz="4" w:space="0"/>
              <w:left w:val="nil"/>
              <w:bottom w:val="single" w:color="auto" w:sz="4" w:space="0"/>
              <w:right w:val="single" w:color="auto" w:sz="4" w:space="0"/>
            </w:tcBorders>
          </w:tcPr>
          <w:p>
            <w:pPr>
              <w:adjustRightInd w:val="0"/>
              <w:snapToGrid w:val="0"/>
              <w:spacing w:line="360" w:lineRule="auto"/>
              <w:rPr>
                <w:sz w:val="18"/>
                <w:szCs w:val="18"/>
              </w:rPr>
            </w:pPr>
            <w:r>
              <w:rPr>
                <w:sz w:val="18"/>
                <w:szCs w:val="18"/>
              </w:rPr>
              <w:t>知识层面：通过本课程的教学，大学生应当基本了解职业发展的阶段特点；较为清晰地认识自己的特性、职业的特性以及社会环境；了解就业形势与政策法规；了解基本的劳动力市场信息、相关的职业分类知识以及创业的基本知识；</w:t>
            </w:r>
          </w:p>
        </w:tc>
        <w:tc>
          <w:tcPr>
            <w:tcW w:w="3736" w:type="dxa"/>
            <w:tcBorders>
              <w:top w:val="single" w:color="auto" w:sz="4" w:space="0"/>
              <w:left w:val="nil"/>
              <w:bottom w:val="single" w:color="auto" w:sz="4" w:space="0"/>
              <w:right w:val="nil"/>
            </w:tcBorders>
          </w:tcPr>
          <w:p>
            <w:pPr>
              <w:adjustRightInd w:val="0"/>
              <w:snapToGrid w:val="0"/>
              <w:spacing w:line="360" w:lineRule="auto"/>
              <w:rPr>
                <w:sz w:val="18"/>
                <w:szCs w:val="18"/>
              </w:rPr>
            </w:pPr>
            <w:r>
              <w:rPr>
                <w:b/>
                <w:bCs/>
                <w:sz w:val="18"/>
                <w:szCs w:val="18"/>
              </w:rPr>
              <w:t>毕业要求9</w:t>
            </w:r>
            <w:r>
              <w:rPr>
                <w:rFonts w:ascii="宋体" w:hAnsi="宋体"/>
                <w:b/>
                <w:bCs/>
                <w:sz w:val="18"/>
                <w:szCs w:val="18"/>
              </w:rPr>
              <w:t>个人和团队</w:t>
            </w:r>
            <w:r>
              <w:rPr>
                <w:sz w:val="18"/>
                <w:szCs w:val="18"/>
              </w:rPr>
              <w:t>：能够在多学科背景下的团队中承担个体、团队成员以及负责人的角色</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6"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4200" w:type="dxa"/>
            <w:tcBorders>
              <w:top w:val="single" w:color="auto" w:sz="4" w:space="0"/>
              <w:left w:val="nil"/>
              <w:bottom w:val="single" w:color="auto" w:sz="4" w:space="0"/>
              <w:right w:val="single" w:color="auto" w:sz="4" w:space="0"/>
            </w:tcBorders>
          </w:tcPr>
          <w:p>
            <w:pPr>
              <w:adjustRightInd w:val="0"/>
              <w:snapToGrid w:val="0"/>
              <w:spacing w:line="360" w:lineRule="auto"/>
              <w:rPr>
                <w:sz w:val="18"/>
                <w:szCs w:val="18"/>
              </w:rPr>
            </w:pPr>
            <w:r>
              <w:rPr>
                <w:sz w:val="18"/>
                <w:szCs w:val="18"/>
              </w:rPr>
              <w:t>技能层面：通过本课程的教学，大学生应当能够拥有自我探索技能、信息搜索与管理技能、生涯决策技能等，还应该通过课程提高学生的各种通用技能，比如沟通技能、时间管理技能和人际交往技能等。</w:t>
            </w:r>
          </w:p>
        </w:tc>
        <w:tc>
          <w:tcPr>
            <w:tcW w:w="3736" w:type="dxa"/>
            <w:tcBorders>
              <w:top w:val="single" w:color="auto" w:sz="4" w:space="0"/>
              <w:left w:val="nil"/>
              <w:bottom w:val="single" w:color="auto" w:sz="4" w:space="0"/>
              <w:right w:val="nil"/>
            </w:tcBorders>
          </w:tcPr>
          <w:p>
            <w:pPr>
              <w:adjustRightInd w:val="0"/>
              <w:snapToGrid w:val="0"/>
              <w:spacing w:line="360" w:lineRule="auto"/>
              <w:rPr>
                <w:sz w:val="18"/>
                <w:szCs w:val="18"/>
              </w:rPr>
            </w:pPr>
            <w:r>
              <w:rPr>
                <w:b/>
                <w:bCs/>
                <w:sz w:val="18"/>
                <w:szCs w:val="18"/>
              </w:rPr>
              <w:t>毕业要求12</w:t>
            </w:r>
            <w:r>
              <w:rPr>
                <w:rFonts w:ascii="宋体" w:hAnsi="宋体"/>
                <w:b/>
                <w:bCs/>
                <w:sz w:val="18"/>
                <w:szCs w:val="18"/>
              </w:rPr>
              <w:t>终身学习</w:t>
            </w:r>
            <w:r>
              <w:rPr>
                <w:sz w:val="18"/>
                <w:szCs w:val="18"/>
              </w:rPr>
              <w:t>：具有自主学习和终身学习的意识，有不断学习和适应发展的能力。</w:t>
            </w:r>
          </w:p>
        </w:tc>
      </w:tr>
    </w:tbl>
    <w:p>
      <w:pPr>
        <w:adjustRightInd w:val="0"/>
        <w:snapToGrid w:val="0"/>
        <w:spacing w:line="360" w:lineRule="auto"/>
        <w:rPr>
          <w:rFonts w:eastAsia="黑体"/>
          <w:color w:val="000000"/>
        </w:rPr>
      </w:pPr>
      <w:r>
        <w:rPr>
          <w:rFonts w:eastAsia="黑体"/>
          <w:color w:val="000000"/>
        </w:rPr>
        <w:t xml:space="preserve"> </w:t>
      </w:r>
      <w:r>
        <w:rPr>
          <w:rFonts w:hint="eastAsia" w:ascii="黑体" w:hAnsi="黑体" w:eastAsia="黑体"/>
          <w:color w:val="000000"/>
        </w:rPr>
        <w:t>三、</w:t>
      </w:r>
      <w:r>
        <w:rPr>
          <w:rFonts w:hint="eastAsia" w:eastAsia="黑体"/>
          <w:color w:val="000000"/>
        </w:rPr>
        <w:t xml:space="preserve"> </w:t>
      </w:r>
      <w:r>
        <w:rPr>
          <w:rFonts w:hint="eastAsia" w:ascii="黑体" w:hAnsi="黑体" w:eastAsia="黑体"/>
          <w:color w:val="000000"/>
        </w:rPr>
        <w:t>教学内容及基本要求</w:t>
      </w:r>
    </w:p>
    <w:p>
      <w:pPr>
        <w:spacing w:line="360" w:lineRule="auto"/>
        <w:ind w:firstLine="420"/>
        <w:rPr>
          <w:rFonts w:eastAsia="黑体"/>
        </w:rPr>
      </w:pPr>
      <w:r>
        <w:rPr>
          <w:rFonts w:hint="eastAsia" w:ascii="黑体" w:hAnsi="黑体" w:eastAsia="黑体"/>
        </w:rPr>
        <w:t>绪言</w:t>
      </w:r>
    </w:p>
    <w:p>
      <w:pPr>
        <w:numPr>
          <w:ilvl w:val="0"/>
          <w:numId w:val="9"/>
        </w:numPr>
        <w:spacing w:line="360" w:lineRule="auto"/>
        <w:ind w:firstLine="420" w:firstLineChars="200"/>
        <w:rPr>
          <w:color w:val="000000"/>
        </w:rPr>
      </w:pPr>
      <w:r>
        <w:rPr>
          <w:rFonts w:ascii="宋体" w:hAnsi="宋体"/>
          <w:color w:val="000000"/>
        </w:rPr>
        <w:t>职业发展与就业指导课程既有知识的传授，也有技能的培养，还有态度、观念的转变，是集理论课、实务课和经验课为一体的综合课程。</w:t>
      </w:r>
    </w:p>
    <w:p>
      <w:pPr>
        <w:numPr>
          <w:ilvl w:val="0"/>
          <w:numId w:val="9"/>
        </w:numPr>
        <w:spacing w:line="360" w:lineRule="auto"/>
        <w:ind w:firstLine="420" w:firstLineChars="200"/>
        <w:rPr>
          <w:color w:val="000000"/>
        </w:rPr>
      </w:pPr>
      <w:r>
        <w:rPr>
          <w:rFonts w:ascii="宋体" w:hAnsi="宋体"/>
          <w:color w:val="000000"/>
        </w:rPr>
        <w:t>在教学中，应当充分发挥师生双方在教学中的主动性和创造性。引导学生积极开展自我分析、职业探索、社会实践与调查、小组讨论等活动。</w:t>
      </w:r>
    </w:p>
    <w:p>
      <w:pPr>
        <w:numPr>
          <w:ilvl w:val="0"/>
          <w:numId w:val="9"/>
        </w:numPr>
        <w:spacing w:line="360" w:lineRule="auto"/>
        <w:ind w:firstLine="420" w:firstLineChars="200"/>
        <w:rPr>
          <w:color w:val="000000"/>
        </w:rPr>
      </w:pPr>
      <w:r>
        <w:rPr>
          <w:rFonts w:ascii="宋体" w:hAnsi="宋体"/>
          <w:color w:val="000000"/>
        </w:rPr>
        <w:t>本课程应采用理论与实践相结合、讲授与训练相结合的方式进行。教学可采用课堂讲授、典型案例分析、情景模拟训练、小组讨论、角色扮演、社会调查、实习见习等方法。</w:t>
      </w:r>
    </w:p>
    <w:p>
      <w:pPr>
        <w:numPr>
          <w:ilvl w:val="0"/>
          <w:numId w:val="9"/>
        </w:numPr>
        <w:spacing w:line="360" w:lineRule="auto"/>
        <w:ind w:firstLine="420" w:firstLineChars="200"/>
        <w:rPr>
          <w:color w:val="000000"/>
        </w:rPr>
      </w:pPr>
      <w:r>
        <w:rPr>
          <w:rFonts w:ascii="宋体" w:hAnsi="宋体"/>
          <w:color w:val="000000"/>
        </w:rPr>
        <w:t>在教学的过程中，要充分利用各种资源。除了教师和学生自身的资源之外，还需要使用相关的职业生涯与发展规划工具，包括职业测评、相关图书资料等；还可以调动社会资源，采取与外聘专家、成功校友、职场人物专题讲座和座谈相结合的方法。</w:t>
      </w:r>
    </w:p>
    <w:p>
      <w:pPr>
        <w:numPr>
          <w:ilvl w:val="0"/>
          <w:numId w:val="9"/>
        </w:numPr>
        <w:spacing w:line="360" w:lineRule="auto"/>
        <w:ind w:firstLine="420" w:firstLineChars="200"/>
        <w:rPr>
          <w:color w:val="000000"/>
        </w:rPr>
      </w:pPr>
      <w:r>
        <w:rPr>
          <w:rFonts w:ascii="宋体" w:hAnsi="宋体"/>
          <w:color w:val="000000"/>
        </w:rPr>
        <w:t>在课程具体实施时，应当根据课程内容分两门课程进行，分别是《职业生涯与发展规划》与《就业指导》。</w:t>
      </w:r>
    </w:p>
    <w:p>
      <w:pPr>
        <w:spacing w:line="360" w:lineRule="auto"/>
        <w:ind w:firstLine="420" w:firstLineChars="200"/>
        <w:rPr>
          <w:rFonts w:eastAsia="黑体"/>
          <w:color w:val="000000"/>
          <w:kern w:val="0"/>
        </w:rPr>
      </w:pPr>
      <w:r>
        <w:rPr>
          <w:rFonts w:ascii="宋体" w:hAnsi="宋体"/>
        </w:rPr>
        <w:t>本章节内容支撑课程目标</w:t>
      </w:r>
      <w:r>
        <w:t xml:space="preserve"> 1</w:t>
      </w:r>
      <w:r>
        <w:rPr>
          <w:rFonts w:ascii="宋体" w:hAnsi="宋体"/>
        </w:rPr>
        <w:t>。</w:t>
      </w:r>
    </w:p>
    <w:p>
      <w:pPr>
        <w:widowControl/>
        <w:spacing w:line="360" w:lineRule="auto"/>
        <w:ind w:firstLine="420"/>
        <w:jc w:val="left"/>
        <w:rPr>
          <w:rFonts w:ascii="Calibri" w:hAnsi="Calibri" w:eastAsia="黑体"/>
          <w:color w:val="000000"/>
          <w:kern w:val="0"/>
        </w:rPr>
      </w:pPr>
      <w:r>
        <w:rPr>
          <w:rFonts w:hint="eastAsia" w:ascii="黑体" w:hAnsi="黑体" w:eastAsia="黑体"/>
          <w:color w:val="000000"/>
          <w:kern w:val="0"/>
        </w:rPr>
        <w:t>第一章</w:t>
      </w:r>
      <w:r>
        <w:rPr>
          <w:rFonts w:eastAsia="黑体"/>
          <w:color w:val="000000"/>
          <w:kern w:val="0"/>
        </w:rPr>
        <w:t xml:space="preserve">  </w:t>
      </w:r>
      <w:r>
        <w:rPr>
          <w:rFonts w:ascii="黑体" w:hAnsi="黑体" w:eastAsia="黑体"/>
          <w:color w:val="000000"/>
          <w:kern w:val="0"/>
        </w:rPr>
        <w:t>认识职业生涯规划（觉知与承诺）</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了解职业生涯规划的基本概念、基本思路和基本理论；</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了解高校毕业生就业形势；</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明确大学生活与未来职业生涯的关系；</w:t>
      </w:r>
    </w:p>
    <w:p>
      <w:pPr>
        <w:widowControl/>
        <w:spacing w:line="360" w:lineRule="auto"/>
        <w:ind w:left="426"/>
        <w:jc w:val="left"/>
        <w:rPr>
          <w:color w:val="000000"/>
          <w:kern w:val="0"/>
        </w:rPr>
      </w:pPr>
      <w:r>
        <w:rPr>
          <w:rFonts w:hint="eastAsia"/>
          <w:color w:val="000000"/>
          <w:kern w:val="0"/>
        </w:rPr>
        <w:t xml:space="preserve">4. </w:t>
      </w:r>
      <w:r>
        <w:rPr>
          <w:rFonts w:ascii="宋体" w:hAnsi="宋体"/>
          <w:color w:val="000000"/>
          <w:kern w:val="0"/>
        </w:rPr>
        <w:t>了解影响职业发展与规划的内外部重要因素；</w:t>
      </w:r>
    </w:p>
    <w:p>
      <w:pPr>
        <w:widowControl/>
        <w:spacing w:line="360" w:lineRule="auto"/>
        <w:ind w:left="426"/>
        <w:jc w:val="left"/>
        <w:rPr>
          <w:color w:val="000000"/>
          <w:kern w:val="0"/>
        </w:rPr>
      </w:pPr>
      <w:r>
        <w:rPr>
          <w:rFonts w:hint="eastAsia"/>
          <w:color w:val="000000"/>
          <w:kern w:val="0"/>
        </w:rPr>
        <w:t xml:space="preserve">5. </w:t>
      </w:r>
      <w:r>
        <w:rPr>
          <w:rFonts w:ascii="宋体" w:hAnsi="宋体"/>
          <w:color w:val="000000"/>
          <w:kern w:val="0"/>
        </w:rPr>
        <w:t>理解生涯规划的步骤和原则，职业生涯发展的阶段性理论（生涯彩虹图）；</w:t>
      </w:r>
    </w:p>
    <w:p>
      <w:pPr>
        <w:spacing w:line="360" w:lineRule="auto"/>
        <w:ind w:firstLine="420" w:firstLineChars="200"/>
        <w:rPr>
          <w:color w:val="000000"/>
          <w:kern w:val="0"/>
        </w:rPr>
      </w:pPr>
      <w:r>
        <w:rPr>
          <w:rFonts w:ascii="宋体" w:hAnsi="宋体"/>
        </w:rPr>
        <w:t>本章节内容支撑课程目标</w:t>
      </w:r>
      <w:r>
        <w:t xml:space="preserve"> 1</w:t>
      </w:r>
      <w:r>
        <w:rPr>
          <w:rFonts w:ascii="宋体" w:hAnsi="宋体"/>
        </w:rPr>
        <w:t>。</w:t>
      </w:r>
    </w:p>
    <w:p>
      <w:pPr>
        <w:widowControl/>
        <w:spacing w:line="360" w:lineRule="auto"/>
        <w:ind w:firstLine="420"/>
        <w:jc w:val="left"/>
        <w:rPr>
          <w:rFonts w:ascii="Calibri" w:hAnsi="Calibri" w:eastAsia="黑体"/>
          <w:color w:val="000000"/>
          <w:kern w:val="0"/>
        </w:rPr>
      </w:pPr>
      <w:r>
        <w:rPr>
          <w:rFonts w:hint="eastAsia" w:ascii="黑体" w:hAnsi="黑体" w:eastAsia="黑体"/>
          <w:color w:val="000000"/>
          <w:kern w:val="0"/>
        </w:rPr>
        <w:t>第二章</w:t>
      </w:r>
      <w:r>
        <w:rPr>
          <w:rFonts w:hint="eastAsia" w:eastAsia="黑体"/>
          <w:color w:val="000000"/>
          <w:kern w:val="0"/>
        </w:rPr>
        <w:t xml:space="preserve">  </w:t>
      </w:r>
      <w:r>
        <w:rPr>
          <w:rFonts w:ascii="黑体" w:hAnsi="黑体" w:eastAsia="黑体"/>
          <w:color w:val="000000"/>
          <w:kern w:val="0"/>
        </w:rPr>
        <w:t>环境探索</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了解相关职业与行业；</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熟悉搜集和管理职业信息的方法，掌握生涯人物访谈方法；</w:t>
      </w:r>
      <w:r>
        <w:rPr>
          <w:color w:val="000000"/>
          <w:kern w:val="0"/>
        </w:rPr>
        <w:t>(</w:t>
      </w:r>
      <w:r>
        <w:rPr>
          <w:rFonts w:ascii="宋体" w:hAnsi="宋体"/>
          <w:color w:val="000000"/>
          <w:kern w:val="0"/>
        </w:rPr>
        <w:t>重点</w:t>
      </w:r>
      <w:r>
        <w:rPr>
          <w:color w:val="000000"/>
          <w:kern w:val="0"/>
        </w:rPr>
        <w:t>)</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了解所处环境中的各种资源和限制；</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ascii="Calibri" w:hAnsi="Calibri" w:eastAsia="黑体"/>
          <w:color w:val="000000"/>
          <w:kern w:val="0"/>
        </w:rPr>
      </w:pPr>
      <w:r>
        <w:rPr>
          <w:rFonts w:hint="eastAsia" w:ascii="黑体" w:hAnsi="黑体" w:eastAsia="黑体"/>
          <w:color w:val="000000"/>
          <w:kern w:val="0"/>
        </w:rPr>
        <w:t>第三章</w:t>
      </w:r>
      <w:r>
        <w:rPr>
          <w:rFonts w:eastAsia="黑体"/>
          <w:color w:val="000000"/>
          <w:kern w:val="0"/>
        </w:rPr>
        <w:t xml:space="preserve">  </w:t>
      </w:r>
      <w:r>
        <w:rPr>
          <w:rFonts w:ascii="黑体" w:hAnsi="黑体" w:eastAsia="黑体"/>
          <w:color w:val="000000"/>
          <w:kern w:val="0"/>
        </w:rPr>
        <w:t>性格探索</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了解性格探索的方法，理解</w:t>
      </w:r>
      <w:r>
        <w:rPr>
          <w:color w:val="000000"/>
          <w:kern w:val="0"/>
        </w:rPr>
        <w:t>MBTI</w:t>
      </w:r>
      <w:r>
        <w:rPr>
          <w:rFonts w:ascii="宋体" w:hAnsi="宋体"/>
          <w:color w:val="000000"/>
          <w:kern w:val="0"/>
        </w:rPr>
        <w:t>理论与职业的匹配；</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了解性格与职业选择和发展的关系。</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ascii="Calibri" w:hAnsi="Calibri" w:eastAsia="黑体"/>
          <w:color w:val="000000"/>
          <w:kern w:val="0"/>
        </w:rPr>
      </w:pPr>
      <w:r>
        <w:rPr>
          <w:rFonts w:hint="eastAsia" w:ascii="黑体" w:hAnsi="黑体" w:eastAsia="黑体"/>
          <w:color w:val="000000"/>
          <w:kern w:val="0"/>
        </w:rPr>
        <w:t>第四章</w:t>
      </w:r>
      <w:r>
        <w:rPr>
          <w:rFonts w:hint="eastAsia" w:eastAsia="黑体"/>
          <w:color w:val="000000"/>
          <w:kern w:val="0"/>
        </w:rPr>
        <w:t xml:space="preserve">  </w:t>
      </w:r>
      <w:r>
        <w:rPr>
          <w:rFonts w:ascii="黑体" w:hAnsi="黑体" w:eastAsia="黑体"/>
          <w:color w:val="000000"/>
          <w:kern w:val="0"/>
        </w:rPr>
        <w:t>兴趣探索</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了解探索兴趣的方法、手段；</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熟悉霍兰德的兴趣类型理论；</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了解兴趣与职业选择和发展的关系。</w:t>
      </w:r>
      <w:r>
        <w:rPr>
          <w:color w:val="000000"/>
          <w:kern w:val="0"/>
        </w:rPr>
        <w:t xml:space="preserve"> </w:t>
      </w:r>
    </w:p>
    <w:p>
      <w:pPr>
        <w:spacing w:line="360" w:lineRule="auto"/>
        <w:ind w:firstLine="420" w:firstLineChars="200"/>
        <w:rPr>
          <w:color w:val="000000"/>
          <w:kern w:val="0"/>
        </w:rPr>
      </w:pPr>
      <w:r>
        <w:rPr>
          <w:rFonts w:ascii="宋体" w:hAnsi="宋体"/>
        </w:rPr>
        <w:t>本章节内容支撑课程目标</w:t>
      </w:r>
      <w:r>
        <w:t xml:space="preserve"> 1</w:t>
      </w:r>
      <w:r>
        <w:rPr>
          <w:rFonts w:ascii="宋体" w:hAnsi="宋体"/>
        </w:rPr>
        <w:t>、</w:t>
      </w:r>
      <w:r>
        <w:t>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第五章</w:t>
      </w:r>
      <w:r>
        <w:rPr>
          <w:rFonts w:hint="eastAsia" w:eastAsia="黑体"/>
          <w:color w:val="000000"/>
          <w:kern w:val="0"/>
        </w:rPr>
        <w:t xml:space="preserve">  </w:t>
      </w:r>
      <w:r>
        <w:rPr>
          <w:rFonts w:ascii="黑体" w:hAnsi="黑体" w:eastAsia="黑体"/>
          <w:color w:val="000000"/>
          <w:kern w:val="0"/>
        </w:rPr>
        <w:t>能力探索</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了解能力的概念及技能的分类</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掌握探索自我能力的方法</w:t>
      </w:r>
      <w:r>
        <w:rPr>
          <w:color w:val="000000"/>
          <w:kern w:val="0"/>
        </w:rPr>
        <w:t>(</w:t>
      </w:r>
      <w:r>
        <w:rPr>
          <w:rFonts w:ascii="宋体" w:hAnsi="宋体"/>
          <w:color w:val="000000"/>
          <w:kern w:val="0"/>
        </w:rPr>
        <w:t>难点</w:t>
      </w:r>
      <w:r>
        <w:rPr>
          <w:color w:val="000000"/>
          <w:kern w:val="0"/>
        </w:rPr>
        <w:t>)</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理解自我能力提升与未来职业生涯的关系</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第六章</w:t>
      </w:r>
      <w:r>
        <w:rPr>
          <w:rFonts w:hint="eastAsia" w:eastAsia="黑体"/>
          <w:color w:val="000000"/>
          <w:kern w:val="0"/>
        </w:rPr>
        <w:t xml:space="preserve">  </w:t>
      </w:r>
      <w:r>
        <w:rPr>
          <w:rFonts w:ascii="黑体" w:hAnsi="黑体" w:eastAsia="黑体"/>
          <w:color w:val="000000"/>
          <w:kern w:val="0"/>
        </w:rPr>
        <w:t>价值观探索</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了解价值观与生涯的关系；</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领会个人价值观探索的方法及真实价值观的澄清</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了解如何树立正确的职业价值观。</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3</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第七章</w:t>
      </w:r>
      <w:r>
        <w:rPr>
          <w:rFonts w:eastAsia="黑体"/>
          <w:color w:val="000000"/>
          <w:kern w:val="0"/>
        </w:rPr>
        <w:t xml:space="preserve">  </w:t>
      </w:r>
      <w:r>
        <w:rPr>
          <w:rFonts w:ascii="黑体" w:hAnsi="黑体" w:eastAsia="黑体"/>
          <w:color w:val="000000"/>
          <w:kern w:val="0"/>
        </w:rPr>
        <w:t>生涯发展决策</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了解生涯发展决策的基本概念和类型；</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了解生涯发展决策的影响因素；</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掌握生涯发展决策流程（</w:t>
      </w:r>
      <w:r>
        <w:rPr>
          <w:color w:val="000000"/>
          <w:kern w:val="0"/>
        </w:rPr>
        <w:t>CASVE</w:t>
      </w:r>
      <w:r>
        <w:rPr>
          <w:rFonts w:ascii="宋体" w:hAnsi="宋体"/>
          <w:color w:val="000000"/>
          <w:kern w:val="0"/>
        </w:rPr>
        <w:t>循环模式）及常用的决策方法；</w:t>
      </w:r>
      <w:r>
        <w:rPr>
          <w:color w:val="000000"/>
          <w:kern w:val="0"/>
        </w:rPr>
        <w:t>(</w:t>
      </w:r>
      <w:r>
        <w:rPr>
          <w:rFonts w:ascii="宋体" w:hAnsi="宋体"/>
          <w:color w:val="000000"/>
          <w:kern w:val="0"/>
        </w:rPr>
        <w:t>重点</w:t>
      </w:r>
      <w:r>
        <w:rPr>
          <w:color w:val="000000"/>
          <w:kern w:val="0"/>
        </w:rPr>
        <w:t>)</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第八章</w:t>
      </w:r>
      <w:r>
        <w:rPr>
          <w:rFonts w:eastAsia="黑体"/>
          <w:color w:val="000000"/>
          <w:kern w:val="0"/>
        </w:rPr>
        <w:t xml:space="preserve">  </w:t>
      </w:r>
      <w:r>
        <w:rPr>
          <w:rFonts w:ascii="黑体" w:hAnsi="黑体" w:eastAsia="黑体"/>
          <w:color w:val="000000"/>
          <w:kern w:val="0"/>
        </w:rPr>
        <w:t>生涯规划管理</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了解生涯发展目标的确立方法</w:t>
      </w:r>
      <w:r>
        <w:rPr>
          <w:color w:val="000000"/>
          <w:kern w:val="0"/>
        </w:rPr>
        <w:t xml:space="preserve"> </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理解如何制定生涯行动计划，及生涯评估与调整；</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掌握职业生涯规划书的书写；（难点）</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第九章</w:t>
      </w:r>
      <w:r>
        <w:rPr>
          <w:rFonts w:hint="eastAsia" w:eastAsia="黑体"/>
          <w:color w:val="000000"/>
          <w:kern w:val="0"/>
        </w:rPr>
        <w:t xml:space="preserve">  </w:t>
      </w:r>
      <w:r>
        <w:rPr>
          <w:rFonts w:ascii="黑体" w:hAnsi="黑体" w:eastAsia="黑体"/>
          <w:color w:val="000000"/>
          <w:kern w:val="0"/>
        </w:rPr>
        <w:t>情绪管理</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了解情商概念及提高情商的办法；</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了解情绪产生的原因并能够有效管理自己的情绪。</w:t>
      </w:r>
    </w:p>
    <w:p>
      <w:pPr>
        <w:spacing w:line="360" w:lineRule="auto"/>
        <w:ind w:firstLine="420" w:firstLineChars="200"/>
        <w:rPr>
          <w:color w:val="000000"/>
          <w:kern w:val="0"/>
        </w:rPr>
      </w:pPr>
      <w:r>
        <w:rPr>
          <w:rFonts w:ascii="宋体" w:hAnsi="宋体"/>
        </w:rPr>
        <w:t>本章节内容支撑课程目标</w:t>
      </w:r>
      <w:r>
        <w:t xml:space="preserve"> 1</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第十章</w:t>
      </w:r>
      <w:r>
        <w:rPr>
          <w:rFonts w:hint="eastAsia" w:eastAsia="黑体"/>
          <w:color w:val="000000"/>
          <w:kern w:val="0"/>
        </w:rPr>
        <w:t xml:space="preserve">  </w:t>
      </w:r>
      <w:r>
        <w:rPr>
          <w:rFonts w:hint="eastAsia" w:ascii="黑体" w:hAnsi="黑体" w:eastAsia="黑体"/>
          <w:color w:val="000000"/>
          <w:kern w:val="0"/>
        </w:rPr>
        <w:t>时间</w:t>
      </w:r>
      <w:r>
        <w:rPr>
          <w:rFonts w:ascii="黑体" w:hAnsi="黑体" w:eastAsia="黑体"/>
          <w:color w:val="000000"/>
          <w:kern w:val="0"/>
        </w:rPr>
        <w:t>管理</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了解时间管理的重要性和意义；</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学会时间管理的方法和技巧；</w:t>
      </w:r>
    </w:p>
    <w:p>
      <w:pPr>
        <w:spacing w:line="360" w:lineRule="auto"/>
        <w:ind w:firstLine="420" w:firstLineChars="200"/>
        <w:rPr>
          <w:color w:val="000000"/>
          <w:kern w:val="0"/>
        </w:rPr>
      </w:pPr>
      <w:r>
        <w:rPr>
          <w:rFonts w:ascii="宋体" w:hAnsi="宋体"/>
        </w:rPr>
        <w:t>本章节内容支撑课程目标</w:t>
      </w:r>
      <w:r>
        <w:t xml:space="preserve"> 1</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第十一章</w:t>
      </w:r>
      <w:r>
        <w:rPr>
          <w:rFonts w:hint="eastAsia" w:eastAsia="黑体"/>
          <w:color w:val="000000"/>
          <w:kern w:val="0"/>
        </w:rPr>
        <w:t xml:space="preserve">  </w:t>
      </w:r>
      <w:r>
        <w:rPr>
          <w:rFonts w:ascii="黑体" w:hAnsi="黑体" w:eastAsia="黑体"/>
          <w:color w:val="000000"/>
          <w:kern w:val="0"/>
        </w:rPr>
        <w:t>有效沟通</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了解沟通的本质及其重要性；</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了解倾听和有效表达的方法和技巧；</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学习书面沟通的基本要求；</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3</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第十二章</w:t>
      </w:r>
      <w:r>
        <w:rPr>
          <w:rFonts w:hint="eastAsia" w:eastAsia="黑体"/>
          <w:color w:val="000000"/>
          <w:kern w:val="0"/>
        </w:rPr>
        <w:t xml:space="preserve">  </w:t>
      </w:r>
      <w:r>
        <w:rPr>
          <w:rFonts w:ascii="黑体" w:hAnsi="黑体" w:eastAsia="黑体"/>
          <w:color w:val="000000"/>
          <w:kern w:val="0"/>
        </w:rPr>
        <w:t>职业礼仪</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了解并应用职业礼仪的基本规则；</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掌握各种礼仪规范；</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第十三章</w:t>
      </w:r>
      <w:r>
        <w:rPr>
          <w:rFonts w:eastAsia="黑体"/>
          <w:color w:val="000000"/>
          <w:kern w:val="0"/>
        </w:rPr>
        <w:t xml:space="preserve">  </w:t>
      </w:r>
      <w:r>
        <w:rPr>
          <w:rFonts w:ascii="黑体" w:hAnsi="黑体" w:eastAsia="黑体"/>
          <w:color w:val="000000"/>
          <w:kern w:val="0"/>
        </w:rPr>
        <w:t>就业形势与政策</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了解年度就业形势；</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了解如何树立迅速定位、成功就业的理念。</w:t>
      </w:r>
    </w:p>
    <w:p>
      <w:pPr>
        <w:spacing w:line="360" w:lineRule="auto"/>
        <w:ind w:firstLine="420" w:firstLineChars="200"/>
        <w:rPr>
          <w:color w:val="000000"/>
          <w:kern w:val="0"/>
        </w:rPr>
      </w:pPr>
      <w:r>
        <w:rPr>
          <w:rFonts w:ascii="宋体" w:hAnsi="宋体"/>
        </w:rPr>
        <w:t>本章节内容支撑课程目标</w:t>
      </w:r>
      <w:r>
        <w:t xml:space="preserve"> 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第十四章</w:t>
      </w:r>
      <w:r>
        <w:rPr>
          <w:rFonts w:hint="eastAsia" w:eastAsia="黑体"/>
          <w:color w:val="000000"/>
          <w:kern w:val="0"/>
        </w:rPr>
        <w:t xml:space="preserve">  </w:t>
      </w:r>
      <w:r>
        <w:rPr>
          <w:rFonts w:ascii="黑体" w:hAnsi="黑体" w:eastAsia="黑体"/>
          <w:color w:val="000000"/>
          <w:kern w:val="0"/>
        </w:rPr>
        <w:t>就业信息收集</w:t>
      </w:r>
      <w:r>
        <w:rPr>
          <w:rFonts w:hint="eastAsia" w:ascii="黑体" w:hAnsi="黑体" w:eastAsia="黑体"/>
          <w:color w:val="000000"/>
          <w:kern w:val="0"/>
        </w:rPr>
        <w:t>（</w:t>
      </w:r>
      <w:r>
        <w:rPr>
          <w:rFonts w:hint="eastAsia" w:eastAsia="黑体"/>
          <w:color w:val="000000"/>
          <w:kern w:val="0"/>
        </w:rPr>
        <w:t>2</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了解就业信息；</w:t>
      </w:r>
      <w:r>
        <w:rPr>
          <w:color w:val="000000"/>
          <w:kern w:val="0"/>
        </w:rPr>
        <w:t xml:space="preserve"> </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掌握搜集就业信息的方法与渠道；</w:t>
      </w:r>
      <w:r>
        <w:rPr>
          <w:color w:val="000000"/>
          <w:kern w:val="0"/>
        </w:rPr>
        <w:t>(</w:t>
      </w:r>
      <w:r>
        <w:rPr>
          <w:rFonts w:ascii="宋体" w:hAnsi="宋体"/>
          <w:color w:val="000000"/>
          <w:kern w:val="0"/>
        </w:rPr>
        <w:t>重点</w:t>
      </w:r>
      <w:r>
        <w:rPr>
          <w:color w:val="000000"/>
          <w:kern w:val="0"/>
        </w:rPr>
        <w:t>)</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能够分析与利用就业信息。</w:t>
      </w:r>
    </w:p>
    <w:p>
      <w:pPr>
        <w:spacing w:line="360" w:lineRule="auto"/>
        <w:ind w:firstLine="420" w:firstLineChars="200"/>
        <w:rPr>
          <w:color w:val="000000"/>
          <w:kern w:val="0"/>
        </w:rPr>
      </w:pPr>
      <w:r>
        <w:rPr>
          <w:rFonts w:ascii="宋体" w:hAnsi="宋体"/>
        </w:rPr>
        <w:t>本章节内容支撑课程目标</w:t>
      </w:r>
      <w:r>
        <w:rPr>
          <w:rFonts w:hint="eastAsia"/>
        </w:rPr>
        <w:t>3</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第十五章</w:t>
      </w:r>
      <w:r>
        <w:rPr>
          <w:rFonts w:hint="eastAsia" w:eastAsia="黑体"/>
          <w:color w:val="000000"/>
          <w:kern w:val="0"/>
        </w:rPr>
        <w:t xml:space="preserve">  </w:t>
      </w:r>
      <w:r>
        <w:rPr>
          <w:rFonts w:ascii="黑体" w:hAnsi="黑体" w:eastAsia="黑体"/>
          <w:color w:val="000000"/>
          <w:kern w:val="0"/>
        </w:rPr>
        <w:t>求职材料准备</w:t>
      </w:r>
      <w:r>
        <w:rPr>
          <w:rFonts w:hint="eastAsia" w:ascii="黑体" w:hAnsi="黑体" w:eastAsia="黑体"/>
          <w:color w:val="000000"/>
          <w:kern w:val="0"/>
        </w:rPr>
        <w:t>（</w:t>
      </w:r>
      <w:r>
        <w:rPr>
          <w:rFonts w:hint="eastAsia" w:eastAsia="黑体"/>
          <w:color w:val="000000"/>
          <w:kern w:val="0"/>
        </w:rPr>
        <w:t>4</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了解求职信制作方法；</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掌握简历制作的方法。</w:t>
      </w:r>
      <w:r>
        <w:rPr>
          <w:color w:val="000000"/>
          <w:kern w:val="0"/>
        </w:rPr>
        <w:t>(</w:t>
      </w:r>
      <w:r>
        <w:rPr>
          <w:rFonts w:ascii="宋体" w:hAnsi="宋体"/>
          <w:color w:val="000000"/>
          <w:kern w:val="0"/>
        </w:rPr>
        <w:t>重点</w:t>
      </w:r>
      <w:r>
        <w:rPr>
          <w:color w:val="000000"/>
          <w:kern w:val="0"/>
        </w:rPr>
        <w:t>)</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3</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第十六章</w:t>
      </w:r>
      <w:r>
        <w:rPr>
          <w:rFonts w:hint="eastAsia" w:eastAsia="黑体"/>
          <w:color w:val="000000"/>
          <w:kern w:val="0"/>
        </w:rPr>
        <w:t xml:space="preserve">  </w:t>
      </w:r>
      <w:r>
        <w:rPr>
          <w:rFonts w:ascii="黑体" w:hAnsi="黑体" w:eastAsia="黑体"/>
          <w:color w:val="000000"/>
          <w:kern w:val="0"/>
        </w:rPr>
        <w:t>面试与笔试</w:t>
      </w:r>
      <w:r>
        <w:rPr>
          <w:rFonts w:hint="eastAsia" w:ascii="黑体" w:hAnsi="黑体" w:eastAsia="黑体"/>
          <w:color w:val="000000"/>
          <w:kern w:val="0"/>
        </w:rPr>
        <w:t>（</w:t>
      </w:r>
      <w:r>
        <w:rPr>
          <w:rFonts w:hint="eastAsia" w:eastAsia="黑体"/>
          <w:color w:val="000000"/>
          <w:kern w:val="0"/>
        </w:rPr>
        <w:t>4</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了解面试基本类型、应对技巧及面试后注意事项；</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学会面试及笔试的基本方法；</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3</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第十七章</w:t>
      </w:r>
      <w:r>
        <w:rPr>
          <w:rFonts w:hint="eastAsia" w:eastAsia="黑体"/>
          <w:color w:val="000000"/>
          <w:kern w:val="0"/>
        </w:rPr>
        <w:t xml:space="preserve">  </w:t>
      </w:r>
      <w:r>
        <w:rPr>
          <w:rFonts w:ascii="黑体" w:hAnsi="黑体" w:eastAsia="黑体"/>
          <w:color w:val="000000"/>
          <w:kern w:val="0"/>
        </w:rPr>
        <w:t>求职礼仪</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了解职场形象礼仪的基本知识</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了解求职面试及未来职场生活的基本礼仪的应用</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第十八章</w:t>
      </w:r>
      <w:r>
        <w:rPr>
          <w:rFonts w:hint="eastAsia" w:eastAsia="黑体"/>
          <w:color w:val="000000"/>
          <w:kern w:val="0"/>
        </w:rPr>
        <w:t xml:space="preserve">  </w:t>
      </w:r>
      <w:r>
        <w:rPr>
          <w:rFonts w:ascii="黑体" w:hAnsi="黑体" w:eastAsia="黑体"/>
          <w:color w:val="000000"/>
          <w:kern w:val="0"/>
        </w:rPr>
        <w:t>就业心理调适</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了解求职过程中常见的心理问题；</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学会心理调适的作用与方法；</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建立个性化的心理调适方法。</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1</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第十九章</w:t>
      </w:r>
      <w:r>
        <w:rPr>
          <w:rFonts w:hint="eastAsia" w:eastAsia="黑体"/>
          <w:color w:val="000000"/>
          <w:kern w:val="0"/>
        </w:rPr>
        <w:t xml:space="preserve">  </w:t>
      </w:r>
      <w:r>
        <w:rPr>
          <w:rFonts w:ascii="黑体" w:hAnsi="黑体" w:eastAsia="黑体"/>
          <w:color w:val="000000"/>
          <w:kern w:val="0"/>
        </w:rPr>
        <w:t>就业权益保护</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spacing w:line="360" w:lineRule="auto"/>
        <w:ind w:left="426"/>
        <w:jc w:val="left"/>
        <w:rPr>
          <w:color w:val="000000"/>
          <w:kern w:val="0"/>
        </w:rPr>
      </w:pPr>
      <w:r>
        <w:rPr>
          <w:rFonts w:hint="eastAsia"/>
          <w:color w:val="000000"/>
          <w:kern w:val="0"/>
        </w:rPr>
        <w:t xml:space="preserve">1. </w:t>
      </w:r>
      <w:r>
        <w:rPr>
          <w:rFonts w:ascii="宋体" w:hAnsi="宋体"/>
          <w:color w:val="000000"/>
          <w:kern w:val="0"/>
        </w:rPr>
        <w:t>了解求职过程中常见的侵权、违法行为；</w:t>
      </w:r>
    </w:p>
    <w:p>
      <w:pPr>
        <w:widowControl/>
        <w:spacing w:line="360" w:lineRule="auto"/>
        <w:ind w:left="426"/>
        <w:jc w:val="left"/>
        <w:rPr>
          <w:color w:val="000000"/>
          <w:kern w:val="0"/>
        </w:rPr>
      </w:pPr>
      <w:r>
        <w:rPr>
          <w:rFonts w:hint="eastAsia"/>
          <w:color w:val="000000"/>
          <w:kern w:val="0"/>
        </w:rPr>
        <w:t xml:space="preserve">2. </w:t>
      </w:r>
      <w:r>
        <w:rPr>
          <w:rFonts w:ascii="宋体" w:hAnsi="宋体"/>
          <w:color w:val="000000"/>
          <w:kern w:val="0"/>
        </w:rPr>
        <w:t>了解就业协议与劳动合同、劳动争议及社会保险相关知识；</w:t>
      </w:r>
    </w:p>
    <w:p>
      <w:pPr>
        <w:widowControl/>
        <w:spacing w:line="360" w:lineRule="auto"/>
        <w:ind w:left="426"/>
        <w:jc w:val="left"/>
        <w:rPr>
          <w:color w:val="000000"/>
          <w:kern w:val="0"/>
        </w:rPr>
      </w:pPr>
      <w:r>
        <w:rPr>
          <w:rFonts w:hint="eastAsia"/>
          <w:color w:val="000000"/>
          <w:kern w:val="0"/>
        </w:rPr>
        <w:t xml:space="preserve">3. </w:t>
      </w:r>
      <w:r>
        <w:rPr>
          <w:rFonts w:ascii="宋体" w:hAnsi="宋体"/>
          <w:color w:val="000000"/>
          <w:kern w:val="0"/>
        </w:rPr>
        <w:t>学会权益保护的方法与途径。</w:t>
      </w:r>
      <w:r>
        <w:rPr>
          <w:color w:val="000000"/>
          <w:kern w:val="0"/>
        </w:rPr>
        <w:t>(</w:t>
      </w:r>
      <w:r>
        <w:rPr>
          <w:rFonts w:ascii="宋体" w:hAnsi="宋体"/>
          <w:color w:val="000000"/>
          <w:kern w:val="0"/>
        </w:rPr>
        <w:t>重点</w:t>
      </w:r>
      <w:r>
        <w:rPr>
          <w:color w:val="000000"/>
          <w:kern w:val="0"/>
        </w:rPr>
        <w:t>)</w:t>
      </w:r>
    </w:p>
    <w:p>
      <w:pPr>
        <w:spacing w:line="360" w:lineRule="auto"/>
        <w:ind w:firstLine="420" w:firstLineChars="200"/>
        <w:rPr>
          <w:color w:val="000000"/>
          <w:kern w:val="0"/>
        </w:rPr>
      </w:pPr>
      <w:r>
        <w:rPr>
          <w:rFonts w:ascii="宋体" w:hAnsi="宋体"/>
        </w:rPr>
        <w:t>本章节内容支撑课程目标</w:t>
      </w:r>
      <w:r>
        <w:t xml:space="preserve"> </w:t>
      </w:r>
      <w:r>
        <w:rPr>
          <w:rFonts w:hint="eastAsia"/>
        </w:rPr>
        <w:t>2</w:t>
      </w:r>
      <w:r>
        <w:rPr>
          <w:rFonts w:ascii="宋体" w:hAnsi="宋体"/>
        </w:rPr>
        <w:t>。</w:t>
      </w:r>
    </w:p>
    <w:p>
      <w:pPr>
        <w:widowControl/>
        <w:spacing w:line="360" w:lineRule="auto"/>
        <w:ind w:firstLine="420"/>
        <w:jc w:val="left"/>
        <w:rPr>
          <w:rFonts w:eastAsia="黑体"/>
          <w:color w:val="000000"/>
          <w:kern w:val="0"/>
        </w:rPr>
      </w:pPr>
      <w:r>
        <w:rPr>
          <w:rFonts w:hint="eastAsia" w:ascii="黑体" w:hAnsi="黑体" w:eastAsia="黑体"/>
          <w:color w:val="000000"/>
          <w:kern w:val="0"/>
        </w:rPr>
        <w:t>第二十章</w:t>
      </w:r>
      <w:r>
        <w:rPr>
          <w:rFonts w:eastAsia="黑体"/>
          <w:color w:val="000000"/>
          <w:kern w:val="0"/>
        </w:rPr>
        <w:t xml:space="preserve">  </w:t>
      </w:r>
      <w:r>
        <w:rPr>
          <w:rFonts w:ascii="黑体" w:hAnsi="黑体" w:eastAsia="黑体"/>
          <w:color w:val="000000"/>
          <w:kern w:val="0"/>
        </w:rPr>
        <w:t>职业适应与发展</w:t>
      </w:r>
      <w:r>
        <w:rPr>
          <w:rFonts w:hint="eastAsia" w:ascii="黑体" w:hAnsi="黑体" w:eastAsia="黑体"/>
          <w:color w:val="000000"/>
          <w:kern w:val="0"/>
        </w:rPr>
        <w:t>（</w:t>
      </w:r>
      <w:r>
        <w:rPr>
          <w:rFonts w:hint="eastAsia" w:eastAsia="黑体"/>
          <w:color w:val="000000"/>
          <w:kern w:val="0"/>
        </w:rPr>
        <w:t>1</w:t>
      </w:r>
      <w:r>
        <w:rPr>
          <w:rFonts w:hint="eastAsia" w:ascii="黑体" w:hAnsi="黑体" w:eastAsia="黑体"/>
          <w:color w:val="000000"/>
          <w:kern w:val="0"/>
        </w:rPr>
        <w:t>课时）</w:t>
      </w:r>
    </w:p>
    <w:p>
      <w:pPr>
        <w:widowControl/>
        <w:numPr>
          <w:ilvl w:val="0"/>
          <w:numId w:val="10"/>
        </w:numPr>
        <w:spacing w:line="360" w:lineRule="auto"/>
        <w:ind w:left="426"/>
        <w:jc w:val="left"/>
        <w:rPr>
          <w:color w:val="000000"/>
          <w:kern w:val="0"/>
        </w:rPr>
      </w:pPr>
      <w:r>
        <w:rPr>
          <w:rFonts w:ascii="宋体" w:hAnsi="宋体"/>
          <w:color w:val="000000"/>
          <w:kern w:val="0"/>
        </w:rPr>
        <w:t>了解学校和职场、学生和职业人的差别</w:t>
      </w:r>
    </w:p>
    <w:p>
      <w:pPr>
        <w:widowControl/>
        <w:numPr>
          <w:ilvl w:val="0"/>
          <w:numId w:val="10"/>
        </w:numPr>
        <w:spacing w:line="360" w:lineRule="auto"/>
        <w:ind w:left="426"/>
        <w:jc w:val="left"/>
        <w:rPr>
          <w:color w:val="000000"/>
          <w:kern w:val="0"/>
        </w:rPr>
      </w:pPr>
      <w:r>
        <w:rPr>
          <w:rFonts w:ascii="宋体" w:hAnsi="宋体"/>
          <w:color w:val="000000"/>
          <w:kern w:val="0"/>
        </w:rPr>
        <w:t>了解初入职场可能会面临的问题以及解决方式。</w:t>
      </w:r>
    </w:p>
    <w:p>
      <w:pPr>
        <w:widowControl/>
        <w:numPr>
          <w:ilvl w:val="0"/>
          <w:numId w:val="10"/>
        </w:numPr>
        <w:spacing w:line="360" w:lineRule="auto"/>
        <w:ind w:left="426"/>
        <w:jc w:val="left"/>
        <w:rPr>
          <w:color w:val="000000"/>
          <w:kern w:val="0"/>
        </w:rPr>
      </w:pPr>
      <w:r>
        <w:rPr>
          <w:rFonts w:ascii="宋体" w:hAnsi="宋体"/>
          <w:color w:val="000000"/>
          <w:kern w:val="0"/>
        </w:rPr>
        <w:t>了解影响职业成功的因素；</w:t>
      </w:r>
    </w:p>
    <w:p>
      <w:pPr>
        <w:spacing w:line="360" w:lineRule="auto"/>
        <w:ind w:firstLine="420" w:firstLineChars="200"/>
      </w:pPr>
      <w:r>
        <w:rPr>
          <w:rFonts w:ascii="宋体" w:hAnsi="宋体"/>
        </w:rPr>
        <w:t>本章节内容支撑课程目标</w:t>
      </w:r>
      <w:r>
        <w:t xml:space="preserve"> </w:t>
      </w:r>
      <w:r>
        <w:rPr>
          <w:rFonts w:hint="eastAsia"/>
        </w:rPr>
        <w:t>2</w:t>
      </w:r>
      <w:r>
        <w:rPr>
          <w:rFonts w:ascii="宋体" w:hAnsi="宋体"/>
        </w:rPr>
        <w:t>。</w:t>
      </w:r>
    </w:p>
    <w:p>
      <w:pPr>
        <w:spacing w:line="360" w:lineRule="auto"/>
        <w:ind w:firstLine="420" w:firstLineChars="200"/>
      </w:pPr>
      <w:r>
        <w:t xml:space="preserve"> </w:t>
      </w:r>
    </w:p>
    <w:p>
      <w:pPr>
        <w:spacing w:line="360" w:lineRule="auto"/>
        <w:ind w:left="420" w:hanging="420"/>
        <w:rPr>
          <w:rFonts w:eastAsia="黑体"/>
          <w:color w:val="000000"/>
        </w:rPr>
      </w:pPr>
      <w:r>
        <w:rPr>
          <w:rFonts w:hint="eastAsia" w:ascii="黑体" w:hAnsi="黑体" w:eastAsia="黑体"/>
          <w:color w:val="000000"/>
        </w:rPr>
        <w:t>四、实验教学内容</w:t>
      </w:r>
    </w:p>
    <w:p>
      <w:pPr>
        <w:spacing w:line="360" w:lineRule="auto"/>
        <w:ind w:firstLine="420" w:firstLineChars="200"/>
      </w:pPr>
      <w:r>
        <w:rPr>
          <w:rFonts w:hint="eastAsia" w:ascii="宋体" w:hAnsi="宋体"/>
        </w:rPr>
        <w:t>实验一</w:t>
      </w:r>
      <w:r>
        <w:rPr>
          <w:rFonts w:hint="eastAsia"/>
        </w:rPr>
        <w:t xml:space="preserve"> </w:t>
      </w:r>
      <w:r>
        <w:rPr>
          <w:rFonts w:hint="eastAsia" w:ascii="宋体" w:hAnsi="宋体"/>
        </w:rPr>
        <w:t>求职材料制作</w:t>
      </w:r>
    </w:p>
    <w:p>
      <w:pPr>
        <w:spacing w:line="360" w:lineRule="auto"/>
        <w:ind w:firstLine="420" w:firstLineChars="200"/>
      </w:pPr>
      <w:r>
        <w:rPr>
          <w:rFonts w:hint="eastAsia" w:ascii="宋体" w:hAnsi="宋体"/>
        </w:rPr>
        <w:t>内容：使学生了解求职过程中简历和求职信的撰写技巧。</w:t>
      </w:r>
    </w:p>
    <w:p>
      <w:pPr>
        <w:spacing w:line="360" w:lineRule="auto"/>
        <w:ind w:firstLine="420" w:firstLineChars="200"/>
      </w:pPr>
      <w:r>
        <w:rPr>
          <w:rFonts w:hint="eastAsia" w:ascii="宋体" w:hAnsi="宋体"/>
        </w:rPr>
        <w:t>基本要求：</w:t>
      </w:r>
    </w:p>
    <w:p>
      <w:pPr>
        <w:spacing w:line="360" w:lineRule="auto"/>
        <w:ind w:firstLine="420" w:firstLineChars="200"/>
      </w:pPr>
      <w:r>
        <w:rPr>
          <w:rFonts w:hint="eastAsia"/>
        </w:rPr>
        <w:t>1</w:t>
      </w:r>
      <w:r>
        <w:rPr>
          <w:rFonts w:hint="eastAsia" w:ascii="宋体" w:hAnsi="宋体"/>
        </w:rPr>
        <w:t>、了解求职简历的撰写方法及注意事项；</w:t>
      </w:r>
    </w:p>
    <w:p>
      <w:pPr>
        <w:spacing w:line="360" w:lineRule="auto"/>
        <w:ind w:firstLine="420" w:firstLineChars="200"/>
      </w:pPr>
      <w:r>
        <w:rPr>
          <w:rFonts w:hint="eastAsia"/>
        </w:rPr>
        <w:t>2</w:t>
      </w:r>
      <w:r>
        <w:rPr>
          <w:rFonts w:hint="eastAsia" w:ascii="宋体" w:hAnsi="宋体"/>
        </w:rPr>
        <w:t>、撰写一份自己的求职简历并进行改进；</w:t>
      </w:r>
    </w:p>
    <w:p>
      <w:pPr>
        <w:spacing w:line="360" w:lineRule="auto"/>
        <w:ind w:firstLine="420" w:firstLineChars="200"/>
      </w:pPr>
      <w:r>
        <w:rPr>
          <w:rFonts w:hint="eastAsia"/>
        </w:rPr>
        <w:t>3</w:t>
      </w:r>
      <w:r>
        <w:rPr>
          <w:rFonts w:hint="eastAsia" w:ascii="宋体" w:hAnsi="宋体"/>
        </w:rPr>
        <w:t>、撰写一封求职信。</w:t>
      </w:r>
    </w:p>
    <w:p>
      <w:pPr>
        <w:spacing w:line="360" w:lineRule="auto"/>
        <w:ind w:firstLine="420" w:firstLineChars="200"/>
      </w:pPr>
      <w:r>
        <w:rPr>
          <w:rFonts w:hint="eastAsia" w:ascii="宋体" w:hAnsi="宋体"/>
        </w:rPr>
        <w:t>实验二</w:t>
      </w:r>
      <w:r>
        <w:rPr>
          <w:rFonts w:hint="eastAsia"/>
        </w:rPr>
        <w:t xml:space="preserve">  </w:t>
      </w:r>
      <w:r>
        <w:rPr>
          <w:rFonts w:hint="eastAsia" w:ascii="宋体" w:hAnsi="宋体"/>
        </w:rPr>
        <w:t>求职过程实践</w:t>
      </w:r>
    </w:p>
    <w:p>
      <w:pPr>
        <w:spacing w:line="360" w:lineRule="auto"/>
        <w:ind w:firstLine="420" w:firstLineChars="200"/>
      </w:pPr>
      <w:r>
        <w:rPr>
          <w:rFonts w:hint="eastAsia" w:ascii="宋体" w:hAnsi="宋体"/>
        </w:rPr>
        <w:t>内容：了解求职信息搜集的方法，及时获取有效的就业信息，参加校内或校外的求职过程，实践面试、笔试的应对，并注重职场礼仪的应用。</w:t>
      </w:r>
    </w:p>
    <w:p>
      <w:pPr>
        <w:spacing w:line="360" w:lineRule="auto"/>
        <w:ind w:firstLine="420" w:firstLineChars="200"/>
      </w:pPr>
      <w:r>
        <w:rPr>
          <w:rFonts w:hint="eastAsia" w:ascii="宋体" w:hAnsi="宋体"/>
        </w:rPr>
        <w:t>基本要求：</w:t>
      </w:r>
    </w:p>
    <w:p>
      <w:pPr>
        <w:spacing w:line="360" w:lineRule="auto"/>
        <w:ind w:firstLine="420" w:firstLineChars="200"/>
      </w:pPr>
      <w:r>
        <w:rPr>
          <w:rFonts w:hint="eastAsia"/>
        </w:rPr>
        <w:t>1</w:t>
      </w:r>
      <w:r>
        <w:rPr>
          <w:rFonts w:hint="eastAsia" w:ascii="宋体" w:hAnsi="宋体"/>
        </w:rPr>
        <w:t>、搜集并获取有效的就业信息；</w:t>
      </w:r>
    </w:p>
    <w:p>
      <w:pPr>
        <w:spacing w:line="360" w:lineRule="auto"/>
        <w:ind w:firstLine="420" w:firstLineChars="200"/>
      </w:pPr>
      <w:r>
        <w:rPr>
          <w:rFonts w:hint="eastAsia"/>
        </w:rPr>
        <w:t>2</w:t>
      </w:r>
      <w:r>
        <w:rPr>
          <w:rFonts w:hint="eastAsia" w:ascii="宋体" w:hAnsi="宋体"/>
        </w:rPr>
        <w:t>、参加一场校内或校外的求职；</w:t>
      </w:r>
    </w:p>
    <w:p>
      <w:pPr>
        <w:spacing w:line="360" w:lineRule="auto"/>
        <w:ind w:firstLine="420" w:firstLineChars="200"/>
      </w:pPr>
      <w:r>
        <w:rPr>
          <w:rFonts w:hint="eastAsia"/>
        </w:rPr>
        <w:t>3</w:t>
      </w:r>
      <w:r>
        <w:rPr>
          <w:rFonts w:hint="eastAsia" w:ascii="宋体" w:hAnsi="宋体"/>
        </w:rPr>
        <w:t>、参加一次面试及笔试。</w:t>
      </w:r>
    </w:p>
    <w:p>
      <w:pPr>
        <w:spacing w:line="360" w:lineRule="auto"/>
        <w:ind w:firstLine="420" w:firstLineChars="200"/>
      </w:pPr>
      <w:r>
        <w:rPr>
          <w:rFonts w:hint="eastAsia"/>
        </w:rPr>
        <w:t xml:space="preserve"> </w:t>
      </w:r>
    </w:p>
    <w:p>
      <w:pPr>
        <w:spacing w:line="360" w:lineRule="auto"/>
        <w:ind w:left="420" w:hanging="420"/>
        <w:rPr>
          <w:rFonts w:eastAsia="黑体"/>
          <w:color w:val="000000"/>
        </w:rPr>
      </w:pPr>
      <w:r>
        <w:rPr>
          <w:rFonts w:hint="eastAsia" w:ascii="黑体" w:hAnsi="黑体" w:eastAsia="黑体"/>
          <w:color w:val="000000"/>
        </w:rPr>
        <w:t>五、学时分配</w:t>
      </w:r>
    </w:p>
    <w:tbl>
      <w:tblPr>
        <w:tblStyle w:val="2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3"/>
        <w:gridCol w:w="1264"/>
        <w:gridCol w:w="1674"/>
        <w:gridCol w:w="1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知识点及内容</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讲授（学时）</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实验（学时）</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 xml:space="preserve">第一章  </w:t>
            </w:r>
            <w:r>
              <w:rPr>
                <w:color w:val="000000"/>
                <w:sz w:val="18"/>
                <w:szCs w:val="18"/>
              </w:rPr>
              <w:t>认识职业生涯规划（觉知与承诺）</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 xml:space="preserve">第二章  </w:t>
            </w:r>
            <w:r>
              <w:rPr>
                <w:color w:val="000000"/>
                <w:sz w:val="18"/>
                <w:szCs w:val="18"/>
              </w:rPr>
              <w:t>环境探索</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第三章 </w:t>
            </w:r>
            <w:r>
              <w:rPr>
                <w:color w:val="000000"/>
                <w:sz w:val="18"/>
                <w:szCs w:val="18"/>
              </w:rPr>
              <w:t xml:space="preserve"> 性格探索</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第四章 </w:t>
            </w:r>
            <w:r>
              <w:rPr>
                <w:color w:val="000000"/>
                <w:sz w:val="18"/>
                <w:szCs w:val="18"/>
              </w:rPr>
              <w:t xml:space="preserve"> 兴趣探索</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第五章 </w:t>
            </w:r>
            <w:r>
              <w:rPr>
                <w:color w:val="000000"/>
                <w:sz w:val="18"/>
                <w:szCs w:val="18"/>
              </w:rPr>
              <w:t xml:space="preserve"> 技能探索</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第六章</w:t>
            </w:r>
            <w:r>
              <w:rPr>
                <w:color w:val="000000"/>
                <w:sz w:val="18"/>
                <w:szCs w:val="18"/>
              </w:rPr>
              <w:t> </w:t>
            </w:r>
            <w:r>
              <w:rPr>
                <w:rFonts w:hint="eastAsia"/>
                <w:color w:val="000000"/>
                <w:sz w:val="18"/>
                <w:szCs w:val="18"/>
              </w:rPr>
              <w:t> </w:t>
            </w:r>
            <w:r>
              <w:rPr>
                <w:color w:val="000000"/>
                <w:sz w:val="18"/>
                <w:szCs w:val="18"/>
              </w:rPr>
              <w:t>价值观探索</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第七章 </w:t>
            </w:r>
            <w:r>
              <w:rPr>
                <w:color w:val="000000"/>
                <w:sz w:val="18"/>
                <w:szCs w:val="18"/>
              </w:rPr>
              <w:t xml:space="preserve"> 生涯发展决策</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第八章</w:t>
            </w:r>
            <w:r>
              <w:rPr>
                <w:color w:val="000000"/>
                <w:sz w:val="18"/>
                <w:szCs w:val="18"/>
              </w:rPr>
              <w:t> </w:t>
            </w:r>
            <w:r>
              <w:rPr>
                <w:rFonts w:hint="eastAsia"/>
                <w:color w:val="000000"/>
                <w:sz w:val="18"/>
                <w:szCs w:val="18"/>
              </w:rPr>
              <w:t> </w:t>
            </w:r>
            <w:r>
              <w:rPr>
                <w:color w:val="000000"/>
                <w:sz w:val="18"/>
                <w:szCs w:val="18"/>
              </w:rPr>
              <w:t>生涯规划管理</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第九章 </w:t>
            </w:r>
            <w:r>
              <w:rPr>
                <w:color w:val="000000"/>
                <w:sz w:val="18"/>
                <w:szCs w:val="18"/>
              </w:rPr>
              <w:t xml:space="preserve"> 情绪管理</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第十章 </w:t>
            </w:r>
            <w:r>
              <w:rPr>
                <w:color w:val="000000"/>
                <w:sz w:val="18"/>
                <w:szCs w:val="18"/>
              </w:rPr>
              <w:t xml:space="preserve"> 时间管理</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第十一章 </w:t>
            </w:r>
            <w:r>
              <w:rPr>
                <w:color w:val="000000"/>
                <w:sz w:val="18"/>
                <w:szCs w:val="18"/>
              </w:rPr>
              <w:t xml:space="preserve"> 有效沟通</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第十二章 </w:t>
            </w:r>
            <w:r>
              <w:rPr>
                <w:color w:val="000000"/>
                <w:sz w:val="18"/>
                <w:szCs w:val="18"/>
              </w:rPr>
              <w:t xml:space="preserve"> 职业礼仪</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第十三章 </w:t>
            </w:r>
            <w:r>
              <w:rPr>
                <w:color w:val="000000"/>
                <w:sz w:val="18"/>
                <w:szCs w:val="18"/>
              </w:rPr>
              <w:t xml:space="preserve"> 就业形势与政策</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第十四章 </w:t>
            </w:r>
            <w:r>
              <w:rPr>
                <w:color w:val="000000"/>
                <w:sz w:val="18"/>
                <w:szCs w:val="18"/>
              </w:rPr>
              <w:t xml:space="preserve"> 就业信息收集</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第十五章 </w:t>
            </w:r>
            <w:r>
              <w:rPr>
                <w:color w:val="000000"/>
                <w:sz w:val="18"/>
                <w:szCs w:val="18"/>
              </w:rPr>
              <w:t xml:space="preserve"> 求职材料准备</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0</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4</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第十六章 </w:t>
            </w:r>
            <w:r>
              <w:rPr>
                <w:color w:val="000000"/>
                <w:sz w:val="18"/>
                <w:szCs w:val="18"/>
              </w:rPr>
              <w:t xml:space="preserve"> 面试与笔试</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0</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4</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第十七章 </w:t>
            </w:r>
            <w:r>
              <w:rPr>
                <w:color w:val="000000"/>
                <w:sz w:val="18"/>
                <w:szCs w:val="18"/>
              </w:rPr>
              <w:t xml:space="preserve"> 求职礼仪</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第十八章 </w:t>
            </w:r>
            <w:r>
              <w:rPr>
                <w:color w:val="000000"/>
                <w:sz w:val="18"/>
                <w:szCs w:val="18"/>
              </w:rPr>
              <w:t xml:space="preserve"> 就业心理调适</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第十九章 </w:t>
            </w:r>
            <w:r>
              <w:rPr>
                <w:color w:val="000000"/>
                <w:sz w:val="18"/>
                <w:szCs w:val="18"/>
              </w:rPr>
              <w:t xml:space="preserve"> 就业权益保护</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tcPr>
          <w:p>
            <w:pPr>
              <w:ind w:firstLine="180" w:firstLineChars="100"/>
              <w:jc w:val="left"/>
              <w:rPr>
                <w:color w:val="000000"/>
                <w:sz w:val="18"/>
                <w:szCs w:val="18"/>
              </w:rPr>
            </w:pPr>
            <w:r>
              <w:rPr>
                <w:rFonts w:hint="eastAsia"/>
                <w:color w:val="000000"/>
                <w:sz w:val="18"/>
                <w:szCs w:val="18"/>
              </w:rPr>
              <w:t>第二十章 </w:t>
            </w:r>
            <w:r>
              <w:rPr>
                <w:color w:val="000000"/>
                <w:sz w:val="18"/>
                <w:szCs w:val="18"/>
              </w:rPr>
              <w:t xml:space="preserve"> 职业适应与发展</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3" w:type="dxa"/>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小计</w:t>
            </w:r>
          </w:p>
        </w:tc>
        <w:tc>
          <w:tcPr>
            <w:tcW w:w="126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24</w:t>
            </w:r>
          </w:p>
        </w:tc>
        <w:tc>
          <w:tcPr>
            <w:tcW w:w="1674" w:type="dxa"/>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rFonts w:hint="eastAsia"/>
                <w:color w:val="000000"/>
                <w:sz w:val="18"/>
                <w:szCs w:val="18"/>
              </w:rPr>
              <w:t>8</w:t>
            </w:r>
          </w:p>
        </w:tc>
        <w:tc>
          <w:tcPr>
            <w:tcW w:w="1371" w:type="dxa"/>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32</w:t>
            </w:r>
          </w:p>
        </w:tc>
      </w:tr>
    </w:tbl>
    <w:p>
      <w:pPr>
        <w:spacing w:line="360" w:lineRule="auto"/>
        <w:rPr>
          <w:rFonts w:ascii="Calibri" w:hAnsi="Calibri"/>
          <w:b/>
          <w:bCs/>
          <w:color w:val="000000"/>
          <w:sz w:val="24"/>
          <w:szCs w:val="24"/>
        </w:rPr>
      </w:pPr>
      <w:r>
        <w:rPr>
          <w:b/>
          <w:bCs/>
          <w:color w:val="000000"/>
          <w:sz w:val="24"/>
          <w:szCs w:val="24"/>
        </w:rPr>
        <w:t xml:space="preserve"> </w:t>
      </w:r>
    </w:p>
    <w:p>
      <w:pPr>
        <w:spacing w:line="360" w:lineRule="auto"/>
        <w:ind w:left="420" w:hanging="420"/>
        <w:rPr>
          <w:rFonts w:eastAsia="黑体"/>
          <w:color w:val="000000"/>
          <w:szCs w:val="21"/>
        </w:rPr>
      </w:pPr>
      <w:r>
        <w:rPr>
          <w:rFonts w:hint="eastAsia" w:ascii="黑体" w:hAnsi="黑体" w:eastAsia="黑体"/>
          <w:color w:val="000000"/>
        </w:rPr>
        <w:t>六、教材、补充教材及参考资料</w:t>
      </w:r>
    </w:p>
    <w:p>
      <w:pPr>
        <w:spacing w:line="360" w:lineRule="auto"/>
        <w:ind w:firstLine="420" w:firstLineChars="200"/>
      </w:pPr>
      <w:r>
        <w:rPr>
          <w:rFonts w:hint="eastAsia"/>
        </w:rPr>
        <w:t xml:space="preserve">1. </w:t>
      </w:r>
      <w:r>
        <w:rPr>
          <w:rFonts w:ascii="宋体" w:hAnsi="宋体"/>
        </w:rPr>
        <w:t>职业生涯与发展规划课题组</w:t>
      </w:r>
      <w:r>
        <w:rPr>
          <w:rFonts w:hint="eastAsia" w:ascii="宋体" w:hAnsi="宋体"/>
        </w:rPr>
        <w:t>，《</w:t>
      </w:r>
      <w:r>
        <w:rPr>
          <w:rFonts w:ascii="宋体" w:hAnsi="宋体"/>
        </w:rPr>
        <w:t>大学生职业生涯与发展规划教程》，</w:t>
      </w:r>
      <w:r>
        <w:t>ISBN9787565700309</w:t>
      </w:r>
      <w:r>
        <w:rPr>
          <w:rFonts w:ascii="宋体" w:hAnsi="宋体"/>
        </w:rPr>
        <w:t>，中国传媒大学出版社。</w:t>
      </w:r>
    </w:p>
    <w:p>
      <w:pPr>
        <w:spacing w:line="360" w:lineRule="auto"/>
        <w:ind w:firstLine="420" w:firstLineChars="200"/>
      </w:pPr>
      <w:r>
        <w:rPr>
          <w:rFonts w:hint="eastAsia"/>
        </w:rPr>
        <w:t xml:space="preserve">2. </w:t>
      </w:r>
      <w:r>
        <w:rPr>
          <w:rFonts w:ascii="宋体" w:hAnsi="宋体"/>
        </w:rPr>
        <w:t>就业与创业课题组，《大学生就业与创业指导教程》，</w:t>
      </w:r>
      <w:r>
        <w:t>ISBN9787565700286</w:t>
      </w:r>
      <w:r>
        <w:rPr>
          <w:rFonts w:ascii="宋体" w:hAnsi="宋体"/>
        </w:rPr>
        <w:t>，中国传媒大学出版社。</w:t>
      </w:r>
    </w:p>
    <w:p>
      <w:pPr>
        <w:spacing w:line="360" w:lineRule="auto"/>
        <w:ind w:firstLine="420" w:firstLineChars="200"/>
      </w:pPr>
      <w:r>
        <w:rPr>
          <w:rFonts w:hint="eastAsia"/>
        </w:rPr>
        <w:t xml:space="preserve">3. </w:t>
      </w:r>
      <w:r>
        <w:rPr>
          <w:rFonts w:ascii="宋体" w:hAnsi="宋体"/>
        </w:rPr>
        <w:t>视频资料：《全国高校职业发展与就业指导示范课程》，资料发行单位：全国高等学校学生信息咨询与就业指导中心，资料链接：</w:t>
      </w:r>
      <w:r>
        <w:t xml:space="preserve"> http://js.ncss.org.cn/front/course/courseShow.htm?nGradeId=1</w:t>
      </w:r>
      <w:r>
        <w:rPr>
          <w:rFonts w:ascii="宋体" w:hAnsi="宋体"/>
        </w:rPr>
        <w:t>。</w:t>
      </w:r>
    </w:p>
    <w:p>
      <w:pPr>
        <w:spacing w:line="360" w:lineRule="auto"/>
        <w:ind w:left="420" w:hanging="420"/>
        <w:rPr>
          <w:rFonts w:ascii="Calibri" w:hAnsi="Calibri" w:eastAsia="黑体"/>
          <w:color w:val="000000"/>
        </w:rPr>
      </w:pPr>
      <w:r>
        <w:rPr>
          <w:rFonts w:eastAsia="黑体"/>
          <w:color w:val="000000"/>
        </w:rPr>
        <w:t xml:space="preserve"> </w:t>
      </w:r>
    </w:p>
    <w:p>
      <w:pPr>
        <w:spacing w:line="360" w:lineRule="auto"/>
        <w:ind w:left="420" w:hanging="420"/>
        <w:rPr>
          <w:rFonts w:eastAsia="黑体"/>
          <w:color w:val="000000"/>
        </w:rPr>
      </w:pPr>
      <w:r>
        <w:rPr>
          <w:rFonts w:hint="eastAsia" w:ascii="黑体" w:hAnsi="黑体" w:eastAsia="黑体"/>
          <w:color w:val="000000"/>
        </w:rPr>
        <w:t>七</w:t>
      </w:r>
      <w:r>
        <w:rPr>
          <w:rFonts w:ascii="黑体" w:hAnsi="黑体" w:eastAsia="黑体"/>
          <w:color w:val="000000"/>
        </w:rPr>
        <w:t>、</w:t>
      </w:r>
      <w:r>
        <w:rPr>
          <w:rFonts w:ascii="黑体" w:hAnsi="黑体" w:eastAsia="黑体"/>
        </w:rPr>
        <w:t>课程目标达成评价的途径和措施</w:t>
      </w:r>
    </w:p>
    <w:p>
      <w:pPr>
        <w:spacing w:line="360" w:lineRule="auto"/>
        <w:ind w:firstLine="420" w:firstLineChars="200"/>
        <w:rPr>
          <w:color w:val="000000"/>
        </w:rPr>
      </w:pPr>
      <w:r>
        <w:rPr>
          <w:color w:val="000000"/>
        </w:rPr>
        <w:t>1</w:t>
      </w:r>
      <w:r>
        <w:rPr>
          <w:rFonts w:ascii="宋体" w:hAnsi="宋体"/>
          <w:color w:val="000000"/>
        </w:rPr>
        <w:t>、考核方式：期末作业、平时作业及课堂提问</w:t>
      </w:r>
      <w:r>
        <w:rPr>
          <w:rFonts w:hint="eastAsia" w:ascii="宋体" w:hAnsi="宋体"/>
          <w:color w:val="000000"/>
        </w:rPr>
        <w:t>。</w:t>
      </w:r>
    </w:p>
    <w:p>
      <w:pPr>
        <w:spacing w:line="360" w:lineRule="auto"/>
        <w:ind w:firstLine="420" w:firstLineChars="200"/>
        <w:rPr>
          <w:color w:val="000000"/>
        </w:rPr>
      </w:pPr>
      <w:r>
        <w:rPr>
          <w:color w:val="000000"/>
        </w:rPr>
        <w:t>2</w:t>
      </w:r>
      <w:r>
        <w:rPr>
          <w:rFonts w:ascii="宋体" w:hAnsi="宋体"/>
          <w:color w:val="000000"/>
        </w:rPr>
        <w:t>、考核目标：主要考核学生对知识的理解和掌握程度以及实际形成的职业发展规划能力两大方面，重点加强过程评价，考核职业发展规划过程中的自我了解、职业了解和职业决策过程。</w:t>
      </w:r>
    </w:p>
    <w:p>
      <w:pPr>
        <w:spacing w:line="360" w:lineRule="auto"/>
        <w:ind w:firstLine="420" w:firstLineChars="200"/>
        <w:rPr>
          <w:color w:val="000000"/>
        </w:rPr>
      </w:pPr>
      <w:r>
        <w:rPr>
          <w:color w:val="000000"/>
        </w:rPr>
        <w:t>3</w:t>
      </w:r>
      <w:r>
        <w:rPr>
          <w:rFonts w:ascii="宋体" w:hAnsi="宋体"/>
          <w:color w:val="000000"/>
        </w:rPr>
        <w:t xml:space="preserve">、成绩构成：  </w:t>
      </w:r>
    </w:p>
    <w:p>
      <w:pPr>
        <w:spacing w:line="360" w:lineRule="auto"/>
        <w:ind w:firstLine="420" w:firstLineChars="200"/>
      </w:pPr>
      <w:r>
        <w:rPr>
          <w:rFonts w:hint="eastAsia" w:ascii="宋体" w:hAnsi="宋体"/>
        </w:rPr>
        <w:t>本课程通过</w:t>
      </w:r>
      <w:r>
        <w:rPr>
          <w:rFonts w:hint="eastAsia"/>
        </w:rPr>
        <w:t>“平时成绩”和“期末考试”两种方式对课程目标达成进行评价，考核成绩计算如下（本</w:t>
      </w:r>
      <w:r>
        <w:rPr>
          <w:rFonts w:ascii="宋体" w:hAnsi="宋体"/>
        </w:rPr>
        <w:t>大纲中成绩均采用百分制）：</w:t>
      </w:r>
    </w:p>
    <w:p>
      <w:pPr>
        <w:spacing w:line="360" w:lineRule="auto"/>
        <w:jc w:val="center"/>
        <w:rPr>
          <w:sz w:val="18"/>
          <w:szCs w:val="18"/>
        </w:rPr>
      </w:pPr>
      <w:r>
        <w:rPr>
          <w:rFonts w:ascii="宋体" w:hAnsi="宋体"/>
          <w:sz w:val="18"/>
          <w:szCs w:val="18"/>
        </w:rPr>
        <w:t>各环节成绩评定占比</w:t>
      </w:r>
      <w:r>
        <w:rPr>
          <w:sz w:val="18"/>
          <w:szCs w:val="18"/>
        </w:rPr>
        <w:t>%</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39"/>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840"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课堂提问（平时）</w:t>
            </w:r>
          </w:p>
        </w:tc>
        <w:tc>
          <w:tcPr>
            <w:tcW w:w="283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作业（平时）</w:t>
            </w:r>
          </w:p>
        </w:tc>
        <w:tc>
          <w:tcPr>
            <w:tcW w:w="2843" w:type="dxa"/>
            <w:tcBorders>
              <w:top w:val="single" w:color="auto" w:sz="4" w:space="0"/>
              <w:left w:val="nil"/>
              <w:bottom w:val="single" w:color="auto" w:sz="4" w:space="0"/>
              <w:right w:val="nil"/>
            </w:tcBorders>
            <w:vAlign w:val="center"/>
          </w:tcPr>
          <w:p>
            <w:pPr>
              <w:jc w:val="center"/>
              <w:rPr>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840"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15</w:t>
            </w:r>
          </w:p>
        </w:tc>
        <w:tc>
          <w:tcPr>
            <w:tcW w:w="283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w:t>
            </w:r>
            <w:r>
              <w:rPr>
                <w:rFonts w:hint="eastAsia"/>
                <w:sz w:val="18"/>
                <w:szCs w:val="18"/>
              </w:rPr>
              <w:t>5</w:t>
            </w:r>
          </w:p>
        </w:tc>
        <w:tc>
          <w:tcPr>
            <w:tcW w:w="2843" w:type="dxa"/>
            <w:tcBorders>
              <w:top w:val="single" w:color="auto" w:sz="4" w:space="0"/>
              <w:left w:val="nil"/>
              <w:bottom w:val="single" w:color="auto" w:sz="4" w:space="0"/>
              <w:right w:val="nil"/>
            </w:tcBorders>
            <w:vAlign w:val="center"/>
          </w:tcPr>
          <w:p>
            <w:pPr>
              <w:jc w:val="center"/>
              <w:rPr>
                <w:sz w:val="18"/>
                <w:szCs w:val="18"/>
              </w:rPr>
            </w:pPr>
            <w:r>
              <w:rPr>
                <w:sz w:val="18"/>
                <w:szCs w:val="18"/>
              </w:rPr>
              <w:t>70</w:t>
            </w:r>
          </w:p>
        </w:tc>
      </w:tr>
    </w:tbl>
    <w:p>
      <w:pPr>
        <w:spacing w:line="360" w:lineRule="auto"/>
        <w:ind w:firstLine="420"/>
        <w:rPr>
          <w:b/>
          <w:bCs/>
          <w:color w:val="1D41D5"/>
          <w:szCs w:val="21"/>
        </w:rPr>
      </w:pPr>
      <w:r>
        <w:rPr>
          <w:rFonts w:ascii="宋体" w:hAnsi="宋体"/>
        </w:rPr>
        <w:t>指导性课程目标评价题目分数分配：</w:t>
      </w:r>
    </w:p>
    <w:tbl>
      <w:tblPr>
        <w:tblStyle w:val="22"/>
        <w:tblW w:w="8522" w:type="dxa"/>
        <w:jc w:val="center"/>
        <w:tblLayout w:type="fixed"/>
        <w:tblCellMar>
          <w:top w:w="0" w:type="dxa"/>
          <w:left w:w="108" w:type="dxa"/>
          <w:bottom w:w="0" w:type="dxa"/>
          <w:right w:w="108" w:type="dxa"/>
        </w:tblCellMar>
      </w:tblPr>
      <w:tblGrid>
        <w:gridCol w:w="1999"/>
        <w:gridCol w:w="2329"/>
        <w:gridCol w:w="2166"/>
        <w:gridCol w:w="2028"/>
      </w:tblGrid>
      <w:tr>
        <w:tblPrEx>
          <w:tblCellMar>
            <w:top w:w="0" w:type="dxa"/>
            <w:left w:w="108" w:type="dxa"/>
            <w:bottom w:w="0" w:type="dxa"/>
            <w:right w:w="108" w:type="dxa"/>
          </w:tblCellMar>
        </w:tblPrEx>
        <w:trPr>
          <w:trHeight w:val="836" w:hRule="atLeast"/>
          <w:jc w:val="center"/>
        </w:trPr>
        <w:tc>
          <w:tcPr>
            <w:tcW w:w="1999" w:type="dxa"/>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课程目标</w:t>
            </w:r>
          </w:p>
        </w:tc>
        <w:tc>
          <w:tcPr>
            <w:tcW w:w="232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课堂提问（平时）</w:t>
            </w:r>
          </w:p>
          <w:p>
            <w:pPr>
              <w:jc w:val="center"/>
              <w:rPr>
                <w:sz w:val="18"/>
                <w:szCs w:val="18"/>
              </w:rPr>
            </w:pPr>
            <w:r>
              <w:rPr>
                <w:sz w:val="18"/>
                <w:szCs w:val="18"/>
              </w:rPr>
              <w:t>W1</w:t>
            </w:r>
            <w:r>
              <w:rPr>
                <w:sz w:val="18"/>
                <w:szCs w:val="18"/>
                <w:vertAlign w:val="subscript"/>
              </w:rPr>
              <w:t>i</w:t>
            </w:r>
          </w:p>
        </w:tc>
        <w:tc>
          <w:tcPr>
            <w:tcW w:w="2166"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作业（平时）</w:t>
            </w:r>
          </w:p>
          <w:p>
            <w:pPr>
              <w:jc w:val="center"/>
              <w:rPr>
                <w:sz w:val="18"/>
                <w:szCs w:val="18"/>
              </w:rPr>
            </w:pPr>
            <w:r>
              <w:rPr>
                <w:sz w:val="18"/>
                <w:szCs w:val="18"/>
              </w:rPr>
              <w:t>W2</w:t>
            </w:r>
            <w:r>
              <w:rPr>
                <w:sz w:val="18"/>
                <w:szCs w:val="18"/>
                <w:vertAlign w:val="subscript"/>
              </w:rPr>
              <w:t>i</w:t>
            </w:r>
          </w:p>
        </w:tc>
        <w:tc>
          <w:tcPr>
            <w:tcW w:w="2028" w:type="dxa"/>
            <w:tcBorders>
              <w:top w:val="single" w:color="auto" w:sz="4" w:space="0"/>
              <w:left w:val="nil"/>
              <w:bottom w:val="single" w:color="auto" w:sz="4" w:space="0"/>
              <w:right w:val="nil"/>
            </w:tcBorders>
            <w:vAlign w:val="center"/>
          </w:tcPr>
          <w:p>
            <w:pPr>
              <w:jc w:val="center"/>
              <w:rPr>
                <w:sz w:val="18"/>
                <w:szCs w:val="18"/>
              </w:rPr>
            </w:pPr>
            <w:r>
              <w:rPr>
                <w:sz w:val="18"/>
                <w:szCs w:val="18"/>
              </w:rPr>
              <w:t>期末考试</w:t>
            </w:r>
          </w:p>
          <w:p>
            <w:pPr>
              <w:jc w:val="center"/>
              <w:rPr>
                <w:sz w:val="18"/>
                <w:szCs w:val="18"/>
              </w:rPr>
            </w:pPr>
            <w:r>
              <w:rPr>
                <w:sz w:val="18"/>
                <w:szCs w:val="18"/>
              </w:rPr>
              <w:t>W3</w:t>
            </w:r>
            <w:r>
              <w:rPr>
                <w:sz w:val="18"/>
                <w:szCs w:val="18"/>
                <w:vertAlign w:val="subscript"/>
              </w:rPr>
              <w:t>i</w:t>
            </w:r>
          </w:p>
        </w:tc>
      </w:tr>
      <w:tr>
        <w:tblPrEx>
          <w:tblCellMar>
            <w:top w:w="0" w:type="dxa"/>
            <w:left w:w="108" w:type="dxa"/>
            <w:bottom w:w="0" w:type="dxa"/>
            <w:right w:w="108" w:type="dxa"/>
          </w:tblCellMar>
        </w:tblPrEx>
        <w:trPr>
          <w:trHeight w:val="485" w:hRule="atLeast"/>
          <w:jc w:val="center"/>
        </w:trPr>
        <w:tc>
          <w:tcPr>
            <w:tcW w:w="1999" w:type="dxa"/>
            <w:tcBorders>
              <w:top w:val="nil"/>
              <w:left w:val="nil"/>
              <w:bottom w:val="single" w:color="auto" w:sz="4" w:space="0"/>
              <w:right w:val="single" w:color="auto" w:sz="4" w:space="0"/>
            </w:tcBorders>
            <w:vAlign w:val="center"/>
          </w:tcPr>
          <w:p>
            <w:pPr>
              <w:jc w:val="center"/>
              <w:rPr>
                <w:sz w:val="18"/>
                <w:szCs w:val="18"/>
              </w:rPr>
            </w:pPr>
            <w:r>
              <w:rPr>
                <w:sz w:val="18"/>
                <w:szCs w:val="18"/>
              </w:rPr>
              <w:t>1</w:t>
            </w:r>
          </w:p>
        </w:tc>
        <w:tc>
          <w:tcPr>
            <w:tcW w:w="232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50-60</w:t>
            </w:r>
          </w:p>
        </w:tc>
        <w:tc>
          <w:tcPr>
            <w:tcW w:w="2166"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50-60</w:t>
            </w:r>
          </w:p>
        </w:tc>
        <w:tc>
          <w:tcPr>
            <w:tcW w:w="2028" w:type="dxa"/>
            <w:tcBorders>
              <w:top w:val="single" w:color="auto" w:sz="4" w:space="0"/>
              <w:left w:val="nil"/>
              <w:bottom w:val="single" w:color="auto" w:sz="4" w:space="0"/>
              <w:right w:val="nil"/>
            </w:tcBorders>
            <w:vAlign w:val="center"/>
          </w:tcPr>
          <w:p>
            <w:pPr>
              <w:jc w:val="center"/>
              <w:rPr>
                <w:sz w:val="18"/>
                <w:szCs w:val="18"/>
              </w:rPr>
            </w:pPr>
            <w:r>
              <w:rPr>
                <w:sz w:val="18"/>
                <w:szCs w:val="18"/>
              </w:rPr>
              <w:t>50-60</w:t>
            </w:r>
          </w:p>
        </w:tc>
      </w:tr>
      <w:tr>
        <w:tblPrEx>
          <w:tblCellMar>
            <w:top w:w="0" w:type="dxa"/>
            <w:left w:w="108" w:type="dxa"/>
            <w:bottom w:w="0" w:type="dxa"/>
            <w:right w:w="108" w:type="dxa"/>
          </w:tblCellMar>
        </w:tblPrEx>
        <w:trPr>
          <w:trHeight w:val="485" w:hRule="atLeast"/>
          <w:jc w:val="center"/>
        </w:trPr>
        <w:tc>
          <w:tcPr>
            <w:tcW w:w="1999" w:type="dxa"/>
            <w:tcBorders>
              <w:top w:val="nil"/>
              <w:left w:val="nil"/>
              <w:bottom w:val="single" w:color="auto" w:sz="4" w:space="0"/>
              <w:right w:val="single" w:color="auto" w:sz="4" w:space="0"/>
            </w:tcBorders>
            <w:vAlign w:val="center"/>
          </w:tcPr>
          <w:p>
            <w:pPr>
              <w:jc w:val="center"/>
              <w:rPr>
                <w:sz w:val="18"/>
                <w:szCs w:val="18"/>
              </w:rPr>
            </w:pPr>
            <w:r>
              <w:rPr>
                <w:sz w:val="18"/>
                <w:szCs w:val="18"/>
              </w:rPr>
              <w:t>2</w:t>
            </w:r>
          </w:p>
        </w:tc>
        <w:tc>
          <w:tcPr>
            <w:tcW w:w="232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30-40</w:t>
            </w:r>
          </w:p>
        </w:tc>
        <w:tc>
          <w:tcPr>
            <w:tcW w:w="2166"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40-50</w:t>
            </w:r>
          </w:p>
        </w:tc>
        <w:tc>
          <w:tcPr>
            <w:tcW w:w="2028" w:type="dxa"/>
            <w:tcBorders>
              <w:top w:val="single" w:color="auto" w:sz="4" w:space="0"/>
              <w:left w:val="nil"/>
              <w:bottom w:val="single" w:color="auto" w:sz="4" w:space="0"/>
              <w:right w:val="nil"/>
            </w:tcBorders>
            <w:vAlign w:val="center"/>
          </w:tcPr>
          <w:p>
            <w:pPr>
              <w:jc w:val="center"/>
              <w:rPr>
                <w:sz w:val="18"/>
                <w:szCs w:val="18"/>
              </w:rPr>
            </w:pPr>
            <w:r>
              <w:rPr>
                <w:sz w:val="18"/>
                <w:szCs w:val="18"/>
              </w:rPr>
              <w:t>30-40</w:t>
            </w:r>
          </w:p>
        </w:tc>
      </w:tr>
      <w:tr>
        <w:tblPrEx>
          <w:tblCellMar>
            <w:top w:w="0" w:type="dxa"/>
            <w:left w:w="108" w:type="dxa"/>
            <w:bottom w:w="0" w:type="dxa"/>
            <w:right w:w="108" w:type="dxa"/>
          </w:tblCellMar>
        </w:tblPrEx>
        <w:trPr>
          <w:trHeight w:val="513" w:hRule="atLeast"/>
          <w:jc w:val="center"/>
        </w:trPr>
        <w:tc>
          <w:tcPr>
            <w:tcW w:w="199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232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10-20</w:t>
            </w:r>
          </w:p>
        </w:tc>
        <w:tc>
          <w:tcPr>
            <w:tcW w:w="2166"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w:t>
            </w:r>
          </w:p>
        </w:tc>
        <w:tc>
          <w:tcPr>
            <w:tcW w:w="2028" w:type="dxa"/>
            <w:tcBorders>
              <w:top w:val="single" w:color="auto" w:sz="4" w:space="0"/>
              <w:left w:val="nil"/>
              <w:bottom w:val="single" w:color="auto" w:sz="4" w:space="0"/>
              <w:right w:val="nil"/>
            </w:tcBorders>
            <w:vAlign w:val="center"/>
          </w:tcPr>
          <w:p>
            <w:pPr>
              <w:jc w:val="center"/>
              <w:rPr>
                <w:sz w:val="18"/>
                <w:szCs w:val="18"/>
              </w:rPr>
            </w:pPr>
            <w:r>
              <w:rPr>
                <w:sz w:val="18"/>
                <w:szCs w:val="18"/>
              </w:rPr>
              <w:t>5-10</w:t>
            </w:r>
          </w:p>
        </w:tc>
      </w:tr>
    </w:tbl>
    <w:p>
      <w:pPr>
        <w:spacing w:line="360" w:lineRule="auto"/>
        <w:ind w:firstLine="420"/>
        <w:rPr>
          <w:rFonts w:ascii="Calibri" w:hAnsi="Calibri"/>
          <w:szCs w:val="21"/>
        </w:rPr>
      </w:pPr>
      <w:r>
        <w:rPr>
          <w:rFonts w:hint="eastAsia" w:ascii="宋体" w:hAnsi="宋体"/>
        </w:rPr>
        <w:t>分目标达成值由每个部分对应的实际得分与题目总分数相比后，各环节加权求和得到。</w:t>
      </w:r>
    </w:p>
    <w:p>
      <w:pPr>
        <w:spacing w:line="360" w:lineRule="auto"/>
        <w:ind w:firstLine="420" w:firstLineChars="200"/>
      </w:pPr>
      <w:r>
        <w:rPr>
          <w:rFonts w:hint="eastAsia" w:ascii="宋体" w:hAnsi="宋体"/>
        </w:rPr>
        <w:t>总课程目标达成值由每个环节的总平均分，按照各环节加权求和得到。</w:t>
      </w:r>
    </w:p>
    <w:p>
      <w:pPr>
        <w:spacing w:line="360" w:lineRule="auto"/>
        <w:ind w:firstLine="420" w:firstLineChars="200"/>
      </w:pPr>
      <w:r>
        <w:rPr>
          <w:rFonts w:hint="eastAsia" w:ascii="宋体" w:hAnsi="宋体"/>
        </w:rPr>
        <w:t>各环节的评价标准参见课程成绩分析报告。</w:t>
      </w:r>
    </w:p>
    <w:p>
      <w:pPr>
        <w:spacing w:line="360" w:lineRule="auto"/>
        <w:rPr>
          <w:color w:val="000000"/>
        </w:rPr>
      </w:pPr>
      <w:r>
        <w:rPr>
          <w:color w:val="000000"/>
        </w:rPr>
        <w:t xml:space="preserve"> </w:t>
      </w:r>
    </w:p>
    <w:p>
      <w:r>
        <w:t xml:space="preserve"> </w:t>
      </w:r>
    </w:p>
    <w:p>
      <w:pPr>
        <w:widowControl/>
        <w:jc w:val="left"/>
      </w:pPr>
      <w:r>
        <w:br w:type="page"/>
      </w:r>
    </w:p>
    <w:p>
      <w:pPr>
        <w:pStyle w:val="20"/>
        <w:spacing w:before="312" w:after="468"/>
      </w:pPr>
      <w:bookmarkStart w:id="48" w:name="_Toc32168"/>
      <w:r>
        <w:t>《</w:t>
      </w:r>
      <w:r>
        <w:rPr>
          <w:rFonts w:hint="eastAsia"/>
        </w:rPr>
        <w:t>X02020041-</w:t>
      </w:r>
      <w:r>
        <w:t>质量工程导论》教学大纲</w:t>
      </w:r>
      <w:bookmarkEnd w:id="48"/>
    </w:p>
    <w:p>
      <w:pPr>
        <w:adjustRightInd w:val="0"/>
        <w:snapToGrid w:val="0"/>
        <w:spacing w:line="360" w:lineRule="auto"/>
      </w:pPr>
      <w:r>
        <w:rPr>
          <w:rFonts w:ascii="黑体" w:hAnsi="黑体" w:eastAsia="黑体"/>
        </w:rPr>
        <w:t>课程编号：</w:t>
      </w:r>
      <w:r>
        <w:rPr>
          <w:rFonts w:hint="eastAsia" w:eastAsia="黑体"/>
        </w:rPr>
        <w:t>X02020041</w:t>
      </w:r>
      <w:r>
        <w:t xml:space="preserve">    </w:t>
      </w:r>
    </w:p>
    <w:p>
      <w:pPr>
        <w:adjustRightInd w:val="0"/>
        <w:snapToGrid w:val="0"/>
        <w:spacing w:line="360" w:lineRule="auto"/>
      </w:pPr>
      <w:r>
        <w:rPr>
          <w:rFonts w:ascii="黑体" w:hAnsi="黑体" w:eastAsia="黑体"/>
        </w:rPr>
        <w:t>课程名称：</w:t>
      </w:r>
      <w:r>
        <w:rPr>
          <w:rFonts w:ascii="宋体" w:hAnsi="宋体"/>
        </w:rPr>
        <w:t>质量工程导论</w:t>
      </w:r>
      <w:r>
        <w:rPr>
          <w:rFonts w:hint="eastAsia"/>
        </w:rPr>
        <w:t xml:space="preserve">                  </w:t>
      </w:r>
      <w:r>
        <w:rPr>
          <w:rFonts w:ascii="黑体" w:hAnsi="黑体" w:eastAsia="黑体"/>
        </w:rPr>
        <w:t>开课单位：</w:t>
      </w:r>
      <w:r>
        <w:rPr>
          <w:rFonts w:ascii="宋体" w:hAnsi="宋体"/>
        </w:rPr>
        <w:t>机械与动力工程学院</w:t>
      </w:r>
    </w:p>
    <w:p>
      <w:pPr>
        <w:adjustRightInd w:val="0"/>
        <w:snapToGrid w:val="0"/>
        <w:spacing w:line="360" w:lineRule="auto"/>
        <w:rPr>
          <w:rFonts w:eastAsia="黑体"/>
        </w:rPr>
      </w:pPr>
      <w:r>
        <w:rPr>
          <w:rFonts w:ascii="黑体" w:hAnsi="黑体" w:eastAsia="黑体"/>
        </w:rPr>
        <w:t>总</w:t>
      </w:r>
      <w:r>
        <w:rPr>
          <w:rFonts w:eastAsia="黑体"/>
        </w:rPr>
        <w:t xml:space="preserve"> </w:t>
      </w:r>
      <w:r>
        <w:rPr>
          <w:rFonts w:ascii="黑体" w:hAnsi="黑体" w:eastAsia="黑体"/>
        </w:rPr>
        <w:t>学</w:t>
      </w:r>
      <w:r>
        <w:rPr>
          <w:rFonts w:eastAsia="黑体"/>
        </w:rPr>
        <w:t xml:space="preserve"> </w:t>
      </w:r>
      <w:r>
        <w:rPr>
          <w:rFonts w:ascii="黑体" w:hAnsi="黑体" w:eastAsia="黑体"/>
        </w:rPr>
        <w:t>时：</w:t>
      </w:r>
      <w:r>
        <w:t xml:space="preserve">16           </w:t>
      </w:r>
      <w:r>
        <w:rPr>
          <w:rFonts w:eastAsia="黑体"/>
        </w:rPr>
        <w:t xml:space="preserve">               </w:t>
      </w:r>
      <w:r>
        <w:rPr>
          <w:rFonts w:hint="eastAsia" w:eastAsia="黑体"/>
        </w:rPr>
        <w:t xml:space="preserve">  </w:t>
      </w:r>
      <w:r>
        <w:rPr>
          <w:rFonts w:ascii="黑体" w:hAnsi="黑体" w:eastAsia="黑体"/>
        </w:rPr>
        <w:t>学</w:t>
      </w:r>
      <w:r>
        <w:rPr>
          <w:rFonts w:eastAsia="黑体"/>
        </w:rPr>
        <w:t xml:space="preserve">    </w:t>
      </w:r>
      <w:r>
        <w:rPr>
          <w:rFonts w:ascii="黑体" w:hAnsi="黑体" w:eastAsia="黑体"/>
        </w:rPr>
        <w:t>分：</w:t>
      </w:r>
      <w:r>
        <w:rPr>
          <w:rFonts w:hint="eastAsia" w:eastAsia="黑体"/>
        </w:rPr>
        <w:t>0.5</w:t>
      </w:r>
    </w:p>
    <w:p>
      <w:pPr>
        <w:adjustRightInd w:val="0"/>
        <w:snapToGrid w:val="0"/>
        <w:spacing w:line="360" w:lineRule="auto"/>
      </w:pPr>
      <w:r>
        <w:rPr>
          <w:rFonts w:ascii="黑体" w:hAnsi="黑体" w:eastAsia="黑体"/>
        </w:rPr>
        <w:t>适用专业：</w:t>
      </w:r>
      <w:r>
        <w:rPr>
          <w:rFonts w:hint="eastAsia" w:ascii="宋体" w:hAnsi="宋体"/>
        </w:rPr>
        <w:t>工程类各专业</w:t>
      </w:r>
    </w:p>
    <w:p>
      <w:pPr>
        <w:adjustRightInd w:val="0"/>
        <w:snapToGrid w:val="0"/>
        <w:spacing w:line="360" w:lineRule="auto"/>
      </w:pPr>
      <w:r>
        <w:rPr>
          <w:rFonts w:ascii="黑体" w:hAnsi="黑体" w:eastAsia="黑体"/>
        </w:rPr>
        <w:t>先修课程：</w:t>
      </w:r>
      <w:r>
        <w:rPr>
          <w:rFonts w:ascii="宋体" w:hAnsi="宋体"/>
        </w:rPr>
        <w:t>概率论与数理统计、管理学概论</w:t>
      </w:r>
      <w:r>
        <w:rPr>
          <w:rFonts w:hint="eastAsia" w:ascii="宋体" w:hAnsi="宋体"/>
        </w:rPr>
        <w:t>等</w:t>
      </w:r>
    </w:p>
    <w:p>
      <w:pPr>
        <w:adjustRightInd w:val="0"/>
        <w:snapToGrid w:val="0"/>
        <w:spacing w:line="360" w:lineRule="auto"/>
        <w:rPr>
          <w:color w:val="000000"/>
        </w:rPr>
      </w:pPr>
      <w:r>
        <w:rPr>
          <w:rFonts w:ascii="黑体" w:hAnsi="黑体" w:eastAsia="黑体"/>
          <w:color w:val="000000"/>
        </w:rPr>
        <w:t>大纲编写（修订）时间：</w:t>
      </w:r>
      <w:r>
        <w:rPr>
          <w:color w:val="000000"/>
        </w:rPr>
        <w:t>2019</w:t>
      </w:r>
      <w:r>
        <w:rPr>
          <w:rFonts w:ascii="宋体" w:hAnsi="宋体"/>
          <w:color w:val="000000"/>
        </w:rPr>
        <w:t>年</w:t>
      </w:r>
      <w:r>
        <w:rPr>
          <w:rFonts w:hint="eastAsia"/>
          <w:color w:val="000000"/>
        </w:rPr>
        <w:t>4</w:t>
      </w:r>
      <w:r>
        <w:rPr>
          <w:rFonts w:ascii="宋体" w:hAnsi="宋体"/>
          <w:color w:val="000000"/>
        </w:rPr>
        <w:t>月</w:t>
      </w:r>
    </w:p>
    <w:p>
      <w:pPr>
        <w:adjustRightInd w:val="0"/>
        <w:snapToGrid w:val="0"/>
        <w:spacing w:line="360" w:lineRule="auto"/>
        <w:rPr>
          <w:b/>
          <w:bCs/>
        </w:rPr>
      </w:pPr>
      <w:r>
        <w:rPr>
          <w:rFonts w:hint="eastAsia"/>
        </w:rPr>
        <w:t xml:space="preserve"> </w:t>
      </w:r>
      <w:r>
        <w:rPr>
          <w:b/>
          <w:bCs/>
        </w:rPr>
        <w:t xml:space="preserve"> </w:t>
      </w:r>
    </w:p>
    <w:p>
      <w:pPr>
        <w:numPr>
          <w:ilvl w:val="0"/>
          <w:numId w:val="11"/>
        </w:numPr>
        <w:adjustRightInd w:val="0"/>
        <w:snapToGrid w:val="0"/>
        <w:spacing w:line="360" w:lineRule="auto"/>
        <w:rPr>
          <w:rFonts w:eastAsia="黑体"/>
        </w:rPr>
      </w:pPr>
      <w:r>
        <w:rPr>
          <w:rFonts w:ascii="黑体" w:hAnsi="黑体" w:eastAsia="黑体"/>
        </w:rPr>
        <w:t>课程在教学计划中的地位、作用</w:t>
      </w:r>
    </w:p>
    <w:p>
      <w:pPr>
        <w:spacing w:line="360" w:lineRule="auto"/>
        <w:ind w:firstLine="420" w:firstLineChars="200"/>
        <w:rPr>
          <w:rFonts w:hAnsi="宋体"/>
        </w:rPr>
      </w:pPr>
      <w:r>
        <w:rPr>
          <w:rFonts w:ascii="宋体" w:hAnsi="宋体"/>
        </w:rPr>
        <w:t>质量工程是涉及管理、制造、服务、控制等多学科交叉的课程，是理论性较强</w:t>
      </w:r>
      <w:r>
        <w:rPr>
          <w:rFonts w:hint="eastAsia" w:ascii="宋体" w:hAnsi="宋体"/>
        </w:rPr>
        <w:t>又</w:t>
      </w:r>
      <w:r>
        <w:rPr>
          <w:rFonts w:ascii="宋体" w:hAnsi="宋体"/>
        </w:rPr>
        <w:t>实践性很强的学科。在全面介绍现代质量工程概念的基础上，结合国内外质量工程的最新研究成果，以全面质量管理为主线，系统地介绍现代质量工程的基本理论和方法。整个课程将通过教师授课，有关文献资料的阅读，学生小组的合作学习，以及教师与学生间的研讨，使学生了解质量管理与可靠性的发展、现代质量管理面临的环境以及现代质量管理的发展动向。通过学习本课程使学生</w:t>
      </w:r>
      <w:r>
        <w:rPr>
          <w:rFonts w:hint="eastAsia" w:ascii="宋体" w:hAnsi="宋体"/>
        </w:rPr>
        <w:t>了解</w:t>
      </w:r>
      <w:r>
        <w:rPr>
          <w:rFonts w:ascii="宋体" w:hAnsi="宋体"/>
        </w:rPr>
        <w:t>现代质量管理与控制的基本概念、基本思想、基本理论、基本方法和基本技能。其重点是质量体系、工序能力、工序控制和质量检验。本课程计划学时</w:t>
      </w:r>
      <w:r>
        <w:rPr>
          <w:rFonts w:hAnsi="宋体"/>
        </w:rPr>
        <w:t>16</w:t>
      </w:r>
      <w:r>
        <w:rPr>
          <w:rFonts w:ascii="宋体" w:hAnsi="宋体"/>
        </w:rPr>
        <w:t>学时，其中理论教学</w:t>
      </w:r>
      <w:r>
        <w:t>16</w:t>
      </w:r>
      <w:r>
        <w:rPr>
          <w:rFonts w:ascii="宋体" w:hAnsi="宋体"/>
        </w:rPr>
        <w:t>学时。采用讨论式、启发式教学方法。课前，教师指出教学重点难点，学生阅读教材和相关文献；收集学生提出的问题，课堂主要讲授学生共性问题；课后，教师指导学生小组的合作学习，并组织研讨。</w:t>
      </w:r>
    </w:p>
    <w:p>
      <w:pPr>
        <w:widowControl/>
        <w:spacing w:line="360" w:lineRule="auto"/>
        <w:ind w:firstLine="420" w:firstLineChars="200"/>
        <w:jc w:val="left"/>
        <w:rPr>
          <w:kern w:val="0"/>
        </w:rPr>
      </w:pPr>
      <w:r>
        <w:rPr>
          <w:kern w:val="0"/>
        </w:rPr>
        <w:t xml:space="preserve"> </w:t>
      </w:r>
    </w:p>
    <w:p>
      <w:pPr>
        <w:numPr>
          <w:ilvl w:val="0"/>
          <w:numId w:val="11"/>
        </w:numPr>
        <w:adjustRightInd w:val="0"/>
        <w:snapToGrid w:val="0"/>
        <w:spacing w:line="360" w:lineRule="auto"/>
        <w:rPr>
          <w:rFonts w:ascii="黑体" w:hAnsi="黑体" w:eastAsia="黑体"/>
        </w:rPr>
      </w:pPr>
      <w:bookmarkStart w:id="49" w:name="_Toc47290298"/>
      <w:bookmarkStart w:id="50" w:name="_Toc47702360"/>
      <w:bookmarkStart w:id="51" w:name="_Toc47290560"/>
      <w:bookmarkStart w:id="52" w:name="_Toc47691163"/>
      <w:bookmarkStart w:id="53" w:name="_Toc47290190"/>
      <w:bookmarkStart w:id="54" w:name="_Toc47728307"/>
      <w:r>
        <w:rPr>
          <w:rFonts w:ascii="黑体" w:hAnsi="黑体" w:eastAsia="黑体"/>
        </w:rPr>
        <w:t>课程目标</w:t>
      </w:r>
      <w:bookmarkEnd w:id="49"/>
      <w:bookmarkEnd w:id="50"/>
      <w:bookmarkEnd w:id="51"/>
      <w:bookmarkEnd w:id="52"/>
      <w:bookmarkEnd w:id="53"/>
      <w:bookmarkEnd w:id="54"/>
    </w:p>
    <w:p>
      <w:pPr>
        <w:spacing w:line="360" w:lineRule="auto"/>
        <w:ind w:firstLine="420" w:firstLineChars="200"/>
        <w:rPr>
          <w:rFonts w:hAnsi="宋体"/>
        </w:rPr>
      </w:pPr>
      <w:r>
        <w:rPr>
          <w:rFonts w:hint="eastAsia" w:ascii="宋体" w:hAnsi="宋体"/>
        </w:rPr>
        <w:t>本大纲适用于工程类专业选择使用，专业在选用时要关注本课程目标是否与专业培养方案设定的能力矩阵一致。</w:t>
      </w:r>
    </w:p>
    <w:tbl>
      <w:tblPr>
        <w:tblStyle w:val="22"/>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850"/>
        <w:gridCol w:w="50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87" w:type="dxa"/>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序号</w:t>
            </w:r>
          </w:p>
        </w:tc>
        <w:tc>
          <w:tcPr>
            <w:tcW w:w="28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课程目标</w:t>
            </w:r>
          </w:p>
        </w:tc>
        <w:tc>
          <w:tcPr>
            <w:tcW w:w="5091" w:type="dxa"/>
            <w:tcBorders>
              <w:top w:val="single" w:color="auto" w:sz="4" w:space="0"/>
              <w:left w:val="single" w:color="auto" w:sz="4" w:space="0"/>
              <w:bottom w:val="single" w:color="auto" w:sz="4" w:space="0"/>
              <w:right w:val="nil"/>
            </w:tcBorders>
            <w:vAlign w:val="center"/>
          </w:tcPr>
          <w:p>
            <w:pPr>
              <w:adjustRightInd w:val="0"/>
              <w:snapToGrid w:val="0"/>
              <w:jc w:val="center"/>
              <w:rPr>
                <w:rFonts w:ascii="宋体" w:hAnsi="宋体"/>
                <w:sz w:val="18"/>
                <w:szCs w:val="18"/>
              </w:rPr>
            </w:pPr>
            <w:r>
              <w:rPr>
                <w:rFonts w:hint="eastAsia" w:ascii="宋体" w:hAnsi="宋体"/>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1</w:t>
            </w:r>
          </w:p>
        </w:tc>
        <w:tc>
          <w:tcPr>
            <w:tcW w:w="285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理解质量工程的基本原理，对质量管理活动有正确的认识；了解质量管理的新发展；</w:t>
            </w:r>
          </w:p>
        </w:tc>
        <w:tc>
          <w:tcPr>
            <w:tcW w:w="5091"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毕业要求3</w:t>
            </w:r>
            <w:r>
              <w:rPr>
                <w:rFonts w:hint="eastAsia" w:ascii="宋体" w:hAnsi="宋体"/>
                <w:b/>
                <w:bCs/>
                <w:sz w:val="18"/>
                <w:szCs w:val="18"/>
              </w:rPr>
              <w:t>设计</w:t>
            </w:r>
            <w:r>
              <w:rPr>
                <w:rFonts w:hint="eastAsia"/>
                <w:b/>
                <w:bCs/>
                <w:sz w:val="18"/>
                <w:szCs w:val="18"/>
              </w:rPr>
              <w:t>/开发解决方案</w:t>
            </w:r>
            <w:r>
              <w:rPr>
                <w:rFonts w:hint="eastAsia"/>
                <w:sz w:val="18"/>
                <w:szCs w:val="18"/>
              </w:rPr>
              <w:t>：能够设计针对复杂工程问题的解决方案，设计满足特定需求的系统、单元（部件）或工艺流程，并能够在设计环节中体现创新意识，考虑社会、健康、安全、法律、文化以及环境等因素。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2</w:t>
            </w:r>
          </w:p>
        </w:tc>
        <w:tc>
          <w:tcPr>
            <w:tcW w:w="285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了解全面质量管理及一些常用方法和工具；领会质量管理的常用工具及质量控制的方法，并能应用于企业管理中去；</w:t>
            </w:r>
          </w:p>
        </w:tc>
        <w:tc>
          <w:tcPr>
            <w:tcW w:w="5091"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毕业要求8</w:t>
            </w:r>
            <w:r>
              <w:rPr>
                <w:rFonts w:hint="eastAsia" w:ascii="宋体" w:hAnsi="宋体"/>
                <w:b/>
                <w:bCs/>
                <w:sz w:val="18"/>
                <w:szCs w:val="18"/>
              </w:rPr>
              <w:t>职业规范</w:t>
            </w:r>
            <w:r>
              <w:rPr>
                <w:rFonts w:hint="eastAsia"/>
                <w:sz w:val="18"/>
                <w:szCs w:val="18"/>
              </w:rPr>
              <w:t>：具有人文社会科学素养、社会责任感，能够在工程实践中理解并遵守工程职业道德和规范，履行责任。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3</w:t>
            </w:r>
          </w:p>
        </w:tc>
        <w:tc>
          <w:tcPr>
            <w:tcW w:w="285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了解面向质量设计方法的基本内容；了解质量抽样检验的基本原理；领会制造过程质量控制的理论和方法；</w:t>
            </w:r>
          </w:p>
        </w:tc>
        <w:tc>
          <w:tcPr>
            <w:tcW w:w="5091"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毕业要求6</w:t>
            </w:r>
            <w:r>
              <w:rPr>
                <w:rFonts w:hint="eastAsia" w:ascii="宋体" w:hAnsi="宋体"/>
                <w:b/>
                <w:bCs/>
                <w:sz w:val="18"/>
                <w:szCs w:val="18"/>
              </w:rPr>
              <w:t>工程与社会</w:t>
            </w:r>
            <w:r>
              <w:rPr>
                <w:rFonts w:hint="eastAsia"/>
                <w:sz w:val="18"/>
                <w:szCs w:val="18"/>
              </w:rPr>
              <w:t>：能够基于工程相关背景知识进行合理分析，评价专业工程实践和复杂工程问题解决方案对社会、健康、安全、法律以及文化的影响，并理解应承担的责任。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4</w:t>
            </w:r>
          </w:p>
        </w:tc>
        <w:tc>
          <w:tcPr>
            <w:tcW w:w="285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了解质量成本分析的内容和方法；</w:t>
            </w:r>
          </w:p>
        </w:tc>
        <w:tc>
          <w:tcPr>
            <w:tcW w:w="5091"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毕业要求6</w:t>
            </w:r>
            <w:r>
              <w:rPr>
                <w:rFonts w:hint="eastAsia" w:ascii="宋体" w:hAnsi="宋体"/>
                <w:b/>
                <w:bCs/>
                <w:sz w:val="18"/>
                <w:szCs w:val="18"/>
              </w:rPr>
              <w:t>工程与社会</w:t>
            </w:r>
            <w:r>
              <w:rPr>
                <w:rFonts w:hint="eastAsia"/>
                <w:sz w:val="18"/>
                <w:szCs w:val="18"/>
              </w:rPr>
              <w:t>：能够基于工程相关背景知识进行合理分析，评价专业工程实践和复杂工程问题解决方案对社会、健康、安全、法律以及文化的影响，并理解应承担的责任。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5</w:t>
            </w:r>
          </w:p>
        </w:tc>
        <w:tc>
          <w:tcPr>
            <w:tcW w:w="2850"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熟悉质量管理体系，了解认证的基本知识和程序。</w:t>
            </w:r>
          </w:p>
        </w:tc>
        <w:tc>
          <w:tcPr>
            <w:tcW w:w="5091"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毕业要求11</w:t>
            </w:r>
            <w:r>
              <w:rPr>
                <w:rFonts w:hint="eastAsia" w:ascii="宋体" w:hAnsi="宋体"/>
                <w:b/>
                <w:bCs/>
                <w:sz w:val="18"/>
                <w:szCs w:val="18"/>
              </w:rPr>
              <w:t>项目管理</w:t>
            </w:r>
            <w:r>
              <w:rPr>
                <w:rFonts w:hint="eastAsia"/>
                <w:sz w:val="18"/>
                <w:szCs w:val="18"/>
              </w:rPr>
              <w:t>：理解并掌握工程管理原理与经济决策方法，并能在多学科环境中应用。</w:t>
            </w:r>
          </w:p>
        </w:tc>
      </w:tr>
    </w:tbl>
    <w:p>
      <w:pPr>
        <w:spacing w:line="360" w:lineRule="auto"/>
        <w:rPr>
          <w:rFonts w:eastAsia="黑体"/>
          <w:kern w:val="0"/>
        </w:rPr>
      </w:pPr>
      <w:r>
        <w:rPr>
          <w:rFonts w:hint="eastAsia" w:ascii="黑体" w:hAnsi="黑体" w:eastAsia="黑体"/>
          <w:kern w:val="0"/>
        </w:rPr>
        <w:t>三</w:t>
      </w:r>
      <w:r>
        <w:rPr>
          <w:rFonts w:ascii="黑体" w:hAnsi="黑体" w:eastAsia="黑体"/>
          <w:kern w:val="0"/>
        </w:rPr>
        <w:t>、教学内容和</w:t>
      </w:r>
      <w:r>
        <w:rPr>
          <w:rFonts w:hint="eastAsia" w:ascii="黑体" w:hAnsi="黑体" w:eastAsia="黑体"/>
          <w:kern w:val="0"/>
        </w:rPr>
        <w:t>基本要求</w:t>
      </w:r>
    </w:p>
    <w:p>
      <w:pPr>
        <w:spacing w:line="360" w:lineRule="auto"/>
        <w:ind w:firstLine="420"/>
        <w:rPr>
          <w:rFonts w:eastAsia="黑体"/>
          <w:kern w:val="0"/>
        </w:rPr>
      </w:pPr>
      <w:r>
        <w:rPr>
          <w:rFonts w:hint="eastAsia" w:ascii="黑体" w:hAnsi="黑体" w:eastAsia="黑体"/>
          <w:kern w:val="0"/>
        </w:rPr>
        <w:t>绪论</w:t>
      </w:r>
    </w:p>
    <w:p>
      <w:pPr>
        <w:spacing w:line="360" w:lineRule="auto"/>
        <w:ind w:firstLine="420" w:firstLineChars="200"/>
      </w:pPr>
      <w:r>
        <w:rPr>
          <w:rFonts w:ascii="宋体" w:hAnsi="宋体"/>
        </w:rPr>
        <w:t>本课程重点讲授的内容包括：全面质量管理、质量检验理论与方法、面向质量的设计、制造过程质量控制，至少</w:t>
      </w:r>
      <w:r>
        <w:rPr>
          <w:rFonts w:hint="eastAsia" w:ascii="宋体" w:hAnsi="宋体"/>
          <w:kern w:val="0"/>
        </w:rPr>
        <w:t>熟悉</w:t>
      </w:r>
      <w:r>
        <w:rPr>
          <w:rFonts w:ascii="宋体" w:hAnsi="宋体"/>
        </w:rPr>
        <w:t>质量管理的基本工具。包括排列图、因果图、直方图、控制图、检查表与分层法等七种方法的基本原理及操作方法；至少</w:t>
      </w:r>
      <w:r>
        <w:rPr>
          <w:rFonts w:hint="eastAsia" w:ascii="宋体" w:hAnsi="宋体"/>
          <w:kern w:val="0"/>
        </w:rPr>
        <w:t>熟悉</w:t>
      </w:r>
      <w:r>
        <w:rPr>
          <w:rFonts w:ascii="宋体" w:hAnsi="宋体"/>
        </w:rPr>
        <w:t>抽样检验的基本原理及其有关术语；</w:t>
      </w:r>
      <w:r>
        <w:rPr>
          <w:rFonts w:hint="eastAsia" w:ascii="宋体" w:hAnsi="宋体"/>
          <w:kern w:val="0"/>
        </w:rPr>
        <w:t>熟悉</w:t>
      </w:r>
      <w:r>
        <w:rPr>
          <w:rFonts w:ascii="宋体" w:hAnsi="宋体"/>
        </w:rPr>
        <w:t>计数标准型抽样方案设计原理；</w:t>
      </w:r>
      <w:r>
        <w:rPr>
          <w:rFonts w:hint="eastAsia" w:ascii="宋体" w:hAnsi="宋体"/>
          <w:kern w:val="0"/>
        </w:rPr>
        <w:t>熟悉</w:t>
      </w:r>
      <w:r>
        <w:rPr>
          <w:rFonts w:ascii="宋体" w:hAnsi="宋体"/>
        </w:rPr>
        <w:t>计数标准型一次抽样方案的设计方法；</w:t>
      </w:r>
      <w:r>
        <w:rPr>
          <w:rFonts w:hint="eastAsia" w:ascii="宋体" w:hAnsi="宋体"/>
          <w:kern w:val="0"/>
        </w:rPr>
        <w:t>熟悉</w:t>
      </w:r>
      <w:r>
        <w:rPr>
          <w:rFonts w:ascii="宋体" w:hAnsi="宋体"/>
        </w:rPr>
        <w:t>计量抽样方案的设计方法；至少了解面向质量的设计；理解设计过程质量管理的内容；了解质量功能展开的具体方法；至少</w:t>
      </w:r>
      <w:r>
        <w:rPr>
          <w:rFonts w:hint="eastAsia" w:ascii="宋体" w:hAnsi="宋体"/>
          <w:kern w:val="0"/>
        </w:rPr>
        <w:t>熟悉</w:t>
      </w:r>
      <w:r>
        <w:rPr>
          <w:rFonts w:ascii="宋体" w:hAnsi="宋体"/>
        </w:rPr>
        <w:t>统计过程控制的基本原理；认识产生质量变异的原因；</w:t>
      </w:r>
      <w:r>
        <w:t xml:space="preserve"> </w:t>
      </w:r>
      <w:r>
        <w:rPr>
          <w:rFonts w:hint="eastAsia" w:ascii="宋体" w:hAnsi="宋体"/>
          <w:kern w:val="0"/>
        </w:rPr>
        <w:t>熟悉</w:t>
      </w:r>
      <w:r>
        <w:rPr>
          <w:rFonts w:ascii="宋体" w:hAnsi="宋体"/>
        </w:rPr>
        <w:t>质量数据的采集方法；</w:t>
      </w:r>
      <w:r>
        <w:rPr>
          <w:rFonts w:hint="eastAsia" w:ascii="宋体" w:hAnsi="宋体"/>
          <w:kern w:val="0"/>
        </w:rPr>
        <w:t>熟悉</w:t>
      </w:r>
      <w:r>
        <w:rPr>
          <w:rFonts w:ascii="宋体" w:hAnsi="宋体"/>
        </w:rPr>
        <w:t>质量控制图的基本原理；</w:t>
      </w:r>
      <w:r>
        <w:rPr>
          <w:rFonts w:hint="eastAsia" w:ascii="宋体" w:hAnsi="宋体"/>
          <w:kern w:val="0"/>
        </w:rPr>
        <w:t>熟悉</w:t>
      </w:r>
      <w:r>
        <w:rPr>
          <w:rFonts w:ascii="宋体" w:hAnsi="宋体"/>
        </w:rPr>
        <w:t>质量控制图的绘制方法、</w:t>
      </w:r>
      <w:r>
        <w:rPr>
          <w:rFonts w:hint="eastAsia" w:ascii="宋体" w:hAnsi="宋体"/>
          <w:kern w:val="0"/>
        </w:rPr>
        <w:t>熟悉</w:t>
      </w:r>
      <w:r>
        <w:rPr>
          <w:rFonts w:ascii="宋体" w:hAnsi="宋体"/>
        </w:rPr>
        <w:t>质量控制图的观察与分析方法；</w:t>
      </w:r>
      <w:r>
        <w:rPr>
          <w:rFonts w:hint="eastAsia"/>
        </w:rPr>
        <w:t>v</w:t>
      </w:r>
      <w:r>
        <w:rPr>
          <w:rFonts w:ascii="宋体" w:hAnsi="宋体"/>
        </w:rPr>
        <w:t>工序能力指数的基本概念及其计算方法、了解工序等级及其工序能力评价标准；了解参数设计、容差设计的具体方法；</w:t>
      </w:r>
    </w:p>
    <w:p>
      <w:pPr>
        <w:spacing w:line="360" w:lineRule="auto"/>
        <w:ind w:firstLine="420" w:firstLineChars="200"/>
      </w:pPr>
      <w:r>
        <w:rPr>
          <w:rFonts w:ascii="宋体" w:hAnsi="宋体"/>
        </w:rPr>
        <w:t>深度和广度说明：在深度上要能用数学方法进行分析与解决质量管理与控制问题，在广度上要结合企业信息化与先进制造模式进行教学与实践。使学生能应用现代质量管理的原理及方法，分析制造业、服务业、软件、高等教育等质量及质量管理的特点，进而运用相应的质量管理方法。</w:t>
      </w:r>
    </w:p>
    <w:p>
      <w:pPr>
        <w:spacing w:line="360" w:lineRule="auto"/>
        <w:ind w:firstLine="420"/>
        <w:rPr>
          <w:rFonts w:eastAsia="黑体"/>
        </w:rPr>
      </w:pPr>
      <w:r>
        <w:rPr>
          <w:rFonts w:hint="eastAsia" w:ascii="黑体" w:hAnsi="黑体" w:eastAsia="黑体"/>
          <w:kern w:val="0"/>
        </w:rPr>
        <w:t>第一章</w:t>
      </w:r>
      <w:r>
        <w:rPr>
          <w:rFonts w:hint="eastAsia" w:eastAsia="黑体"/>
          <w:kern w:val="0"/>
        </w:rPr>
        <w:t xml:space="preserve"> </w:t>
      </w:r>
      <w:r>
        <w:rPr>
          <w:rFonts w:eastAsia="黑体"/>
          <w:kern w:val="0"/>
        </w:rPr>
        <w:t xml:space="preserve"> </w:t>
      </w:r>
      <w:r>
        <w:rPr>
          <w:rFonts w:ascii="黑体" w:hAnsi="黑体" w:eastAsia="黑体"/>
          <w:kern w:val="0"/>
        </w:rPr>
        <w:t>质量工程概述</w:t>
      </w:r>
      <w:r>
        <w:rPr>
          <w:rFonts w:hint="eastAsia" w:ascii="黑体" w:hAnsi="黑体" w:eastAsia="黑体"/>
          <w:kern w:val="0"/>
        </w:rPr>
        <w:t>（</w:t>
      </w:r>
      <w:r>
        <w:rPr>
          <w:rFonts w:hint="eastAsia" w:eastAsia="黑体"/>
          <w:kern w:val="0"/>
        </w:rPr>
        <w:t>1</w:t>
      </w:r>
      <w:r>
        <w:rPr>
          <w:rFonts w:hint="eastAsia" w:ascii="黑体" w:hAnsi="黑体" w:eastAsia="黑体"/>
          <w:kern w:val="0"/>
        </w:rPr>
        <w:t>课时）</w:t>
      </w:r>
    </w:p>
    <w:p>
      <w:pPr>
        <w:spacing w:line="360" w:lineRule="auto"/>
        <w:ind w:left="426"/>
        <w:rPr>
          <w:kern w:val="0"/>
        </w:rPr>
      </w:pPr>
      <w:r>
        <w:rPr>
          <w:kern w:val="0"/>
        </w:rPr>
        <w:t>1.</w:t>
      </w:r>
      <w:r>
        <w:rPr>
          <w:rFonts w:hint="eastAsia"/>
          <w:kern w:val="0"/>
        </w:rPr>
        <w:t xml:space="preserve"> </w:t>
      </w:r>
      <w:r>
        <w:rPr>
          <w:rFonts w:hint="eastAsia" w:ascii="宋体" w:hAnsi="宋体"/>
          <w:kern w:val="0"/>
        </w:rPr>
        <w:t>了解</w:t>
      </w:r>
      <w:r>
        <w:rPr>
          <w:rFonts w:ascii="宋体" w:hAnsi="宋体"/>
          <w:kern w:val="0"/>
        </w:rPr>
        <w:t>质量和质量管理的相关术语；</w:t>
      </w:r>
      <w:r>
        <w:rPr>
          <w:rFonts w:hint="eastAsia" w:ascii="宋体" w:hAnsi="宋体"/>
          <w:kern w:val="0"/>
        </w:rPr>
        <w:t>（难点）</w:t>
      </w:r>
    </w:p>
    <w:p>
      <w:pPr>
        <w:spacing w:line="360" w:lineRule="auto"/>
        <w:ind w:left="426"/>
        <w:rPr>
          <w:kern w:val="0"/>
        </w:rPr>
      </w:pPr>
      <w:r>
        <w:rPr>
          <w:rFonts w:hint="eastAsia"/>
          <w:kern w:val="0"/>
        </w:rPr>
        <w:t xml:space="preserve">2. </w:t>
      </w:r>
      <w:r>
        <w:rPr>
          <w:rFonts w:ascii="宋体" w:hAnsi="宋体"/>
          <w:kern w:val="0"/>
        </w:rPr>
        <w:t>熟悉质量管理发展史；</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pPr>
      <w:r>
        <w:rPr>
          <w:rFonts w:hint="eastAsia"/>
          <w:kern w:val="0"/>
        </w:rPr>
        <w:t xml:space="preserve">3. </w:t>
      </w:r>
      <w:r>
        <w:rPr>
          <w:rFonts w:ascii="宋体" w:hAnsi="宋体"/>
          <w:kern w:val="0"/>
        </w:rPr>
        <w:t>理解提高质量的意义和重要</w:t>
      </w:r>
      <w:r>
        <w:rPr>
          <w:rFonts w:ascii="宋体" w:hAnsi="宋体"/>
        </w:rPr>
        <w:t>性。</w:t>
      </w:r>
    </w:p>
    <w:p>
      <w:pPr>
        <w:spacing w:line="360" w:lineRule="auto"/>
        <w:ind w:left="426"/>
      </w:pPr>
      <w:r>
        <w:rPr>
          <w:rFonts w:hint="eastAsia" w:ascii="宋体" w:hAnsi="宋体"/>
        </w:rPr>
        <w:t>本章节内容支撑课程目标</w:t>
      </w:r>
      <w:r>
        <w:rPr>
          <w:rFonts w:hint="eastAsia"/>
        </w:rPr>
        <w:t xml:space="preserve"> 1</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第二章</w:t>
      </w:r>
      <w:r>
        <w:rPr>
          <w:rFonts w:hint="eastAsia" w:eastAsia="黑体"/>
          <w:kern w:val="0"/>
        </w:rPr>
        <w:t xml:space="preserve"> </w:t>
      </w:r>
      <w:r>
        <w:rPr>
          <w:rFonts w:eastAsia="黑体"/>
          <w:kern w:val="0"/>
        </w:rPr>
        <w:t xml:space="preserve"> </w:t>
      </w:r>
      <w:r>
        <w:rPr>
          <w:rFonts w:ascii="黑体" w:hAnsi="黑体" w:eastAsia="黑体"/>
          <w:kern w:val="0"/>
        </w:rPr>
        <w:t>全面质量管理</w:t>
      </w:r>
      <w:r>
        <w:rPr>
          <w:rFonts w:hint="eastAsia" w:ascii="黑体" w:hAnsi="黑体" w:eastAsia="黑体"/>
          <w:kern w:val="0"/>
        </w:rPr>
        <w:t>（</w:t>
      </w:r>
      <w:r>
        <w:rPr>
          <w:rFonts w:hint="eastAsia" w:eastAsia="黑体"/>
          <w:kern w:val="0"/>
        </w:rPr>
        <w:t>2</w:t>
      </w:r>
      <w:r>
        <w:rPr>
          <w:rFonts w:hint="eastAsia" w:ascii="黑体" w:hAnsi="黑体" w:eastAsia="黑体"/>
          <w:kern w:val="0"/>
        </w:rPr>
        <w:t>课时）</w:t>
      </w:r>
    </w:p>
    <w:p>
      <w:pPr>
        <w:spacing w:line="360" w:lineRule="auto"/>
        <w:ind w:firstLine="420" w:firstLineChars="200"/>
      </w:pPr>
      <w:r>
        <w:rPr>
          <w:rFonts w:hint="eastAsia"/>
        </w:rPr>
        <w:t xml:space="preserve">1. </w:t>
      </w:r>
      <w:r>
        <w:rPr>
          <w:rFonts w:ascii="宋体" w:hAnsi="宋体"/>
        </w:rPr>
        <w:t>领会全面质量管理的含义；</w:t>
      </w:r>
      <w:r>
        <w:rPr>
          <w:rFonts w:hint="eastAsia" w:ascii="宋体" w:hAnsi="宋体"/>
        </w:rPr>
        <w:t>（重点</w:t>
      </w:r>
      <w:r>
        <w:rPr>
          <w:rFonts w:ascii="宋体" w:hAnsi="宋体"/>
        </w:rPr>
        <w:t>、</w:t>
      </w:r>
      <w:r>
        <w:rPr>
          <w:rFonts w:hint="eastAsia" w:ascii="宋体" w:hAnsi="宋体"/>
        </w:rPr>
        <w:t>难点）</w:t>
      </w:r>
    </w:p>
    <w:p>
      <w:pPr>
        <w:spacing w:line="360" w:lineRule="auto"/>
        <w:ind w:firstLine="420" w:firstLineChars="200"/>
      </w:pPr>
      <w:r>
        <w:rPr>
          <w:rFonts w:hint="eastAsia"/>
        </w:rPr>
        <w:t xml:space="preserve">2. </w:t>
      </w:r>
      <w:r>
        <w:rPr>
          <w:rFonts w:ascii="宋体" w:hAnsi="宋体"/>
        </w:rPr>
        <w:t>了解</w:t>
      </w:r>
      <w:r>
        <w:t>“</w:t>
      </w:r>
      <w:r>
        <w:rPr>
          <w:rFonts w:ascii="宋体" w:hAnsi="宋体"/>
        </w:rPr>
        <w:t>三全一多样</w:t>
      </w:r>
      <w:r>
        <w:t>”</w:t>
      </w:r>
      <w:r>
        <w:rPr>
          <w:rFonts w:ascii="宋体" w:hAnsi="宋体"/>
        </w:rPr>
        <w:t>的基本要求；</w:t>
      </w:r>
      <w:r>
        <w:rPr>
          <w:rFonts w:hint="eastAsia" w:ascii="宋体" w:hAnsi="宋体"/>
        </w:rPr>
        <w:t>（重点）</w:t>
      </w:r>
    </w:p>
    <w:p>
      <w:pPr>
        <w:spacing w:line="360" w:lineRule="auto"/>
        <w:ind w:firstLine="420" w:firstLineChars="200"/>
      </w:pPr>
      <w:r>
        <w:rPr>
          <w:rFonts w:hint="eastAsia"/>
        </w:rPr>
        <w:t xml:space="preserve">3. </w:t>
      </w:r>
      <w:r>
        <w:rPr>
          <w:rFonts w:hint="eastAsia" w:ascii="宋体" w:hAnsi="宋体"/>
        </w:rPr>
        <w:t>熟悉</w:t>
      </w:r>
      <w:r>
        <w:rPr>
          <w:rFonts w:ascii="宋体" w:hAnsi="宋体"/>
        </w:rPr>
        <w:t>质量管理的基本工具。包括排列图、因果图、直方图、控制图、检查表与分层法等七种方法的基本原理及操作方法；</w:t>
      </w:r>
      <w:r>
        <w:rPr>
          <w:rFonts w:hint="eastAsia" w:ascii="宋体" w:hAnsi="宋体"/>
        </w:rPr>
        <w:t>（重点</w:t>
      </w:r>
      <w:r>
        <w:rPr>
          <w:rFonts w:ascii="宋体" w:hAnsi="宋体"/>
        </w:rPr>
        <w:t>、</w:t>
      </w:r>
      <w:r>
        <w:rPr>
          <w:rFonts w:hint="eastAsia" w:ascii="宋体" w:hAnsi="宋体"/>
        </w:rPr>
        <w:t>难点）</w:t>
      </w:r>
    </w:p>
    <w:p>
      <w:pPr>
        <w:spacing w:line="360" w:lineRule="auto"/>
        <w:ind w:firstLine="420" w:firstLineChars="200"/>
      </w:pPr>
      <w:r>
        <w:rPr>
          <w:rFonts w:hint="eastAsia"/>
        </w:rPr>
        <w:t xml:space="preserve">4. </w:t>
      </w:r>
      <w:r>
        <w:rPr>
          <w:rFonts w:ascii="宋体" w:hAnsi="宋体"/>
        </w:rPr>
        <w:t>了解质量管理七种新工具；</w:t>
      </w:r>
      <w:r>
        <w:rPr>
          <w:rFonts w:hint="eastAsia" w:ascii="宋体" w:hAnsi="宋体"/>
        </w:rPr>
        <w:t>（重点</w:t>
      </w:r>
      <w:r>
        <w:rPr>
          <w:rFonts w:ascii="宋体" w:hAnsi="宋体"/>
        </w:rPr>
        <w:t>、</w:t>
      </w:r>
      <w:r>
        <w:rPr>
          <w:rFonts w:hint="eastAsia" w:ascii="宋体" w:hAnsi="宋体"/>
        </w:rPr>
        <w:t>难点）</w:t>
      </w:r>
    </w:p>
    <w:p>
      <w:pPr>
        <w:spacing w:line="360" w:lineRule="auto"/>
        <w:ind w:firstLine="420" w:firstLineChars="200"/>
      </w:pPr>
      <w:r>
        <w:rPr>
          <w:rFonts w:hint="eastAsia"/>
        </w:rPr>
        <w:t xml:space="preserve">5. </w:t>
      </w:r>
      <w:r>
        <w:rPr>
          <w:rFonts w:hint="eastAsia" w:ascii="宋体" w:hAnsi="宋体"/>
        </w:rPr>
        <w:t>了解</w:t>
      </w:r>
      <w:r>
        <w:rPr>
          <w:rFonts w:ascii="宋体" w:hAnsi="宋体"/>
        </w:rPr>
        <w:t>一些常用的质量管理方法。</w:t>
      </w:r>
    </w:p>
    <w:p>
      <w:pPr>
        <w:spacing w:line="360" w:lineRule="auto"/>
        <w:ind w:left="426"/>
      </w:pPr>
      <w:r>
        <w:rPr>
          <w:rFonts w:hint="eastAsia" w:ascii="宋体" w:hAnsi="宋体"/>
        </w:rPr>
        <w:t>本章节内容支撑课程目标</w:t>
      </w:r>
      <w:r>
        <w:rPr>
          <w:rFonts w:hint="eastAsia"/>
        </w:rPr>
        <w:t xml:space="preserve"> 2</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第三章</w:t>
      </w:r>
      <w:r>
        <w:rPr>
          <w:rFonts w:hint="eastAsia" w:eastAsia="黑体"/>
          <w:kern w:val="0"/>
        </w:rPr>
        <w:t xml:space="preserve"> </w:t>
      </w:r>
      <w:r>
        <w:rPr>
          <w:rFonts w:eastAsia="黑体"/>
          <w:kern w:val="0"/>
        </w:rPr>
        <w:t xml:space="preserve"> ISO 9000</w:t>
      </w:r>
      <w:r>
        <w:rPr>
          <w:rFonts w:ascii="黑体" w:hAnsi="黑体" w:eastAsia="黑体"/>
          <w:kern w:val="0"/>
        </w:rPr>
        <w:t>质量管理体系</w:t>
      </w:r>
      <w:r>
        <w:rPr>
          <w:rFonts w:hint="eastAsia" w:ascii="黑体" w:hAnsi="黑体" w:eastAsia="黑体"/>
          <w:kern w:val="0"/>
        </w:rPr>
        <w:t>（</w:t>
      </w:r>
      <w:r>
        <w:rPr>
          <w:rFonts w:hint="eastAsia" w:eastAsia="黑体"/>
          <w:kern w:val="0"/>
        </w:rPr>
        <w:t>1</w:t>
      </w:r>
      <w:r>
        <w:rPr>
          <w:rFonts w:hint="eastAsia" w:ascii="黑体" w:hAnsi="黑体" w:eastAsia="黑体"/>
          <w:kern w:val="0"/>
        </w:rPr>
        <w:t>课时）</w:t>
      </w:r>
    </w:p>
    <w:p>
      <w:pPr>
        <w:spacing w:line="360" w:lineRule="auto"/>
        <w:ind w:left="426"/>
        <w:rPr>
          <w:kern w:val="0"/>
        </w:rPr>
      </w:pPr>
      <w:r>
        <w:rPr>
          <w:rFonts w:hint="eastAsia"/>
          <w:kern w:val="0"/>
        </w:rPr>
        <w:t xml:space="preserve">1. </w:t>
      </w:r>
      <w:r>
        <w:rPr>
          <w:rFonts w:ascii="宋体" w:hAnsi="宋体"/>
          <w:kern w:val="0"/>
        </w:rPr>
        <w:t>了解</w:t>
      </w:r>
      <w:r>
        <w:rPr>
          <w:kern w:val="0"/>
        </w:rPr>
        <w:t>ISO9000</w:t>
      </w:r>
      <w:r>
        <w:rPr>
          <w:rFonts w:ascii="宋体" w:hAnsi="宋体"/>
          <w:kern w:val="0"/>
        </w:rPr>
        <w:t>标准的发展沿革；</w:t>
      </w:r>
      <w:r>
        <w:rPr>
          <w:rFonts w:hint="eastAsia" w:ascii="宋体" w:hAnsi="宋体"/>
          <w:kern w:val="0"/>
        </w:rPr>
        <w:t>（重点）</w:t>
      </w:r>
    </w:p>
    <w:p>
      <w:pPr>
        <w:spacing w:line="360" w:lineRule="auto"/>
        <w:ind w:left="426"/>
        <w:rPr>
          <w:kern w:val="0"/>
        </w:rPr>
      </w:pPr>
      <w:r>
        <w:rPr>
          <w:rFonts w:hint="eastAsia"/>
          <w:kern w:val="0"/>
        </w:rPr>
        <w:t xml:space="preserve">2. </w:t>
      </w:r>
      <w:r>
        <w:rPr>
          <w:rFonts w:ascii="宋体" w:hAnsi="宋体"/>
          <w:kern w:val="0"/>
        </w:rPr>
        <w:t>了解</w:t>
      </w:r>
      <w:r>
        <w:rPr>
          <w:kern w:val="0"/>
        </w:rPr>
        <w:t>ISO9000</w:t>
      </w:r>
      <w:r>
        <w:rPr>
          <w:rFonts w:ascii="宋体" w:hAnsi="宋体"/>
          <w:kern w:val="0"/>
        </w:rPr>
        <w:t>：</w:t>
      </w:r>
      <w:r>
        <w:rPr>
          <w:kern w:val="0"/>
        </w:rPr>
        <w:t>2000</w:t>
      </w:r>
      <w:r>
        <w:rPr>
          <w:rFonts w:ascii="宋体" w:hAnsi="宋体"/>
          <w:kern w:val="0"/>
        </w:rPr>
        <w:t>族标准的构成和特点；</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3. </w:t>
      </w:r>
      <w:r>
        <w:rPr>
          <w:rFonts w:hint="eastAsia" w:ascii="宋体" w:hAnsi="宋体"/>
          <w:kern w:val="0"/>
        </w:rPr>
        <w:t>熟悉</w:t>
      </w:r>
      <w:r>
        <w:rPr>
          <w:kern w:val="0"/>
        </w:rPr>
        <w:t>ISO9000</w:t>
      </w:r>
      <w:r>
        <w:rPr>
          <w:rFonts w:ascii="宋体" w:hAnsi="宋体"/>
          <w:kern w:val="0"/>
        </w:rPr>
        <w:t>：</w:t>
      </w:r>
      <w:r>
        <w:rPr>
          <w:kern w:val="0"/>
        </w:rPr>
        <w:t>2000</w:t>
      </w:r>
      <w:r>
        <w:rPr>
          <w:rFonts w:ascii="宋体" w:hAnsi="宋体"/>
          <w:kern w:val="0"/>
        </w:rPr>
        <w:t>族标准的四个核心标准；</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4. </w:t>
      </w:r>
      <w:r>
        <w:rPr>
          <w:rFonts w:hint="eastAsia" w:ascii="宋体" w:hAnsi="宋体"/>
          <w:kern w:val="0"/>
        </w:rPr>
        <w:t>熟悉</w:t>
      </w:r>
      <w:r>
        <w:rPr>
          <w:rFonts w:ascii="宋体" w:hAnsi="宋体"/>
          <w:kern w:val="0"/>
        </w:rPr>
        <w:t>建立质量管理体系的步骤；</w:t>
      </w:r>
      <w:r>
        <w:rPr>
          <w:rFonts w:hint="eastAsia" w:ascii="宋体" w:hAnsi="宋体"/>
          <w:kern w:val="0"/>
        </w:rPr>
        <w:t>（重点）</w:t>
      </w:r>
    </w:p>
    <w:p>
      <w:pPr>
        <w:spacing w:line="360" w:lineRule="auto"/>
        <w:ind w:left="426"/>
        <w:rPr>
          <w:rFonts w:ascii="宋体" w:hAnsi="宋体"/>
          <w:kern w:val="0"/>
        </w:rPr>
      </w:pPr>
      <w:r>
        <w:rPr>
          <w:rFonts w:hint="eastAsia"/>
          <w:kern w:val="0"/>
        </w:rPr>
        <w:t xml:space="preserve">5. </w:t>
      </w:r>
      <w:r>
        <w:rPr>
          <w:rFonts w:hint="eastAsia" w:ascii="宋体" w:hAnsi="宋体"/>
          <w:kern w:val="0"/>
        </w:rPr>
        <w:t>学会</w:t>
      </w:r>
      <w:r>
        <w:rPr>
          <w:rFonts w:ascii="宋体" w:hAnsi="宋体"/>
          <w:kern w:val="0"/>
        </w:rPr>
        <w:t>质量管理认证的条件与程序。</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ascii="宋体" w:hAnsi="宋体"/>
          <w:kern w:val="0"/>
        </w:rPr>
        <w:t>6</w:t>
      </w:r>
      <w:r>
        <w:rPr>
          <w:rFonts w:hint="eastAsia" w:ascii="宋体" w:hAnsi="宋体"/>
          <w:kern w:val="0"/>
        </w:rPr>
        <w:t>．其它行业性标准与规范了解。</w:t>
      </w:r>
    </w:p>
    <w:p>
      <w:pPr>
        <w:spacing w:line="360" w:lineRule="auto"/>
        <w:ind w:left="426"/>
        <w:rPr>
          <w:kern w:val="0"/>
        </w:rPr>
      </w:pPr>
      <w:r>
        <w:rPr>
          <w:rFonts w:hint="eastAsia" w:ascii="宋体" w:hAnsi="宋体"/>
        </w:rPr>
        <w:t>本章节内容支撑课程目标</w:t>
      </w:r>
      <w:r>
        <w:rPr>
          <w:rFonts w:hint="eastAsia"/>
        </w:rPr>
        <w:t xml:space="preserve"> 2</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第四章</w:t>
      </w:r>
      <w:r>
        <w:rPr>
          <w:rFonts w:hint="eastAsia" w:eastAsia="黑体"/>
          <w:kern w:val="0"/>
        </w:rPr>
        <w:t xml:space="preserve"> </w:t>
      </w:r>
      <w:r>
        <w:rPr>
          <w:rFonts w:eastAsia="黑体"/>
          <w:kern w:val="0"/>
        </w:rPr>
        <w:t xml:space="preserve"> </w:t>
      </w:r>
      <w:r>
        <w:rPr>
          <w:rFonts w:ascii="黑体" w:hAnsi="黑体" w:eastAsia="黑体"/>
          <w:kern w:val="0"/>
        </w:rPr>
        <w:t>质量检验理论与方法</w:t>
      </w:r>
      <w:r>
        <w:rPr>
          <w:rFonts w:hint="eastAsia" w:ascii="黑体" w:hAnsi="黑体" w:eastAsia="黑体"/>
          <w:kern w:val="0"/>
        </w:rPr>
        <w:t>（</w:t>
      </w:r>
      <w:r>
        <w:rPr>
          <w:rFonts w:hint="eastAsia" w:eastAsia="黑体"/>
          <w:kern w:val="0"/>
        </w:rPr>
        <w:t>3</w:t>
      </w:r>
      <w:r>
        <w:rPr>
          <w:rFonts w:hint="eastAsia" w:ascii="黑体" w:hAnsi="黑体" w:eastAsia="黑体"/>
          <w:kern w:val="0"/>
        </w:rPr>
        <w:t>课时）</w:t>
      </w:r>
    </w:p>
    <w:p>
      <w:pPr>
        <w:spacing w:line="360" w:lineRule="auto"/>
        <w:ind w:left="426"/>
        <w:rPr>
          <w:kern w:val="0"/>
        </w:rPr>
      </w:pPr>
      <w:r>
        <w:rPr>
          <w:rFonts w:hint="eastAsia"/>
          <w:kern w:val="0"/>
        </w:rPr>
        <w:t xml:space="preserve">1. </w:t>
      </w:r>
      <w:r>
        <w:rPr>
          <w:rFonts w:hint="eastAsia" w:ascii="宋体" w:hAnsi="宋体"/>
          <w:kern w:val="0"/>
        </w:rPr>
        <w:t>了解</w:t>
      </w:r>
      <w:r>
        <w:rPr>
          <w:rFonts w:ascii="宋体" w:hAnsi="宋体"/>
          <w:kern w:val="0"/>
        </w:rPr>
        <w:t>抽样检验的基本原理及其有关术语；</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2. </w:t>
      </w:r>
      <w:r>
        <w:rPr>
          <w:rFonts w:ascii="宋体" w:hAnsi="宋体"/>
          <w:kern w:val="0"/>
        </w:rPr>
        <w:t>领会接收概率的含义；</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3. </w:t>
      </w:r>
      <w:r>
        <w:rPr>
          <w:rFonts w:ascii="宋体" w:hAnsi="宋体"/>
          <w:kern w:val="0"/>
        </w:rPr>
        <w:t>了解</w:t>
      </w:r>
      <w:r>
        <w:rPr>
          <w:kern w:val="0"/>
        </w:rPr>
        <w:t>N</w:t>
      </w:r>
      <w:r>
        <w:rPr>
          <w:rFonts w:ascii="宋体" w:hAnsi="宋体"/>
          <w:kern w:val="0"/>
        </w:rPr>
        <w:t>、</w:t>
      </w:r>
      <w:r>
        <w:rPr>
          <w:kern w:val="0"/>
        </w:rPr>
        <w:t>n</w:t>
      </w:r>
      <w:r>
        <w:rPr>
          <w:rFonts w:ascii="宋体" w:hAnsi="宋体"/>
          <w:kern w:val="0"/>
        </w:rPr>
        <w:t>、</w:t>
      </w:r>
      <w:r>
        <w:rPr>
          <w:kern w:val="0"/>
        </w:rPr>
        <w:t>c</w:t>
      </w:r>
      <w:r>
        <w:rPr>
          <w:rFonts w:ascii="宋体" w:hAnsi="宋体"/>
          <w:kern w:val="0"/>
        </w:rPr>
        <w:t>对</w:t>
      </w:r>
      <w:r>
        <w:rPr>
          <w:kern w:val="0"/>
        </w:rPr>
        <w:t>OC</w:t>
      </w:r>
      <w:r>
        <w:rPr>
          <w:rFonts w:ascii="宋体" w:hAnsi="宋体"/>
          <w:kern w:val="0"/>
        </w:rPr>
        <w:t>曲线的影响；</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4. </w:t>
      </w:r>
      <w:r>
        <w:rPr>
          <w:rFonts w:ascii="宋体" w:hAnsi="宋体"/>
          <w:kern w:val="0"/>
        </w:rPr>
        <w:t>认识百分比抽样的不合理性；</w:t>
      </w:r>
    </w:p>
    <w:p>
      <w:pPr>
        <w:spacing w:line="360" w:lineRule="auto"/>
        <w:ind w:left="426"/>
        <w:rPr>
          <w:kern w:val="0"/>
        </w:rPr>
      </w:pPr>
      <w:r>
        <w:rPr>
          <w:rFonts w:hint="eastAsia"/>
          <w:kern w:val="0"/>
        </w:rPr>
        <w:t xml:space="preserve">5. </w:t>
      </w:r>
      <w:r>
        <w:rPr>
          <w:rFonts w:hint="eastAsia" w:ascii="宋体" w:hAnsi="宋体"/>
          <w:kern w:val="0"/>
        </w:rPr>
        <w:t>了解</w:t>
      </w:r>
      <w:r>
        <w:rPr>
          <w:rFonts w:ascii="宋体" w:hAnsi="宋体"/>
          <w:kern w:val="0"/>
        </w:rPr>
        <w:t>计数标准型抽样方案设计原理；</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6. </w:t>
      </w:r>
      <w:r>
        <w:rPr>
          <w:rFonts w:hint="eastAsia" w:ascii="宋体" w:hAnsi="宋体"/>
          <w:kern w:val="0"/>
        </w:rPr>
        <w:t>学会</w:t>
      </w:r>
      <w:r>
        <w:rPr>
          <w:rFonts w:ascii="宋体" w:hAnsi="宋体"/>
          <w:kern w:val="0"/>
        </w:rPr>
        <w:t>计数标准型一次抽样方案的设计方法；</w:t>
      </w:r>
      <w:r>
        <w:rPr>
          <w:rFonts w:hint="eastAsia" w:ascii="宋体" w:hAnsi="宋体"/>
          <w:kern w:val="0"/>
        </w:rPr>
        <w:t>（重点）</w:t>
      </w:r>
    </w:p>
    <w:p>
      <w:pPr>
        <w:spacing w:line="360" w:lineRule="auto"/>
        <w:ind w:left="426"/>
        <w:rPr>
          <w:kern w:val="0"/>
        </w:rPr>
      </w:pPr>
      <w:r>
        <w:rPr>
          <w:rFonts w:hint="eastAsia"/>
          <w:kern w:val="0"/>
        </w:rPr>
        <w:t xml:space="preserve">7. </w:t>
      </w:r>
      <w:r>
        <w:rPr>
          <w:rFonts w:hint="eastAsia" w:ascii="宋体" w:hAnsi="宋体"/>
          <w:kern w:val="0"/>
        </w:rPr>
        <w:t>学会</w:t>
      </w:r>
      <w:r>
        <w:rPr>
          <w:rFonts w:ascii="宋体" w:hAnsi="宋体"/>
          <w:kern w:val="0"/>
        </w:rPr>
        <w:t>计量抽样方案的设计方法。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ascii="宋体" w:hAnsi="宋体"/>
        </w:rPr>
        <w:t>本章节内容支撑课程目标</w:t>
      </w:r>
      <w:r>
        <w:rPr>
          <w:rFonts w:hint="eastAsia"/>
        </w:rPr>
        <w:t xml:space="preserve"> 3</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第五章</w:t>
      </w:r>
      <w:r>
        <w:rPr>
          <w:rFonts w:hint="eastAsia" w:eastAsia="黑体"/>
          <w:kern w:val="0"/>
        </w:rPr>
        <w:t xml:space="preserve"> </w:t>
      </w:r>
      <w:r>
        <w:rPr>
          <w:rFonts w:eastAsia="黑体"/>
          <w:kern w:val="0"/>
        </w:rPr>
        <w:t xml:space="preserve"> </w:t>
      </w:r>
      <w:r>
        <w:rPr>
          <w:rFonts w:ascii="黑体" w:hAnsi="黑体" w:eastAsia="黑体"/>
          <w:kern w:val="0"/>
        </w:rPr>
        <w:t>面向质量的设计</w:t>
      </w:r>
      <w:r>
        <w:rPr>
          <w:rFonts w:hint="eastAsia" w:ascii="黑体" w:hAnsi="黑体" w:eastAsia="黑体"/>
          <w:kern w:val="0"/>
        </w:rPr>
        <w:t>（</w:t>
      </w:r>
      <w:r>
        <w:rPr>
          <w:rFonts w:hint="eastAsia" w:eastAsia="黑体"/>
          <w:kern w:val="0"/>
        </w:rPr>
        <w:t>4</w:t>
      </w:r>
      <w:r>
        <w:rPr>
          <w:rFonts w:hint="eastAsia" w:ascii="黑体" w:hAnsi="黑体" w:eastAsia="黑体"/>
          <w:kern w:val="0"/>
        </w:rPr>
        <w:t>课时）</w:t>
      </w:r>
    </w:p>
    <w:p>
      <w:pPr>
        <w:spacing w:line="360" w:lineRule="auto"/>
        <w:ind w:left="426"/>
        <w:rPr>
          <w:kern w:val="0"/>
        </w:rPr>
      </w:pPr>
      <w:r>
        <w:rPr>
          <w:rFonts w:hint="eastAsia"/>
          <w:kern w:val="0"/>
        </w:rPr>
        <w:t xml:space="preserve">1. </w:t>
      </w:r>
      <w:r>
        <w:rPr>
          <w:rFonts w:ascii="宋体" w:hAnsi="宋体"/>
          <w:kern w:val="0"/>
        </w:rPr>
        <w:t>了解面向质量的设计；</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2. </w:t>
      </w:r>
      <w:r>
        <w:rPr>
          <w:rFonts w:ascii="宋体" w:hAnsi="宋体"/>
          <w:kern w:val="0"/>
        </w:rPr>
        <w:t>理解设计过程质量管理的内容；</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3. </w:t>
      </w:r>
      <w:r>
        <w:rPr>
          <w:rFonts w:ascii="宋体" w:hAnsi="宋体"/>
          <w:kern w:val="0"/>
        </w:rPr>
        <w:t>了解质量功能展开的具体方法；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4. </w:t>
      </w:r>
      <w:r>
        <w:rPr>
          <w:rFonts w:ascii="宋体" w:hAnsi="宋体"/>
          <w:kern w:val="0"/>
        </w:rPr>
        <w:t>了解参数设计、容差设计的具体方法。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ascii="宋体" w:hAnsi="宋体"/>
        </w:rPr>
        <w:t>本章节内容支撑课程目标</w:t>
      </w:r>
      <w:r>
        <w:rPr>
          <w:rFonts w:hint="eastAsia"/>
        </w:rPr>
        <w:t xml:space="preserve"> 3</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第六章</w:t>
      </w:r>
      <w:r>
        <w:rPr>
          <w:rFonts w:hint="eastAsia" w:eastAsia="黑体"/>
          <w:kern w:val="0"/>
        </w:rPr>
        <w:t xml:space="preserve"> </w:t>
      </w:r>
      <w:r>
        <w:rPr>
          <w:rFonts w:eastAsia="黑体"/>
          <w:kern w:val="0"/>
        </w:rPr>
        <w:t xml:space="preserve"> </w:t>
      </w:r>
      <w:r>
        <w:rPr>
          <w:rFonts w:ascii="黑体" w:hAnsi="黑体" w:eastAsia="黑体"/>
          <w:kern w:val="0"/>
        </w:rPr>
        <w:t>制造过程质量控制</w:t>
      </w:r>
      <w:r>
        <w:rPr>
          <w:rFonts w:hint="eastAsia" w:ascii="黑体" w:hAnsi="黑体" w:eastAsia="黑体"/>
          <w:kern w:val="0"/>
        </w:rPr>
        <w:t>（</w:t>
      </w:r>
      <w:r>
        <w:rPr>
          <w:rFonts w:hint="eastAsia" w:eastAsia="黑体"/>
          <w:kern w:val="0"/>
        </w:rPr>
        <w:t>4</w:t>
      </w:r>
      <w:r>
        <w:rPr>
          <w:rFonts w:hint="eastAsia" w:ascii="黑体" w:hAnsi="黑体" w:eastAsia="黑体"/>
          <w:kern w:val="0"/>
        </w:rPr>
        <w:t>课时）</w:t>
      </w:r>
    </w:p>
    <w:p>
      <w:pPr>
        <w:spacing w:line="360" w:lineRule="auto"/>
        <w:ind w:left="426"/>
        <w:rPr>
          <w:kern w:val="0"/>
        </w:rPr>
      </w:pPr>
      <w:r>
        <w:rPr>
          <w:rFonts w:hint="eastAsia"/>
          <w:kern w:val="0"/>
        </w:rPr>
        <w:t xml:space="preserve">1. </w:t>
      </w:r>
      <w:r>
        <w:rPr>
          <w:rFonts w:hint="eastAsia" w:ascii="宋体" w:hAnsi="宋体"/>
          <w:kern w:val="0"/>
        </w:rPr>
        <w:t>了解</w:t>
      </w:r>
      <w:r>
        <w:rPr>
          <w:rFonts w:ascii="宋体" w:hAnsi="宋体"/>
          <w:kern w:val="0"/>
        </w:rPr>
        <w:t>统计过程控制的基本原理；</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2. </w:t>
      </w:r>
      <w:r>
        <w:rPr>
          <w:rFonts w:ascii="宋体" w:hAnsi="宋体"/>
          <w:kern w:val="0"/>
        </w:rPr>
        <w:t>认识产生质量变异的原因；</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3. </w:t>
      </w:r>
      <w:r>
        <w:rPr>
          <w:rFonts w:hint="eastAsia" w:ascii="宋体" w:hAnsi="宋体"/>
          <w:kern w:val="0"/>
        </w:rPr>
        <w:t>领会</w:t>
      </w:r>
      <w:r>
        <w:rPr>
          <w:rFonts w:ascii="宋体" w:hAnsi="宋体"/>
          <w:kern w:val="0"/>
        </w:rPr>
        <w:t>质量数据的采集方法；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4. </w:t>
      </w:r>
      <w:r>
        <w:rPr>
          <w:rFonts w:hint="eastAsia" w:ascii="宋体" w:hAnsi="宋体"/>
          <w:kern w:val="0"/>
        </w:rPr>
        <w:t>了解</w:t>
      </w:r>
      <w:r>
        <w:rPr>
          <w:rFonts w:ascii="宋体" w:hAnsi="宋体"/>
          <w:kern w:val="0"/>
        </w:rPr>
        <w:t>质量控制图的基本原理；</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5. </w:t>
      </w:r>
      <w:r>
        <w:rPr>
          <w:rFonts w:hint="eastAsia" w:ascii="宋体" w:hAnsi="宋体"/>
          <w:kern w:val="0"/>
        </w:rPr>
        <w:t>了解</w:t>
      </w:r>
      <w:r>
        <w:rPr>
          <w:rFonts w:ascii="宋体" w:hAnsi="宋体"/>
          <w:kern w:val="0"/>
        </w:rPr>
        <w:t>质量控制图的绘制方法、掌握质量控制图的观察与分析方法；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6. </w:t>
      </w:r>
      <w:r>
        <w:rPr>
          <w:rFonts w:hint="eastAsia" w:ascii="宋体" w:hAnsi="宋体"/>
          <w:kern w:val="0"/>
        </w:rPr>
        <w:t>领会</w:t>
      </w:r>
      <w:r>
        <w:rPr>
          <w:rFonts w:ascii="宋体" w:hAnsi="宋体"/>
          <w:kern w:val="0"/>
        </w:rPr>
        <w:t>工序能力指数的基本概念及其计算方法、了解工序等级及其工序能力评价标准。</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ascii="宋体" w:hAnsi="宋体"/>
        </w:rPr>
        <w:t>本章节内容支撑课程目标</w:t>
      </w:r>
      <w:r>
        <w:rPr>
          <w:rFonts w:hint="eastAsia"/>
        </w:rPr>
        <w:t xml:space="preserve"> 4</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第七章</w:t>
      </w:r>
      <w:r>
        <w:rPr>
          <w:rFonts w:hint="eastAsia" w:eastAsia="黑体"/>
          <w:kern w:val="0"/>
        </w:rPr>
        <w:t xml:space="preserve"> </w:t>
      </w:r>
      <w:r>
        <w:rPr>
          <w:rFonts w:eastAsia="黑体"/>
          <w:kern w:val="0"/>
        </w:rPr>
        <w:t xml:space="preserve"> </w:t>
      </w:r>
      <w:r>
        <w:rPr>
          <w:rFonts w:ascii="黑体" w:hAnsi="黑体" w:eastAsia="黑体"/>
          <w:kern w:val="0"/>
        </w:rPr>
        <w:t>质量经济性分析与控制</w:t>
      </w:r>
      <w:r>
        <w:rPr>
          <w:rFonts w:hint="eastAsia" w:ascii="黑体" w:hAnsi="黑体" w:eastAsia="黑体"/>
          <w:kern w:val="0"/>
        </w:rPr>
        <w:t>（</w:t>
      </w:r>
      <w:r>
        <w:rPr>
          <w:rFonts w:hint="eastAsia" w:eastAsia="黑体"/>
          <w:kern w:val="0"/>
        </w:rPr>
        <w:t>1</w:t>
      </w:r>
      <w:r>
        <w:rPr>
          <w:rFonts w:hint="eastAsia" w:ascii="黑体" w:hAnsi="黑体" w:eastAsia="黑体"/>
          <w:kern w:val="0"/>
        </w:rPr>
        <w:t>课时）</w:t>
      </w:r>
    </w:p>
    <w:p>
      <w:pPr>
        <w:spacing w:line="360" w:lineRule="auto"/>
        <w:ind w:left="426"/>
        <w:rPr>
          <w:kern w:val="0"/>
        </w:rPr>
      </w:pPr>
      <w:r>
        <w:rPr>
          <w:rFonts w:hint="eastAsia"/>
          <w:kern w:val="0"/>
        </w:rPr>
        <w:t xml:space="preserve">1. </w:t>
      </w:r>
      <w:r>
        <w:rPr>
          <w:rFonts w:hint="eastAsia" w:ascii="宋体" w:hAnsi="宋体"/>
          <w:kern w:val="0"/>
        </w:rPr>
        <w:t>了解</w:t>
      </w:r>
      <w:r>
        <w:rPr>
          <w:rFonts w:ascii="宋体" w:hAnsi="宋体"/>
          <w:kern w:val="0"/>
        </w:rPr>
        <w:t>各项质量成本的相互关系；</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2. </w:t>
      </w:r>
      <w:r>
        <w:rPr>
          <w:rFonts w:hint="eastAsia" w:ascii="宋体" w:hAnsi="宋体"/>
          <w:kern w:val="0"/>
        </w:rPr>
        <w:t>领会</w:t>
      </w:r>
      <w:r>
        <w:rPr>
          <w:rFonts w:ascii="宋体" w:hAnsi="宋体"/>
          <w:kern w:val="0"/>
        </w:rPr>
        <w:t>质量成本科目的设置方法；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3. </w:t>
      </w:r>
      <w:r>
        <w:rPr>
          <w:rFonts w:hint="eastAsia" w:ascii="宋体" w:hAnsi="宋体"/>
          <w:kern w:val="0"/>
        </w:rPr>
        <w:t>了解</w:t>
      </w:r>
      <w:r>
        <w:rPr>
          <w:rFonts w:ascii="宋体" w:hAnsi="宋体"/>
          <w:kern w:val="0"/>
        </w:rPr>
        <w:t>质量成本的核算方法；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4. </w:t>
      </w:r>
      <w:r>
        <w:rPr>
          <w:rFonts w:ascii="宋体" w:hAnsi="宋体"/>
          <w:kern w:val="0"/>
        </w:rPr>
        <w:t>了解质量成本报告的内容；</w:t>
      </w:r>
    </w:p>
    <w:p>
      <w:pPr>
        <w:spacing w:line="360" w:lineRule="auto"/>
        <w:ind w:left="426"/>
        <w:rPr>
          <w:kern w:val="0"/>
        </w:rPr>
      </w:pPr>
      <w:r>
        <w:rPr>
          <w:rFonts w:hint="eastAsia"/>
          <w:kern w:val="0"/>
        </w:rPr>
        <w:t xml:space="preserve">5. </w:t>
      </w:r>
      <w:r>
        <w:rPr>
          <w:rFonts w:hint="eastAsia" w:ascii="宋体" w:hAnsi="宋体"/>
          <w:kern w:val="0"/>
        </w:rPr>
        <w:t>了解</w:t>
      </w:r>
      <w:r>
        <w:rPr>
          <w:rFonts w:ascii="宋体" w:hAnsi="宋体"/>
          <w:kern w:val="0"/>
        </w:rPr>
        <w:t>质量损失函数的内涵；</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6. </w:t>
      </w:r>
      <w:r>
        <w:rPr>
          <w:rFonts w:hint="eastAsia" w:ascii="宋体" w:hAnsi="宋体"/>
          <w:kern w:val="0"/>
        </w:rPr>
        <w:t>领会</w:t>
      </w:r>
      <w:r>
        <w:rPr>
          <w:rFonts w:ascii="宋体" w:hAnsi="宋体"/>
          <w:kern w:val="0"/>
        </w:rPr>
        <w:t>质量成本分析方法；</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7. </w:t>
      </w:r>
      <w:r>
        <w:rPr>
          <w:rFonts w:ascii="宋体" w:hAnsi="宋体"/>
          <w:kern w:val="0"/>
        </w:rPr>
        <w:t>了解质量特性波动及其损失；</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8. </w:t>
      </w:r>
      <w:r>
        <w:rPr>
          <w:rFonts w:ascii="宋体" w:hAnsi="宋体"/>
          <w:kern w:val="0"/>
        </w:rPr>
        <w:t>了解制造公差和使用规则之间的关系；</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kern w:val="0"/>
        </w:rPr>
        <w:t xml:space="preserve">9. </w:t>
      </w:r>
      <w:r>
        <w:rPr>
          <w:rFonts w:hint="eastAsia" w:ascii="宋体" w:hAnsi="宋体"/>
          <w:kern w:val="0"/>
        </w:rPr>
        <w:t>了解</w:t>
      </w:r>
      <w:r>
        <w:rPr>
          <w:rFonts w:ascii="宋体" w:hAnsi="宋体"/>
          <w:kern w:val="0"/>
        </w:rPr>
        <w:t>提高质量经济型的途径。</w:t>
      </w:r>
      <w:r>
        <w:rPr>
          <w:rFonts w:hint="eastAsia" w:ascii="宋体" w:hAnsi="宋体"/>
          <w:kern w:val="0"/>
        </w:rPr>
        <w:t>（重点</w:t>
      </w:r>
      <w:r>
        <w:rPr>
          <w:rFonts w:ascii="宋体" w:hAnsi="宋体"/>
          <w:kern w:val="0"/>
        </w:rPr>
        <w:t>、</w:t>
      </w:r>
      <w:r>
        <w:rPr>
          <w:rFonts w:hint="eastAsia" w:ascii="宋体" w:hAnsi="宋体"/>
          <w:kern w:val="0"/>
        </w:rPr>
        <w:t>难点）</w:t>
      </w:r>
    </w:p>
    <w:p>
      <w:pPr>
        <w:spacing w:line="360" w:lineRule="auto"/>
        <w:ind w:left="426"/>
        <w:rPr>
          <w:kern w:val="0"/>
        </w:rPr>
      </w:pPr>
      <w:r>
        <w:rPr>
          <w:rFonts w:hint="eastAsia" w:ascii="宋体" w:hAnsi="宋体"/>
        </w:rPr>
        <w:t>本章节内容支撑课程目标</w:t>
      </w:r>
      <w:r>
        <w:rPr>
          <w:rFonts w:hint="eastAsia"/>
        </w:rPr>
        <w:t xml:space="preserve"> 5</w:t>
      </w:r>
      <w:r>
        <w:rPr>
          <w:rFonts w:hint="eastAsia" w:ascii="宋体" w:hAnsi="宋体"/>
        </w:rPr>
        <w:t>。</w:t>
      </w:r>
      <w:r>
        <w:rPr>
          <w:kern w:val="0"/>
        </w:rPr>
        <w:t xml:space="preserve"> </w:t>
      </w:r>
    </w:p>
    <w:p>
      <w:pPr>
        <w:adjustRightInd w:val="0"/>
        <w:snapToGrid w:val="0"/>
        <w:spacing w:line="360" w:lineRule="auto"/>
        <w:rPr>
          <w:rFonts w:ascii="黑体" w:hAnsi="黑体" w:eastAsia="黑体"/>
        </w:rPr>
      </w:pPr>
      <w:bookmarkStart w:id="55" w:name="_Toc47290191"/>
      <w:bookmarkStart w:id="56" w:name="_Toc47290299"/>
      <w:bookmarkStart w:id="57" w:name="_Toc47702361"/>
      <w:bookmarkStart w:id="58" w:name="_Toc47290561"/>
      <w:bookmarkStart w:id="59" w:name="_Toc47691164"/>
      <w:bookmarkStart w:id="60" w:name="_Toc47728308"/>
      <w:r>
        <w:rPr>
          <w:rFonts w:hint="eastAsia" w:ascii="黑体" w:hAnsi="黑体" w:eastAsia="黑体"/>
        </w:rPr>
        <w:t>四、</w:t>
      </w:r>
      <w:r>
        <w:rPr>
          <w:rFonts w:ascii="黑体" w:hAnsi="黑体" w:eastAsia="黑体"/>
        </w:rPr>
        <w:t>实验内容</w:t>
      </w:r>
      <w:bookmarkEnd w:id="55"/>
      <w:bookmarkEnd w:id="56"/>
      <w:bookmarkEnd w:id="57"/>
      <w:bookmarkEnd w:id="58"/>
      <w:bookmarkEnd w:id="59"/>
      <w:bookmarkEnd w:id="60"/>
    </w:p>
    <w:p>
      <w:pPr>
        <w:pStyle w:val="45"/>
      </w:pPr>
      <w:bookmarkStart w:id="61" w:name="_Toc47691165"/>
      <w:bookmarkStart w:id="62" w:name="_Toc47290192"/>
      <w:bookmarkStart w:id="63" w:name="_Toc47290562"/>
      <w:bookmarkStart w:id="64" w:name="_Toc47728309"/>
      <w:bookmarkStart w:id="65" w:name="_Toc47290300"/>
      <w:bookmarkStart w:id="66" w:name="_Toc47702362"/>
      <w:r>
        <w:t>无</w:t>
      </w:r>
      <w:bookmarkEnd w:id="61"/>
      <w:bookmarkEnd w:id="62"/>
      <w:bookmarkEnd w:id="63"/>
      <w:bookmarkEnd w:id="64"/>
      <w:bookmarkEnd w:id="65"/>
      <w:bookmarkEnd w:id="66"/>
    </w:p>
    <w:p>
      <w:pPr>
        <w:pStyle w:val="45"/>
      </w:pPr>
      <w:r>
        <w:t xml:space="preserve"> </w:t>
      </w:r>
    </w:p>
    <w:p>
      <w:pPr>
        <w:adjustRightInd w:val="0"/>
        <w:snapToGrid w:val="0"/>
        <w:spacing w:line="360" w:lineRule="auto"/>
        <w:rPr>
          <w:rFonts w:ascii="黑体" w:hAnsi="黑体" w:eastAsia="黑体"/>
        </w:rPr>
      </w:pPr>
      <w:bookmarkStart w:id="67" w:name="_Toc47691166"/>
      <w:bookmarkStart w:id="68" w:name="_Toc47728310"/>
      <w:bookmarkStart w:id="69" w:name="_Toc47290193"/>
      <w:bookmarkStart w:id="70" w:name="_Toc47290301"/>
      <w:bookmarkStart w:id="71" w:name="_Toc47702363"/>
      <w:bookmarkStart w:id="72" w:name="_Toc47290563"/>
      <w:r>
        <w:rPr>
          <w:rFonts w:hint="eastAsia" w:ascii="黑体" w:hAnsi="黑体" w:eastAsia="黑体"/>
        </w:rPr>
        <w:t>五</w:t>
      </w:r>
      <w:r>
        <w:rPr>
          <w:rFonts w:ascii="黑体" w:hAnsi="黑体" w:eastAsia="黑体"/>
        </w:rPr>
        <w:t>、学时分配</w:t>
      </w:r>
      <w:bookmarkEnd w:id="67"/>
      <w:bookmarkEnd w:id="68"/>
      <w:bookmarkEnd w:id="69"/>
      <w:bookmarkEnd w:id="70"/>
      <w:bookmarkEnd w:id="71"/>
      <w:bookmarkEnd w:id="72"/>
    </w:p>
    <w:tbl>
      <w:tblPr>
        <w:tblStyle w:val="22"/>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1"/>
        <w:gridCol w:w="1222"/>
        <w:gridCol w:w="1222"/>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知识点及内容</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讲授（学时）</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实验（学时）</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第一章  </w:t>
            </w:r>
            <w:r>
              <w:rPr>
                <w:sz w:val="18"/>
                <w:szCs w:val="18"/>
              </w:rPr>
              <w:t>质量工程概述</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1</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第二章  </w:t>
            </w:r>
            <w:r>
              <w:rPr>
                <w:sz w:val="18"/>
                <w:szCs w:val="18"/>
              </w:rPr>
              <w:t>全面质量管理</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第三章  </w:t>
            </w:r>
            <w:r>
              <w:rPr>
                <w:sz w:val="18"/>
                <w:szCs w:val="18"/>
              </w:rPr>
              <w:t>ISO 9000</w:t>
            </w:r>
            <w:r>
              <w:rPr>
                <w:rFonts w:ascii="宋体" w:hAnsi="宋体"/>
                <w:sz w:val="18"/>
                <w:szCs w:val="18"/>
              </w:rPr>
              <w:t>质量管理体系</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1</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第四章  </w:t>
            </w:r>
            <w:r>
              <w:rPr>
                <w:sz w:val="18"/>
                <w:szCs w:val="18"/>
              </w:rPr>
              <w:t>质量检验理论与方法</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3</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第五章  </w:t>
            </w:r>
            <w:r>
              <w:rPr>
                <w:sz w:val="18"/>
                <w:szCs w:val="18"/>
              </w:rPr>
              <w:t>面向质量的设计</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4</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第六章  </w:t>
            </w:r>
            <w:r>
              <w:rPr>
                <w:sz w:val="18"/>
                <w:szCs w:val="18"/>
              </w:rPr>
              <w:t>制造过程质量控制</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4</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sz w:val="18"/>
                <w:szCs w:val="18"/>
              </w:rPr>
            </w:pPr>
            <w:r>
              <w:rPr>
                <w:rFonts w:hint="eastAsia"/>
                <w:sz w:val="18"/>
                <w:szCs w:val="18"/>
              </w:rPr>
              <w:t xml:space="preserve">第七章  </w:t>
            </w:r>
            <w:r>
              <w:rPr>
                <w:sz w:val="18"/>
                <w:szCs w:val="18"/>
              </w:rPr>
              <w:t>质量经济性分析与控制</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1</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1" w:type="dxa"/>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合  计</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16</w:t>
            </w:r>
          </w:p>
        </w:tc>
        <w:tc>
          <w:tcPr>
            <w:tcW w:w="12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1163"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16</w:t>
            </w:r>
          </w:p>
        </w:tc>
      </w:tr>
    </w:tbl>
    <w:p>
      <w:pPr>
        <w:spacing w:line="360" w:lineRule="auto"/>
        <w:rPr>
          <w:rFonts w:ascii="黑体" w:hAnsi="黑体" w:eastAsia="黑体"/>
        </w:rPr>
      </w:pPr>
      <w:r>
        <w:rPr>
          <w:b/>
          <w:bCs/>
          <w:sz w:val="24"/>
          <w:szCs w:val="24"/>
        </w:rPr>
        <w:t xml:space="preserve"> </w:t>
      </w:r>
      <w:bookmarkStart w:id="73" w:name="_Toc47290194"/>
      <w:bookmarkStart w:id="74" w:name="_Toc47290302"/>
      <w:bookmarkStart w:id="75" w:name="_Toc47290564"/>
      <w:bookmarkStart w:id="76" w:name="_Toc47702364"/>
      <w:bookmarkStart w:id="77" w:name="_Toc47691167"/>
      <w:bookmarkStart w:id="78" w:name="_Toc47728311"/>
      <w:r>
        <w:rPr>
          <w:rFonts w:hint="eastAsia" w:ascii="黑体" w:hAnsi="黑体" w:eastAsia="黑体"/>
        </w:rPr>
        <w:t>六</w:t>
      </w:r>
      <w:r>
        <w:rPr>
          <w:rFonts w:ascii="黑体" w:hAnsi="黑体" w:eastAsia="黑体"/>
        </w:rPr>
        <w:t>、教材、补充教材及参考资料</w:t>
      </w:r>
      <w:bookmarkEnd w:id="73"/>
      <w:bookmarkEnd w:id="74"/>
      <w:bookmarkEnd w:id="75"/>
      <w:bookmarkEnd w:id="76"/>
      <w:bookmarkEnd w:id="77"/>
      <w:bookmarkEnd w:id="78"/>
    </w:p>
    <w:p>
      <w:pPr>
        <w:adjustRightInd w:val="0"/>
        <w:snapToGrid w:val="0"/>
        <w:spacing w:line="360" w:lineRule="auto"/>
        <w:ind w:firstLine="315" w:firstLineChars="150"/>
        <w:rPr>
          <w:shd w:val="clear" w:color="auto" w:fill="FFFFFF"/>
        </w:rPr>
      </w:pPr>
      <w:r>
        <w:rPr>
          <w:shd w:val="clear" w:color="auto" w:fill="FFFFFF"/>
        </w:rPr>
        <w:t>1</w:t>
      </w:r>
      <w:r>
        <w:rPr>
          <w:rFonts w:hint="eastAsia"/>
          <w:shd w:val="clear" w:color="auto" w:fill="FFFFFF"/>
        </w:rPr>
        <w:t xml:space="preserve">. </w:t>
      </w:r>
      <w:r>
        <w:rPr>
          <w:rFonts w:ascii="宋体" w:hAnsi="宋体"/>
          <w:shd w:val="clear" w:color="auto" w:fill="FFFFFF"/>
        </w:rPr>
        <w:t>侯世旺</w:t>
      </w:r>
      <w:r>
        <w:rPr>
          <w:shd w:val="clear" w:color="auto" w:fill="FFFFFF"/>
        </w:rPr>
        <w:t>,</w:t>
      </w:r>
      <w:r>
        <w:rPr>
          <w:rFonts w:ascii="宋体" w:hAnsi="宋体"/>
          <w:shd w:val="clear" w:color="auto" w:fill="FFFFFF"/>
        </w:rPr>
        <w:t>李梦群</w:t>
      </w:r>
      <w:r>
        <w:rPr>
          <w:shd w:val="clear" w:color="auto" w:fill="FFFFFF"/>
        </w:rPr>
        <w:t>.</w:t>
      </w:r>
      <w:r>
        <w:rPr>
          <w:rFonts w:ascii="宋体" w:hAnsi="宋体"/>
        </w:rPr>
        <w:t>质量管理与可靠性</w:t>
      </w:r>
      <w:r>
        <w:t>.</w:t>
      </w:r>
      <w:r>
        <w:rPr>
          <w:rFonts w:ascii="宋体" w:hAnsi="宋体"/>
        </w:rPr>
        <w:t>北京</w:t>
      </w:r>
      <w:r>
        <w:t>:</w:t>
      </w:r>
      <w:r>
        <w:rPr>
          <w:rFonts w:ascii="宋体" w:hAnsi="宋体"/>
          <w:shd w:val="clear" w:color="auto" w:fill="FFFFFF"/>
        </w:rPr>
        <w:t>国防工业出版社，</w:t>
      </w:r>
      <w:r>
        <w:rPr>
          <w:shd w:val="clear" w:color="auto" w:fill="FFFFFF"/>
        </w:rPr>
        <w:t>2015.8</w:t>
      </w:r>
      <w:r>
        <w:rPr>
          <w:rFonts w:ascii="宋体" w:hAnsi="宋体"/>
          <w:shd w:val="clear" w:color="auto" w:fill="FFFFFF"/>
        </w:rPr>
        <w:t>。</w:t>
      </w:r>
    </w:p>
    <w:p>
      <w:pPr>
        <w:adjustRightInd w:val="0"/>
        <w:snapToGrid w:val="0"/>
        <w:spacing w:line="360" w:lineRule="auto"/>
        <w:ind w:firstLine="315" w:firstLineChars="150"/>
        <w:rPr>
          <w:shd w:val="clear" w:color="auto" w:fill="FFFFFF"/>
        </w:rPr>
      </w:pPr>
      <w:r>
        <w:rPr>
          <w:shd w:val="clear" w:color="auto" w:fill="FFFFFF"/>
        </w:rPr>
        <w:t>2</w:t>
      </w:r>
      <w:r>
        <w:rPr>
          <w:rFonts w:hint="eastAsia"/>
          <w:shd w:val="clear" w:color="auto" w:fill="FFFFFF"/>
        </w:rPr>
        <w:t xml:space="preserve">. </w:t>
      </w:r>
      <w:r>
        <w:rPr>
          <w:rFonts w:ascii="宋体" w:hAnsi="宋体"/>
          <w:shd w:val="clear" w:color="auto" w:fill="FFFFFF"/>
        </w:rPr>
        <w:t>张根宝</w:t>
      </w:r>
      <w:r>
        <w:rPr>
          <w:shd w:val="clear" w:color="auto" w:fill="FFFFFF"/>
        </w:rPr>
        <w:t>.</w:t>
      </w:r>
      <w:r>
        <w:t xml:space="preserve"> </w:t>
      </w:r>
      <w:r>
        <w:rPr>
          <w:rFonts w:ascii="宋体" w:hAnsi="宋体"/>
        </w:rPr>
        <w:t>现代质量工程</w:t>
      </w:r>
      <w:r>
        <w:t xml:space="preserve"> </w:t>
      </w:r>
      <w:r>
        <w:rPr>
          <w:rFonts w:ascii="宋体" w:hAnsi="宋体"/>
        </w:rPr>
        <w:t>第</w:t>
      </w:r>
      <w:r>
        <w:t>3</w:t>
      </w:r>
      <w:r>
        <w:rPr>
          <w:rFonts w:ascii="宋体" w:hAnsi="宋体"/>
        </w:rPr>
        <w:t>版</w:t>
      </w:r>
      <w:r>
        <w:t xml:space="preserve">. </w:t>
      </w:r>
      <w:r>
        <w:rPr>
          <w:rFonts w:ascii="宋体" w:hAnsi="宋体"/>
        </w:rPr>
        <w:t>北京</w:t>
      </w:r>
      <w:r>
        <w:t>:</w:t>
      </w:r>
      <w:r>
        <w:rPr>
          <w:rFonts w:ascii="宋体" w:hAnsi="宋体"/>
        </w:rPr>
        <w:t>机械工业出版社</w:t>
      </w:r>
      <w:r>
        <w:rPr>
          <w:rFonts w:ascii="宋体" w:hAnsi="宋体"/>
          <w:shd w:val="clear" w:color="auto" w:fill="FFFFFF"/>
        </w:rPr>
        <w:t>，</w:t>
      </w:r>
      <w:r>
        <w:rPr>
          <w:shd w:val="clear" w:color="auto" w:fill="FFFFFF"/>
        </w:rPr>
        <w:t>2015.7</w:t>
      </w:r>
      <w:r>
        <w:rPr>
          <w:rFonts w:ascii="宋体" w:hAnsi="宋体"/>
          <w:shd w:val="clear" w:color="auto" w:fill="FFFFFF"/>
        </w:rPr>
        <w:t>。</w:t>
      </w:r>
    </w:p>
    <w:p>
      <w:pPr>
        <w:adjustRightInd w:val="0"/>
        <w:snapToGrid w:val="0"/>
        <w:spacing w:line="360" w:lineRule="auto"/>
        <w:ind w:firstLine="315" w:firstLineChars="150"/>
        <w:rPr>
          <w:shd w:val="clear" w:color="auto" w:fill="FFFFFF"/>
        </w:rPr>
      </w:pPr>
      <w:r>
        <w:rPr>
          <w:shd w:val="clear" w:color="auto" w:fill="FFFFFF"/>
        </w:rPr>
        <w:t>3</w:t>
      </w:r>
      <w:r>
        <w:rPr>
          <w:rFonts w:hint="eastAsia"/>
          <w:shd w:val="clear" w:color="auto" w:fill="FFFFFF"/>
        </w:rPr>
        <w:t xml:space="preserve">. </w:t>
      </w:r>
      <w:r>
        <w:rPr>
          <w:rFonts w:ascii="宋体" w:hAnsi="宋体"/>
          <w:shd w:val="clear" w:color="auto" w:fill="FFFFFF"/>
        </w:rPr>
        <w:t>洪生伟</w:t>
      </w:r>
      <w:r>
        <w:rPr>
          <w:shd w:val="clear" w:color="auto" w:fill="FFFFFF"/>
        </w:rPr>
        <w:t>.</w:t>
      </w:r>
      <w:r>
        <w:t xml:space="preserve"> </w:t>
      </w:r>
      <w:r>
        <w:rPr>
          <w:rFonts w:ascii="宋体" w:hAnsi="宋体"/>
        </w:rPr>
        <w:t>质量工程导论</w:t>
      </w:r>
      <w:r>
        <w:t xml:space="preserve">. </w:t>
      </w:r>
      <w:r>
        <w:rPr>
          <w:rFonts w:ascii="宋体" w:hAnsi="宋体"/>
        </w:rPr>
        <w:t>北京</w:t>
      </w:r>
      <w:r>
        <w:t xml:space="preserve">: </w:t>
      </w:r>
      <w:r>
        <w:rPr>
          <w:rFonts w:ascii="宋体" w:hAnsi="宋体"/>
        </w:rPr>
        <w:t>中国计量出版社</w:t>
      </w:r>
      <w:r>
        <w:rPr>
          <w:rFonts w:ascii="宋体" w:hAnsi="宋体"/>
          <w:shd w:val="clear" w:color="auto" w:fill="FFFFFF"/>
        </w:rPr>
        <w:t>，</w:t>
      </w:r>
      <w:r>
        <w:rPr>
          <w:shd w:val="clear" w:color="auto" w:fill="FFFFFF"/>
        </w:rPr>
        <w:t>2006.10</w:t>
      </w:r>
      <w:r>
        <w:rPr>
          <w:rFonts w:ascii="宋体" w:hAnsi="宋体"/>
          <w:shd w:val="clear" w:color="auto" w:fill="FFFFFF"/>
        </w:rPr>
        <w:t>。</w:t>
      </w:r>
    </w:p>
    <w:p>
      <w:pPr>
        <w:adjustRightInd w:val="0"/>
        <w:snapToGrid w:val="0"/>
        <w:spacing w:line="360" w:lineRule="auto"/>
        <w:rPr>
          <w:rFonts w:ascii="黑体" w:hAnsi="黑体" w:eastAsia="黑体"/>
        </w:rPr>
      </w:pPr>
      <w:r>
        <w:rPr>
          <w:rFonts w:ascii="黑体" w:hAnsi="黑体" w:eastAsia="黑体"/>
        </w:rPr>
        <w:t xml:space="preserve"> </w:t>
      </w:r>
    </w:p>
    <w:p>
      <w:pPr>
        <w:adjustRightInd w:val="0"/>
        <w:snapToGrid w:val="0"/>
        <w:spacing w:line="360" w:lineRule="auto"/>
        <w:rPr>
          <w:rFonts w:ascii="黑体" w:hAnsi="黑体" w:eastAsia="黑体"/>
        </w:rPr>
      </w:pPr>
      <w:bookmarkStart w:id="79" w:name="_Toc47290565"/>
      <w:bookmarkStart w:id="80" w:name="_Toc47290195"/>
      <w:bookmarkStart w:id="81" w:name="_Toc47728312"/>
      <w:bookmarkStart w:id="82" w:name="_Toc47702365"/>
      <w:bookmarkStart w:id="83" w:name="_Toc47290303"/>
      <w:bookmarkStart w:id="84" w:name="_Toc47691168"/>
      <w:r>
        <w:rPr>
          <w:rFonts w:hint="eastAsia" w:ascii="黑体" w:hAnsi="黑体" w:eastAsia="黑体"/>
        </w:rPr>
        <w:t>七</w:t>
      </w:r>
      <w:r>
        <w:rPr>
          <w:rFonts w:ascii="黑体" w:hAnsi="黑体" w:eastAsia="黑体"/>
        </w:rPr>
        <w:t>、课程目标达成评价的途径和措施</w:t>
      </w:r>
      <w:bookmarkEnd w:id="79"/>
      <w:bookmarkEnd w:id="80"/>
      <w:bookmarkEnd w:id="81"/>
      <w:bookmarkEnd w:id="82"/>
      <w:bookmarkEnd w:id="83"/>
      <w:bookmarkEnd w:id="84"/>
    </w:p>
    <w:p>
      <w:pPr>
        <w:spacing w:line="360" w:lineRule="auto"/>
        <w:ind w:firstLine="420" w:firstLineChars="200"/>
      </w:pPr>
      <w:r>
        <w:rPr>
          <w:rFonts w:hint="eastAsia"/>
        </w:rPr>
        <w:t>1</w:t>
      </w:r>
      <w:r>
        <w:rPr>
          <w:rFonts w:ascii="宋体" w:hAnsi="宋体"/>
        </w:rPr>
        <w:t>、考核方式：考试、课外综合实验、实验、作业及课堂提问</w:t>
      </w:r>
      <w:r>
        <w:t xml:space="preserve"> </w:t>
      </w:r>
    </w:p>
    <w:p>
      <w:pPr>
        <w:spacing w:line="360" w:lineRule="auto"/>
        <w:ind w:firstLine="420"/>
        <w:jc w:val="left"/>
      </w:pPr>
      <w:r>
        <w:rPr>
          <w:rFonts w:hint="eastAsia"/>
        </w:rPr>
        <w:t>2</w:t>
      </w:r>
      <w:r>
        <w:rPr>
          <w:rFonts w:ascii="宋体" w:hAnsi="宋体"/>
        </w:rPr>
        <w:t>、成绩构成：</w:t>
      </w:r>
      <w:r>
        <w:t xml:space="preserve"> </w:t>
      </w:r>
    </w:p>
    <w:p>
      <w:pPr>
        <w:spacing w:line="360" w:lineRule="auto"/>
        <w:ind w:firstLine="420" w:firstLineChars="200"/>
      </w:pPr>
      <w:r>
        <w:rPr>
          <w:rFonts w:hint="eastAsia" w:ascii="宋体" w:hAnsi="宋体"/>
        </w:rPr>
        <w:t>本课程通过</w:t>
      </w:r>
      <w:r>
        <w:rPr>
          <w:rFonts w:hint="eastAsia"/>
        </w:rPr>
        <w:t>“平时成绩”和“期末考试”两种方式对课程目标达成进行评价，考核成绩计算如下（本大纲中成绩均采用百分制）：</w:t>
      </w:r>
    </w:p>
    <w:p>
      <w:pPr>
        <w:spacing w:line="360" w:lineRule="auto"/>
        <w:jc w:val="center"/>
        <w:rPr>
          <w:sz w:val="18"/>
          <w:szCs w:val="18"/>
        </w:rPr>
      </w:pPr>
      <w:r>
        <w:rPr>
          <w:rFonts w:hint="eastAsia" w:ascii="宋体" w:hAnsi="宋体"/>
          <w:sz w:val="18"/>
          <w:szCs w:val="18"/>
        </w:rPr>
        <w:t>各环节成绩评定占比</w:t>
      </w:r>
      <w:r>
        <w:rPr>
          <w:rFonts w:hint="eastAsia"/>
          <w:sz w:val="18"/>
          <w:szCs w:val="18"/>
        </w:rPr>
        <w:t>%</w:t>
      </w: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010"/>
        <w:gridCol w:w="2253"/>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1"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课堂提问（平时）</w:t>
            </w:r>
          </w:p>
        </w:tc>
        <w:tc>
          <w:tcPr>
            <w:tcW w:w="2010"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2253"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课外综合实验作业（平时）</w:t>
            </w:r>
          </w:p>
        </w:tc>
        <w:tc>
          <w:tcPr>
            <w:tcW w:w="2134"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31"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w:t>
            </w:r>
          </w:p>
        </w:tc>
        <w:tc>
          <w:tcPr>
            <w:tcW w:w="2010"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20</w:t>
            </w:r>
          </w:p>
        </w:tc>
        <w:tc>
          <w:tcPr>
            <w:tcW w:w="2253"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30</w:t>
            </w:r>
          </w:p>
        </w:tc>
        <w:tc>
          <w:tcPr>
            <w:tcW w:w="2134"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40</w:t>
            </w:r>
          </w:p>
        </w:tc>
      </w:tr>
    </w:tbl>
    <w:p>
      <w:pPr>
        <w:spacing w:line="360" w:lineRule="auto"/>
        <w:rPr>
          <w:szCs w:val="21"/>
        </w:rPr>
      </w:pPr>
      <w:r>
        <w:rPr>
          <w:rFonts w:hint="eastAsia"/>
        </w:rPr>
        <w:t xml:space="preserve"> </w:t>
      </w:r>
    </w:p>
    <w:p>
      <w:pPr>
        <w:spacing w:line="360" w:lineRule="auto"/>
        <w:ind w:firstLine="420" w:firstLineChars="200"/>
        <w:rPr>
          <w:b/>
          <w:bCs/>
        </w:rPr>
      </w:pPr>
      <w:r>
        <w:rPr>
          <w:rFonts w:hint="eastAsia" w:ascii="宋体" w:hAnsi="宋体"/>
        </w:rPr>
        <w:t>指导性课程目标评价题目分数分配：</w:t>
      </w:r>
    </w:p>
    <w:tbl>
      <w:tblPr>
        <w:tblStyle w:val="22"/>
        <w:tblW w:w="8528" w:type="dxa"/>
        <w:jc w:val="center"/>
        <w:tblLayout w:type="fixed"/>
        <w:tblCellMar>
          <w:top w:w="0" w:type="dxa"/>
          <w:left w:w="108" w:type="dxa"/>
          <w:bottom w:w="0" w:type="dxa"/>
          <w:right w:w="108" w:type="dxa"/>
        </w:tblCellMar>
      </w:tblPr>
      <w:tblGrid>
        <w:gridCol w:w="1536"/>
        <w:gridCol w:w="1792"/>
        <w:gridCol w:w="1487"/>
        <w:gridCol w:w="2317"/>
        <w:gridCol w:w="1396"/>
      </w:tblGrid>
      <w:tr>
        <w:tblPrEx>
          <w:tblCellMar>
            <w:top w:w="0" w:type="dxa"/>
            <w:left w:w="108" w:type="dxa"/>
            <w:bottom w:w="0" w:type="dxa"/>
            <w:right w:w="108" w:type="dxa"/>
          </w:tblCellMar>
        </w:tblPrEx>
        <w:trPr>
          <w:trHeight w:val="785" w:hRule="atLeast"/>
          <w:jc w:val="center"/>
        </w:trPr>
        <w:tc>
          <w:tcPr>
            <w:tcW w:w="1536"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课程目标</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课堂提问（平时）</w:t>
            </w:r>
          </w:p>
          <w:p>
            <w:pPr>
              <w:jc w:val="center"/>
              <w:rPr>
                <w:sz w:val="18"/>
                <w:szCs w:val="18"/>
              </w:rPr>
            </w:pPr>
            <w:r>
              <w:rPr>
                <w:rFonts w:hint="eastAsia"/>
                <w:sz w:val="18"/>
                <w:szCs w:val="18"/>
              </w:rPr>
              <w:t>W1</w:t>
            </w:r>
            <w:r>
              <w:rPr>
                <w:rFonts w:hint="eastAsia"/>
                <w:sz w:val="18"/>
                <w:szCs w:val="18"/>
                <w:vertAlign w:val="subscript"/>
              </w:rPr>
              <w:t>i</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rFonts w:hint="eastAsia"/>
                <w:sz w:val="18"/>
                <w:szCs w:val="18"/>
              </w:rPr>
              <w:t>W2</w:t>
            </w:r>
            <w:r>
              <w:rPr>
                <w:rFonts w:hint="eastAsia"/>
                <w:sz w:val="18"/>
                <w:szCs w:val="18"/>
                <w:vertAlign w:val="subscript"/>
              </w:rPr>
              <w:t>i</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课外综合实验作业（平时）</w:t>
            </w:r>
          </w:p>
          <w:p>
            <w:pPr>
              <w:jc w:val="center"/>
              <w:rPr>
                <w:sz w:val="18"/>
                <w:szCs w:val="18"/>
              </w:rPr>
            </w:pPr>
            <w:r>
              <w:rPr>
                <w:rFonts w:hint="eastAsia"/>
                <w:sz w:val="18"/>
                <w:szCs w:val="18"/>
              </w:rPr>
              <w:t>W3</w:t>
            </w:r>
            <w:r>
              <w:rPr>
                <w:rFonts w:hint="eastAsia"/>
                <w:sz w:val="18"/>
                <w:szCs w:val="18"/>
                <w:vertAlign w:val="subscript"/>
              </w:rPr>
              <w:t>i</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trHeight w:val="476" w:hRule="atLeast"/>
          <w:jc w:val="center"/>
        </w:trPr>
        <w:tc>
          <w:tcPr>
            <w:tcW w:w="1536" w:type="dxa"/>
            <w:tcBorders>
              <w:top w:val="nil"/>
              <w:left w:val="nil"/>
              <w:bottom w:val="single" w:color="auto" w:sz="4" w:space="0"/>
              <w:right w:val="single" w:color="auto" w:sz="4" w:space="0"/>
            </w:tcBorders>
            <w:vAlign w:val="center"/>
          </w:tcPr>
          <w:p>
            <w:pPr>
              <w:jc w:val="center"/>
              <w:rPr>
                <w:sz w:val="18"/>
                <w:szCs w:val="18"/>
              </w:rPr>
            </w:pPr>
            <w:r>
              <w:rPr>
                <w:sz w:val="18"/>
                <w:szCs w:val="18"/>
              </w:rPr>
              <w:t>1</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10-20</w:t>
            </w:r>
          </w:p>
        </w:tc>
      </w:tr>
      <w:tr>
        <w:tblPrEx>
          <w:tblCellMar>
            <w:top w:w="0" w:type="dxa"/>
            <w:left w:w="108" w:type="dxa"/>
            <w:bottom w:w="0" w:type="dxa"/>
            <w:right w:w="108" w:type="dxa"/>
          </w:tblCellMar>
        </w:tblPrEx>
        <w:trPr>
          <w:trHeight w:val="476" w:hRule="atLeast"/>
          <w:jc w:val="center"/>
        </w:trPr>
        <w:tc>
          <w:tcPr>
            <w:tcW w:w="1536" w:type="dxa"/>
            <w:tcBorders>
              <w:top w:val="nil"/>
              <w:left w:val="nil"/>
              <w:bottom w:val="single" w:color="auto" w:sz="4" w:space="0"/>
              <w:right w:val="single" w:color="auto" w:sz="4" w:space="0"/>
            </w:tcBorders>
            <w:vAlign w:val="center"/>
          </w:tcPr>
          <w:p>
            <w:pPr>
              <w:jc w:val="center"/>
              <w:rPr>
                <w:sz w:val="18"/>
                <w:szCs w:val="18"/>
              </w:rPr>
            </w:pPr>
            <w:r>
              <w:rPr>
                <w:sz w:val="18"/>
                <w:szCs w:val="18"/>
              </w:rPr>
              <w:t>2</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10-20</w:t>
            </w:r>
          </w:p>
        </w:tc>
      </w:tr>
      <w:tr>
        <w:tblPrEx>
          <w:tblCellMar>
            <w:top w:w="0" w:type="dxa"/>
            <w:left w:w="108" w:type="dxa"/>
            <w:bottom w:w="0" w:type="dxa"/>
            <w:right w:w="108" w:type="dxa"/>
          </w:tblCellMar>
        </w:tblPrEx>
        <w:trPr>
          <w:trHeight w:val="476" w:hRule="atLeast"/>
          <w:jc w:val="center"/>
        </w:trPr>
        <w:tc>
          <w:tcPr>
            <w:tcW w:w="1536"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30-40</w:t>
            </w:r>
          </w:p>
        </w:tc>
      </w:tr>
      <w:tr>
        <w:tblPrEx>
          <w:tblCellMar>
            <w:top w:w="0" w:type="dxa"/>
            <w:left w:w="108" w:type="dxa"/>
            <w:bottom w:w="0" w:type="dxa"/>
            <w:right w:w="108" w:type="dxa"/>
          </w:tblCellMar>
        </w:tblPrEx>
        <w:trPr>
          <w:trHeight w:val="476" w:hRule="atLeast"/>
          <w:jc w:val="center"/>
        </w:trPr>
        <w:tc>
          <w:tcPr>
            <w:tcW w:w="1536"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4</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30-40</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30-40</w:t>
            </w:r>
          </w:p>
        </w:tc>
      </w:tr>
      <w:tr>
        <w:tblPrEx>
          <w:tblCellMar>
            <w:top w:w="0" w:type="dxa"/>
            <w:left w:w="108" w:type="dxa"/>
            <w:bottom w:w="0" w:type="dxa"/>
            <w:right w:w="108" w:type="dxa"/>
          </w:tblCellMar>
        </w:tblPrEx>
        <w:trPr>
          <w:trHeight w:val="476" w:hRule="atLeast"/>
          <w:jc w:val="center"/>
        </w:trPr>
        <w:tc>
          <w:tcPr>
            <w:tcW w:w="1536"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5</w:t>
            </w:r>
          </w:p>
        </w:tc>
        <w:tc>
          <w:tcPr>
            <w:tcW w:w="1792"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48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2317"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10-20</w:t>
            </w:r>
          </w:p>
        </w:tc>
        <w:tc>
          <w:tcPr>
            <w:tcW w:w="1396"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10-20</w:t>
            </w:r>
          </w:p>
        </w:tc>
      </w:tr>
    </w:tbl>
    <w:p>
      <w:pPr>
        <w:pStyle w:val="45"/>
        <w:rPr>
          <w:szCs w:val="21"/>
        </w:rPr>
      </w:pPr>
      <w:r>
        <w:t xml:space="preserve"> </w:t>
      </w:r>
    </w:p>
    <w:p>
      <w:pPr>
        <w:spacing w:line="360" w:lineRule="auto"/>
        <w:ind w:firstLine="420" w:firstLineChars="200"/>
      </w:pPr>
      <w:r>
        <w:rPr>
          <w:rFonts w:hint="eastAsia" w:ascii="宋体" w:hAnsi="宋体"/>
        </w:rPr>
        <w:t>分目标达成值由每个部分对应的实际得分与题目总分数相比后，各环节加权求和得到。</w:t>
      </w:r>
    </w:p>
    <w:p>
      <w:pPr>
        <w:spacing w:line="360" w:lineRule="auto"/>
        <w:ind w:firstLine="420" w:firstLineChars="200"/>
      </w:pPr>
      <w:r>
        <w:rPr>
          <w:rFonts w:hint="eastAsia" w:ascii="宋体" w:hAnsi="宋体"/>
        </w:rPr>
        <w:t>总课程目标达成值由每个环节的总平均分，按照各环节加权求和得到。</w:t>
      </w:r>
    </w:p>
    <w:p>
      <w:pPr>
        <w:spacing w:line="360" w:lineRule="auto"/>
        <w:ind w:firstLine="420" w:firstLineChars="200"/>
        <w:rPr>
          <w:rFonts w:ascii="宋体" w:hAnsi="宋体"/>
        </w:rPr>
      </w:pPr>
      <w:r>
        <w:rPr>
          <w:rFonts w:hint="eastAsia" w:ascii="宋体" w:hAnsi="宋体"/>
        </w:rPr>
        <w:t>各环节的评价标准参见课程成绩分析报告。</w:t>
      </w:r>
    </w:p>
    <w:p>
      <w:pPr>
        <w:rPr>
          <w:rFonts w:ascii="宋体" w:hAnsi="宋体"/>
        </w:rPr>
      </w:pPr>
      <w:r>
        <w:rPr>
          <w:rFonts w:ascii="宋体" w:hAnsi="宋体"/>
        </w:rPr>
        <w:br w:type="page"/>
      </w:r>
    </w:p>
    <w:p>
      <w:pPr>
        <w:pStyle w:val="20"/>
        <w:spacing w:before="312" w:after="468"/>
        <w:rPr>
          <w:rFonts w:ascii="Times New Roman" w:hAnsi="Times New Roman"/>
        </w:rPr>
      </w:pPr>
      <w:bookmarkStart w:id="85" w:name="_Toc24664"/>
      <w:r>
        <w:rPr>
          <w:rFonts w:ascii="Times New Roman" w:hAnsi="Times New Roman"/>
        </w:rPr>
        <w:t>《X02020005-工程制图基础B》教学大纲</w:t>
      </w:r>
      <w:bookmarkEnd w:id="85"/>
    </w:p>
    <w:p>
      <w:pPr>
        <w:spacing w:line="360" w:lineRule="auto"/>
        <w:rPr>
          <w:rFonts w:eastAsia="黑体"/>
          <w:szCs w:val="21"/>
        </w:rPr>
      </w:pPr>
      <w:r>
        <w:rPr>
          <w:rFonts w:hint="eastAsia" w:eastAsia="黑体"/>
          <w:szCs w:val="21"/>
        </w:rPr>
        <w:t xml:space="preserve">   </w:t>
      </w:r>
      <w:r>
        <w:rPr>
          <w:rFonts w:eastAsia="黑体"/>
          <w:szCs w:val="21"/>
        </w:rPr>
        <w:t>课程编号：</w:t>
      </w:r>
      <w:r>
        <w:rPr>
          <w:kern w:val="0"/>
          <w:szCs w:val="21"/>
        </w:rPr>
        <w:t>X02020005</w:t>
      </w:r>
    </w:p>
    <w:p>
      <w:pPr>
        <w:spacing w:line="360" w:lineRule="auto"/>
        <w:rPr>
          <w:rFonts w:eastAsia="黑体"/>
          <w:szCs w:val="21"/>
        </w:rPr>
      </w:pPr>
      <w:r>
        <w:rPr>
          <w:rFonts w:eastAsia="黑体"/>
          <w:szCs w:val="21"/>
        </w:rPr>
        <w:t xml:space="preserve">   课程名称：</w:t>
      </w:r>
      <w:r>
        <w:rPr>
          <w:rFonts w:hint="eastAsia" w:ascii="宋体" w:hAnsi="宋体"/>
          <w:szCs w:val="21"/>
        </w:rPr>
        <w:t xml:space="preserve">工程制图基础B                    </w:t>
      </w:r>
      <w:r>
        <w:rPr>
          <w:rFonts w:eastAsia="黑体"/>
          <w:szCs w:val="21"/>
        </w:rPr>
        <w:t>开课单位：</w:t>
      </w:r>
      <w:r>
        <w:rPr>
          <w:rFonts w:hint="eastAsia" w:hAnsi="宋体"/>
          <w:szCs w:val="21"/>
        </w:rPr>
        <w:t>机械工程学院</w:t>
      </w:r>
    </w:p>
    <w:p>
      <w:pPr>
        <w:spacing w:line="360" w:lineRule="auto"/>
        <w:rPr>
          <w:rFonts w:eastAsia="黑体"/>
          <w:szCs w:val="21"/>
        </w:rPr>
      </w:pPr>
      <w:r>
        <w:rPr>
          <w:rFonts w:eastAsia="黑体"/>
          <w:szCs w:val="21"/>
        </w:rPr>
        <w:t xml:space="preserve">   </w:t>
      </w:r>
      <w:r>
        <w:rPr>
          <w:rFonts w:eastAsia="黑体"/>
          <w:spacing w:val="60"/>
          <w:szCs w:val="21"/>
        </w:rPr>
        <w:t>总学</w:t>
      </w:r>
      <w:r>
        <w:rPr>
          <w:rFonts w:eastAsia="黑体"/>
          <w:szCs w:val="21"/>
        </w:rPr>
        <w:t>时：</w:t>
      </w:r>
      <w:r>
        <w:rPr>
          <w:rFonts w:hint="eastAsia" w:ascii="宋体" w:hAnsi="宋体"/>
          <w:szCs w:val="21"/>
        </w:rPr>
        <w:t>48</w:t>
      </w:r>
      <w:r>
        <w:rPr>
          <w:rFonts w:ascii="宋体" w:hAnsi="宋体"/>
          <w:szCs w:val="21"/>
        </w:rPr>
        <w:t>(</w:t>
      </w:r>
      <w:r>
        <w:rPr>
          <w:rFonts w:hint="eastAsia" w:ascii="宋体" w:hAnsi="宋体"/>
          <w:szCs w:val="21"/>
        </w:rPr>
        <w:t>实验0学时</w:t>
      </w:r>
      <w:r>
        <w:rPr>
          <w:rFonts w:ascii="宋体" w:hAnsi="宋体"/>
          <w:szCs w:val="21"/>
        </w:rPr>
        <w:t>)</w:t>
      </w:r>
      <w:r>
        <w:rPr>
          <w:rFonts w:eastAsia="黑体"/>
          <w:szCs w:val="21"/>
        </w:rPr>
        <w:t xml:space="preserve">                   学    分：</w:t>
      </w:r>
      <w:r>
        <w:rPr>
          <w:rFonts w:hint="eastAsia" w:eastAsia="黑体"/>
          <w:szCs w:val="21"/>
        </w:rPr>
        <w:t>3</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eastAsia="黑体"/>
          <w:szCs w:val="21"/>
        </w:rPr>
      </w:pPr>
      <w:r>
        <w:rPr>
          <w:rFonts w:eastAsia="黑体"/>
          <w:szCs w:val="21"/>
        </w:rPr>
        <w:t xml:space="preserve">   先修课程：</w:t>
      </w:r>
      <w:r>
        <w:rPr>
          <w:rFonts w:hint="eastAsia" w:ascii="宋体" w:hAnsi="宋体"/>
          <w:szCs w:val="21"/>
        </w:rPr>
        <w:t>无</w:t>
      </w:r>
    </w:p>
    <w:p>
      <w:pPr>
        <w:spacing w:line="360" w:lineRule="auto"/>
        <w:ind w:firstLine="315" w:firstLineChars="150"/>
        <w:rPr>
          <w:rFonts w:ascii="宋体" w:hAnsi="宋体"/>
          <w:szCs w:val="21"/>
        </w:rPr>
      </w:pPr>
      <w:r>
        <w:rPr>
          <w:rFonts w:hint="eastAsia" w:eastAsia="黑体"/>
          <w:szCs w:val="21"/>
        </w:rPr>
        <w:t>大纲编写（修订）时间：</w:t>
      </w:r>
      <w:r>
        <w:rPr>
          <w:szCs w:val="21"/>
        </w:rPr>
        <w:t>2019</w:t>
      </w:r>
      <w:r>
        <w:rPr>
          <w:rFonts w:hint="eastAsia" w:ascii="宋体" w:hAnsi="宋体" w:cs="宋体"/>
          <w:szCs w:val="21"/>
        </w:rPr>
        <w:t>年</w:t>
      </w:r>
      <w:r>
        <w:rPr>
          <w:szCs w:val="21"/>
        </w:rPr>
        <w:t>4</w:t>
      </w:r>
      <w:r>
        <w:rPr>
          <w:rFonts w:hint="eastAsia" w:ascii="宋体" w:hAnsi="宋体" w:cs="宋体"/>
          <w:szCs w:val="21"/>
        </w:rPr>
        <w:t>月</w:t>
      </w:r>
    </w:p>
    <w:p>
      <w:pPr>
        <w:rPr>
          <w:sz w:val="24"/>
        </w:rPr>
      </w:pPr>
    </w:p>
    <w:p>
      <w:pPr>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spacing w:line="360" w:lineRule="auto"/>
        <w:ind w:firstLine="420" w:firstLineChars="200"/>
        <w:rPr>
          <w:szCs w:val="21"/>
        </w:rPr>
      </w:pPr>
      <w:r>
        <w:rPr>
          <w:rFonts w:hint="eastAsia"/>
          <w:szCs w:val="21"/>
        </w:rPr>
        <w:t xml:space="preserve">工程图样是工程技术人员表达和交流技术思想的重要工具，是工程界的“语言”，是工程技术部门的一项重要技术文件。 </w:t>
      </w:r>
    </w:p>
    <w:p>
      <w:pPr>
        <w:spacing w:line="360" w:lineRule="auto"/>
        <w:ind w:firstLine="420" w:firstLineChars="200"/>
        <w:rPr>
          <w:szCs w:val="21"/>
        </w:rPr>
      </w:pPr>
      <w:r>
        <w:rPr>
          <w:rFonts w:hint="eastAsia"/>
          <w:szCs w:val="21"/>
        </w:rPr>
        <w:t>本课程教学基本要求适用于高等工科院校本科电子、技术经济、应用理科类等各专业，是一门必修的技术基础课。它主要研究绘制和阅读机械图样的基本原理理基本方法。培养学生的必要的基础制图和看图能力。</w:t>
      </w:r>
    </w:p>
    <w:p>
      <w:pPr>
        <w:spacing w:line="360" w:lineRule="auto"/>
        <w:ind w:firstLine="480" w:firstLineChars="200"/>
        <w:rPr>
          <w:sz w:val="24"/>
        </w:rPr>
      </w:pPr>
    </w:p>
    <w:p>
      <w:pPr>
        <w:spacing w:line="360" w:lineRule="auto"/>
        <w:rPr>
          <w:rFonts w:eastAsia="黑体"/>
          <w:szCs w:val="21"/>
        </w:rPr>
      </w:pPr>
      <w:r>
        <w:rPr>
          <w:rFonts w:eastAsia="黑体"/>
          <w:szCs w:val="21"/>
        </w:rPr>
        <w:t>二、课程目标</w:t>
      </w:r>
    </w:p>
    <w:p>
      <w:pPr>
        <w:spacing w:line="360" w:lineRule="auto"/>
        <w:ind w:firstLine="420" w:firstLineChars="200"/>
        <w:rPr>
          <w:b/>
          <w:bCs/>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3922"/>
        <w:gridCol w:w="40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301" w:type="pct"/>
            <w:shd w:val="clear" w:color="auto" w:fill="auto"/>
          </w:tcPr>
          <w:p>
            <w:pPr>
              <w:spacing w:line="360" w:lineRule="auto"/>
              <w:jc w:val="center"/>
              <w:rPr>
                <w:sz w:val="18"/>
                <w:szCs w:val="18"/>
              </w:rPr>
            </w:pPr>
            <w:r>
              <w:rPr>
                <w:rFonts w:hint="eastAsia"/>
                <w:sz w:val="18"/>
                <w:szCs w:val="18"/>
              </w:rPr>
              <w:t>课程目标</w:t>
            </w:r>
          </w:p>
        </w:tc>
        <w:tc>
          <w:tcPr>
            <w:tcW w:w="2355"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301" w:type="pct"/>
            <w:shd w:val="clear" w:color="auto" w:fill="auto"/>
          </w:tcPr>
          <w:p>
            <w:pPr>
              <w:adjustRightInd w:val="0"/>
              <w:snapToGrid w:val="0"/>
              <w:spacing w:line="360" w:lineRule="auto"/>
              <w:jc w:val="left"/>
              <w:rPr>
                <w:sz w:val="18"/>
                <w:szCs w:val="18"/>
              </w:rPr>
            </w:pPr>
            <w:r>
              <w:rPr>
                <w:rFonts w:hint="eastAsia"/>
                <w:sz w:val="18"/>
                <w:szCs w:val="18"/>
              </w:rPr>
              <w:t>通过本课程的学习，能够掌握正投影法的基本理论和方法；能够正确的画图和看图的基本方法；通过本课程的学习，初步了解计算机绘图的基本方法；</w:t>
            </w:r>
          </w:p>
          <w:p>
            <w:pPr>
              <w:adjustRightInd w:val="0"/>
              <w:snapToGrid w:val="0"/>
              <w:spacing w:line="360" w:lineRule="auto"/>
              <w:jc w:val="center"/>
              <w:rPr>
                <w:sz w:val="18"/>
                <w:szCs w:val="18"/>
              </w:rPr>
            </w:pPr>
          </w:p>
        </w:tc>
        <w:tc>
          <w:tcPr>
            <w:tcW w:w="2355" w:type="pct"/>
            <w:shd w:val="clear" w:color="auto" w:fill="auto"/>
          </w:tcPr>
          <w:p>
            <w:pPr>
              <w:pStyle w:val="19"/>
              <w:shd w:val="clear" w:color="auto" w:fill="FFFFFF"/>
              <w:autoSpaceDE w:val="0"/>
              <w:adjustRightInd w:val="0"/>
              <w:snapToGrid w:val="0"/>
              <w:spacing w:before="0" w:beforeAutospacing="0" w:after="0" w:afterAutospacing="0" w:line="360" w:lineRule="auto"/>
              <w:rPr>
                <w:rFonts w:ascii="Times New Roman" w:hAnsi="Times New Roman"/>
                <w:kern w:val="2"/>
                <w:sz w:val="18"/>
                <w:szCs w:val="18"/>
              </w:rPr>
            </w:pPr>
            <w:r>
              <w:rPr>
                <w:rFonts w:ascii="Times New Roman" w:hAnsi="Times New Roman"/>
                <w:b/>
                <w:kern w:val="2"/>
                <w:sz w:val="18"/>
                <w:szCs w:val="18"/>
              </w:rPr>
              <w:t>毕业要求3设计/开发解决方案：</w:t>
            </w:r>
            <w:r>
              <w:rPr>
                <w:rFonts w:ascii="Times New Roman" w:hAnsi="Times New Roman"/>
                <w:kern w:val="2"/>
                <w:sz w:val="18"/>
                <w:szCs w:val="18"/>
              </w:rPr>
              <w:t>能够设计针对复杂工程问题的解决方案，设计满足特定需求的系统、单元（部件）或工艺流程，并能够在设计环节中体现创新意识，考虑社会、健康、安全、法律、文化以及环境等因素。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301" w:type="pct"/>
            <w:shd w:val="clear" w:color="auto" w:fill="auto"/>
          </w:tcPr>
          <w:p>
            <w:pPr>
              <w:adjustRightInd w:val="0"/>
              <w:snapToGrid w:val="0"/>
              <w:spacing w:line="360" w:lineRule="auto"/>
              <w:jc w:val="left"/>
              <w:rPr>
                <w:sz w:val="18"/>
                <w:szCs w:val="18"/>
              </w:rPr>
            </w:pPr>
            <w:r>
              <w:rPr>
                <w:rFonts w:hint="eastAsia"/>
                <w:sz w:val="18"/>
                <w:szCs w:val="18"/>
              </w:rPr>
              <w:t>通过本课程的学习，掌握工程图样的表达和阅读的基本方法，具备初步的工程图样的表达和阅读的空间思维能力；通过本课程的学习，学生具有制图符合国家标准规范的意识，能够将复杂工程问题通过画图进行沟通和交流。</w:t>
            </w:r>
          </w:p>
        </w:tc>
        <w:tc>
          <w:tcPr>
            <w:tcW w:w="2355" w:type="pct"/>
            <w:shd w:val="clear" w:color="auto" w:fill="auto"/>
          </w:tcPr>
          <w:p>
            <w:pPr>
              <w:pStyle w:val="19"/>
              <w:shd w:val="clear" w:color="auto" w:fill="FFFFFF"/>
              <w:autoSpaceDE w:val="0"/>
              <w:adjustRightInd w:val="0"/>
              <w:snapToGrid w:val="0"/>
              <w:spacing w:before="0" w:beforeAutospacing="0" w:after="0" w:afterAutospacing="0" w:line="360" w:lineRule="auto"/>
              <w:rPr>
                <w:rFonts w:ascii="Times New Roman" w:hAnsi="Times New Roman"/>
                <w:kern w:val="2"/>
                <w:sz w:val="18"/>
                <w:szCs w:val="18"/>
              </w:rPr>
            </w:pPr>
            <w:r>
              <w:rPr>
                <w:rFonts w:ascii="Times New Roman" w:hAnsi="Times New Roman"/>
                <w:b/>
                <w:kern w:val="2"/>
                <w:sz w:val="18"/>
                <w:szCs w:val="18"/>
              </w:rPr>
              <w:t>毕业要求10沟通：</w:t>
            </w:r>
            <w:r>
              <w:rPr>
                <w:rFonts w:ascii="Times New Roman" w:hAnsi="Times New Roman"/>
                <w:kern w:val="2"/>
                <w:sz w:val="18"/>
                <w:szCs w:val="18"/>
              </w:rPr>
              <w:t>能够就复杂工程问题与业界同行及社会公众进行有效沟通和交流，包括撰写报告和设计文稿、陈述发言、清晰表达或回应指令。并具备一定的国际视野，能够在跨文化背景下进行沟通和交流。</w:t>
            </w:r>
          </w:p>
        </w:tc>
      </w:tr>
    </w:tbl>
    <w:p>
      <w:pPr>
        <w:spacing w:line="360" w:lineRule="auto"/>
        <w:rPr>
          <w:szCs w:val="21"/>
        </w:rPr>
      </w:pPr>
    </w:p>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adjustRightInd w:val="0"/>
        <w:spacing w:line="360" w:lineRule="auto"/>
        <w:ind w:firstLine="420" w:firstLineChars="200"/>
        <w:rPr>
          <w:rFonts w:ascii="黑体" w:hAnsi="黑体" w:eastAsia="黑体"/>
          <w:b/>
          <w:bCs/>
          <w:szCs w:val="21"/>
        </w:rPr>
      </w:pPr>
      <w:r>
        <w:rPr>
          <w:rFonts w:hint="eastAsia" w:ascii="黑体" w:hAnsi="黑体" w:eastAsia="黑体"/>
          <w:szCs w:val="21"/>
        </w:rPr>
        <w:t>基本要求</w:t>
      </w:r>
      <w:r>
        <w:rPr>
          <w:rFonts w:ascii="黑体" w:hAnsi="黑体" w:eastAsia="黑体"/>
          <w:b/>
          <w:bCs/>
          <w:szCs w:val="21"/>
        </w:rPr>
        <w:t xml:space="preserve"> </w:t>
      </w:r>
    </w:p>
    <w:p>
      <w:pPr>
        <w:spacing w:line="360" w:lineRule="auto"/>
        <w:ind w:firstLine="420" w:firstLineChars="200"/>
        <w:rPr>
          <w:szCs w:val="21"/>
        </w:rPr>
      </w:pPr>
      <w:r>
        <w:rPr>
          <w:szCs w:val="21"/>
        </w:rPr>
        <w:t>1</w:t>
      </w:r>
      <w:r>
        <w:rPr>
          <w:rFonts w:hint="eastAsia"/>
          <w:szCs w:val="21"/>
        </w:rPr>
        <w:t>、本课程为学科基础课，要求先计算机操作基础，在教学中应注重基础知识、基本概念和思维方法的传授，使学生掌握基本的正投影法的理论和方法。</w:t>
      </w:r>
    </w:p>
    <w:p>
      <w:pPr>
        <w:spacing w:line="360" w:lineRule="auto"/>
        <w:ind w:firstLine="424" w:firstLineChars="202"/>
        <w:rPr>
          <w:szCs w:val="21"/>
        </w:rPr>
      </w:pPr>
      <w:r>
        <w:rPr>
          <w:szCs w:val="21"/>
        </w:rPr>
        <w:t>2</w:t>
      </w:r>
      <w:r>
        <w:rPr>
          <w:rFonts w:hint="eastAsia"/>
          <w:szCs w:val="21"/>
        </w:rPr>
        <w:t>、教师通过点线面和立体的教学，结合生活实际，使学生掌握三视图投影规律和方法，提高学生空间思维能力。</w:t>
      </w:r>
    </w:p>
    <w:p>
      <w:pPr>
        <w:spacing w:line="360" w:lineRule="auto"/>
        <w:ind w:firstLine="420" w:firstLineChars="200"/>
        <w:rPr>
          <w:szCs w:val="21"/>
        </w:rPr>
      </w:pPr>
      <w:r>
        <w:rPr>
          <w:szCs w:val="21"/>
        </w:rPr>
        <w:t>3</w:t>
      </w:r>
      <w:r>
        <w:rPr>
          <w:rFonts w:hint="eastAsia"/>
          <w:szCs w:val="21"/>
        </w:rPr>
        <w:t>、学生通过听课和作业，掌握基本立体-组合体的三视图绘制和阅读的方法，培养学生基本的画图和看图能力。</w:t>
      </w:r>
    </w:p>
    <w:p>
      <w:pPr>
        <w:spacing w:line="360" w:lineRule="auto"/>
        <w:ind w:firstLine="420" w:firstLineChars="200"/>
        <w:rPr>
          <w:szCs w:val="21"/>
        </w:rPr>
      </w:pPr>
      <w:r>
        <w:rPr>
          <w:szCs w:val="21"/>
        </w:rPr>
        <w:t>4</w:t>
      </w:r>
      <w:r>
        <w:rPr>
          <w:rFonts w:hint="eastAsia"/>
          <w:szCs w:val="21"/>
        </w:rPr>
        <w:t>、通过制图基本知识和国家标准规范的讲解和练习，使学生在画图和看图环节具备遵守国家标准规范的意识和能力。</w:t>
      </w:r>
    </w:p>
    <w:p>
      <w:pPr>
        <w:spacing w:line="360" w:lineRule="auto"/>
        <w:ind w:firstLine="420" w:firstLineChars="200"/>
        <w:rPr>
          <w:szCs w:val="21"/>
        </w:rPr>
      </w:pPr>
      <w:r>
        <w:rPr>
          <w:rFonts w:hint="eastAsia"/>
          <w:szCs w:val="21"/>
        </w:rPr>
        <w:t>5、学生通过听课和作业，掌握复杂机件的视图表达和阅读的方法，培养学生初步的工程图样的画图和看图能力，包括计算机绘图的初步能力。</w:t>
      </w:r>
    </w:p>
    <w:p>
      <w:pPr>
        <w:spacing w:line="360" w:lineRule="auto"/>
        <w:ind w:firstLine="420" w:firstLineChars="200"/>
        <w:rPr>
          <w:szCs w:val="21"/>
        </w:rPr>
      </w:pPr>
      <w:r>
        <w:rPr>
          <w:rFonts w:hint="eastAsia"/>
          <w:szCs w:val="21"/>
        </w:rPr>
        <w:t>6、本课程是一门实践性很强的课程。要求学生通过专有的作业时间把所学的内容巩固和掌握，要求在</w:t>
      </w:r>
      <w:r>
        <w:rPr>
          <w:szCs w:val="21"/>
        </w:rPr>
        <w:t>CAI</w:t>
      </w:r>
      <w:r>
        <w:rPr>
          <w:rFonts w:hint="eastAsia"/>
          <w:szCs w:val="21"/>
        </w:rPr>
        <w:t>教室进行授课。</w:t>
      </w:r>
    </w:p>
    <w:p>
      <w:pPr>
        <w:adjustRightInd w:val="0"/>
        <w:spacing w:line="360" w:lineRule="auto"/>
        <w:ind w:firstLine="315" w:firstLineChars="150"/>
        <w:rPr>
          <w:rFonts w:ascii="黑体" w:hAnsi="黑体" w:eastAsia="黑体"/>
          <w:b/>
          <w:bCs/>
          <w:szCs w:val="21"/>
        </w:rPr>
      </w:pPr>
      <w:r>
        <w:rPr>
          <w:rFonts w:hint="eastAsia" w:ascii="黑体" w:hAnsi="黑体" w:eastAsia="黑体"/>
          <w:szCs w:val="21"/>
        </w:rPr>
        <w:t>1</w:t>
      </w:r>
      <w:r>
        <w:rPr>
          <w:rFonts w:ascii="黑体" w:hAnsi="黑体" w:eastAsia="黑体"/>
          <w:szCs w:val="21"/>
        </w:rPr>
        <w:t>绪</w:t>
      </w:r>
      <w:r>
        <w:rPr>
          <w:rFonts w:hint="eastAsia" w:ascii="黑体" w:hAnsi="黑体" w:eastAsia="黑体"/>
          <w:szCs w:val="21"/>
        </w:rPr>
        <w:t>论</w:t>
      </w:r>
    </w:p>
    <w:p>
      <w:pPr>
        <w:adjustRightInd w:val="0"/>
        <w:spacing w:line="360" w:lineRule="auto"/>
        <w:ind w:firstLine="420" w:firstLineChars="200"/>
        <w:rPr>
          <w:szCs w:val="21"/>
        </w:rPr>
      </w:pPr>
      <w:r>
        <w:rPr>
          <w:szCs w:val="21"/>
        </w:rPr>
        <w:t>1</w:t>
      </w:r>
      <w:r>
        <w:rPr>
          <w:rFonts w:hint="eastAsia"/>
          <w:szCs w:val="21"/>
        </w:rPr>
        <w:t xml:space="preserve">. </w:t>
      </w:r>
      <w:r>
        <w:rPr>
          <w:rFonts w:hint="eastAsia" w:ascii="宋体" w:hAnsi="宋体" w:cs="宋体"/>
          <w:snapToGrid w:val="0"/>
          <w:kern w:val="0"/>
          <w:szCs w:val="21"/>
        </w:rPr>
        <w:t>本课程在课程培养体系中的地位和作用介绍；</w:t>
      </w:r>
    </w:p>
    <w:p>
      <w:pPr>
        <w:adjustRightInd w:val="0"/>
        <w:spacing w:line="360" w:lineRule="auto"/>
        <w:ind w:firstLine="420" w:firstLineChars="200"/>
        <w:rPr>
          <w:szCs w:val="21"/>
        </w:rPr>
      </w:pPr>
      <w:r>
        <w:rPr>
          <w:szCs w:val="21"/>
        </w:rPr>
        <w:t>2</w:t>
      </w:r>
      <w:r>
        <w:rPr>
          <w:rFonts w:hint="eastAsia"/>
          <w:szCs w:val="21"/>
        </w:rPr>
        <w:t xml:space="preserve">. </w:t>
      </w:r>
      <w:r>
        <w:rPr>
          <w:rFonts w:hint="eastAsia" w:ascii="宋体" w:hAnsi="宋体" w:cs="宋体"/>
          <w:snapToGrid w:val="0"/>
          <w:kern w:val="0"/>
          <w:szCs w:val="21"/>
        </w:rPr>
        <w:t>课程内容、学习方法、讲授方式、评价方式介绍；</w:t>
      </w:r>
    </w:p>
    <w:p>
      <w:pPr>
        <w:adjustRightInd w:val="0"/>
        <w:spacing w:line="360" w:lineRule="auto"/>
        <w:ind w:firstLine="420" w:firstLineChars="200"/>
        <w:rPr>
          <w:szCs w:val="21"/>
        </w:rPr>
      </w:pPr>
      <w:r>
        <w:rPr>
          <w:rFonts w:hint="eastAsia"/>
          <w:szCs w:val="21"/>
        </w:rPr>
        <w:t>本章节内容支撑课程目标 2。</w:t>
      </w:r>
    </w:p>
    <w:p>
      <w:pPr>
        <w:spacing w:line="360" w:lineRule="auto"/>
        <w:ind w:firstLine="420" w:firstLineChars="200"/>
        <w:rPr>
          <w:rFonts w:eastAsia="黑体"/>
          <w:bCs/>
          <w:szCs w:val="21"/>
        </w:rPr>
      </w:pPr>
      <w:r>
        <w:rPr>
          <w:rFonts w:hint="eastAsia" w:ascii="黑体" w:hAnsi="黑体" w:eastAsia="黑体"/>
          <w:bCs/>
          <w:szCs w:val="21"/>
        </w:rPr>
        <w:t>2</w:t>
      </w:r>
      <w:r>
        <w:rPr>
          <w:rFonts w:hint="eastAsia" w:eastAsia="黑体"/>
          <w:bCs/>
          <w:szCs w:val="21"/>
        </w:rPr>
        <w:t>投影法</w:t>
      </w:r>
      <w:r>
        <w:rPr>
          <w:rFonts w:eastAsia="黑体"/>
          <w:bCs/>
          <w:szCs w:val="21"/>
        </w:rPr>
        <w:t>基本知识</w:t>
      </w:r>
    </w:p>
    <w:p>
      <w:pPr>
        <w:spacing w:line="360" w:lineRule="auto"/>
        <w:ind w:firstLine="420" w:firstLineChars="200"/>
        <w:rPr>
          <w:szCs w:val="21"/>
        </w:rPr>
      </w:pPr>
      <w:r>
        <w:rPr>
          <w:szCs w:val="21"/>
        </w:rPr>
        <w:t>1</w:t>
      </w:r>
      <w:r>
        <w:rPr>
          <w:rFonts w:hint="eastAsia"/>
          <w:szCs w:val="21"/>
        </w:rPr>
        <w:t>.</w:t>
      </w:r>
      <w:r>
        <w:rPr>
          <w:szCs w:val="21"/>
        </w:rPr>
        <w:t xml:space="preserve"> </w:t>
      </w:r>
      <w:r>
        <w:rPr>
          <w:rFonts w:hint="eastAsia" w:ascii="宋体" w:hAnsi="宋体" w:cs="宋体"/>
          <w:snapToGrid w:val="0"/>
          <w:kern w:val="0"/>
          <w:szCs w:val="21"/>
        </w:rPr>
        <w:t>了解投影的一般知识，掌握正投影法的基本概念；</w:t>
      </w:r>
    </w:p>
    <w:p>
      <w:pPr>
        <w:spacing w:line="360" w:lineRule="auto"/>
        <w:ind w:firstLine="420" w:firstLineChars="200"/>
        <w:rPr>
          <w:szCs w:val="21"/>
        </w:rPr>
      </w:pPr>
      <w:r>
        <w:rPr>
          <w:szCs w:val="21"/>
        </w:rPr>
        <w:t>2</w:t>
      </w:r>
      <w:r>
        <w:rPr>
          <w:rFonts w:hint="eastAsia"/>
          <w:szCs w:val="21"/>
        </w:rPr>
        <w:t>.</w:t>
      </w:r>
      <w:r>
        <w:rPr>
          <w:szCs w:val="21"/>
        </w:rPr>
        <w:t xml:space="preserve"> </w:t>
      </w:r>
      <w:r>
        <w:rPr>
          <w:rFonts w:hint="eastAsia" w:ascii="宋体" w:hAnsi="宋体" w:cs="宋体"/>
          <w:snapToGrid w:val="0"/>
          <w:kern w:val="0"/>
          <w:szCs w:val="21"/>
        </w:rPr>
        <w:t>掌握点、直线、平面在第一角中各种位置的投影特性和作图方法；</w:t>
      </w:r>
    </w:p>
    <w:p>
      <w:pPr>
        <w:spacing w:line="360" w:lineRule="auto"/>
        <w:ind w:firstLine="420" w:firstLineChars="200"/>
        <w:rPr>
          <w:rFonts w:ascii="宋体" w:hAnsi="宋体" w:cs="宋体"/>
          <w:snapToGrid w:val="0"/>
          <w:kern w:val="0"/>
          <w:szCs w:val="21"/>
        </w:rPr>
      </w:pPr>
      <w:r>
        <w:rPr>
          <w:szCs w:val="21"/>
        </w:rPr>
        <w:t>3</w:t>
      </w:r>
      <w:r>
        <w:rPr>
          <w:rFonts w:hint="eastAsia"/>
          <w:szCs w:val="21"/>
        </w:rPr>
        <w:t xml:space="preserve">. </w:t>
      </w:r>
      <w:r>
        <w:rPr>
          <w:rFonts w:hint="eastAsia" w:ascii="宋体" w:hAnsi="宋体" w:cs="宋体"/>
          <w:snapToGrid w:val="0"/>
          <w:kern w:val="0"/>
          <w:szCs w:val="21"/>
        </w:rPr>
        <w:t>掌握在直线上作点及平面上作点、直线的方法；</w:t>
      </w:r>
    </w:p>
    <w:p>
      <w:pPr>
        <w:spacing w:line="360" w:lineRule="auto"/>
        <w:ind w:firstLine="424" w:firstLineChars="202"/>
        <w:rPr>
          <w:rFonts w:ascii="宋体" w:hAnsi="宋体" w:cs="宋体"/>
          <w:snapToGrid w:val="0"/>
          <w:kern w:val="0"/>
          <w:szCs w:val="21"/>
        </w:rPr>
      </w:pPr>
      <w:r>
        <w:rPr>
          <w:rFonts w:hint="eastAsia" w:ascii="黑体" w:hAnsi="黑体" w:eastAsia="黑体"/>
          <w:szCs w:val="21"/>
        </w:rPr>
        <w:t>重点</w:t>
      </w:r>
      <w:r>
        <w:rPr>
          <w:rFonts w:hint="eastAsia"/>
          <w:szCs w:val="21"/>
        </w:rPr>
        <w:t>：</w:t>
      </w:r>
      <w:r>
        <w:rPr>
          <w:rFonts w:hint="eastAsia" w:ascii="宋体" w:hAnsi="宋体" w:cs="宋体"/>
          <w:snapToGrid w:val="0"/>
          <w:kern w:val="0"/>
          <w:szCs w:val="21"/>
        </w:rPr>
        <w:t>正投影的基本概念；点、直线、平面的投影特性；直线上作点及平面上作点、直线的方法。</w:t>
      </w:r>
    </w:p>
    <w:p>
      <w:pPr>
        <w:spacing w:line="360" w:lineRule="auto"/>
        <w:ind w:left="1050" w:leftChars="200" w:hanging="630" w:hangingChars="300"/>
        <w:rPr>
          <w:szCs w:val="21"/>
        </w:rPr>
      </w:pPr>
      <w:r>
        <w:rPr>
          <w:rFonts w:hint="eastAsia" w:ascii="黑体" w:hAnsi="黑体" w:eastAsia="黑体"/>
          <w:szCs w:val="21"/>
        </w:rPr>
        <w:t>难点</w:t>
      </w:r>
      <w:r>
        <w:rPr>
          <w:rFonts w:ascii="宋体" w:hAnsi="宋体" w:cs="宋体"/>
          <w:snapToGrid w:val="0"/>
          <w:kern w:val="0"/>
          <w:szCs w:val="21"/>
        </w:rPr>
        <w:t>：</w:t>
      </w:r>
      <w:r>
        <w:rPr>
          <w:rFonts w:hint="eastAsia" w:ascii="宋体" w:hAnsi="宋体" w:cs="宋体"/>
          <w:snapToGrid w:val="0"/>
          <w:kern w:val="0"/>
          <w:szCs w:val="21"/>
        </w:rPr>
        <w:t>两直线相对位置。</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ascii="黑体" w:hAnsi="黑体" w:eastAsia="黑体"/>
          <w:bCs/>
          <w:szCs w:val="21"/>
        </w:rPr>
      </w:pPr>
      <w:r>
        <w:rPr>
          <w:rFonts w:hint="eastAsia" w:ascii="黑体" w:hAnsi="黑体" w:eastAsia="黑体"/>
          <w:bCs/>
          <w:szCs w:val="21"/>
        </w:rPr>
        <w:t>3立杆投影</w:t>
      </w:r>
    </w:p>
    <w:p>
      <w:pPr>
        <w:spacing w:line="360" w:lineRule="auto"/>
        <w:ind w:firstLine="420" w:firstLineChars="200"/>
        <w:rPr>
          <w:szCs w:val="21"/>
        </w:rPr>
      </w:pPr>
      <w:r>
        <w:rPr>
          <w:szCs w:val="21"/>
        </w:rPr>
        <w:t>1</w:t>
      </w:r>
      <w:r>
        <w:rPr>
          <w:rFonts w:hint="eastAsia"/>
          <w:szCs w:val="21"/>
        </w:rPr>
        <w:t>.</w:t>
      </w:r>
      <w:r>
        <w:rPr>
          <w:szCs w:val="21"/>
        </w:rPr>
        <w:t xml:space="preserve"> </w:t>
      </w:r>
      <w:r>
        <w:rPr>
          <w:rFonts w:hint="eastAsia" w:ascii="宋体" w:hAnsi="宋体" w:cs="宋体"/>
          <w:snapToGrid w:val="0"/>
          <w:kern w:val="0"/>
          <w:szCs w:val="21"/>
        </w:rPr>
        <w:t>掌握平面立体(底面平行与投影面的棱柱、棱锥)和曲面立体(轴线平行与投影面的圆柱、圆锥、圆球)的投影特性和作图方法；</w:t>
      </w:r>
    </w:p>
    <w:p>
      <w:pPr>
        <w:spacing w:line="360" w:lineRule="auto"/>
        <w:ind w:left="426"/>
        <w:rPr>
          <w:szCs w:val="21"/>
        </w:rPr>
      </w:pPr>
      <w:r>
        <w:rPr>
          <w:szCs w:val="21"/>
        </w:rPr>
        <w:t>2</w:t>
      </w:r>
      <w:r>
        <w:rPr>
          <w:rFonts w:hint="eastAsia"/>
          <w:szCs w:val="21"/>
        </w:rPr>
        <w:t>.</w:t>
      </w:r>
      <w:r>
        <w:rPr>
          <w:szCs w:val="21"/>
        </w:rPr>
        <w:t xml:space="preserve"> </w:t>
      </w:r>
      <w:r>
        <w:rPr>
          <w:rFonts w:hint="eastAsia"/>
          <w:szCs w:val="21"/>
        </w:rPr>
        <w:t>掌握立体表面取点、取线的作图方法</w:t>
      </w:r>
      <w:r>
        <w:rPr>
          <w:rFonts w:hint="eastAsia" w:ascii="宋体" w:hAnsi="宋体" w:cs="宋体"/>
          <w:snapToGrid w:val="0"/>
          <w:kern w:val="0"/>
          <w:szCs w:val="21"/>
        </w:rPr>
        <w:t>；</w:t>
      </w:r>
    </w:p>
    <w:p>
      <w:pPr>
        <w:spacing w:line="360" w:lineRule="auto"/>
        <w:ind w:firstLine="420" w:firstLineChars="200"/>
        <w:rPr>
          <w:rFonts w:ascii="宋体" w:hAnsi="宋体" w:cs="宋体"/>
          <w:bCs/>
          <w:snapToGrid w:val="0"/>
          <w:kern w:val="0"/>
          <w:szCs w:val="21"/>
        </w:rPr>
      </w:pPr>
      <w:r>
        <w:rPr>
          <w:szCs w:val="21"/>
        </w:rPr>
        <w:t>3</w:t>
      </w:r>
      <w:r>
        <w:rPr>
          <w:rFonts w:hint="eastAsia"/>
          <w:szCs w:val="21"/>
        </w:rPr>
        <w:t>. 掌握平面与立体的截交线的作图方法(截平面限用特殊位置平面)</w:t>
      </w:r>
      <w:r>
        <w:rPr>
          <w:rFonts w:hint="eastAsia" w:ascii="宋体" w:hAnsi="宋体" w:cs="宋体"/>
          <w:bCs/>
          <w:snapToGrid w:val="0"/>
          <w:kern w:val="0"/>
          <w:szCs w:val="21"/>
        </w:rPr>
        <w:t>；</w:t>
      </w:r>
    </w:p>
    <w:p>
      <w:pPr>
        <w:spacing w:line="360" w:lineRule="auto"/>
        <w:ind w:firstLine="420" w:firstLineChars="200"/>
        <w:rPr>
          <w:rFonts w:ascii="宋体" w:hAnsi="宋体" w:cs="宋体"/>
          <w:snapToGrid w:val="0"/>
          <w:kern w:val="0"/>
          <w:szCs w:val="21"/>
        </w:rPr>
      </w:pPr>
      <w:r>
        <w:rPr>
          <w:rFonts w:hint="eastAsia" w:ascii="宋体" w:hAnsi="宋体" w:cs="宋体"/>
          <w:bCs/>
          <w:snapToGrid w:val="0"/>
          <w:kern w:val="0"/>
          <w:szCs w:val="21"/>
        </w:rPr>
        <w:t xml:space="preserve">4. </w:t>
      </w:r>
      <w:r>
        <w:rPr>
          <w:rFonts w:hint="eastAsia"/>
          <w:szCs w:val="21"/>
        </w:rPr>
        <w:t>掌握两回转体(圆柱、圆锥和圆球)的相贯线的基本画法</w:t>
      </w:r>
      <w:r>
        <w:rPr>
          <w:rFonts w:hint="eastAsia" w:ascii="宋体" w:hAnsi="宋体" w:cs="宋体"/>
          <w:bCs/>
          <w:snapToGrid w:val="0"/>
          <w:kern w:val="0"/>
          <w:szCs w:val="21"/>
        </w:rPr>
        <w:t>。</w:t>
      </w:r>
    </w:p>
    <w:p>
      <w:pPr>
        <w:spacing w:line="360" w:lineRule="auto"/>
        <w:ind w:firstLine="420" w:firstLineChars="200"/>
        <w:rPr>
          <w:rFonts w:ascii="宋体" w:hAnsi="宋体" w:cs="宋体"/>
          <w:snapToGrid w:val="0"/>
          <w:kern w:val="0"/>
          <w:szCs w:val="21"/>
        </w:rPr>
      </w:pPr>
      <w:r>
        <w:rPr>
          <w:rFonts w:hint="eastAsia" w:ascii="黑体" w:hAnsi="黑体" w:eastAsia="黑体"/>
          <w:szCs w:val="21"/>
        </w:rPr>
        <w:t>重点</w:t>
      </w:r>
      <w:r>
        <w:rPr>
          <w:rFonts w:hint="eastAsia"/>
          <w:szCs w:val="21"/>
        </w:rPr>
        <w:t>：</w:t>
      </w:r>
      <w:r>
        <w:rPr>
          <w:rFonts w:hint="eastAsia" w:ascii="宋体" w:hAnsi="宋体" w:cs="宋体"/>
          <w:snapToGrid w:val="0"/>
          <w:kern w:val="0"/>
          <w:szCs w:val="21"/>
        </w:rPr>
        <w:t>作截交线的基本方法(截平面限用特殊位置平面)；两回转体(圆柱、圆锥和圆球)的相贯线的基本画法；相贯线的特殊情况。</w:t>
      </w:r>
    </w:p>
    <w:p>
      <w:pPr>
        <w:spacing w:line="360" w:lineRule="auto"/>
        <w:ind w:left="1050" w:leftChars="200" w:hanging="630" w:hangingChars="300"/>
        <w:rPr>
          <w:szCs w:val="21"/>
        </w:rPr>
      </w:pPr>
      <w:r>
        <w:rPr>
          <w:rFonts w:hint="eastAsia" w:ascii="黑体" w:hAnsi="黑体" w:eastAsia="黑体"/>
          <w:szCs w:val="21"/>
        </w:rPr>
        <w:t>难点</w:t>
      </w:r>
      <w:r>
        <w:rPr>
          <w:rFonts w:ascii="宋体" w:hAnsi="宋体" w:cs="宋体"/>
          <w:snapToGrid w:val="0"/>
          <w:kern w:val="0"/>
          <w:szCs w:val="21"/>
        </w:rPr>
        <w:t>：</w:t>
      </w:r>
      <w:r>
        <w:rPr>
          <w:rFonts w:hint="eastAsia" w:ascii="宋体" w:hAnsi="宋体" w:cs="宋体"/>
          <w:snapToGrid w:val="0"/>
          <w:kern w:val="0"/>
          <w:szCs w:val="21"/>
        </w:rPr>
        <w:t>截交线、相贯线的作图方法。</w:t>
      </w:r>
    </w:p>
    <w:p>
      <w:pPr>
        <w:adjustRightInd w:val="0"/>
        <w:spacing w:line="360" w:lineRule="auto"/>
        <w:ind w:left="424" w:leftChars="202"/>
        <w:rPr>
          <w:szCs w:val="21"/>
        </w:rPr>
      </w:pPr>
      <w:r>
        <w:rPr>
          <w:rFonts w:hint="eastAsia"/>
          <w:szCs w:val="21"/>
        </w:rPr>
        <w:t>本章节内容支撑课程目标 1。</w:t>
      </w:r>
    </w:p>
    <w:p>
      <w:pPr>
        <w:spacing w:line="360" w:lineRule="auto"/>
        <w:ind w:firstLine="420" w:firstLineChars="200"/>
        <w:rPr>
          <w:rFonts w:ascii="黑体" w:hAnsi="黑体" w:eastAsia="黑体"/>
          <w:bCs/>
          <w:szCs w:val="21"/>
        </w:rPr>
      </w:pPr>
      <w:r>
        <w:rPr>
          <w:rFonts w:hint="eastAsia" w:ascii="黑体" w:hAnsi="黑体" w:eastAsia="黑体"/>
          <w:bCs/>
          <w:szCs w:val="21"/>
        </w:rPr>
        <w:t>4</w:t>
      </w:r>
      <w:r>
        <w:rPr>
          <w:rFonts w:hint="eastAsia" w:ascii="黑体" w:hAnsi="宋体" w:eastAsia="黑体" w:cs="宋体"/>
          <w:snapToGrid w:val="0"/>
          <w:kern w:val="0"/>
          <w:szCs w:val="21"/>
        </w:rPr>
        <w:t>制图基本知识与基本技能</w:t>
      </w:r>
    </w:p>
    <w:p>
      <w:pPr>
        <w:spacing w:line="360" w:lineRule="auto"/>
        <w:ind w:firstLine="424" w:firstLineChars="202"/>
        <w:rPr>
          <w:szCs w:val="21"/>
        </w:rPr>
      </w:pPr>
      <w:r>
        <w:rPr>
          <w:szCs w:val="21"/>
        </w:rPr>
        <w:t>1</w:t>
      </w:r>
      <w:r>
        <w:rPr>
          <w:rFonts w:hint="eastAsia" w:hAnsi="宋体"/>
          <w:szCs w:val="21"/>
        </w:rPr>
        <w:t xml:space="preserve">. </w:t>
      </w:r>
      <w:r>
        <w:rPr>
          <w:rFonts w:hAnsi="宋体"/>
          <w:szCs w:val="21"/>
        </w:rPr>
        <w:t>掌握质点的动量定理，质点系的动量定理和动量守恒定律（限于两质点构成的系统）；并能用它们分析解决质点在平面内运动时的简单力学问题</w:t>
      </w:r>
      <w:r>
        <w:rPr>
          <w:rFonts w:hint="eastAsia" w:hAnsi="宋体"/>
          <w:szCs w:val="21"/>
        </w:rPr>
        <w:t>。</w:t>
      </w:r>
    </w:p>
    <w:p>
      <w:pPr>
        <w:spacing w:line="360" w:lineRule="auto"/>
        <w:ind w:firstLine="420" w:firstLineChars="200"/>
        <w:rPr>
          <w:szCs w:val="21"/>
        </w:rPr>
      </w:pPr>
      <w:r>
        <w:rPr>
          <w:szCs w:val="21"/>
        </w:rPr>
        <w:t>2</w:t>
      </w:r>
      <w:r>
        <w:rPr>
          <w:rFonts w:hint="eastAsia" w:hAnsi="宋体"/>
          <w:szCs w:val="21"/>
        </w:rPr>
        <w:t xml:space="preserve">. </w:t>
      </w:r>
      <w:r>
        <w:rPr>
          <w:rFonts w:hint="eastAsia" w:ascii="宋体" w:hAnsi="宋体" w:cs="宋体"/>
          <w:bCs/>
          <w:snapToGrid w:val="0"/>
          <w:kern w:val="0"/>
          <w:szCs w:val="21"/>
        </w:rPr>
        <w:t>初步掌握徒手画图的基本方法与技能；</w:t>
      </w:r>
    </w:p>
    <w:p>
      <w:pPr>
        <w:spacing w:line="360" w:lineRule="auto"/>
        <w:ind w:firstLine="420" w:firstLineChars="200"/>
        <w:rPr>
          <w:rFonts w:ascii="宋体" w:hAnsi="宋体" w:cs="宋体"/>
          <w:bCs/>
          <w:snapToGrid w:val="0"/>
          <w:kern w:val="0"/>
          <w:szCs w:val="21"/>
        </w:rPr>
      </w:pPr>
      <w:r>
        <w:rPr>
          <w:szCs w:val="21"/>
        </w:rPr>
        <w:t>3</w:t>
      </w:r>
      <w:r>
        <w:rPr>
          <w:rFonts w:hint="eastAsia" w:hAnsi="宋体"/>
          <w:szCs w:val="21"/>
        </w:rPr>
        <w:t xml:space="preserve">. </w:t>
      </w:r>
      <w:r>
        <w:rPr>
          <w:rFonts w:hint="eastAsia" w:ascii="宋体" w:hAnsi="宋体" w:cs="宋体"/>
          <w:bCs/>
          <w:snapToGrid w:val="0"/>
          <w:kern w:val="0"/>
          <w:szCs w:val="21"/>
        </w:rPr>
        <w:t>遵守《机械制图》国家标准的有关规定。</w:t>
      </w:r>
    </w:p>
    <w:p>
      <w:pPr>
        <w:spacing w:line="360" w:lineRule="auto"/>
        <w:ind w:firstLine="420" w:firstLineChars="200"/>
        <w:rPr>
          <w:rFonts w:ascii="宋体" w:hAnsi="宋体" w:cs="宋体"/>
          <w:snapToGrid w:val="0"/>
          <w:kern w:val="0"/>
          <w:szCs w:val="21"/>
        </w:rPr>
      </w:pPr>
      <w:r>
        <w:rPr>
          <w:rFonts w:hint="eastAsia" w:ascii="黑体" w:hAnsi="黑体" w:eastAsia="黑体"/>
          <w:szCs w:val="21"/>
        </w:rPr>
        <w:t>重点</w:t>
      </w:r>
      <w:r>
        <w:rPr>
          <w:rFonts w:hint="eastAsia"/>
          <w:szCs w:val="21"/>
        </w:rPr>
        <w:t>：</w:t>
      </w:r>
      <w:r>
        <w:rPr>
          <w:rFonts w:hint="eastAsia" w:ascii="宋体" w:hAnsi="宋体" w:cs="宋体"/>
          <w:snapToGrid w:val="0"/>
          <w:kern w:val="0"/>
          <w:szCs w:val="21"/>
        </w:rPr>
        <w:t>《机械制图》国家标准的有关规定；图线画法和尺寸标注；平面图形的尺寸分析以及圆弧连接的画法。</w:t>
      </w:r>
    </w:p>
    <w:p>
      <w:pPr>
        <w:spacing w:line="360" w:lineRule="auto"/>
        <w:ind w:left="1050" w:leftChars="200" w:hanging="630" w:hangingChars="300"/>
        <w:rPr>
          <w:szCs w:val="21"/>
        </w:rPr>
      </w:pPr>
      <w:r>
        <w:rPr>
          <w:rFonts w:hint="eastAsia" w:ascii="黑体" w:hAnsi="黑体" w:eastAsia="黑体"/>
          <w:szCs w:val="21"/>
        </w:rPr>
        <w:t>难点</w:t>
      </w:r>
      <w:r>
        <w:rPr>
          <w:rFonts w:ascii="宋体" w:hAnsi="宋体" w:cs="宋体"/>
          <w:snapToGrid w:val="0"/>
          <w:kern w:val="0"/>
          <w:szCs w:val="21"/>
        </w:rPr>
        <w:t>：</w:t>
      </w:r>
      <w:r>
        <w:rPr>
          <w:rFonts w:hint="eastAsia" w:ascii="宋体" w:hAnsi="宋体" w:cs="宋体"/>
          <w:snapToGrid w:val="0"/>
          <w:kern w:val="0"/>
          <w:szCs w:val="21"/>
        </w:rPr>
        <w:t>圆弧连接的画法。</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eastAsia="黑体"/>
          <w:bCs/>
          <w:szCs w:val="21"/>
        </w:rPr>
      </w:pPr>
      <w:r>
        <w:rPr>
          <w:rFonts w:hint="eastAsia" w:ascii="黑体" w:hAnsi="黑体" w:eastAsia="黑体"/>
          <w:bCs/>
          <w:szCs w:val="21"/>
        </w:rPr>
        <w:t>5</w:t>
      </w:r>
      <w:r>
        <w:rPr>
          <w:rFonts w:hint="eastAsia" w:eastAsia="黑体"/>
          <w:bCs/>
          <w:szCs w:val="21"/>
        </w:rPr>
        <w:t>计算机绘图</w:t>
      </w:r>
      <w:r>
        <w:rPr>
          <w:rFonts w:eastAsia="黑体"/>
          <w:bCs/>
          <w:szCs w:val="21"/>
        </w:rPr>
        <w:t>基础</w:t>
      </w:r>
    </w:p>
    <w:p>
      <w:pPr>
        <w:spacing w:line="360" w:lineRule="auto"/>
        <w:ind w:firstLine="420" w:firstLineChars="200"/>
        <w:rPr>
          <w:rFonts w:hAnsi="宋体"/>
          <w:szCs w:val="21"/>
        </w:rPr>
      </w:pPr>
      <w:r>
        <w:rPr>
          <w:szCs w:val="21"/>
        </w:rPr>
        <w:t>1</w:t>
      </w:r>
      <w:r>
        <w:rPr>
          <w:rFonts w:hint="eastAsia" w:hAnsi="宋体"/>
          <w:szCs w:val="21"/>
        </w:rPr>
        <w:t xml:space="preserve">. </w:t>
      </w:r>
      <w:r>
        <w:rPr>
          <w:rFonts w:hint="eastAsia" w:ascii="宋体" w:hAnsi="宋体" w:cs="宋体"/>
          <w:bCs/>
          <w:snapToGrid w:val="0"/>
          <w:kern w:val="0"/>
          <w:szCs w:val="21"/>
        </w:rPr>
        <w:t>概述；</w:t>
      </w:r>
    </w:p>
    <w:p>
      <w:pPr>
        <w:spacing w:line="360" w:lineRule="auto"/>
        <w:ind w:firstLine="420" w:firstLineChars="200"/>
        <w:rPr>
          <w:rFonts w:ascii="宋体" w:hAnsi="宋体" w:cs="宋体"/>
          <w:bCs/>
          <w:snapToGrid w:val="0"/>
          <w:kern w:val="0"/>
          <w:szCs w:val="21"/>
        </w:rPr>
      </w:pPr>
      <w:r>
        <w:rPr>
          <w:szCs w:val="21"/>
        </w:rPr>
        <w:t>2</w:t>
      </w:r>
      <w:r>
        <w:rPr>
          <w:rFonts w:hint="eastAsia" w:hAnsi="宋体"/>
          <w:szCs w:val="21"/>
        </w:rPr>
        <w:t xml:space="preserve">. </w:t>
      </w:r>
      <w:r>
        <w:rPr>
          <w:rFonts w:hint="eastAsia" w:ascii="宋体" w:hAnsi="宋体" w:cs="宋体"/>
          <w:bCs/>
          <w:snapToGrid w:val="0"/>
          <w:kern w:val="0"/>
          <w:szCs w:val="21"/>
        </w:rPr>
        <w:t>计算机绘图绘图软件及其应用。</w:t>
      </w:r>
    </w:p>
    <w:p>
      <w:pPr>
        <w:spacing w:line="360" w:lineRule="auto"/>
        <w:ind w:left="1050" w:leftChars="200" w:hanging="630" w:hangingChars="300"/>
        <w:rPr>
          <w:rFonts w:ascii="宋体" w:hAnsi="宋体" w:cs="宋体"/>
          <w:snapToGrid w:val="0"/>
          <w:kern w:val="0"/>
          <w:szCs w:val="21"/>
        </w:rPr>
      </w:pPr>
      <w:r>
        <w:rPr>
          <w:rFonts w:hint="eastAsia" w:ascii="黑体" w:hAnsi="黑体" w:eastAsia="黑体"/>
          <w:szCs w:val="21"/>
        </w:rPr>
        <w:t>重点</w:t>
      </w:r>
      <w:r>
        <w:rPr>
          <w:rFonts w:hint="eastAsia"/>
          <w:szCs w:val="21"/>
        </w:rPr>
        <w:t>：</w:t>
      </w:r>
      <w:r>
        <w:rPr>
          <w:rFonts w:hint="eastAsia" w:ascii="宋体" w:hAnsi="宋体" w:cs="宋体"/>
          <w:snapToGrid w:val="0"/>
          <w:kern w:val="0"/>
          <w:szCs w:val="21"/>
        </w:rPr>
        <w:t>掌握常用绘图和编辑命令，能用典型绘图软件绘制简单二维图形。</w:t>
      </w:r>
    </w:p>
    <w:p>
      <w:pPr>
        <w:spacing w:line="360" w:lineRule="auto"/>
        <w:ind w:left="1050" w:leftChars="200" w:hanging="630" w:hangingChars="300"/>
        <w:rPr>
          <w:szCs w:val="21"/>
        </w:rPr>
      </w:pPr>
      <w:r>
        <w:rPr>
          <w:rFonts w:hint="eastAsia" w:ascii="黑体" w:hAnsi="黑体" w:eastAsia="黑体"/>
          <w:szCs w:val="21"/>
        </w:rPr>
        <w:t>难点</w:t>
      </w:r>
      <w:r>
        <w:rPr>
          <w:rFonts w:ascii="宋体" w:hAnsi="宋体" w:cs="宋体"/>
          <w:snapToGrid w:val="0"/>
          <w:kern w:val="0"/>
          <w:szCs w:val="21"/>
        </w:rPr>
        <w:t>：</w:t>
      </w:r>
      <w:r>
        <w:rPr>
          <w:rFonts w:hint="eastAsia" w:ascii="宋体" w:hAnsi="宋体" w:cs="宋体"/>
          <w:snapToGrid w:val="0"/>
          <w:kern w:val="0"/>
          <w:szCs w:val="21"/>
        </w:rPr>
        <w:t>无。</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szCs w:val="21"/>
        </w:rPr>
      </w:pPr>
      <w:r>
        <w:rPr>
          <w:rFonts w:hint="eastAsia" w:ascii="黑体" w:hAnsi="黑体" w:eastAsia="黑体"/>
          <w:bCs/>
          <w:szCs w:val="21"/>
        </w:rPr>
        <w:t>6组合体</w:t>
      </w:r>
      <w:r>
        <w:rPr>
          <w:rFonts w:ascii="黑体" w:hAnsi="黑体" w:eastAsia="黑体"/>
          <w:bCs/>
          <w:szCs w:val="21"/>
        </w:rPr>
        <w:t>三视图</w:t>
      </w:r>
    </w:p>
    <w:p>
      <w:pPr>
        <w:widowControl/>
        <w:tabs>
          <w:tab w:val="left" w:pos="0"/>
        </w:tabs>
        <w:spacing w:line="360" w:lineRule="auto"/>
        <w:ind w:firstLine="411" w:firstLineChars="196"/>
        <w:jc w:val="left"/>
        <w:rPr>
          <w:rFonts w:ascii="宋体" w:hAnsi="宋体" w:cs="宋体"/>
          <w:bCs/>
          <w:snapToGrid w:val="0"/>
          <w:kern w:val="0"/>
          <w:szCs w:val="21"/>
        </w:rPr>
      </w:pPr>
      <w:r>
        <w:rPr>
          <w:szCs w:val="21"/>
        </w:rPr>
        <w:t>1</w:t>
      </w:r>
      <w:r>
        <w:rPr>
          <w:rFonts w:hint="eastAsia" w:hAnsi="宋体"/>
          <w:szCs w:val="21"/>
        </w:rPr>
        <w:t xml:space="preserve">. </w:t>
      </w:r>
      <w:r>
        <w:rPr>
          <w:rFonts w:hint="eastAsia" w:ascii="宋体" w:hAnsi="宋体" w:cs="宋体"/>
          <w:bCs/>
          <w:snapToGrid w:val="0"/>
          <w:kern w:val="0"/>
          <w:szCs w:val="21"/>
        </w:rPr>
        <w:t>能运用形体分析和线面分析方法进行组合体的画图、读图和尺寸标注，画图做到投影正确、尺寸齐全、清晰；</w:t>
      </w:r>
    </w:p>
    <w:p>
      <w:pPr>
        <w:spacing w:line="360" w:lineRule="auto"/>
        <w:ind w:firstLine="420" w:firstLineChars="200"/>
        <w:rPr>
          <w:rFonts w:ascii="宋体" w:hAnsi="宋体" w:cs="宋体"/>
          <w:bCs/>
          <w:snapToGrid w:val="0"/>
          <w:kern w:val="0"/>
          <w:szCs w:val="21"/>
        </w:rPr>
      </w:pPr>
      <w:r>
        <w:rPr>
          <w:szCs w:val="21"/>
        </w:rPr>
        <w:t>2</w:t>
      </w:r>
      <w:r>
        <w:rPr>
          <w:rFonts w:hint="eastAsia" w:hAnsi="宋体"/>
          <w:szCs w:val="21"/>
        </w:rPr>
        <w:t xml:space="preserve">. </w:t>
      </w:r>
      <w:r>
        <w:rPr>
          <w:rFonts w:hint="eastAsia" w:ascii="宋体" w:hAnsi="宋体" w:cs="宋体"/>
          <w:bCs/>
          <w:snapToGrid w:val="0"/>
          <w:kern w:val="0"/>
          <w:szCs w:val="21"/>
        </w:rPr>
        <w:t>能初步掌握由投影图想象出物体的形状的读图能力。</w:t>
      </w:r>
    </w:p>
    <w:p>
      <w:pPr>
        <w:spacing w:line="360" w:lineRule="auto"/>
        <w:ind w:left="1161" w:leftChars="253" w:hanging="630" w:hangingChars="300"/>
        <w:rPr>
          <w:rFonts w:ascii="宋体" w:hAnsi="宋体" w:cs="宋体"/>
          <w:snapToGrid w:val="0"/>
          <w:kern w:val="0"/>
          <w:szCs w:val="21"/>
        </w:rPr>
      </w:pPr>
      <w:r>
        <w:rPr>
          <w:rFonts w:hint="eastAsia" w:ascii="黑体" w:hAnsi="黑体" w:eastAsia="黑体"/>
          <w:szCs w:val="21"/>
        </w:rPr>
        <w:t>重点</w:t>
      </w:r>
      <w:r>
        <w:rPr>
          <w:rFonts w:hint="eastAsia"/>
          <w:szCs w:val="21"/>
        </w:rPr>
        <w:t>：</w:t>
      </w:r>
      <w:r>
        <w:rPr>
          <w:rFonts w:hint="eastAsia" w:ascii="宋体" w:hAnsi="宋体" w:cs="宋体"/>
          <w:snapToGrid w:val="0"/>
          <w:kern w:val="0"/>
          <w:szCs w:val="21"/>
        </w:rPr>
        <w:t>运用形体分析和线面分析方法进行组合体的画图、读图和尺寸标注。</w:t>
      </w:r>
    </w:p>
    <w:p>
      <w:pPr>
        <w:spacing w:line="360" w:lineRule="auto"/>
        <w:ind w:left="1050" w:leftChars="250" w:hanging="525" w:hangingChars="250"/>
        <w:rPr>
          <w:szCs w:val="21"/>
        </w:rPr>
      </w:pPr>
      <w:r>
        <w:rPr>
          <w:rFonts w:hint="eastAsia" w:ascii="黑体" w:hAnsi="黑体" w:eastAsia="黑体"/>
          <w:szCs w:val="21"/>
        </w:rPr>
        <w:t>难点</w:t>
      </w:r>
      <w:r>
        <w:rPr>
          <w:rFonts w:ascii="宋体" w:hAnsi="宋体" w:cs="宋体"/>
          <w:snapToGrid w:val="0"/>
          <w:kern w:val="0"/>
          <w:szCs w:val="21"/>
        </w:rPr>
        <w:t>：</w:t>
      </w:r>
      <w:r>
        <w:rPr>
          <w:rFonts w:hint="eastAsia" w:ascii="宋体" w:hAnsi="宋体" w:cs="宋体"/>
          <w:snapToGrid w:val="0"/>
          <w:kern w:val="0"/>
          <w:szCs w:val="21"/>
        </w:rPr>
        <w:t>各种表面连接关系下表面交线的绘制、线面分析法读图。</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ascii="黑体" w:hAnsi="黑体" w:eastAsia="黑体"/>
          <w:szCs w:val="21"/>
        </w:rPr>
      </w:pPr>
      <w:r>
        <w:rPr>
          <w:rFonts w:hint="eastAsia" w:ascii="黑体" w:hAnsi="黑体" w:eastAsia="黑体"/>
          <w:bCs/>
          <w:szCs w:val="21"/>
        </w:rPr>
        <w:t>7常用表达</w:t>
      </w:r>
      <w:r>
        <w:rPr>
          <w:rFonts w:ascii="黑体" w:hAnsi="黑体" w:eastAsia="黑体"/>
          <w:bCs/>
          <w:szCs w:val="21"/>
        </w:rPr>
        <w:t>方法</w:t>
      </w:r>
    </w:p>
    <w:p>
      <w:pPr>
        <w:snapToGrid w:val="0"/>
        <w:spacing w:line="360" w:lineRule="auto"/>
        <w:ind w:firstLine="420" w:firstLineChars="200"/>
        <w:rPr>
          <w:szCs w:val="21"/>
        </w:rPr>
      </w:pPr>
      <w:r>
        <w:rPr>
          <w:szCs w:val="21"/>
        </w:rPr>
        <w:t>1</w:t>
      </w:r>
      <w:r>
        <w:rPr>
          <w:rFonts w:hint="eastAsia" w:hAnsi="宋体"/>
          <w:szCs w:val="21"/>
        </w:rPr>
        <w:t xml:space="preserve">. </w:t>
      </w:r>
      <w:r>
        <w:rPr>
          <w:rFonts w:hint="eastAsia" w:ascii="宋体" w:hAnsi="宋体" w:cs="宋体"/>
          <w:bCs/>
          <w:snapToGrid w:val="0"/>
          <w:kern w:val="0"/>
          <w:szCs w:val="21"/>
        </w:rPr>
        <w:t>视图；</w:t>
      </w:r>
    </w:p>
    <w:p>
      <w:pPr>
        <w:snapToGrid w:val="0"/>
        <w:spacing w:line="360" w:lineRule="auto"/>
        <w:ind w:firstLine="420" w:firstLineChars="200"/>
        <w:rPr>
          <w:szCs w:val="21"/>
        </w:rPr>
      </w:pPr>
      <w:r>
        <w:rPr>
          <w:szCs w:val="21"/>
        </w:rPr>
        <w:t>2</w:t>
      </w:r>
      <w:r>
        <w:rPr>
          <w:rFonts w:hint="eastAsia" w:hAnsi="宋体"/>
          <w:szCs w:val="21"/>
        </w:rPr>
        <w:t xml:space="preserve">. </w:t>
      </w:r>
      <w:r>
        <w:rPr>
          <w:rFonts w:hint="eastAsia" w:ascii="宋体" w:hAnsi="宋体" w:cs="宋体"/>
          <w:bCs/>
          <w:snapToGrid w:val="0"/>
          <w:kern w:val="0"/>
          <w:szCs w:val="21"/>
        </w:rPr>
        <w:t>剖视图；</w:t>
      </w:r>
    </w:p>
    <w:p>
      <w:pPr>
        <w:snapToGrid w:val="0"/>
        <w:spacing w:line="360" w:lineRule="auto"/>
        <w:ind w:firstLine="420" w:firstLineChars="200"/>
        <w:rPr>
          <w:szCs w:val="21"/>
        </w:rPr>
      </w:pPr>
      <w:r>
        <w:rPr>
          <w:szCs w:val="21"/>
        </w:rPr>
        <w:t>3</w:t>
      </w:r>
      <w:r>
        <w:rPr>
          <w:rFonts w:hint="eastAsia" w:hAnsi="宋体"/>
          <w:szCs w:val="21"/>
        </w:rPr>
        <w:t xml:space="preserve">. </w:t>
      </w:r>
      <w:r>
        <w:rPr>
          <w:rFonts w:hint="eastAsia" w:ascii="宋体" w:hAnsi="宋体" w:cs="宋体"/>
          <w:bCs/>
          <w:snapToGrid w:val="0"/>
          <w:kern w:val="0"/>
          <w:szCs w:val="21"/>
        </w:rPr>
        <w:t>断面图；</w:t>
      </w:r>
    </w:p>
    <w:p>
      <w:pPr>
        <w:snapToGrid w:val="0"/>
        <w:spacing w:line="360" w:lineRule="auto"/>
        <w:ind w:firstLine="420" w:firstLineChars="200"/>
        <w:rPr>
          <w:rFonts w:ascii="宋体" w:hAnsi="宋体" w:cs="宋体"/>
          <w:bCs/>
          <w:snapToGrid w:val="0"/>
          <w:kern w:val="0"/>
          <w:szCs w:val="21"/>
        </w:rPr>
      </w:pPr>
      <w:r>
        <w:rPr>
          <w:szCs w:val="21"/>
        </w:rPr>
        <w:t>4</w:t>
      </w:r>
      <w:r>
        <w:rPr>
          <w:rFonts w:hint="eastAsia" w:hAnsi="宋体"/>
          <w:szCs w:val="21"/>
        </w:rPr>
        <w:t xml:space="preserve">. </w:t>
      </w:r>
      <w:r>
        <w:rPr>
          <w:rFonts w:hint="eastAsia" w:ascii="宋体" w:hAnsi="宋体" w:cs="宋体"/>
          <w:bCs/>
          <w:snapToGrid w:val="0"/>
          <w:kern w:val="0"/>
          <w:szCs w:val="21"/>
        </w:rPr>
        <w:t>常用的简化画法、其它表达方法。</w:t>
      </w:r>
    </w:p>
    <w:p>
      <w:pPr>
        <w:spacing w:line="360" w:lineRule="auto"/>
        <w:ind w:firstLine="424" w:firstLineChars="202"/>
        <w:rPr>
          <w:rFonts w:ascii="宋体" w:hAnsi="宋体" w:cs="宋体"/>
          <w:snapToGrid w:val="0"/>
          <w:kern w:val="0"/>
          <w:szCs w:val="21"/>
        </w:rPr>
      </w:pPr>
      <w:r>
        <w:rPr>
          <w:rFonts w:hint="eastAsia" w:ascii="黑体" w:hAnsi="宋体" w:eastAsia="黑体" w:cs="宋体"/>
          <w:snapToGrid w:val="0"/>
          <w:kern w:val="0"/>
          <w:szCs w:val="21"/>
        </w:rPr>
        <w:t>重点：</w:t>
      </w:r>
      <w:r>
        <w:rPr>
          <w:rFonts w:hint="eastAsia" w:ascii="宋体" w:hAnsi="宋体" w:cs="宋体"/>
          <w:snapToGrid w:val="0"/>
          <w:kern w:val="0"/>
          <w:szCs w:val="21"/>
        </w:rPr>
        <w:t>掌握各种视图、剖视图、断面图的画法及标注；了解视图选择与配置的要求，初步培养视图选择能力。</w:t>
      </w:r>
    </w:p>
    <w:p>
      <w:pPr>
        <w:spacing w:line="360" w:lineRule="auto"/>
        <w:ind w:firstLine="525" w:firstLineChars="250"/>
        <w:rPr>
          <w:rFonts w:ascii="宋体" w:hAnsi="宋体" w:cs="宋体"/>
          <w:snapToGrid w:val="0"/>
          <w:kern w:val="0"/>
          <w:szCs w:val="21"/>
        </w:rPr>
      </w:pPr>
      <w:r>
        <w:rPr>
          <w:rFonts w:hint="eastAsia" w:ascii="黑体" w:hAnsi="宋体" w:eastAsia="黑体" w:cs="宋体"/>
          <w:snapToGrid w:val="0"/>
          <w:kern w:val="0"/>
          <w:szCs w:val="21"/>
        </w:rPr>
        <w:t>难点：</w:t>
      </w:r>
      <w:r>
        <w:rPr>
          <w:rFonts w:hint="eastAsia" w:ascii="宋体" w:hAnsi="宋体" w:cs="宋体"/>
          <w:snapToGrid w:val="0"/>
          <w:kern w:val="0"/>
          <w:szCs w:val="21"/>
        </w:rPr>
        <w:t>基本视图，向视图，局部视图，斜视图等表达方法的选择与应用；全剖视图、半剖视图和局部剖视图的画法和应用以及筋板等结构的处理；各种表达方法的合理应用。</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szCs w:val="21"/>
        </w:rPr>
      </w:pPr>
      <w:r>
        <w:rPr>
          <w:rFonts w:hint="eastAsia" w:ascii="黑体" w:hAnsi="黑体" w:eastAsia="黑体"/>
          <w:bCs/>
          <w:szCs w:val="21"/>
        </w:rPr>
        <w:t>8标准件</w:t>
      </w:r>
    </w:p>
    <w:p>
      <w:pPr>
        <w:spacing w:line="360" w:lineRule="auto"/>
        <w:ind w:firstLine="420" w:firstLineChars="200"/>
        <w:rPr>
          <w:szCs w:val="21"/>
        </w:rPr>
      </w:pPr>
      <w:r>
        <w:rPr>
          <w:szCs w:val="21"/>
        </w:rPr>
        <w:t>1</w:t>
      </w:r>
      <w:r>
        <w:rPr>
          <w:rFonts w:hint="eastAsia" w:hAnsi="宋体"/>
          <w:szCs w:val="21"/>
        </w:rPr>
        <w:t xml:space="preserve">. </w:t>
      </w:r>
      <w:r>
        <w:rPr>
          <w:rFonts w:hint="eastAsia" w:ascii="宋体" w:hAnsi="宋体" w:cs="宋体"/>
          <w:bCs/>
          <w:snapToGrid w:val="0"/>
          <w:kern w:val="0"/>
          <w:szCs w:val="21"/>
        </w:rPr>
        <w:t>螺纹的画法和标注；</w:t>
      </w:r>
    </w:p>
    <w:p>
      <w:pPr>
        <w:spacing w:line="360" w:lineRule="auto"/>
        <w:ind w:firstLine="420" w:firstLineChars="200"/>
        <w:rPr>
          <w:rFonts w:ascii="宋体" w:hAnsi="宋体" w:cs="宋体"/>
          <w:bCs/>
          <w:snapToGrid w:val="0"/>
          <w:kern w:val="0"/>
          <w:szCs w:val="21"/>
        </w:rPr>
      </w:pPr>
      <w:r>
        <w:rPr>
          <w:szCs w:val="21"/>
        </w:rPr>
        <w:t>2</w:t>
      </w:r>
      <w:r>
        <w:rPr>
          <w:rFonts w:hint="eastAsia" w:hAnsi="宋体"/>
          <w:szCs w:val="21"/>
        </w:rPr>
        <w:t xml:space="preserve">. </w:t>
      </w:r>
      <w:r>
        <w:rPr>
          <w:rFonts w:hint="eastAsia" w:ascii="宋体" w:hAnsi="宋体" w:cs="宋体"/>
          <w:bCs/>
          <w:snapToGrid w:val="0"/>
          <w:kern w:val="0"/>
          <w:szCs w:val="21"/>
        </w:rPr>
        <w:t>螺纹紧固的画法和标注；</w:t>
      </w:r>
    </w:p>
    <w:p>
      <w:pPr>
        <w:spacing w:line="360" w:lineRule="auto"/>
        <w:ind w:firstLine="420" w:firstLineChars="200"/>
        <w:rPr>
          <w:rFonts w:ascii="宋体" w:hAnsi="宋体" w:cs="宋体"/>
          <w:snapToGrid w:val="0"/>
          <w:kern w:val="0"/>
          <w:szCs w:val="21"/>
        </w:rPr>
      </w:pPr>
      <w:r>
        <w:rPr>
          <w:rFonts w:hint="eastAsia" w:ascii="黑体" w:hAnsi="宋体" w:eastAsia="黑体" w:cs="宋体"/>
          <w:snapToGrid w:val="0"/>
          <w:kern w:val="0"/>
          <w:szCs w:val="21"/>
        </w:rPr>
        <w:t>重点：</w:t>
      </w:r>
      <w:r>
        <w:rPr>
          <w:rFonts w:hint="eastAsia" w:ascii="宋体" w:hAnsi="宋体" w:cs="宋体"/>
          <w:snapToGrid w:val="0"/>
          <w:kern w:val="0"/>
          <w:szCs w:val="21"/>
        </w:rPr>
        <w:t>掌握螺纹的规定画法和标注方法；掌握常用螺纹紧固件的画法及装配画法。</w:t>
      </w:r>
    </w:p>
    <w:p>
      <w:pPr>
        <w:spacing w:line="360" w:lineRule="auto"/>
        <w:ind w:firstLine="420" w:firstLineChars="200"/>
        <w:rPr>
          <w:rFonts w:ascii="宋体" w:hAnsi="宋体" w:cs="宋体"/>
          <w:snapToGrid w:val="0"/>
          <w:kern w:val="0"/>
          <w:szCs w:val="21"/>
        </w:rPr>
      </w:pPr>
      <w:r>
        <w:rPr>
          <w:rFonts w:hint="eastAsia" w:ascii="黑体" w:hAnsi="宋体" w:eastAsia="黑体" w:cs="宋体"/>
          <w:snapToGrid w:val="0"/>
          <w:kern w:val="0"/>
          <w:szCs w:val="21"/>
        </w:rPr>
        <w:t>难点：</w:t>
      </w:r>
      <w:r>
        <w:rPr>
          <w:rFonts w:hint="eastAsia" w:ascii="宋体" w:hAnsi="宋体" w:cs="宋体"/>
          <w:snapToGrid w:val="0"/>
          <w:kern w:val="0"/>
          <w:szCs w:val="21"/>
        </w:rPr>
        <w:t>螺纹连接以及螺纹紧固件的画法。</w:t>
      </w:r>
    </w:p>
    <w:p>
      <w:pPr>
        <w:adjustRightInd w:val="0"/>
        <w:spacing w:line="360" w:lineRule="auto"/>
        <w:ind w:firstLine="420" w:firstLineChars="200"/>
        <w:rPr>
          <w:szCs w:val="21"/>
        </w:rPr>
      </w:pPr>
      <w:r>
        <w:rPr>
          <w:rFonts w:hint="eastAsia"/>
          <w:szCs w:val="21"/>
        </w:rPr>
        <w:t>本章节内容支撑课程目标 1。</w:t>
      </w:r>
    </w:p>
    <w:p>
      <w:pPr>
        <w:spacing w:line="360" w:lineRule="auto"/>
        <w:rPr>
          <w:b/>
          <w:bCs/>
          <w:sz w:val="24"/>
        </w:rPr>
      </w:pPr>
    </w:p>
    <w:p>
      <w:pPr>
        <w:tabs>
          <w:tab w:val="left" w:pos="420"/>
        </w:tabs>
        <w:spacing w:line="360" w:lineRule="auto"/>
        <w:ind w:left="420" w:hanging="420"/>
        <w:rPr>
          <w:rFonts w:eastAsia="黑体"/>
          <w:szCs w:val="21"/>
        </w:rPr>
      </w:pPr>
      <w:r>
        <w:rPr>
          <w:rFonts w:hint="eastAsia" w:eastAsia="黑体"/>
          <w:szCs w:val="21"/>
        </w:rPr>
        <w:t>四、实验教学内容</w:t>
      </w:r>
    </w:p>
    <w:p>
      <w:pPr>
        <w:spacing w:line="360" w:lineRule="auto"/>
        <w:ind w:firstLine="424"/>
        <w:rPr>
          <w:rFonts w:ascii="宋体" w:hAnsi="宋体" w:cs="宋体"/>
          <w:kern w:val="0"/>
          <w:szCs w:val="21"/>
        </w:rPr>
      </w:pPr>
      <w:r>
        <w:rPr>
          <w:rFonts w:hint="eastAsia" w:ascii="宋体" w:hAnsi="宋体" w:cs="宋体"/>
          <w:kern w:val="0"/>
          <w:szCs w:val="21"/>
        </w:rPr>
        <w:t>无</w:t>
      </w:r>
    </w:p>
    <w:p>
      <w:pPr>
        <w:spacing w:line="360" w:lineRule="auto"/>
        <w:ind w:firstLine="424"/>
        <w:rPr>
          <w:rFonts w:ascii="宋体" w:hAnsi="宋体" w:cs="宋体"/>
          <w:b/>
          <w:bCs/>
          <w:color w:val="0B5FD1"/>
          <w:kern w:val="0"/>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1263"/>
        <w:gridCol w:w="1675"/>
        <w:gridCol w:w="13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adjustRightInd w:val="0"/>
              <w:snapToGrid w:val="0"/>
              <w:jc w:val="center"/>
              <w:rPr>
                <w:sz w:val="18"/>
                <w:szCs w:val="18"/>
              </w:rPr>
            </w:pPr>
            <w:r>
              <w:rPr>
                <w:rFonts w:hint="eastAsia"/>
                <w:sz w:val="18"/>
                <w:szCs w:val="18"/>
              </w:rPr>
              <w:t>知识点及内容</w:t>
            </w:r>
          </w:p>
        </w:tc>
        <w:tc>
          <w:tcPr>
            <w:tcW w:w="741" w:type="pct"/>
            <w:vAlign w:val="center"/>
          </w:tcPr>
          <w:p>
            <w:pPr>
              <w:adjustRightInd w:val="0"/>
              <w:snapToGrid w:val="0"/>
              <w:jc w:val="center"/>
              <w:rPr>
                <w:sz w:val="18"/>
                <w:szCs w:val="18"/>
              </w:rPr>
            </w:pPr>
            <w:r>
              <w:rPr>
                <w:rFonts w:hint="eastAsia"/>
                <w:sz w:val="18"/>
                <w:szCs w:val="18"/>
              </w:rPr>
              <w:t>讲授（学时）</w:t>
            </w:r>
          </w:p>
        </w:tc>
        <w:tc>
          <w:tcPr>
            <w:tcW w:w="983" w:type="pct"/>
            <w:vAlign w:val="center"/>
          </w:tcPr>
          <w:p>
            <w:pPr>
              <w:adjustRightInd w:val="0"/>
              <w:snapToGrid w:val="0"/>
              <w:jc w:val="center"/>
              <w:rPr>
                <w:sz w:val="18"/>
                <w:szCs w:val="18"/>
              </w:rPr>
            </w:pPr>
            <w:r>
              <w:rPr>
                <w:rFonts w:hint="eastAsia"/>
                <w:sz w:val="18"/>
                <w:szCs w:val="18"/>
              </w:rPr>
              <w:t>实验（学时）</w:t>
            </w:r>
          </w:p>
        </w:tc>
        <w:tc>
          <w:tcPr>
            <w:tcW w:w="804"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adjustRightInd w:val="0"/>
              <w:snapToGrid w:val="0"/>
              <w:ind w:firstLine="282" w:firstLineChars="157"/>
              <w:jc w:val="left"/>
              <w:rPr>
                <w:sz w:val="18"/>
                <w:szCs w:val="18"/>
              </w:rPr>
            </w:pPr>
            <w:r>
              <w:rPr>
                <w:rFonts w:hint="eastAsia"/>
                <w:sz w:val="18"/>
                <w:szCs w:val="18"/>
              </w:rPr>
              <w:t>1 绪论</w:t>
            </w:r>
          </w:p>
        </w:tc>
        <w:tc>
          <w:tcPr>
            <w:tcW w:w="741" w:type="pct"/>
            <w:vAlign w:val="center"/>
          </w:tcPr>
          <w:p>
            <w:pPr>
              <w:adjustRightInd w:val="0"/>
              <w:snapToGrid w:val="0"/>
              <w:jc w:val="center"/>
              <w:rPr>
                <w:sz w:val="18"/>
                <w:szCs w:val="18"/>
              </w:rPr>
            </w:pPr>
            <w:r>
              <w:rPr>
                <w:rFonts w:hint="eastAsia"/>
                <w:sz w:val="18"/>
                <w:szCs w:val="18"/>
              </w:rPr>
              <w:t>1</w:t>
            </w:r>
          </w:p>
        </w:tc>
        <w:tc>
          <w:tcPr>
            <w:tcW w:w="983"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snapToGrid w:val="0"/>
                <w:kern w:val="0"/>
                <w:sz w:val="18"/>
                <w:szCs w:val="18"/>
              </w:rPr>
            </w:pPr>
            <w:r>
              <w:rPr>
                <w:rFonts w:hint="eastAsia" w:ascii="宋体" w:hAnsi="宋体" w:cs="宋体"/>
                <w:bCs/>
                <w:snapToGrid w:val="0"/>
                <w:kern w:val="0"/>
                <w:sz w:val="18"/>
                <w:szCs w:val="18"/>
              </w:rPr>
              <w:t>2</w:t>
            </w:r>
            <w:r>
              <w:rPr>
                <w:rFonts w:ascii="宋体" w:hAnsi="宋体" w:cs="宋体"/>
                <w:bCs/>
                <w:snapToGrid w:val="0"/>
                <w:kern w:val="0"/>
                <w:sz w:val="18"/>
                <w:szCs w:val="18"/>
              </w:rPr>
              <w:t xml:space="preserve"> </w:t>
            </w:r>
            <w:r>
              <w:rPr>
                <w:rFonts w:hint="eastAsia" w:ascii="宋体" w:hAnsi="宋体" w:cs="宋体"/>
                <w:bCs/>
                <w:snapToGrid w:val="0"/>
                <w:kern w:val="0"/>
                <w:sz w:val="18"/>
                <w:szCs w:val="18"/>
              </w:rPr>
              <w:t>正投影法基础</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5</w:t>
            </w:r>
          </w:p>
        </w:tc>
        <w:tc>
          <w:tcPr>
            <w:tcW w:w="983" w:type="pct"/>
            <w:vAlign w:val="center"/>
          </w:tcPr>
          <w:p>
            <w:pPr>
              <w:widowControl/>
              <w:adjustRightInd w:val="0"/>
              <w:snapToGrid w:val="0"/>
              <w:ind w:firstLine="397"/>
              <w:rPr>
                <w:rFonts w:ascii="宋体" w:cs="宋体"/>
                <w:kern w:val="0"/>
                <w:sz w:val="18"/>
                <w:szCs w:val="18"/>
              </w:rPr>
            </w:pPr>
            <w:r>
              <w:rPr>
                <w:rFonts w:hint="eastAsia" w:ascii="宋体" w:cs="宋体"/>
                <w:kern w:val="0"/>
                <w:sz w:val="18"/>
                <w:szCs w:val="18"/>
              </w:rPr>
              <w:t xml:space="preserve">   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snapToGrid w:val="0"/>
                <w:kern w:val="0"/>
                <w:sz w:val="18"/>
                <w:szCs w:val="18"/>
              </w:rPr>
            </w:pPr>
            <w:r>
              <w:rPr>
                <w:rFonts w:hint="eastAsia" w:ascii="宋体" w:hAnsi="宋体" w:cs="宋体"/>
                <w:bCs/>
                <w:snapToGrid w:val="0"/>
                <w:kern w:val="0"/>
                <w:sz w:val="18"/>
                <w:szCs w:val="18"/>
              </w:rPr>
              <w:t>3</w:t>
            </w:r>
            <w:r>
              <w:rPr>
                <w:rFonts w:ascii="宋体" w:hAnsi="宋体" w:cs="宋体"/>
                <w:bCs/>
                <w:snapToGrid w:val="0"/>
                <w:kern w:val="0"/>
                <w:sz w:val="18"/>
                <w:szCs w:val="18"/>
              </w:rPr>
              <w:t xml:space="preserve"> </w:t>
            </w:r>
            <w:r>
              <w:rPr>
                <w:rFonts w:hint="eastAsia" w:ascii="宋体" w:hAnsi="宋体" w:cs="宋体"/>
                <w:bCs/>
                <w:snapToGrid w:val="0"/>
                <w:kern w:val="0"/>
                <w:sz w:val="18"/>
                <w:szCs w:val="18"/>
              </w:rPr>
              <w:t>立体</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8</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kern w:val="0"/>
                <w:sz w:val="18"/>
                <w:szCs w:val="18"/>
              </w:rPr>
            </w:pPr>
            <w:r>
              <w:rPr>
                <w:rFonts w:hint="eastAsia" w:ascii="宋体" w:hAnsi="宋体" w:cs="宋体"/>
                <w:snapToGrid w:val="0"/>
                <w:kern w:val="0"/>
                <w:sz w:val="18"/>
                <w:szCs w:val="18"/>
              </w:rPr>
              <w:t>4</w:t>
            </w:r>
            <w:r>
              <w:rPr>
                <w:rFonts w:ascii="宋体" w:hAnsi="宋体" w:cs="宋体"/>
                <w:snapToGrid w:val="0"/>
                <w:kern w:val="0"/>
                <w:sz w:val="18"/>
                <w:szCs w:val="18"/>
              </w:rPr>
              <w:t xml:space="preserve"> </w:t>
            </w:r>
            <w:r>
              <w:rPr>
                <w:rFonts w:hint="eastAsia" w:ascii="宋体" w:hAnsi="宋体" w:cs="宋体"/>
                <w:snapToGrid w:val="0"/>
                <w:kern w:val="0"/>
                <w:sz w:val="18"/>
                <w:szCs w:val="18"/>
              </w:rPr>
              <w:t>制图基本知识</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4</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kern w:val="0"/>
                <w:sz w:val="18"/>
                <w:szCs w:val="18"/>
              </w:rPr>
            </w:pPr>
            <w:r>
              <w:rPr>
                <w:rFonts w:hint="eastAsia" w:ascii="宋体" w:hAnsi="宋体" w:cs="宋体"/>
                <w:snapToGrid w:val="0"/>
                <w:kern w:val="0"/>
                <w:sz w:val="18"/>
                <w:szCs w:val="18"/>
              </w:rPr>
              <w:t>5</w:t>
            </w:r>
            <w:r>
              <w:rPr>
                <w:rFonts w:ascii="宋体" w:hAnsi="宋体" w:cs="宋体"/>
                <w:snapToGrid w:val="0"/>
                <w:kern w:val="0"/>
                <w:sz w:val="18"/>
                <w:szCs w:val="18"/>
              </w:rPr>
              <w:t xml:space="preserve"> </w:t>
            </w:r>
            <w:r>
              <w:rPr>
                <w:rFonts w:hint="eastAsia" w:ascii="宋体" w:hAnsi="宋体" w:cs="宋体"/>
                <w:snapToGrid w:val="0"/>
                <w:kern w:val="0"/>
                <w:sz w:val="18"/>
                <w:szCs w:val="18"/>
              </w:rPr>
              <w:t>计算机绘图</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6</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kern w:val="0"/>
                <w:sz w:val="18"/>
                <w:szCs w:val="18"/>
              </w:rPr>
            </w:pPr>
            <w:r>
              <w:rPr>
                <w:rFonts w:hint="eastAsia" w:ascii="宋体" w:hAnsi="宋体"/>
                <w:snapToGrid w:val="0"/>
                <w:kern w:val="0"/>
                <w:sz w:val="18"/>
                <w:szCs w:val="18"/>
              </w:rPr>
              <w:t>6组合体三视图</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8</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kern w:val="0"/>
                <w:sz w:val="18"/>
                <w:szCs w:val="18"/>
              </w:rPr>
            </w:pPr>
            <w:r>
              <w:rPr>
                <w:rFonts w:hint="eastAsia" w:ascii="宋体" w:hAnsi="宋体" w:cs="宋体"/>
                <w:kern w:val="0"/>
                <w:sz w:val="18"/>
                <w:szCs w:val="18"/>
              </w:rPr>
              <w:t>7 机件常用表达方法</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10</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ind w:firstLine="282" w:firstLineChars="157"/>
              <w:rPr>
                <w:rFonts w:ascii="宋体" w:cs="宋体"/>
                <w:kern w:val="0"/>
                <w:sz w:val="18"/>
                <w:szCs w:val="18"/>
              </w:rPr>
            </w:pPr>
            <w:r>
              <w:rPr>
                <w:rFonts w:hint="eastAsia" w:ascii="宋体" w:hAnsi="宋体" w:cs="宋体"/>
                <w:kern w:val="0"/>
                <w:sz w:val="18"/>
                <w:szCs w:val="18"/>
              </w:rPr>
              <w:t>8 标准件</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6</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合   计</w:t>
            </w:r>
          </w:p>
        </w:tc>
        <w:tc>
          <w:tcPr>
            <w:tcW w:w="741"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48</w:t>
            </w:r>
          </w:p>
        </w:tc>
        <w:tc>
          <w:tcPr>
            <w:tcW w:w="983" w:type="pct"/>
            <w:vAlign w:val="center"/>
          </w:tcPr>
          <w:p>
            <w:pPr>
              <w:widowControl/>
              <w:adjustRightInd w:val="0"/>
              <w:snapToGrid w:val="0"/>
              <w:jc w:val="center"/>
              <w:rPr>
                <w:rFonts w:ascii="宋体" w:cs="宋体"/>
                <w:kern w:val="0"/>
                <w:sz w:val="18"/>
                <w:szCs w:val="18"/>
              </w:rPr>
            </w:pPr>
            <w:r>
              <w:rPr>
                <w:rFonts w:hint="eastAsia" w:ascii="宋体" w:cs="宋体"/>
                <w:kern w:val="0"/>
                <w:sz w:val="18"/>
                <w:szCs w:val="18"/>
              </w:rPr>
              <w:t>0</w:t>
            </w:r>
          </w:p>
        </w:tc>
        <w:tc>
          <w:tcPr>
            <w:tcW w:w="804" w:type="pct"/>
            <w:vAlign w:val="center"/>
          </w:tcPr>
          <w:p>
            <w:pPr>
              <w:widowControl/>
              <w:adjustRightInd w:val="0"/>
              <w:snapToGrid w:val="0"/>
              <w:jc w:val="center"/>
              <w:rPr>
                <w:rFonts w:ascii="宋体" w:cs="宋体"/>
                <w:kern w:val="0"/>
                <w:sz w:val="18"/>
                <w:szCs w:val="18"/>
              </w:rPr>
            </w:pPr>
            <w:r>
              <w:rPr>
                <w:rFonts w:hint="eastAsia" w:ascii="宋体" w:hAnsi="宋体" w:cs="宋体"/>
                <w:kern w:val="0"/>
                <w:sz w:val="18"/>
                <w:szCs w:val="18"/>
              </w:rPr>
              <w:t>48</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spacing w:line="360" w:lineRule="auto"/>
        <w:ind w:firstLine="420" w:firstLineChars="200"/>
        <w:rPr>
          <w:szCs w:val="21"/>
        </w:rPr>
      </w:pPr>
      <w:r>
        <w:rPr>
          <w:szCs w:val="21"/>
        </w:rPr>
        <w:t>1</w:t>
      </w:r>
      <w:r>
        <w:rPr>
          <w:rFonts w:hint="eastAsia"/>
          <w:szCs w:val="21"/>
        </w:rPr>
        <w:t>、李虹、蕫黎君主编. 工程制图基础，</w:t>
      </w:r>
      <w:r>
        <w:rPr>
          <w:szCs w:val="21"/>
        </w:rPr>
        <w:t>ISBN 978</w:t>
      </w:r>
      <w:r>
        <w:rPr>
          <w:rFonts w:hint="eastAsia"/>
          <w:szCs w:val="21"/>
        </w:rPr>
        <w:t xml:space="preserve">-7-04-030122-9，高等教育出版社。 </w:t>
      </w:r>
    </w:p>
    <w:p>
      <w:pPr>
        <w:spacing w:line="360" w:lineRule="auto"/>
        <w:ind w:firstLine="420" w:firstLineChars="200"/>
        <w:rPr>
          <w:szCs w:val="21"/>
        </w:rPr>
      </w:pPr>
      <w:r>
        <w:rPr>
          <w:szCs w:val="21"/>
        </w:rPr>
        <w:t>2</w:t>
      </w:r>
      <w:r>
        <w:rPr>
          <w:rFonts w:hint="eastAsia"/>
          <w:szCs w:val="21"/>
        </w:rPr>
        <w:t>、李虹等主编. 工程制图，</w:t>
      </w:r>
      <w:r>
        <w:rPr>
          <w:szCs w:val="21"/>
        </w:rPr>
        <w:t>ISBN 978</w:t>
      </w:r>
      <w:r>
        <w:rPr>
          <w:rFonts w:hint="eastAsia"/>
          <w:szCs w:val="21"/>
        </w:rPr>
        <w:t>-7-118-05586-3，国防工业出版社。</w:t>
      </w: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1、考核方式：考试、作业及课堂提问</w:t>
      </w:r>
      <w:r>
        <w:rPr>
          <w:szCs w:val="21"/>
        </w:rPr>
        <w:t xml:space="preserve"> </w:t>
      </w:r>
    </w:p>
    <w:p>
      <w:pPr>
        <w:spacing w:line="360" w:lineRule="auto"/>
        <w:ind w:firstLine="420" w:firstLineChars="200"/>
        <w:rPr>
          <w:szCs w:val="21"/>
        </w:rPr>
      </w:pPr>
      <w:r>
        <w:rPr>
          <w:rFonts w:hint="eastAsia"/>
          <w:szCs w:val="21"/>
        </w:rPr>
        <w:t>2、考核目标：在考核学生对正投影法和三视图投影规律的基本知识、基本原理和方法的基础上，重点考核学生的组合体三视图的画图和看图能力、机件的绘制和阅读图样能力。</w:t>
      </w:r>
      <w:r>
        <w:rPr>
          <w:szCs w:val="21"/>
        </w:rPr>
        <w:t xml:space="preserve"> </w:t>
      </w:r>
    </w:p>
    <w:p>
      <w:pPr>
        <w:spacing w:line="360" w:lineRule="auto"/>
        <w:ind w:firstLine="420" w:firstLineChars="200"/>
        <w:rPr>
          <w:szCs w:val="21"/>
        </w:rPr>
      </w:pPr>
      <w:r>
        <w:rPr>
          <w:rFonts w:hint="eastAsia"/>
          <w:szCs w:val="21"/>
        </w:rPr>
        <w:t>3、成绩构成：</w:t>
      </w:r>
    </w:p>
    <w:p>
      <w:pPr>
        <w:spacing w:line="360" w:lineRule="auto"/>
        <w:ind w:firstLine="420" w:firstLineChars="200"/>
        <w:rPr>
          <w:szCs w:val="21"/>
        </w:rPr>
      </w:pPr>
      <w:r>
        <w:rPr>
          <w:rFonts w:hint="eastAsia"/>
          <w:szCs w:val="21"/>
        </w:rPr>
        <w:t>本课程通过“平时成绩”和“期末考试”两种方式对课程目标达成进行评价，考核成绩计算公式如下（本大纲中成绩均采用百分制）：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1"/>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课堂提问（平时）</w:t>
            </w:r>
          </w:p>
        </w:tc>
        <w:tc>
          <w:tcPr>
            <w:tcW w:w="16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66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w:t>
            </w:r>
          </w:p>
        </w:tc>
        <w:tc>
          <w:tcPr>
            <w:tcW w:w="16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1</w:t>
            </w:r>
            <w:r>
              <w:rPr>
                <w:sz w:val="18"/>
                <w:szCs w:val="18"/>
              </w:rPr>
              <w:t>5</w:t>
            </w:r>
          </w:p>
        </w:tc>
        <w:tc>
          <w:tcPr>
            <w:tcW w:w="166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80</w:t>
            </w:r>
          </w:p>
        </w:tc>
      </w:tr>
    </w:tbl>
    <w:p>
      <w:pPr>
        <w:widowControl/>
        <w:spacing w:line="360" w:lineRule="auto"/>
        <w:ind w:firstLine="1890" w:firstLineChars="900"/>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998"/>
        <w:gridCol w:w="2330"/>
        <w:gridCol w:w="2166"/>
        <w:gridCol w:w="2028"/>
      </w:tblGrid>
      <w:tr>
        <w:tblPrEx>
          <w:tblCellMar>
            <w:top w:w="0" w:type="dxa"/>
            <w:left w:w="108" w:type="dxa"/>
            <w:bottom w:w="0" w:type="dxa"/>
            <w:right w:w="108" w:type="dxa"/>
          </w:tblCellMar>
        </w:tblPrEx>
        <w:trPr>
          <w:trHeight w:val="986" w:hRule="atLeast"/>
          <w:jc w:val="center"/>
        </w:trPr>
        <w:tc>
          <w:tcPr>
            <w:tcW w:w="117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rFonts w:hint="eastAsia"/>
                <w:sz w:val="18"/>
                <w:szCs w:val="18"/>
              </w:rPr>
              <w:t>W1</w:t>
            </w:r>
            <w:r>
              <w:rPr>
                <w:rFonts w:hint="eastAsia"/>
                <w:sz w:val="18"/>
                <w:szCs w:val="18"/>
                <w:vertAlign w:val="subscript"/>
              </w:rPr>
              <w:t>i</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rFonts w:hint="eastAsia"/>
                <w:sz w:val="18"/>
                <w:szCs w:val="18"/>
              </w:rPr>
              <w:t>W2</w:t>
            </w:r>
            <w:r>
              <w:rPr>
                <w:rFonts w:hint="eastAsia"/>
                <w:sz w:val="18"/>
                <w:szCs w:val="18"/>
                <w:vertAlign w:val="subscript"/>
              </w:rPr>
              <w:t>i</w:t>
            </w:r>
          </w:p>
        </w:tc>
        <w:tc>
          <w:tcPr>
            <w:tcW w:w="1190"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w:t>
            </w:r>
            <w:r>
              <w:rPr>
                <w:sz w:val="18"/>
                <w:szCs w:val="18"/>
              </w:rPr>
              <w:t>3</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72" w:type="pct"/>
            <w:tcBorders>
              <w:top w:val="nil"/>
              <w:left w:val="nil"/>
              <w:bottom w:val="single" w:color="auto" w:sz="4" w:space="0"/>
              <w:right w:val="single" w:color="auto" w:sz="4" w:space="0"/>
            </w:tcBorders>
            <w:vAlign w:val="center"/>
          </w:tcPr>
          <w:p>
            <w:pPr>
              <w:jc w:val="center"/>
            </w:pPr>
            <w:r>
              <w:t>1</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50—60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60—70</w:t>
            </w:r>
          </w:p>
        </w:tc>
        <w:tc>
          <w:tcPr>
            <w:tcW w:w="1190" w:type="pct"/>
            <w:tcBorders>
              <w:top w:val="single" w:color="auto" w:sz="4" w:space="0"/>
              <w:left w:val="single" w:color="auto" w:sz="4" w:space="0"/>
              <w:bottom w:val="single" w:color="auto" w:sz="4" w:space="0"/>
              <w:right w:val="nil"/>
            </w:tcBorders>
            <w:vAlign w:val="center"/>
          </w:tcPr>
          <w:p>
            <w:pPr>
              <w:jc w:val="center"/>
            </w:pPr>
            <w:r>
              <w:rPr>
                <w:rFonts w:hint="eastAsia"/>
              </w:rPr>
              <w:t>70—80</w:t>
            </w:r>
          </w:p>
        </w:tc>
      </w:tr>
      <w:tr>
        <w:tblPrEx>
          <w:tblCellMar>
            <w:top w:w="0" w:type="dxa"/>
            <w:left w:w="108" w:type="dxa"/>
            <w:bottom w:w="0" w:type="dxa"/>
            <w:right w:w="108" w:type="dxa"/>
          </w:tblCellMar>
        </w:tblPrEx>
        <w:trPr>
          <w:jc w:val="center"/>
        </w:trPr>
        <w:tc>
          <w:tcPr>
            <w:tcW w:w="1172" w:type="pct"/>
            <w:tcBorders>
              <w:top w:val="nil"/>
              <w:left w:val="nil"/>
              <w:bottom w:val="single" w:color="auto" w:sz="4" w:space="0"/>
              <w:right w:val="single" w:color="auto" w:sz="4" w:space="0"/>
            </w:tcBorders>
            <w:vAlign w:val="center"/>
          </w:tcPr>
          <w:p>
            <w:pPr>
              <w:jc w:val="center"/>
            </w:pPr>
            <w:r>
              <w:t>2</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40—50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30—40</w:t>
            </w:r>
          </w:p>
        </w:tc>
        <w:tc>
          <w:tcPr>
            <w:tcW w:w="1190" w:type="pct"/>
            <w:tcBorders>
              <w:top w:val="single" w:color="auto" w:sz="4" w:space="0"/>
              <w:left w:val="single" w:color="auto" w:sz="4" w:space="0"/>
              <w:bottom w:val="single" w:color="auto" w:sz="4" w:space="0"/>
              <w:right w:val="nil"/>
            </w:tcBorders>
            <w:vAlign w:val="center"/>
          </w:tcPr>
          <w:p>
            <w:pPr>
              <w:jc w:val="center"/>
            </w:pPr>
            <w:r>
              <w:rPr>
                <w:rFonts w:hint="eastAsia"/>
              </w:rPr>
              <w:t>20—30</w:t>
            </w:r>
          </w:p>
        </w:tc>
      </w:tr>
    </w:tbl>
    <w:p>
      <w:pPr>
        <w:spacing w:line="360" w:lineRule="auto"/>
        <w:rPr>
          <w:szCs w:val="21"/>
        </w:rPr>
      </w:pPr>
    </w:p>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spacing w:line="360" w:lineRule="auto"/>
        <w:ind w:firstLine="420" w:firstLineChars="200"/>
        <w:rPr>
          <w:szCs w:val="21"/>
        </w:rPr>
      </w:pPr>
    </w:p>
    <w:p>
      <w:pPr>
        <w:spacing w:line="360" w:lineRule="auto"/>
        <w:ind w:firstLine="420" w:firstLineChars="200"/>
        <w:rPr>
          <w:rFonts w:eastAsia="黑体"/>
        </w:rPr>
      </w:pPr>
    </w:p>
    <w:p>
      <w:pPr>
        <w:spacing w:line="360" w:lineRule="auto"/>
        <w:ind w:firstLine="360" w:firstLineChars="200"/>
        <w:rPr>
          <w:rFonts w:ascii="宋体" w:hAnsi="宋体"/>
          <w:sz w:val="18"/>
          <w:szCs w:val="18"/>
          <w:shd w:val="clear" w:color="auto" w:fill="FFFFFF"/>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pStyle w:val="20"/>
        <w:spacing w:before="312" w:after="468"/>
      </w:pPr>
      <w:bookmarkStart w:id="86" w:name="_Toc19421"/>
      <w:r>
        <w:rPr>
          <w:rFonts w:hint="eastAsia"/>
        </w:rPr>
        <w:t>《</w:t>
      </w:r>
      <w:r>
        <w:t>X02040041</w:t>
      </w:r>
      <w:r>
        <w:rPr>
          <w:rFonts w:hint="eastAsia"/>
        </w:rPr>
        <w:t>-环境保护与可持续发展》教学大纲</w:t>
      </w:r>
      <w:bookmarkEnd w:id="86"/>
    </w:p>
    <w:p>
      <w:pPr>
        <w:adjustRightInd w:val="0"/>
        <w:snapToGrid w:val="0"/>
        <w:spacing w:line="360" w:lineRule="auto"/>
        <w:rPr>
          <w:rFonts w:eastAsia="黑体"/>
          <w:color w:val="000000"/>
          <w:szCs w:val="21"/>
        </w:rPr>
      </w:pPr>
      <w:r>
        <w:rPr>
          <w:rFonts w:hint="eastAsia" w:ascii="黑体" w:hAnsi="黑体" w:eastAsia="黑体"/>
          <w:color w:val="000000"/>
        </w:rPr>
        <w:t>课程编号：</w:t>
      </w:r>
      <w:r>
        <w:rPr>
          <w:rFonts w:hint="eastAsia" w:eastAsia="黑体"/>
          <w:color w:val="000000"/>
        </w:rPr>
        <w:t>X02040041</w:t>
      </w:r>
    </w:p>
    <w:p>
      <w:pPr>
        <w:adjustRightInd w:val="0"/>
        <w:snapToGrid w:val="0"/>
        <w:spacing w:line="360" w:lineRule="auto"/>
        <w:rPr>
          <w:rFonts w:eastAsia="黑体"/>
          <w:color w:val="000000"/>
        </w:rPr>
      </w:pPr>
      <w:r>
        <w:rPr>
          <w:rFonts w:hint="eastAsia" w:ascii="黑体" w:hAnsi="黑体" w:eastAsia="黑体"/>
          <w:color w:val="000000"/>
        </w:rPr>
        <w:t>课程名称：</w:t>
      </w:r>
      <w:r>
        <w:rPr>
          <w:rFonts w:hint="eastAsia" w:ascii="宋体" w:hAnsi="宋体"/>
          <w:color w:val="000000"/>
        </w:rPr>
        <w:t>环境保护与可持续发展</w:t>
      </w:r>
      <w:r>
        <w:rPr>
          <w:rFonts w:hint="eastAsia" w:eastAsia="黑体"/>
          <w:color w:val="000000"/>
        </w:rPr>
        <w:t xml:space="preserve">               </w:t>
      </w:r>
      <w:r>
        <w:rPr>
          <w:rFonts w:hint="eastAsia" w:ascii="黑体" w:hAnsi="黑体" w:eastAsia="黑体"/>
          <w:color w:val="000000"/>
        </w:rPr>
        <w:t>开课单位：</w:t>
      </w:r>
      <w:r>
        <w:rPr>
          <w:rFonts w:hint="eastAsia" w:ascii="宋体" w:hAnsi="宋体"/>
          <w:color w:val="000000"/>
        </w:rPr>
        <w:t>环境与安全工程学院</w:t>
      </w:r>
      <w:r>
        <w:rPr>
          <w:rFonts w:hint="eastAsia" w:eastAsia="黑体"/>
          <w:color w:val="000000"/>
        </w:rPr>
        <w:t xml:space="preserve">                 </w:t>
      </w:r>
    </w:p>
    <w:p>
      <w:pPr>
        <w:adjustRightInd w:val="0"/>
        <w:snapToGrid w:val="0"/>
        <w:spacing w:line="360" w:lineRule="auto"/>
        <w:rPr>
          <w:rFonts w:eastAsia="黑体"/>
          <w:color w:val="000000"/>
        </w:rPr>
      </w:pPr>
      <w:r>
        <w:rPr>
          <w:rFonts w:hint="eastAsia" w:ascii="黑体" w:hAnsi="黑体" w:eastAsia="黑体"/>
          <w:color w:val="000000"/>
        </w:rPr>
        <w:t>总</w:t>
      </w:r>
      <w:r>
        <w:rPr>
          <w:rFonts w:hint="eastAsia" w:eastAsia="黑体"/>
          <w:color w:val="000000"/>
        </w:rPr>
        <w:t xml:space="preserve"> </w:t>
      </w:r>
      <w:r>
        <w:rPr>
          <w:rFonts w:hint="eastAsia" w:ascii="黑体" w:hAnsi="黑体" w:eastAsia="黑体"/>
          <w:color w:val="000000"/>
        </w:rPr>
        <w:t>学</w:t>
      </w:r>
      <w:r>
        <w:rPr>
          <w:rFonts w:hint="eastAsia" w:eastAsia="黑体"/>
          <w:color w:val="000000"/>
        </w:rPr>
        <w:t xml:space="preserve"> </w:t>
      </w:r>
      <w:r>
        <w:rPr>
          <w:rFonts w:hint="eastAsia" w:ascii="黑体" w:hAnsi="黑体" w:eastAsia="黑体"/>
          <w:color w:val="000000"/>
        </w:rPr>
        <w:t>时：</w:t>
      </w:r>
      <w:r>
        <w:rPr>
          <w:rFonts w:hint="eastAsia" w:eastAsia="黑体"/>
          <w:color w:val="000000"/>
        </w:rPr>
        <w:t>16</w:t>
      </w:r>
      <w:r>
        <w:rPr>
          <w:rFonts w:hint="eastAsia" w:eastAsia="黑体"/>
          <w:color w:val="000000"/>
        </w:rPr>
        <w:tab/>
      </w:r>
      <w:r>
        <w:rPr>
          <w:rFonts w:hint="eastAsia" w:eastAsia="黑体"/>
          <w:color w:val="000000"/>
        </w:rPr>
        <w:t xml:space="preserve">                                 </w:t>
      </w:r>
      <w:r>
        <w:rPr>
          <w:rFonts w:hint="eastAsia" w:ascii="黑体" w:hAnsi="黑体" w:eastAsia="黑体"/>
          <w:color w:val="000000"/>
        </w:rPr>
        <w:t>学</w:t>
      </w:r>
      <w:r>
        <w:rPr>
          <w:rFonts w:hint="eastAsia" w:eastAsia="黑体"/>
          <w:color w:val="000000"/>
        </w:rPr>
        <w:t xml:space="preserve">    </w:t>
      </w:r>
      <w:r>
        <w:rPr>
          <w:rFonts w:hint="eastAsia" w:ascii="黑体" w:hAnsi="黑体" w:eastAsia="黑体"/>
          <w:color w:val="000000"/>
        </w:rPr>
        <w:t>分：</w:t>
      </w:r>
      <w:r>
        <w:rPr>
          <w:rFonts w:hint="eastAsia" w:eastAsia="黑体"/>
          <w:color w:val="000000"/>
        </w:rPr>
        <w:t>0.5</w:t>
      </w:r>
    </w:p>
    <w:p>
      <w:pPr>
        <w:adjustRightInd w:val="0"/>
        <w:snapToGrid w:val="0"/>
        <w:spacing w:line="360" w:lineRule="auto"/>
        <w:rPr>
          <w:color w:val="000000"/>
        </w:rPr>
      </w:pPr>
      <w:r>
        <w:rPr>
          <w:rFonts w:hint="eastAsia" w:ascii="黑体" w:hAnsi="黑体" w:eastAsia="黑体"/>
          <w:color w:val="000000"/>
        </w:rPr>
        <w:t>适用专业：</w:t>
      </w:r>
      <w:r>
        <w:rPr>
          <w:rFonts w:hint="eastAsia" w:ascii="宋体" w:hAnsi="宋体"/>
          <w:color w:val="000000"/>
        </w:rPr>
        <w:t>工程类各专业</w:t>
      </w:r>
    </w:p>
    <w:p>
      <w:pPr>
        <w:adjustRightInd w:val="0"/>
        <w:snapToGrid w:val="0"/>
        <w:spacing w:line="360" w:lineRule="auto"/>
        <w:rPr>
          <w:color w:val="000000"/>
        </w:rPr>
      </w:pPr>
      <w:r>
        <w:rPr>
          <w:rFonts w:hint="eastAsia" w:ascii="黑体" w:hAnsi="黑体" w:eastAsia="黑体"/>
          <w:color w:val="000000"/>
        </w:rPr>
        <w:t>先修课程：</w:t>
      </w:r>
      <w:r>
        <w:rPr>
          <w:rFonts w:hint="eastAsia" w:ascii="宋体" w:hAnsi="宋体"/>
          <w:color w:val="000000"/>
        </w:rPr>
        <w:t>无</w:t>
      </w:r>
    </w:p>
    <w:p>
      <w:pPr>
        <w:adjustRightInd w:val="0"/>
        <w:snapToGrid w:val="0"/>
        <w:spacing w:line="360" w:lineRule="auto"/>
        <w:rPr>
          <w:color w:val="000000"/>
        </w:rPr>
      </w:pPr>
      <w:r>
        <w:rPr>
          <w:rFonts w:ascii="黑体" w:hAnsi="黑体" w:eastAsia="黑体"/>
          <w:color w:val="000000"/>
        </w:rPr>
        <w:t>大纲编写（修订）时间：</w:t>
      </w:r>
      <w:r>
        <w:rPr>
          <w:color w:val="000000"/>
        </w:rPr>
        <w:t>2019</w:t>
      </w:r>
      <w:r>
        <w:rPr>
          <w:rFonts w:ascii="宋体" w:hAnsi="宋体"/>
          <w:color w:val="000000"/>
        </w:rPr>
        <w:t>年</w:t>
      </w:r>
      <w:r>
        <w:rPr>
          <w:rFonts w:hint="eastAsia"/>
          <w:color w:val="000000"/>
        </w:rPr>
        <w:t>4</w:t>
      </w:r>
      <w:r>
        <w:rPr>
          <w:rFonts w:ascii="宋体" w:hAnsi="宋体"/>
          <w:color w:val="000000"/>
        </w:rPr>
        <w:t>月</w:t>
      </w:r>
    </w:p>
    <w:p>
      <w:pPr>
        <w:spacing w:line="360" w:lineRule="auto"/>
        <w:rPr>
          <w:rFonts w:hAnsi="宋体"/>
        </w:rPr>
      </w:pPr>
      <w:r>
        <w:rPr>
          <w:rFonts w:hint="eastAsia" w:hAnsi="宋体"/>
        </w:rPr>
        <w:t xml:space="preserve"> </w:t>
      </w:r>
    </w:p>
    <w:p>
      <w:pPr>
        <w:spacing w:line="360" w:lineRule="auto"/>
        <w:rPr>
          <w:rFonts w:eastAsia="黑体"/>
        </w:rPr>
      </w:pPr>
      <w:r>
        <w:rPr>
          <w:rFonts w:hint="eastAsia" w:ascii="黑体" w:hAnsi="黑体" w:eastAsia="黑体"/>
        </w:rPr>
        <w:t>一、课程在教学计划中的地位、作用</w:t>
      </w:r>
    </w:p>
    <w:p>
      <w:pPr>
        <w:spacing w:line="360" w:lineRule="auto"/>
        <w:ind w:firstLine="420" w:firstLineChars="200"/>
        <w:rPr>
          <w:rFonts w:hAnsi="宋体"/>
        </w:rPr>
      </w:pPr>
      <w:r>
        <w:rPr>
          <w:rFonts w:hint="eastAsia" w:ascii="宋体" w:hAnsi="宋体"/>
        </w:rPr>
        <w:t>《环境保护与可持续发展》以地球环境为背景，以资源环境为基础，以可持续发展理论为主线，从环境污染、生态破坏、可持续发展理论和科学发展观等方面系统介绍环境科学和生态学的基础知识以及可持续发展战略的理论与实践，运用地理环境的基本原理分析、评价环境问题的产生、发展，揭示环境问题的紧迫性和危害性，从人性的角度、伦理的角度认识环境问题，促使学生提高环境意识，规范自身的行为，爱护地球家园，科学发展，实现人与自然的和谐。</w:t>
      </w:r>
    </w:p>
    <w:p>
      <w:pPr>
        <w:spacing w:line="360" w:lineRule="auto"/>
        <w:ind w:firstLine="420" w:firstLineChars="200"/>
        <w:rPr>
          <w:rFonts w:hAnsi="宋体"/>
        </w:rPr>
      </w:pPr>
      <w:r>
        <w:rPr>
          <w:rFonts w:hint="eastAsia" w:hAnsi="宋体"/>
        </w:rPr>
        <w:t xml:space="preserve"> </w:t>
      </w:r>
    </w:p>
    <w:p>
      <w:pPr>
        <w:numPr>
          <w:ilvl w:val="0"/>
          <w:numId w:val="12"/>
        </w:numPr>
        <w:spacing w:line="360" w:lineRule="auto"/>
        <w:rPr>
          <w:rFonts w:eastAsia="黑体"/>
        </w:rPr>
      </w:pPr>
      <w:r>
        <w:rPr>
          <w:rFonts w:hint="eastAsia" w:ascii="黑体" w:hAnsi="黑体" w:eastAsia="黑体"/>
        </w:rPr>
        <w:t>课程目标</w:t>
      </w:r>
    </w:p>
    <w:p>
      <w:pPr>
        <w:spacing w:line="360" w:lineRule="auto"/>
        <w:ind w:firstLine="420" w:firstLineChars="200"/>
        <w:rPr>
          <w:rFonts w:hAnsi="宋体"/>
        </w:rPr>
      </w:pPr>
      <w:r>
        <w:rPr>
          <w:rFonts w:hint="eastAsia" w:ascii="宋体" w:hAnsi="宋体"/>
        </w:rPr>
        <w:t>本大纲适用于工程类专业选择使用，专业在选用时要关注本课程目标是否与专业培养方案设定的能力矩阵一致。</w:t>
      </w:r>
    </w:p>
    <w:tbl>
      <w:tblPr>
        <w:tblStyle w:val="22"/>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289"/>
        <w:gridCol w:w="45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50" w:type="dxa"/>
            <w:tcBorders>
              <w:top w:val="single" w:color="auto" w:sz="4" w:space="0"/>
              <w:left w:val="nil"/>
              <w:bottom w:val="single" w:color="auto" w:sz="4" w:space="0"/>
              <w:right w:val="single" w:color="auto" w:sz="4" w:space="0"/>
            </w:tcBorders>
            <w:vAlign w:val="bottom"/>
          </w:tcPr>
          <w:p>
            <w:pPr>
              <w:adjustRightInd w:val="0"/>
              <w:snapToGrid w:val="0"/>
              <w:spacing w:line="360" w:lineRule="auto"/>
              <w:jc w:val="center"/>
              <w:rPr>
                <w:rFonts w:ascii="宋体" w:hAnsi="宋体"/>
                <w:sz w:val="18"/>
                <w:szCs w:val="18"/>
              </w:rPr>
            </w:pPr>
            <w:r>
              <w:rPr>
                <w:rFonts w:hint="eastAsia" w:ascii="宋体" w:hAnsi="宋体"/>
                <w:sz w:val="18"/>
                <w:szCs w:val="18"/>
              </w:rPr>
              <w:t>序号</w:t>
            </w:r>
          </w:p>
        </w:tc>
        <w:tc>
          <w:tcPr>
            <w:tcW w:w="3289" w:type="dxa"/>
            <w:tcBorders>
              <w:top w:val="single" w:color="auto" w:sz="4" w:space="0"/>
              <w:left w:val="single" w:color="auto" w:sz="4" w:space="0"/>
              <w:bottom w:val="single" w:color="auto" w:sz="4" w:space="0"/>
              <w:right w:val="single" w:color="auto" w:sz="4" w:space="0"/>
            </w:tcBorders>
            <w:vAlign w:val="bottom"/>
          </w:tcPr>
          <w:p>
            <w:pPr>
              <w:adjustRightInd w:val="0"/>
              <w:snapToGrid w:val="0"/>
              <w:spacing w:line="360" w:lineRule="auto"/>
              <w:jc w:val="center"/>
              <w:rPr>
                <w:rFonts w:ascii="宋体" w:hAnsi="宋体"/>
                <w:sz w:val="18"/>
                <w:szCs w:val="18"/>
              </w:rPr>
            </w:pPr>
            <w:r>
              <w:rPr>
                <w:rFonts w:hint="eastAsia" w:ascii="宋体" w:hAnsi="宋体"/>
                <w:sz w:val="18"/>
                <w:szCs w:val="18"/>
              </w:rPr>
              <w:t>课程目标</w:t>
            </w:r>
          </w:p>
        </w:tc>
        <w:tc>
          <w:tcPr>
            <w:tcW w:w="4589" w:type="dxa"/>
            <w:tcBorders>
              <w:top w:val="single" w:color="auto" w:sz="4" w:space="0"/>
              <w:left w:val="single" w:color="auto" w:sz="4" w:space="0"/>
              <w:bottom w:val="single" w:color="auto" w:sz="4" w:space="0"/>
              <w:right w:val="nil"/>
            </w:tcBorders>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1</w:t>
            </w:r>
          </w:p>
        </w:tc>
        <w:tc>
          <w:tcPr>
            <w:tcW w:w="328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通过课程的学习，学生深刻理解环境及环境问题的内涵和现状；</w:t>
            </w:r>
          </w:p>
        </w:tc>
        <w:tc>
          <w:tcPr>
            <w:tcW w:w="4589"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毕业要求7</w:t>
            </w:r>
            <w:r>
              <w:rPr>
                <w:rFonts w:hint="eastAsia" w:ascii="宋体" w:hAnsi="宋体"/>
                <w:b/>
                <w:bCs/>
                <w:sz w:val="18"/>
                <w:szCs w:val="18"/>
              </w:rPr>
              <w:t>环境和可持续发展</w:t>
            </w:r>
            <w:r>
              <w:rPr>
                <w:rFonts w:hint="eastAsia"/>
                <w:sz w:val="18"/>
                <w:szCs w:val="18"/>
              </w:rPr>
              <w:t>：能够理解和评价针对复杂工程问题的工程实践对环境、社会可持续发展的影响。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2</w:t>
            </w:r>
          </w:p>
        </w:tc>
        <w:tc>
          <w:tcPr>
            <w:tcW w:w="328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通过课程的学习，学生要深刻理解可持续发展的内涵和意义；</w:t>
            </w:r>
          </w:p>
        </w:tc>
        <w:tc>
          <w:tcPr>
            <w:tcW w:w="4589"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毕业要求7</w:t>
            </w:r>
            <w:r>
              <w:rPr>
                <w:rFonts w:hint="eastAsia" w:ascii="宋体" w:hAnsi="宋体"/>
                <w:b/>
                <w:bCs/>
                <w:sz w:val="18"/>
                <w:szCs w:val="18"/>
              </w:rPr>
              <w:t>环境和可持续发展</w:t>
            </w:r>
            <w:r>
              <w:rPr>
                <w:rFonts w:hint="eastAsia"/>
                <w:sz w:val="18"/>
                <w:szCs w:val="18"/>
              </w:rPr>
              <w:t>：能够理解和评价针对复杂工程问题的工程实践对环境、社会可持续发展的影响。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3</w:t>
            </w:r>
          </w:p>
        </w:tc>
        <w:tc>
          <w:tcPr>
            <w:tcW w:w="328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通过课程的学习，学生要理解环境与可持续发展之间的联系；</w:t>
            </w:r>
          </w:p>
        </w:tc>
        <w:tc>
          <w:tcPr>
            <w:tcW w:w="4589"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毕业要求7</w:t>
            </w:r>
            <w:r>
              <w:rPr>
                <w:rFonts w:hint="eastAsia" w:ascii="宋体" w:hAnsi="宋体"/>
                <w:b/>
                <w:bCs/>
                <w:sz w:val="18"/>
                <w:szCs w:val="18"/>
              </w:rPr>
              <w:t>环境和可持续发展</w:t>
            </w:r>
            <w:r>
              <w:rPr>
                <w:rFonts w:hint="eastAsia"/>
                <w:sz w:val="18"/>
                <w:szCs w:val="18"/>
              </w:rPr>
              <w:t>：能够理解和评价针对复杂工程问题的工程实践对环境、社会可持续发展的影响。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4</w:t>
            </w:r>
          </w:p>
        </w:tc>
        <w:tc>
          <w:tcPr>
            <w:tcW w:w="328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通过课程的学习使学生形成较强的保护环境的意识和社会责任感。</w:t>
            </w:r>
          </w:p>
        </w:tc>
        <w:tc>
          <w:tcPr>
            <w:tcW w:w="4589"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bCs/>
                <w:sz w:val="18"/>
                <w:szCs w:val="18"/>
              </w:rPr>
              <w:t>毕业要求6</w:t>
            </w:r>
            <w:r>
              <w:rPr>
                <w:rFonts w:hint="eastAsia" w:ascii="宋体" w:hAnsi="宋体"/>
                <w:b/>
                <w:bCs/>
                <w:sz w:val="18"/>
                <w:szCs w:val="18"/>
              </w:rPr>
              <w:t>工程与社会</w:t>
            </w:r>
            <w:r>
              <w:rPr>
                <w:rFonts w:hint="eastAsia"/>
                <w:sz w:val="18"/>
                <w:szCs w:val="18"/>
              </w:rPr>
              <w:t>：能够基于工程相关背景知识进行合理分析，评价专业工程实践和复杂工程问题解决方案对社会、健康、安全、法律以及文化的影响，并理解应承担的责任。</w:t>
            </w:r>
          </w:p>
        </w:tc>
      </w:tr>
    </w:tbl>
    <w:p>
      <w:pPr>
        <w:spacing w:line="360" w:lineRule="auto"/>
        <w:rPr>
          <w:rFonts w:eastAsia="黑体"/>
          <w:szCs w:val="21"/>
        </w:rPr>
      </w:pPr>
      <w:r>
        <w:rPr>
          <w:rFonts w:hint="eastAsia" w:eastAsia="黑体"/>
        </w:rPr>
        <w:t xml:space="preserve"> </w:t>
      </w:r>
    </w:p>
    <w:p>
      <w:pPr>
        <w:numPr>
          <w:ilvl w:val="0"/>
          <w:numId w:val="12"/>
        </w:numPr>
        <w:spacing w:line="360" w:lineRule="auto"/>
        <w:rPr>
          <w:rFonts w:eastAsia="黑体"/>
        </w:rPr>
      </w:pPr>
      <w:r>
        <w:rPr>
          <w:rFonts w:hint="eastAsia" w:ascii="黑体" w:hAnsi="黑体" w:eastAsia="黑体"/>
        </w:rPr>
        <w:t>课程内容及基本要求</w:t>
      </w:r>
    </w:p>
    <w:p>
      <w:pPr>
        <w:spacing w:line="360" w:lineRule="auto"/>
        <w:ind w:firstLine="420"/>
        <w:rPr>
          <w:rFonts w:eastAsia="黑体"/>
        </w:rPr>
      </w:pPr>
      <w:r>
        <w:rPr>
          <w:rFonts w:hint="eastAsia" w:ascii="黑体" w:hAnsi="黑体" w:eastAsia="黑体"/>
        </w:rPr>
        <w:t>绪言</w:t>
      </w:r>
    </w:p>
    <w:p>
      <w:pPr>
        <w:numPr>
          <w:ilvl w:val="0"/>
          <w:numId w:val="13"/>
        </w:numPr>
        <w:adjustRightInd w:val="0"/>
        <w:spacing w:line="360" w:lineRule="auto"/>
        <w:ind w:firstLine="420" w:firstLineChars="200"/>
      </w:pPr>
      <w:r>
        <w:rPr>
          <w:rFonts w:ascii="宋体" w:hAnsi="宋体"/>
        </w:rPr>
        <w:t>要求学生了解地球环境基本特征及人类与地球各圈层关系；了解生态系统的基本概念、生态文明建设的基本内涵；了解当前人口发展状况与资源保护之间的关系；了解当前人类面临的各种环境问题和资源短缺问题。</w:t>
      </w:r>
    </w:p>
    <w:p>
      <w:pPr>
        <w:adjustRightInd w:val="0"/>
        <w:spacing w:line="360" w:lineRule="auto"/>
        <w:ind w:firstLine="420" w:firstLineChars="200"/>
      </w:pPr>
      <w:r>
        <w:t xml:space="preserve">2. </w:t>
      </w:r>
      <w:r>
        <w:rPr>
          <w:rFonts w:ascii="宋体" w:hAnsi="宋体"/>
        </w:rPr>
        <w:t>了解可持续发展战略的由来，掌握可持续发展战略的内涵、特征和指标体系，熟悉环境伦理学的基本概念、发展历史及主要观点。</w:t>
      </w:r>
    </w:p>
    <w:p>
      <w:pPr>
        <w:adjustRightInd w:val="0"/>
        <w:spacing w:line="360" w:lineRule="auto"/>
        <w:ind w:firstLine="420" w:firstLineChars="200"/>
      </w:pPr>
      <w:r>
        <w:t xml:space="preserve">3. </w:t>
      </w:r>
      <w:r>
        <w:rPr>
          <w:rFonts w:ascii="宋体" w:hAnsi="宋体"/>
        </w:rPr>
        <w:t>了解环境保护的主要途径，掌握实施可持续发展战略的各种手段和途径。</w:t>
      </w:r>
    </w:p>
    <w:p>
      <w:pPr>
        <w:adjustRightInd w:val="0"/>
        <w:spacing w:line="360" w:lineRule="auto"/>
        <w:ind w:firstLine="420" w:firstLineChars="200"/>
      </w:pPr>
      <w:r>
        <w:t xml:space="preserve">4. </w:t>
      </w:r>
      <w:r>
        <w:rPr>
          <w:rFonts w:ascii="宋体" w:hAnsi="宋体"/>
        </w:rPr>
        <w:t>了解环境管理相关法律，熟悉环境管理体系</w:t>
      </w:r>
      <w:r>
        <w:t>ISO14000</w:t>
      </w:r>
      <w:r>
        <w:rPr>
          <w:rFonts w:ascii="宋体" w:hAnsi="宋体"/>
        </w:rPr>
        <w:t>，了解目前环境与可持续发展的国际形势。</w:t>
      </w:r>
    </w:p>
    <w:p>
      <w:pPr>
        <w:adjustRightInd w:val="0"/>
        <w:spacing w:line="360" w:lineRule="auto"/>
        <w:ind w:firstLine="420" w:firstLineChars="200"/>
      </w:pPr>
      <w:r>
        <w:t xml:space="preserve">5. </w:t>
      </w:r>
      <w:r>
        <w:rPr>
          <w:rFonts w:ascii="宋体" w:hAnsi="宋体"/>
        </w:rPr>
        <w:t>培养学生高度的环</w:t>
      </w:r>
      <w:r>
        <w:rPr>
          <w:rFonts w:hint="eastAsia" w:ascii="宋体" w:hAnsi="宋体"/>
        </w:rPr>
        <w:t>境忧患意识、环境保护责任感和正确的环境伦理道德观。</w:t>
      </w:r>
    </w:p>
    <w:p>
      <w:pPr>
        <w:spacing w:line="360" w:lineRule="auto"/>
        <w:ind w:firstLine="420" w:firstLineChars="200"/>
      </w:pPr>
      <w:r>
        <w:rPr>
          <w:rFonts w:hint="eastAsia" w:ascii="宋体" w:hAnsi="宋体"/>
        </w:rPr>
        <w:t>本章节内容支撑课程目标</w:t>
      </w:r>
      <w:r>
        <w:rPr>
          <w:rFonts w:hint="eastAsia" w:hAnsi="宋体"/>
        </w:rPr>
        <w:t>1</w:t>
      </w:r>
      <w:r>
        <w:rPr>
          <w:rFonts w:hint="eastAsia" w:ascii="宋体" w:hAnsi="宋体"/>
        </w:rPr>
        <w:t>。</w:t>
      </w:r>
    </w:p>
    <w:p>
      <w:pPr>
        <w:pStyle w:val="19"/>
        <w:spacing w:before="0" w:beforeAutospacing="0" w:after="0" w:afterAutospacing="0" w:line="360" w:lineRule="auto"/>
        <w:ind w:firstLine="420"/>
        <w:rPr>
          <w:rFonts w:ascii="Times New Roman" w:hAnsi="Times New Roman" w:eastAsia="黑体"/>
          <w:sz w:val="21"/>
          <w:szCs w:val="21"/>
        </w:rPr>
      </w:pPr>
      <w:r>
        <w:rPr>
          <w:rFonts w:hint="eastAsia" w:ascii="黑体" w:hAnsi="黑体" w:eastAsia="黑体"/>
          <w:sz w:val="21"/>
          <w:szCs w:val="21"/>
        </w:rPr>
        <w:t>第一章</w:t>
      </w:r>
      <w:r>
        <w:rPr>
          <w:rFonts w:hint="eastAsia" w:ascii="Times New Roman" w:hAnsi="Times New Roman" w:eastAsia="黑体"/>
          <w:sz w:val="21"/>
          <w:szCs w:val="21"/>
        </w:rPr>
        <w:t xml:space="preserve">  </w:t>
      </w:r>
      <w:r>
        <w:rPr>
          <w:rFonts w:hint="eastAsia" w:ascii="黑体" w:hAnsi="黑体" w:eastAsia="黑体"/>
          <w:sz w:val="21"/>
          <w:szCs w:val="21"/>
        </w:rPr>
        <w:t>可持续发展理论（</w:t>
      </w:r>
      <w:r>
        <w:rPr>
          <w:rFonts w:hint="eastAsia" w:ascii="Times New Roman" w:hAnsi="Times New Roman" w:eastAsia="黑体"/>
          <w:sz w:val="21"/>
          <w:szCs w:val="21"/>
        </w:rPr>
        <w:t>4</w:t>
      </w:r>
      <w:r>
        <w:rPr>
          <w:rFonts w:hint="eastAsia" w:ascii="黑体" w:hAnsi="黑体" w:eastAsia="黑体"/>
          <w:sz w:val="21"/>
          <w:szCs w:val="21"/>
        </w:rPr>
        <w:t>课时）</w:t>
      </w:r>
    </w:p>
    <w:p>
      <w:pPr>
        <w:spacing w:line="360" w:lineRule="auto"/>
        <w:ind w:firstLine="420" w:firstLineChars="200"/>
        <w:rPr>
          <w:rFonts w:hAnsi="宋体"/>
          <w:szCs w:val="21"/>
        </w:rPr>
      </w:pPr>
      <w:r>
        <w:rPr>
          <w:rFonts w:hAnsi="宋体"/>
        </w:rPr>
        <w:t>1.1</w:t>
      </w:r>
      <w:r>
        <w:rPr>
          <w:rFonts w:hint="eastAsia" w:hAnsi="宋体"/>
        </w:rPr>
        <w:t xml:space="preserve"> </w:t>
      </w:r>
      <w:r>
        <w:rPr>
          <w:rFonts w:ascii="宋体" w:hAnsi="宋体"/>
        </w:rPr>
        <w:t>环境问题</w:t>
      </w:r>
    </w:p>
    <w:p>
      <w:pPr>
        <w:spacing w:line="360" w:lineRule="auto"/>
        <w:ind w:firstLine="420" w:firstLineChars="200"/>
        <w:rPr>
          <w:rFonts w:hAnsi="宋体"/>
        </w:rPr>
      </w:pPr>
      <w:r>
        <w:rPr>
          <w:rFonts w:ascii="宋体" w:hAnsi="宋体"/>
        </w:rPr>
        <w:t>掌握环境的概念、特点、构成；环境问题的概念、分类及其发展，熟悉目前全球面临的各类环境问题。</w:t>
      </w:r>
    </w:p>
    <w:p>
      <w:pPr>
        <w:spacing w:line="360" w:lineRule="auto"/>
        <w:ind w:firstLine="420" w:firstLineChars="200"/>
        <w:rPr>
          <w:rFonts w:hAnsi="宋体"/>
        </w:rPr>
      </w:pPr>
      <w:r>
        <w:rPr>
          <w:rFonts w:hAnsi="宋体"/>
        </w:rPr>
        <w:t>1.2</w:t>
      </w:r>
      <w:r>
        <w:rPr>
          <w:rFonts w:hint="eastAsia" w:hAnsi="宋体"/>
        </w:rPr>
        <w:t xml:space="preserve"> </w:t>
      </w:r>
      <w:r>
        <w:rPr>
          <w:rFonts w:ascii="宋体" w:hAnsi="宋体"/>
        </w:rPr>
        <w:t>可持续发展理论（重点）</w:t>
      </w:r>
    </w:p>
    <w:p>
      <w:pPr>
        <w:spacing w:line="360" w:lineRule="auto"/>
        <w:ind w:firstLine="420" w:firstLineChars="200"/>
        <w:rPr>
          <w:rFonts w:hAnsi="宋体"/>
        </w:rPr>
      </w:pPr>
      <w:r>
        <w:rPr>
          <w:rFonts w:hint="eastAsia" w:hAnsi="宋体"/>
        </w:rPr>
        <w:tab/>
      </w:r>
      <w:r>
        <w:rPr>
          <w:rFonts w:hAnsi="宋体"/>
        </w:rPr>
        <w:t>1.2.1</w:t>
      </w:r>
      <w:r>
        <w:rPr>
          <w:rFonts w:hint="eastAsia" w:hAnsi="宋体"/>
        </w:rPr>
        <w:t xml:space="preserve"> </w:t>
      </w:r>
      <w:r>
        <w:rPr>
          <w:rFonts w:ascii="宋体" w:hAnsi="宋体"/>
        </w:rPr>
        <w:t>可持续发展的历程：了解可持续发展的历程，重点掌握可持续发展战略的基本理论。</w:t>
      </w:r>
    </w:p>
    <w:p>
      <w:pPr>
        <w:spacing w:line="360" w:lineRule="auto"/>
        <w:ind w:firstLine="420" w:firstLineChars="200"/>
        <w:rPr>
          <w:rFonts w:hAnsi="宋体"/>
        </w:rPr>
      </w:pPr>
      <w:r>
        <w:rPr>
          <w:rFonts w:hint="eastAsia" w:hAnsi="宋体"/>
        </w:rPr>
        <w:tab/>
      </w:r>
      <w:r>
        <w:rPr>
          <w:rFonts w:hAnsi="宋体"/>
        </w:rPr>
        <w:t>1.2.2</w:t>
      </w:r>
      <w:r>
        <w:rPr>
          <w:rFonts w:hint="eastAsia" w:hAnsi="宋体"/>
        </w:rPr>
        <w:t xml:space="preserve"> </w:t>
      </w:r>
      <w:r>
        <w:rPr>
          <w:rFonts w:ascii="宋体" w:hAnsi="宋体"/>
        </w:rPr>
        <w:t>可持续发展的实施途径：掌握可持续发展的指标体系，了解实施可持续发展的其他途径。</w:t>
      </w:r>
    </w:p>
    <w:p>
      <w:pPr>
        <w:spacing w:line="360" w:lineRule="auto"/>
        <w:ind w:firstLine="420" w:firstLineChars="200"/>
        <w:rPr>
          <w:rFonts w:hAnsi="宋体"/>
        </w:rPr>
      </w:pPr>
      <w:r>
        <w:rPr>
          <w:rFonts w:hint="eastAsia" w:hAnsi="宋体"/>
        </w:rPr>
        <w:tab/>
      </w:r>
      <w:r>
        <w:rPr>
          <w:rFonts w:hAnsi="宋体"/>
        </w:rPr>
        <w:t>1.2.3</w:t>
      </w:r>
      <w:r>
        <w:rPr>
          <w:rFonts w:hint="eastAsia" w:hAnsi="宋体"/>
        </w:rPr>
        <w:t xml:space="preserve"> </w:t>
      </w:r>
      <w:r>
        <w:rPr>
          <w:rFonts w:ascii="宋体" w:hAnsi="宋体"/>
        </w:rPr>
        <w:t>可持续发展理论的社会影响：知道可持续发展理论带来的几种社会影响，有绿色浪潮、清洁生产等。</w:t>
      </w:r>
    </w:p>
    <w:p>
      <w:pPr>
        <w:spacing w:line="360" w:lineRule="auto"/>
        <w:ind w:firstLine="420" w:firstLineChars="200"/>
        <w:rPr>
          <w:rFonts w:hAnsi="宋体"/>
        </w:rPr>
      </w:pPr>
      <w:r>
        <w:rPr>
          <w:rFonts w:hint="eastAsia" w:ascii="宋体" w:hAnsi="宋体"/>
        </w:rPr>
        <w:t>本章节内容支撑课程目标</w:t>
      </w:r>
      <w:r>
        <w:rPr>
          <w:rFonts w:hint="eastAsia" w:hAnsi="宋体"/>
        </w:rPr>
        <w:t>1</w:t>
      </w:r>
      <w:r>
        <w:rPr>
          <w:rFonts w:hint="eastAsia" w:ascii="宋体" w:hAnsi="宋体"/>
        </w:rPr>
        <w:t>、</w:t>
      </w:r>
      <w:r>
        <w:rPr>
          <w:rFonts w:hint="eastAsia"/>
        </w:rPr>
        <w:t>2</w:t>
      </w:r>
      <w:r>
        <w:rPr>
          <w:rFonts w:hint="eastAsia" w:ascii="宋体" w:hAnsi="宋体"/>
        </w:rPr>
        <w:t>。</w:t>
      </w:r>
    </w:p>
    <w:p>
      <w:pPr>
        <w:spacing w:line="360" w:lineRule="auto"/>
        <w:ind w:firstLine="420"/>
        <w:rPr>
          <w:rFonts w:eastAsia="黑体"/>
          <w:kern w:val="0"/>
        </w:rPr>
      </w:pPr>
      <w:r>
        <w:rPr>
          <w:rFonts w:hint="eastAsia" w:ascii="黑体" w:hAnsi="黑体" w:eastAsia="黑体"/>
          <w:kern w:val="0"/>
        </w:rPr>
        <w:t>第二章</w:t>
      </w:r>
      <w:r>
        <w:rPr>
          <w:rFonts w:hint="eastAsia" w:eastAsia="黑体"/>
          <w:kern w:val="0"/>
        </w:rPr>
        <w:t xml:space="preserve">  </w:t>
      </w:r>
      <w:r>
        <w:rPr>
          <w:rFonts w:hint="eastAsia" w:ascii="黑体" w:hAnsi="黑体" w:eastAsia="黑体"/>
          <w:kern w:val="0"/>
        </w:rPr>
        <w:t>资源保护与可持续利用（</w:t>
      </w:r>
      <w:r>
        <w:rPr>
          <w:rFonts w:hint="eastAsia" w:eastAsia="黑体"/>
          <w:kern w:val="0"/>
        </w:rPr>
        <w:t>6</w:t>
      </w:r>
      <w:r>
        <w:rPr>
          <w:rFonts w:hint="eastAsia" w:ascii="黑体" w:hAnsi="黑体" w:eastAsia="黑体"/>
          <w:kern w:val="0"/>
        </w:rPr>
        <w:t>课时）</w:t>
      </w:r>
    </w:p>
    <w:p>
      <w:pPr>
        <w:spacing w:line="360" w:lineRule="auto"/>
        <w:ind w:firstLine="420" w:firstLineChars="200"/>
        <w:rPr>
          <w:rFonts w:hAnsi="宋体"/>
        </w:rPr>
      </w:pPr>
      <w:r>
        <w:rPr>
          <w:rFonts w:hint="eastAsia" w:hAnsi="宋体"/>
        </w:rPr>
        <w:tab/>
      </w:r>
      <w:r>
        <w:rPr>
          <w:rFonts w:hAnsi="宋体"/>
        </w:rPr>
        <w:t>2.1</w:t>
      </w:r>
      <w:r>
        <w:rPr>
          <w:rFonts w:hint="eastAsia" w:hAnsi="宋体"/>
        </w:rPr>
        <w:t xml:space="preserve"> </w:t>
      </w:r>
      <w:r>
        <w:rPr>
          <w:rFonts w:ascii="宋体" w:hAnsi="宋体"/>
        </w:rPr>
        <w:t>环境保护与污染防治</w:t>
      </w:r>
    </w:p>
    <w:p>
      <w:pPr>
        <w:spacing w:line="360" w:lineRule="auto"/>
        <w:ind w:firstLine="420" w:firstLineChars="200"/>
        <w:rPr>
          <w:rFonts w:hAnsi="宋体"/>
        </w:rPr>
      </w:pPr>
      <w:r>
        <w:rPr>
          <w:rFonts w:hAnsi="宋体"/>
        </w:rPr>
        <w:t>2.1.1</w:t>
      </w:r>
      <w:r>
        <w:rPr>
          <w:rFonts w:hint="eastAsia" w:hAnsi="宋体"/>
        </w:rPr>
        <w:t xml:space="preserve"> </w:t>
      </w:r>
      <w:r>
        <w:rPr>
          <w:rFonts w:ascii="宋体" w:hAnsi="宋体"/>
        </w:rPr>
        <w:t>环境污染问题：了解水污染、大气污染、土壤污染、固体废弃物及化学品危害、噪声污染等各类环境污染问题</w:t>
      </w:r>
    </w:p>
    <w:p>
      <w:pPr>
        <w:spacing w:line="360" w:lineRule="auto"/>
        <w:ind w:firstLine="420" w:firstLineChars="200"/>
        <w:rPr>
          <w:rFonts w:hAnsi="宋体"/>
        </w:rPr>
      </w:pPr>
      <w:r>
        <w:rPr>
          <w:rFonts w:hint="eastAsia" w:hAnsi="宋体"/>
        </w:rPr>
        <w:tab/>
      </w:r>
      <w:r>
        <w:rPr>
          <w:rFonts w:hAnsi="宋体"/>
        </w:rPr>
        <w:t>2.1.2</w:t>
      </w:r>
      <w:r>
        <w:rPr>
          <w:rFonts w:hint="eastAsia" w:hAnsi="宋体"/>
        </w:rPr>
        <w:t xml:space="preserve"> </w:t>
      </w:r>
      <w:r>
        <w:rPr>
          <w:rFonts w:ascii="宋体" w:hAnsi="宋体"/>
        </w:rPr>
        <w:t>环境污染问题的防治方法：掌握各类环境污染问题的防治方法（难点）。</w:t>
      </w:r>
    </w:p>
    <w:p>
      <w:pPr>
        <w:spacing w:line="360" w:lineRule="auto"/>
        <w:ind w:firstLine="420" w:firstLineChars="200"/>
        <w:rPr>
          <w:rFonts w:hAnsi="宋体"/>
        </w:rPr>
      </w:pPr>
      <w:r>
        <w:rPr>
          <w:rFonts w:hint="eastAsia" w:hAnsi="宋体"/>
        </w:rPr>
        <w:tab/>
      </w:r>
      <w:r>
        <w:rPr>
          <w:rFonts w:hAnsi="宋体"/>
        </w:rPr>
        <w:t>2.2</w:t>
      </w:r>
      <w:r>
        <w:rPr>
          <w:rFonts w:hint="eastAsia" w:hAnsi="宋体"/>
        </w:rPr>
        <w:t xml:space="preserve"> </w:t>
      </w:r>
      <w:r>
        <w:rPr>
          <w:rFonts w:ascii="宋体" w:hAnsi="宋体"/>
        </w:rPr>
        <w:t>生态保护与生态文明建设</w:t>
      </w:r>
    </w:p>
    <w:p>
      <w:pPr>
        <w:widowControl/>
        <w:spacing w:line="360" w:lineRule="auto"/>
        <w:jc w:val="left"/>
        <w:rPr>
          <w:kern w:val="0"/>
        </w:rPr>
      </w:pPr>
      <w:r>
        <w:rPr>
          <w:rFonts w:hint="eastAsia"/>
          <w:kern w:val="0"/>
        </w:rPr>
        <w:tab/>
      </w:r>
      <w:r>
        <w:rPr>
          <w:kern w:val="0"/>
        </w:rPr>
        <w:t>2.2.1</w:t>
      </w:r>
      <w:r>
        <w:rPr>
          <w:rFonts w:hint="eastAsia"/>
          <w:kern w:val="0"/>
        </w:rPr>
        <w:t xml:space="preserve"> </w:t>
      </w:r>
      <w:r>
        <w:rPr>
          <w:rFonts w:ascii="宋体" w:hAnsi="宋体"/>
          <w:kern w:val="0"/>
        </w:rPr>
        <w:t>生态学的基本知识：掌握生态系统的基本概念及其组成、结构、类型；食物链和食物网；生态系统的功能；熟悉生态环境问题及生态学在环境保护中的作用（重点）。</w:t>
      </w:r>
    </w:p>
    <w:p>
      <w:pPr>
        <w:widowControl/>
        <w:spacing w:line="360" w:lineRule="auto"/>
        <w:jc w:val="left"/>
        <w:rPr>
          <w:kern w:val="0"/>
        </w:rPr>
      </w:pPr>
      <w:r>
        <w:rPr>
          <w:rFonts w:hint="eastAsia"/>
          <w:kern w:val="0"/>
        </w:rPr>
        <w:tab/>
      </w:r>
      <w:r>
        <w:rPr>
          <w:kern w:val="0"/>
        </w:rPr>
        <w:t>2.2.2</w:t>
      </w:r>
      <w:r>
        <w:rPr>
          <w:rFonts w:hint="eastAsia"/>
          <w:kern w:val="0"/>
        </w:rPr>
        <w:t xml:space="preserve"> </w:t>
      </w:r>
      <w:r>
        <w:rPr>
          <w:rFonts w:ascii="宋体" w:hAnsi="宋体"/>
          <w:kern w:val="0"/>
        </w:rPr>
        <w:t>生态文明建设</w:t>
      </w:r>
    </w:p>
    <w:p>
      <w:pPr>
        <w:widowControl/>
        <w:spacing w:line="360" w:lineRule="auto"/>
        <w:ind w:firstLine="420"/>
        <w:jc w:val="left"/>
        <w:rPr>
          <w:kern w:val="0"/>
        </w:rPr>
      </w:pPr>
      <w:r>
        <w:rPr>
          <w:kern w:val="0"/>
        </w:rPr>
        <w:t>2.3</w:t>
      </w:r>
      <w:r>
        <w:rPr>
          <w:rFonts w:hint="eastAsia"/>
          <w:kern w:val="0"/>
        </w:rPr>
        <w:t xml:space="preserve"> </w:t>
      </w:r>
      <w:r>
        <w:rPr>
          <w:rFonts w:ascii="宋体" w:hAnsi="宋体"/>
          <w:kern w:val="0"/>
        </w:rPr>
        <w:t>资源可持续利用</w:t>
      </w:r>
    </w:p>
    <w:p>
      <w:pPr>
        <w:spacing w:line="360" w:lineRule="auto"/>
        <w:ind w:firstLine="420"/>
      </w:pPr>
      <w:r>
        <w:rPr>
          <w:rFonts w:hint="eastAsia"/>
          <w:kern w:val="0"/>
        </w:rPr>
        <w:tab/>
      </w:r>
      <w:r>
        <w:rPr>
          <w:kern w:val="0"/>
        </w:rPr>
        <w:t>2.3.1</w:t>
      </w:r>
      <w:r>
        <w:rPr>
          <w:rFonts w:hint="eastAsia"/>
          <w:kern w:val="0"/>
        </w:rPr>
        <w:t xml:space="preserve"> </w:t>
      </w:r>
      <w:r>
        <w:rPr>
          <w:rFonts w:ascii="宋体" w:hAnsi="宋体"/>
          <w:kern w:val="0"/>
        </w:rPr>
        <w:t>人口发展的特点：掌握人口、人口过程的概念，掌握</w:t>
      </w:r>
      <w:r>
        <w:rPr>
          <w:rFonts w:ascii="宋体" w:hAnsi="宋体"/>
        </w:rPr>
        <w:t>环境的人口承载能力，</w:t>
      </w:r>
      <w:r>
        <w:rPr>
          <w:rFonts w:ascii="宋体" w:hAnsi="宋体"/>
          <w:kern w:val="0"/>
        </w:rPr>
        <w:t>了解世界及中国的人口发展情况；</w:t>
      </w:r>
      <w:r>
        <w:rPr>
          <w:rFonts w:ascii="宋体" w:hAnsi="宋体"/>
        </w:rPr>
        <w:t>熟悉人口发展与资源的相互关系。</w:t>
      </w:r>
    </w:p>
    <w:p>
      <w:pPr>
        <w:spacing w:line="360" w:lineRule="auto"/>
        <w:ind w:firstLine="420"/>
        <w:rPr>
          <w:kern w:val="0"/>
        </w:rPr>
      </w:pPr>
      <w:r>
        <w:rPr>
          <w:kern w:val="0"/>
        </w:rPr>
        <w:t>2.3.2</w:t>
      </w:r>
      <w:r>
        <w:rPr>
          <w:rFonts w:hint="eastAsia"/>
          <w:kern w:val="0"/>
        </w:rPr>
        <w:t xml:space="preserve"> </w:t>
      </w:r>
      <w:r>
        <w:rPr>
          <w:rFonts w:ascii="宋体" w:hAnsi="宋体"/>
          <w:kern w:val="0"/>
        </w:rPr>
        <w:t>城市发展的特点：掌握城市的含义及形成，理解城市的生态构成及特点，熟悉城市的各类环境问题（难点）。</w:t>
      </w:r>
    </w:p>
    <w:p>
      <w:pPr>
        <w:widowControl/>
        <w:spacing w:line="360" w:lineRule="auto"/>
        <w:jc w:val="left"/>
        <w:rPr>
          <w:kern w:val="0"/>
        </w:rPr>
      </w:pPr>
      <w:r>
        <w:rPr>
          <w:kern w:val="0"/>
        </w:rPr>
        <w:t xml:space="preserve">    </w:t>
      </w:r>
      <w:r>
        <w:rPr>
          <w:rFonts w:hint="eastAsia"/>
          <w:kern w:val="0"/>
        </w:rPr>
        <w:tab/>
      </w:r>
      <w:r>
        <w:rPr>
          <w:kern w:val="0"/>
        </w:rPr>
        <w:t>2.3.3</w:t>
      </w:r>
      <w:r>
        <w:rPr>
          <w:rFonts w:hint="eastAsia"/>
          <w:kern w:val="0"/>
        </w:rPr>
        <w:t xml:space="preserve"> </w:t>
      </w:r>
      <w:r>
        <w:rPr>
          <w:rFonts w:ascii="宋体" w:hAnsi="宋体"/>
          <w:kern w:val="0"/>
        </w:rPr>
        <w:t>各类资源的利用与保护：了解水资源、土地资源、矿产资源、能源等各类资源的利用现状。</w:t>
      </w:r>
    </w:p>
    <w:p>
      <w:pPr>
        <w:widowControl/>
        <w:spacing w:line="360" w:lineRule="auto"/>
        <w:ind w:firstLine="420"/>
        <w:jc w:val="left"/>
        <w:rPr>
          <w:kern w:val="0"/>
        </w:rPr>
      </w:pPr>
      <w:r>
        <w:rPr>
          <w:rFonts w:hint="eastAsia" w:ascii="宋体" w:hAnsi="宋体"/>
        </w:rPr>
        <w:t>本章节内容支撑课程目标</w:t>
      </w:r>
      <w:r>
        <w:rPr>
          <w:rFonts w:hint="eastAsia"/>
        </w:rPr>
        <w:t>2</w:t>
      </w:r>
      <w:r>
        <w:rPr>
          <w:rFonts w:hint="eastAsia" w:ascii="宋体" w:hAnsi="宋体"/>
        </w:rPr>
        <w:t>。</w:t>
      </w:r>
    </w:p>
    <w:p>
      <w:pPr>
        <w:pStyle w:val="19"/>
        <w:spacing w:before="0" w:beforeAutospacing="0" w:after="0" w:afterAutospacing="0" w:line="360" w:lineRule="auto"/>
        <w:ind w:firstLine="420"/>
        <w:rPr>
          <w:rFonts w:ascii="Times New Roman" w:hAnsi="Times New Roman" w:eastAsia="黑体"/>
          <w:sz w:val="21"/>
          <w:szCs w:val="21"/>
        </w:rPr>
      </w:pPr>
      <w:r>
        <w:rPr>
          <w:rFonts w:hint="eastAsia" w:ascii="黑体" w:hAnsi="黑体" w:eastAsia="黑体"/>
          <w:sz w:val="21"/>
          <w:szCs w:val="21"/>
        </w:rPr>
        <w:t>第三章</w:t>
      </w:r>
      <w:r>
        <w:rPr>
          <w:rFonts w:hint="eastAsia" w:ascii="Times New Roman" w:hAnsi="Times New Roman" w:eastAsia="黑体"/>
          <w:sz w:val="21"/>
          <w:szCs w:val="21"/>
        </w:rPr>
        <w:t xml:space="preserve">  </w:t>
      </w:r>
      <w:r>
        <w:rPr>
          <w:rFonts w:hint="eastAsia" w:ascii="黑体" w:hAnsi="黑体" w:eastAsia="黑体"/>
          <w:sz w:val="21"/>
          <w:szCs w:val="21"/>
        </w:rPr>
        <w:t>环境伦理与环境管理（</w:t>
      </w:r>
      <w:r>
        <w:rPr>
          <w:rFonts w:hint="eastAsia" w:ascii="Times New Roman" w:hAnsi="Times New Roman" w:eastAsia="黑体"/>
          <w:sz w:val="21"/>
          <w:szCs w:val="21"/>
        </w:rPr>
        <w:t>4</w:t>
      </w:r>
      <w:r>
        <w:rPr>
          <w:rFonts w:hint="eastAsia" w:ascii="黑体" w:hAnsi="黑体" w:eastAsia="黑体"/>
          <w:sz w:val="21"/>
          <w:szCs w:val="21"/>
        </w:rPr>
        <w:t>课时）</w:t>
      </w:r>
    </w:p>
    <w:p>
      <w:pPr>
        <w:spacing w:line="360" w:lineRule="auto"/>
        <w:rPr>
          <w:kern w:val="0"/>
          <w:szCs w:val="21"/>
        </w:rPr>
      </w:pPr>
      <w:r>
        <w:rPr>
          <w:rFonts w:hint="eastAsia"/>
          <w:kern w:val="0"/>
        </w:rPr>
        <w:tab/>
      </w:r>
      <w:r>
        <w:rPr>
          <w:kern w:val="0"/>
        </w:rPr>
        <w:t>3.1</w:t>
      </w:r>
      <w:r>
        <w:rPr>
          <w:rFonts w:hint="eastAsia"/>
          <w:kern w:val="0"/>
        </w:rPr>
        <w:t xml:space="preserve"> </w:t>
      </w:r>
      <w:r>
        <w:rPr>
          <w:rFonts w:ascii="宋体" w:hAnsi="宋体"/>
          <w:kern w:val="0"/>
        </w:rPr>
        <w:t>环境伦理观（重点）</w:t>
      </w:r>
    </w:p>
    <w:p>
      <w:pPr>
        <w:widowControl/>
        <w:spacing w:line="360" w:lineRule="auto"/>
        <w:ind w:left="426"/>
        <w:jc w:val="left"/>
        <w:rPr>
          <w:kern w:val="0"/>
        </w:rPr>
      </w:pPr>
      <w:r>
        <w:rPr>
          <w:kern w:val="0"/>
        </w:rPr>
        <w:t>3.1.1</w:t>
      </w:r>
      <w:r>
        <w:rPr>
          <w:rFonts w:hint="eastAsia"/>
          <w:kern w:val="0"/>
        </w:rPr>
        <w:t xml:space="preserve"> </w:t>
      </w:r>
      <w:r>
        <w:rPr>
          <w:rFonts w:ascii="宋体" w:hAnsi="宋体"/>
          <w:kern w:val="0"/>
        </w:rPr>
        <w:t>环境伦理学的演化过程：了解环境伦理学的由来。</w:t>
      </w:r>
    </w:p>
    <w:p>
      <w:pPr>
        <w:widowControl/>
        <w:spacing w:line="360" w:lineRule="auto"/>
        <w:ind w:left="426"/>
        <w:jc w:val="left"/>
        <w:rPr>
          <w:kern w:val="0"/>
        </w:rPr>
      </w:pPr>
      <w:r>
        <w:rPr>
          <w:kern w:val="0"/>
        </w:rPr>
        <w:t>3.1.2</w:t>
      </w:r>
      <w:r>
        <w:rPr>
          <w:rFonts w:hint="eastAsia"/>
          <w:kern w:val="0"/>
        </w:rPr>
        <w:t xml:space="preserve"> </w:t>
      </w:r>
      <w:r>
        <w:rPr>
          <w:rFonts w:ascii="宋体" w:hAnsi="宋体"/>
          <w:kern w:val="0"/>
        </w:rPr>
        <w:t>环境伦理学的基本问题：</w:t>
      </w:r>
      <w:r>
        <w:rPr>
          <w:kern w:val="0"/>
        </w:rPr>
        <w:t xml:space="preserve"> </w:t>
      </w:r>
      <w:r>
        <w:rPr>
          <w:rFonts w:ascii="宋体" w:hAnsi="宋体"/>
          <w:kern w:val="0"/>
        </w:rPr>
        <w:t>掌握环境伦理学的主要内容。</w:t>
      </w:r>
    </w:p>
    <w:p>
      <w:pPr>
        <w:widowControl/>
        <w:spacing w:line="360" w:lineRule="auto"/>
        <w:ind w:left="426"/>
        <w:jc w:val="left"/>
        <w:rPr>
          <w:kern w:val="0"/>
        </w:rPr>
      </w:pPr>
      <w:r>
        <w:rPr>
          <w:kern w:val="0"/>
        </w:rPr>
        <w:t>3.1.3</w:t>
      </w:r>
      <w:r>
        <w:rPr>
          <w:rFonts w:hint="eastAsia"/>
          <w:kern w:val="0"/>
        </w:rPr>
        <w:t xml:space="preserve"> </w:t>
      </w:r>
      <w:r>
        <w:rPr>
          <w:rFonts w:ascii="宋体" w:hAnsi="宋体"/>
          <w:kern w:val="0"/>
        </w:rPr>
        <w:t>环境伦理与人类生活方式的变革：知道环境伦理对人类行为方式的影响。</w:t>
      </w:r>
    </w:p>
    <w:p>
      <w:pPr>
        <w:spacing w:line="360" w:lineRule="auto"/>
      </w:pPr>
      <w:r>
        <w:rPr>
          <w:rFonts w:hint="eastAsia"/>
        </w:rPr>
        <w:tab/>
      </w:r>
      <w:r>
        <w:t>3.2</w:t>
      </w:r>
      <w:r>
        <w:rPr>
          <w:rFonts w:hint="eastAsia"/>
        </w:rPr>
        <w:t xml:space="preserve"> </w:t>
      </w:r>
      <w:r>
        <w:rPr>
          <w:rFonts w:ascii="宋体" w:hAnsi="宋体"/>
        </w:rPr>
        <w:t>环境管理与环境法</w:t>
      </w:r>
    </w:p>
    <w:p>
      <w:pPr>
        <w:widowControl/>
        <w:spacing w:line="360" w:lineRule="auto"/>
        <w:jc w:val="left"/>
        <w:rPr>
          <w:kern w:val="0"/>
        </w:rPr>
      </w:pPr>
      <w:r>
        <w:rPr>
          <w:kern w:val="0"/>
        </w:rPr>
        <w:t xml:space="preserve">    3.2.1</w:t>
      </w:r>
      <w:r>
        <w:rPr>
          <w:rFonts w:hint="eastAsia"/>
          <w:kern w:val="0"/>
        </w:rPr>
        <w:t xml:space="preserve"> </w:t>
      </w:r>
      <w:r>
        <w:rPr>
          <w:rFonts w:ascii="宋体" w:hAnsi="宋体"/>
          <w:kern w:val="0"/>
        </w:rPr>
        <w:t>环境管理：掌握环境管理的概念、内容及基本手段，了解中国的环境管理现状及</w:t>
      </w:r>
      <w:r>
        <w:rPr>
          <w:kern w:val="0"/>
        </w:rPr>
        <w:t>ISO14000</w:t>
      </w:r>
      <w:r>
        <w:rPr>
          <w:rFonts w:ascii="宋体" w:hAnsi="宋体"/>
          <w:kern w:val="0"/>
        </w:rPr>
        <w:t>环境管理标准。</w:t>
      </w:r>
    </w:p>
    <w:p>
      <w:pPr>
        <w:widowControl/>
        <w:spacing w:line="360" w:lineRule="auto"/>
        <w:ind w:firstLine="420"/>
        <w:jc w:val="left"/>
        <w:rPr>
          <w:kern w:val="0"/>
        </w:rPr>
      </w:pPr>
      <w:r>
        <w:rPr>
          <w:kern w:val="0"/>
        </w:rPr>
        <w:t>3.2.2</w:t>
      </w:r>
      <w:r>
        <w:rPr>
          <w:rFonts w:hint="eastAsia"/>
          <w:kern w:val="0"/>
        </w:rPr>
        <w:t xml:space="preserve"> </w:t>
      </w:r>
      <w:r>
        <w:rPr>
          <w:rFonts w:ascii="宋体" w:hAnsi="宋体"/>
          <w:kern w:val="0"/>
        </w:rPr>
        <w:t>环境法：掌握环境法的概念、环境法律关系、环境法的体系与实施及环境法律责任；了解关于气候变化、臭氧层保护、生物多样性保护等方面的环境公约。</w:t>
      </w:r>
    </w:p>
    <w:p>
      <w:pPr>
        <w:widowControl/>
        <w:spacing w:line="360" w:lineRule="auto"/>
        <w:ind w:firstLine="420"/>
        <w:jc w:val="left"/>
        <w:rPr>
          <w:kern w:val="0"/>
        </w:rPr>
      </w:pPr>
      <w:r>
        <w:rPr>
          <w:rFonts w:hint="eastAsia" w:ascii="宋体" w:hAnsi="宋体"/>
        </w:rPr>
        <w:t>本章节内容支撑课程目标</w:t>
      </w:r>
      <w:r>
        <w:rPr>
          <w:rFonts w:hint="eastAsia"/>
        </w:rPr>
        <w:t>3</w:t>
      </w:r>
      <w:r>
        <w:rPr>
          <w:rFonts w:hint="eastAsia" w:ascii="宋体" w:hAnsi="宋体"/>
        </w:rPr>
        <w:t>。</w:t>
      </w:r>
    </w:p>
    <w:p>
      <w:pPr>
        <w:widowControl/>
        <w:spacing w:line="360" w:lineRule="auto"/>
        <w:ind w:firstLine="420" w:firstLineChars="200"/>
        <w:jc w:val="left"/>
        <w:rPr>
          <w:rFonts w:eastAsia="黑体"/>
        </w:rPr>
      </w:pPr>
      <w:r>
        <w:rPr>
          <w:rFonts w:hint="eastAsia" w:ascii="黑体" w:hAnsi="黑体" w:eastAsia="黑体"/>
        </w:rPr>
        <w:t>第四章</w:t>
      </w:r>
      <w:r>
        <w:rPr>
          <w:rFonts w:hint="eastAsia" w:eastAsia="黑体"/>
        </w:rPr>
        <w:t xml:space="preserve">  </w:t>
      </w:r>
      <w:r>
        <w:rPr>
          <w:rFonts w:hint="eastAsia" w:ascii="黑体" w:hAnsi="黑体" w:eastAsia="黑体"/>
        </w:rPr>
        <w:t>环境与可持续发展的国际形势（</w:t>
      </w:r>
      <w:r>
        <w:rPr>
          <w:rFonts w:hint="eastAsia" w:eastAsia="黑体"/>
        </w:rPr>
        <w:t>2</w:t>
      </w:r>
      <w:r>
        <w:rPr>
          <w:rFonts w:hint="eastAsia" w:ascii="黑体" w:hAnsi="黑体" w:eastAsia="黑体"/>
        </w:rPr>
        <w:t>课时）</w:t>
      </w:r>
    </w:p>
    <w:p>
      <w:pPr>
        <w:widowControl/>
        <w:spacing w:line="360" w:lineRule="auto"/>
        <w:ind w:firstLine="420"/>
        <w:jc w:val="left"/>
        <w:rPr>
          <w:kern w:val="0"/>
        </w:rPr>
      </w:pPr>
      <w:r>
        <w:rPr>
          <w:kern w:val="0"/>
        </w:rPr>
        <w:t>4.1</w:t>
      </w:r>
      <w:r>
        <w:rPr>
          <w:rFonts w:hint="eastAsia"/>
          <w:kern w:val="0"/>
        </w:rPr>
        <w:t xml:space="preserve"> </w:t>
      </w:r>
      <w:r>
        <w:rPr>
          <w:rFonts w:ascii="宋体" w:hAnsi="宋体"/>
          <w:kern w:val="0"/>
        </w:rPr>
        <w:t>全球环境问题博弈</w:t>
      </w:r>
    </w:p>
    <w:p>
      <w:pPr>
        <w:widowControl/>
        <w:spacing w:line="360" w:lineRule="auto"/>
        <w:ind w:firstLine="420"/>
        <w:jc w:val="left"/>
        <w:rPr>
          <w:kern w:val="0"/>
        </w:rPr>
      </w:pPr>
      <w:r>
        <w:rPr>
          <w:kern w:val="0"/>
        </w:rPr>
        <w:t>4.2</w:t>
      </w:r>
      <w:r>
        <w:rPr>
          <w:rFonts w:hint="eastAsia"/>
          <w:kern w:val="0"/>
        </w:rPr>
        <w:t xml:space="preserve"> </w:t>
      </w:r>
      <w:r>
        <w:rPr>
          <w:rFonts w:ascii="宋体" w:hAnsi="宋体"/>
          <w:kern w:val="0"/>
        </w:rPr>
        <w:t>全球环境问题形势</w:t>
      </w:r>
    </w:p>
    <w:p>
      <w:pPr>
        <w:widowControl/>
        <w:spacing w:line="360" w:lineRule="auto"/>
        <w:ind w:firstLine="420"/>
        <w:jc w:val="left"/>
        <w:rPr>
          <w:kern w:val="0"/>
        </w:rPr>
      </w:pPr>
      <w:r>
        <w:rPr>
          <w:rFonts w:hint="eastAsia" w:ascii="宋体" w:hAnsi="宋体"/>
        </w:rPr>
        <w:t>本章节内容支撑课程目标</w:t>
      </w:r>
      <w:r>
        <w:rPr>
          <w:rFonts w:hint="eastAsia"/>
        </w:rPr>
        <w:t>4</w:t>
      </w:r>
      <w:r>
        <w:rPr>
          <w:rFonts w:hint="eastAsia" w:ascii="宋体" w:hAnsi="宋体"/>
        </w:rPr>
        <w:t>。</w:t>
      </w:r>
    </w:p>
    <w:p>
      <w:pPr>
        <w:spacing w:line="360" w:lineRule="auto"/>
        <w:ind w:left="420" w:hanging="420"/>
        <w:rPr>
          <w:rFonts w:eastAsia="黑体"/>
        </w:rPr>
      </w:pPr>
      <w:r>
        <w:rPr>
          <w:rFonts w:hint="eastAsia" w:eastAsia="黑体"/>
        </w:rPr>
        <w:t xml:space="preserve"> </w:t>
      </w:r>
    </w:p>
    <w:p>
      <w:pPr>
        <w:spacing w:line="360" w:lineRule="auto"/>
        <w:ind w:left="420" w:hanging="420"/>
        <w:rPr>
          <w:rFonts w:eastAsia="黑体"/>
        </w:rPr>
      </w:pPr>
      <w:r>
        <w:rPr>
          <w:rFonts w:hint="eastAsia" w:ascii="黑体" w:hAnsi="黑体" w:eastAsia="黑体"/>
        </w:rPr>
        <w:t>四、实验教学内容</w:t>
      </w:r>
    </w:p>
    <w:p>
      <w:pPr>
        <w:widowControl/>
        <w:spacing w:line="360" w:lineRule="auto"/>
        <w:ind w:firstLine="420"/>
        <w:jc w:val="left"/>
        <w:rPr>
          <w:rFonts w:ascii="宋体" w:hAnsi="宋体"/>
          <w:kern w:val="0"/>
        </w:rPr>
      </w:pPr>
      <w:r>
        <w:rPr>
          <w:rFonts w:hint="eastAsia" w:ascii="宋体" w:hAnsi="宋体"/>
          <w:kern w:val="0"/>
        </w:rPr>
        <w:t>无</w:t>
      </w:r>
    </w:p>
    <w:p>
      <w:pPr>
        <w:spacing w:line="360" w:lineRule="auto"/>
        <w:rPr>
          <w:rFonts w:eastAsia="黑体"/>
        </w:rPr>
      </w:pPr>
      <w:r>
        <w:rPr>
          <w:rFonts w:hint="eastAsia" w:eastAsia="黑体"/>
        </w:rPr>
        <w:t xml:space="preserve"> </w:t>
      </w:r>
    </w:p>
    <w:p>
      <w:pPr>
        <w:spacing w:line="360" w:lineRule="auto"/>
        <w:rPr>
          <w:rFonts w:eastAsia="黑体"/>
        </w:rPr>
      </w:pPr>
      <w:r>
        <w:rPr>
          <w:rFonts w:hint="eastAsia" w:ascii="黑体" w:hAnsi="黑体" w:eastAsia="黑体"/>
        </w:rPr>
        <w:t>五、学时分配</w:t>
      </w:r>
    </w:p>
    <w:tbl>
      <w:tblPr>
        <w:tblStyle w:val="22"/>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1372"/>
        <w:gridCol w:w="1568"/>
        <w:gridCol w:w="13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知识点及内容</w:t>
            </w:r>
          </w:p>
        </w:tc>
        <w:tc>
          <w:tcPr>
            <w:tcW w:w="13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讲授（学时）</w:t>
            </w:r>
          </w:p>
        </w:tc>
        <w:tc>
          <w:tcPr>
            <w:tcW w:w="15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实验（学时）</w:t>
            </w:r>
          </w:p>
        </w:tc>
        <w:tc>
          <w:tcPr>
            <w:tcW w:w="1372" w:type="dxa"/>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ind w:firstLine="180" w:firstLineChars="100"/>
              <w:rPr>
                <w:kern w:val="0"/>
                <w:sz w:val="18"/>
                <w:szCs w:val="18"/>
              </w:rPr>
            </w:pPr>
            <w:r>
              <w:rPr>
                <w:rFonts w:hint="eastAsia"/>
                <w:kern w:val="0"/>
                <w:sz w:val="18"/>
                <w:szCs w:val="18"/>
              </w:rPr>
              <w:t xml:space="preserve">第一章  </w:t>
            </w:r>
            <w:r>
              <w:rPr>
                <w:kern w:val="0"/>
                <w:sz w:val="18"/>
                <w:szCs w:val="18"/>
              </w:rPr>
              <w:t>可持续发展理论</w:t>
            </w:r>
          </w:p>
        </w:tc>
        <w:tc>
          <w:tcPr>
            <w:tcW w:w="1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4</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0</w:t>
            </w:r>
          </w:p>
        </w:tc>
        <w:tc>
          <w:tcPr>
            <w:tcW w:w="1372" w:type="dxa"/>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ind w:firstLine="180" w:firstLineChars="100"/>
              <w:rPr>
                <w:kern w:val="0"/>
                <w:sz w:val="18"/>
                <w:szCs w:val="18"/>
              </w:rPr>
            </w:pPr>
            <w:r>
              <w:rPr>
                <w:rFonts w:hint="eastAsia"/>
                <w:kern w:val="0"/>
                <w:sz w:val="18"/>
                <w:szCs w:val="18"/>
              </w:rPr>
              <w:t xml:space="preserve">第二章  </w:t>
            </w:r>
            <w:r>
              <w:rPr>
                <w:kern w:val="0"/>
                <w:sz w:val="18"/>
                <w:szCs w:val="18"/>
              </w:rPr>
              <w:t>资源保护与可持续利用</w:t>
            </w:r>
          </w:p>
        </w:tc>
        <w:tc>
          <w:tcPr>
            <w:tcW w:w="1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6</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0</w:t>
            </w:r>
          </w:p>
        </w:tc>
        <w:tc>
          <w:tcPr>
            <w:tcW w:w="1372" w:type="dxa"/>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ind w:firstLine="180" w:firstLineChars="100"/>
              <w:rPr>
                <w:kern w:val="0"/>
                <w:sz w:val="18"/>
                <w:szCs w:val="18"/>
              </w:rPr>
            </w:pPr>
            <w:r>
              <w:rPr>
                <w:rFonts w:hint="eastAsia"/>
                <w:kern w:val="0"/>
                <w:sz w:val="18"/>
                <w:szCs w:val="18"/>
              </w:rPr>
              <w:t xml:space="preserve">第三章  </w:t>
            </w:r>
            <w:r>
              <w:rPr>
                <w:kern w:val="0"/>
                <w:sz w:val="18"/>
                <w:szCs w:val="18"/>
              </w:rPr>
              <w:t>环境伦理与环境管理</w:t>
            </w:r>
          </w:p>
        </w:tc>
        <w:tc>
          <w:tcPr>
            <w:tcW w:w="1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4</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0</w:t>
            </w:r>
          </w:p>
        </w:tc>
        <w:tc>
          <w:tcPr>
            <w:tcW w:w="1372" w:type="dxa"/>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ind w:firstLine="180" w:firstLineChars="100"/>
              <w:rPr>
                <w:kern w:val="0"/>
                <w:sz w:val="18"/>
                <w:szCs w:val="18"/>
              </w:rPr>
            </w:pPr>
            <w:r>
              <w:rPr>
                <w:rFonts w:hint="eastAsia"/>
                <w:kern w:val="0"/>
                <w:sz w:val="18"/>
                <w:szCs w:val="18"/>
              </w:rPr>
              <w:t xml:space="preserve">第四章  </w:t>
            </w:r>
            <w:r>
              <w:rPr>
                <w:kern w:val="0"/>
                <w:sz w:val="18"/>
                <w:szCs w:val="18"/>
              </w:rPr>
              <w:t>环境与可持续发展的国际形势</w:t>
            </w:r>
          </w:p>
        </w:tc>
        <w:tc>
          <w:tcPr>
            <w:tcW w:w="1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2</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0</w:t>
            </w:r>
          </w:p>
        </w:tc>
        <w:tc>
          <w:tcPr>
            <w:tcW w:w="1372" w:type="dxa"/>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16" w:type="dxa"/>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小计</w:t>
            </w:r>
          </w:p>
        </w:tc>
        <w:tc>
          <w:tcPr>
            <w:tcW w:w="13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16</w:t>
            </w:r>
          </w:p>
        </w:tc>
        <w:tc>
          <w:tcPr>
            <w:tcW w:w="156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0</w:t>
            </w:r>
          </w:p>
        </w:tc>
        <w:tc>
          <w:tcPr>
            <w:tcW w:w="1372" w:type="dxa"/>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kern w:val="0"/>
                <w:sz w:val="18"/>
                <w:szCs w:val="18"/>
              </w:rPr>
            </w:pPr>
            <w:r>
              <w:rPr>
                <w:kern w:val="0"/>
                <w:sz w:val="18"/>
                <w:szCs w:val="18"/>
              </w:rPr>
              <w:t>16</w:t>
            </w:r>
          </w:p>
        </w:tc>
      </w:tr>
    </w:tbl>
    <w:p>
      <w:pPr>
        <w:widowControl/>
        <w:spacing w:line="360" w:lineRule="auto"/>
        <w:jc w:val="left"/>
        <w:rPr>
          <w:rFonts w:eastAsia="黑体"/>
          <w:szCs w:val="21"/>
        </w:rPr>
      </w:pPr>
      <w:r>
        <w:rPr>
          <w:rFonts w:hint="eastAsia" w:eastAsia="黑体"/>
        </w:rPr>
        <w:t xml:space="preserve"> </w:t>
      </w:r>
    </w:p>
    <w:p>
      <w:pPr>
        <w:widowControl/>
        <w:spacing w:line="360" w:lineRule="auto"/>
        <w:jc w:val="left"/>
        <w:rPr>
          <w:rFonts w:eastAsia="黑体"/>
        </w:rPr>
      </w:pPr>
      <w:r>
        <w:rPr>
          <w:rFonts w:hint="eastAsia" w:ascii="黑体" w:hAnsi="黑体" w:eastAsia="黑体"/>
        </w:rPr>
        <w:t>六、教材、补充教材及参考资料</w:t>
      </w:r>
    </w:p>
    <w:p>
      <w:pPr>
        <w:spacing w:line="360" w:lineRule="auto"/>
        <w:ind w:firstLine="420" w:firstLineChars="200"/>
      </w:pPr>
      <w:r>
        <w:rPr>
          <w:rFonts w:hint="eastAsia"/>
        </w:rPr>
        <w:t xml:space="preserve">1. </w:t>
      </w:r>
      <w:r>
        <w:rPr>
          <w:rFonts w:hint="eastAsia" w:ascii="宋体" w:hAnsi="宋体"/>
        </w:rPr>
        <w:t>钱易等</w:t>
      </w:r>
      <w:r>
        <w:rPr>
          <w:rFonts w:hint="eastAsia"/>
        </w:rPr>
        <w:t xml:space="preserve">. </w:t>
      </w:r>
      <w:r>
        <w:rPr>
          <w:rFonts w:hint="eastAsia" w:ascii="宋体" w:hAnsi="宋体"/>
        </w:rPr>
        <w:t>环境保护与可持续发展</w:t>
      </w:r>
      <w:r>
        <w:rPr>
          <w:rFonts w:hint="eastAsia"/>
        </w:rPr>
        <w:t xml:space="preserve">. </w:t>
      </w:r>
      <w:r>
        <w:rPr>
          <w:rFonts w:hint="eastAsia" w:ascii="宋体" w:hAnsi="宋体"/>
        </w:rPr>
        <w:t>北京：高等教育出版社</w:t>
      </w:r>
      <w:r>
        <w:rPr>
          <w:rFonts w:hint="eastAsia"/>
        </w:rPr>
        <w:t>.2000</w:t>
      </w:r>
      <w:r>
        <w:rPr>
          <w:rFonts w:hint="eastAsia" w:ascii="宋体" w:hAnsi="宋体"/>
        </w:rPr>
        <w:t>；</w:t>
      </w:r>
    </w:p>
    <w:p>
      <w:pPr>
        <w:spacing w:line="360" w:lineRule="auto"/>
        <w:ind w:firstLine="420" w:firstLineChars="200"/>
      </w:pPr>
      <w:r>
        <w:rPr>
          <w:rFonts w:hint="eastAsia"/>
        </w:rPr>
        <w:t xml:space="preserve">2. </w:t>
      </w:r>
      <w:r>
        <w:rPr>
          <w:rFonts w:hint="eastAsia" w:ascii="宋体" w:hAnsi="宋体"/>
        </w:rPr>
        <w:t>李训贵</w:t>
      </w:r>
      <w:r>
        <w:rPr>
          <w:rFonts w:hint="eastAsia"/>
        </w:rPr>
        <w:t xml:space="preserve">. </w:t>
      </w:r>
      <w:r>
        <w:rPr>
          <w:rFonts w:hint="eastAsia" w:ascii="宋体" w:hAnsi="宋体"/>
        </w:rPr>
        <w:t>环境与可持续发展</w:t>
      </w:r>
      <w:r>
        <w:rPr>
          <w:rFonts w:hint="eastAsia"/>
        </w:rPr>
        <w:t xml:space="preserve">. </w:t>
      </w:r>
      <w:r>
        <w:rPr>
          <w:rFonts w:hint="eastAsia" w:ascii="宋体" w:hAnsi="宋体"/>
        </w:rPr>
        <w:t>北京：高等教育出版社</w:t>
      </w:r>
      <w:r>
        <w:rPr>
          <w:rFonts w:hint="eastAsia"/>
        </w:rPr>
        <w:t>.2004.</w:t>
      </w:r>
    </w:p>
    <w:p>
      <w:pPr>
        <w:widowControl/>
        <w:spacing w:line="360" w:lineRule="auto"/>
        <w:jc w:val="left"/>
        <w:rPr>
          <w:rFonts w:eastAsia="黑体"/>
        </w:rPr>
      </w:pPr>
      <w:r>
        <w:rPr>
          <w:rFonts w:hint="eastAsia" w:eastAsia="黑体"/>
        </w:rPr>
        <w:t xml:space="preserve"> </w:t>
      </w:r>
    </w:p>
    <w:p>
      <w:pPr>
        <w:widowControl/>
        <w:spacing w:line="360" w:lineRule="auto"/>
        <w:jc w:val="left"/>
        <w:rPr>
          <w:rFonts w:eastAsia="黑体"/>
        </w:rPr>
      </w:pPr>
      <w:r>
        <w:rPr>
          <w:rFonts w:hint="eastAsia" w:ascii="黑体" w:hAnsi="黑体" w:eastAsia="黑体"/>
        </w:rPr>
        <w:t>七、课程目标达成评价的途径和措施</w:t>
      </w:r>
    </w:p>
    <w:p>
      <w:pPr>
        <w:spacing w:line="360" w:lineRule="auto"/>
        <w:ind w:firstLine="420" w:firstLineChars="200"/>
      </w:pPr>
      <w:r>
        <w:rPr>
          <w:rFonts w:hint="eastAsia"/>
        </w:rPr>
        <w:t>1</w:t>
      </w:r>
      <w:r>
        <w:rPr>
          <w:rFonts w:hint="eastAsia" w:ascii="宋体" w:hAnsi="宋体"/>
        </w:rPr>
        <w:t>、考核方式：</w:t>
      </w:r>
      <w:r>
        <w:rPr>
          <w:rFonts w:hint="eastAsia" w:ascii="宋体" w:hAnsi="宋体" w:cs="Courier New"/>
        </w:rPr>
        <w:t>以论文的形式进行考查</w:t>
      </w:r>
      <w:r>
        <w:rPr>
          <w:rFonts w:hint="eastAsia" w:ascii="宋体" w:hAnsi="宋体"/>
        </w:rPr>
        <w:t>。</w:t>
      </w:r>
    </w:p>
    <w:p>
      <w:pPr>
        <w:spacing w:line="360" w:lineRule="auto"/>
        <w:ind w:firstLine="420" w:firstLineChars="200"/>
      </w:pPr>
      <w:r>
        <w:rPr>
          <w:rFonts w:hint="eastAsia"/>
        </w:rPr>
        <w:t>2</w:t>
      </w:r>
      <w:r>
        <w:rPr>
          <w:rFonts w:hint="eastAsia" w:ascii="宋体" w:hAnsi="宋体"/>
        </w:rPr>
        <w:t>、成绩构成：</w:t>
      </w:r>
    </w:p>
    <w:p>
      <w:pPr>
        <w:spacing w:line="360" w:lineRule="auto"/>
        <w:ind w:firstLine="420" w:firstLineChars="200"/>
        <w:rPr>
          <w:sz w:val="18"/>
          <w:szCs w:val="18"/>
        </w:rPr>
      </w:pPr>
      <w:r>
        <w:rPr>
          <w:rFonts w:hint="eastAsia" w:ascii="宋体" w:hAnsi="宋体"/>
        </w:rPr>
        <w:t>本课程通过</w:t>
      </w:r>
      <w:r>
        <w:rPr>
          <w:rFonts w:hint="eastAsia"/>
        </w:rPr>
        <w:t>“平时成绩”和“期末考试”两种方式对课程目标达成进行评价，考核成绩计算如下（本大纲中成绩均采用百分制）：</w:t>
      </w:r>
    </w:p>
    <w:p>
      <w:pPr>
        <w:spacing w:line="360" w:lineRule="auto"/>
        <w:jc w:val="center"/>
        <w:rPr>
          <w:sz w:val="18"/>
          <w:szCs w:val="18"/>
        </w:rPr>
      </w:pPr>
      <w:r>
        <w:rPr>
          <w:rFonts w:hint="eastAsia" w:ascii="宋体" w:hAnsi="宋体"/>
          <w:sz w:val="18"/>
          <w:szCs w:val="18"/>
        </w:rPr>
        <w:t>各环节成绩评定占比</w:t>
      </w:r>
      <w:r>
        <w:rPr>
          <w:rFonts w:hint="eastAsia"/>
          <w:sz w:val="18"/>
          <w:szCs w:val="18"/>
        </w:rPr>
        <w:t>%</w:t>
      </w: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1"/>
        <w:gridCol w:w="4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821"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平时成绩</w:t>
            </w:r>
          </w:p>
        </w:tc>
        <w:tc>
          <w:tcPr>
            <w:tcW w:w="4707"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821"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25</w:t>
            </w:r>
          </w:p>
        </w:tc>
        <w:tc>
          <w:tcPr>
            <w:tcW w:w="4707"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75</w:t>
            </w:r>
          </w:p>
        </w:tc>
      </w:tr>
    </w:tbl>
    <w:p>
      <w:pPr>
        <w:spacing w:line="360" w:lineRule="auto"/>
        <w:ind w:firstLine="420"/>
        <w:rPr>
          <w:b/>
          <w:bCs/>
          <w:szCs w:val="21"/>
        </w:rPr>
      </w:pPr>
      <w:r>
        <w:rPr>
          <w:rFonts w:hint="eastAsia" w:ascii="宋体" w:hAnsi="宋体"/>
        </w:rPr>
        <w:t>指导性课程目标评价题目分数分配：</w:t>
      </w:r>
    </w:p>
    <w:tbl>
      <w:tblPr>
        <w:tblStyle w:val="22"/>
        <w:tblW w:w="8528" w:type="dxa"/>
        <w:jc w:val="center"/>
        <w:tblLayout w:type="fixed"/>
        <w:tblCellMar>
          <w:top w:w="0" w:type="dxa"/>
          <w:left w:w="108" w:type="dxa"/>
          <w:bottom w:w="0" w:type="dxa"/>
          <w:right w:w="108" w:type="dxa"/>
        </w:tblCellMar>
      </w:tblPr>
      <w:tblGrid>
        <w:gridCol w:w="949"/>
        <w:gridCol w:w="3756"/>
        <w:gridCol w:w="3823"/>
      </w:tblGrid>
      <w:tr>
        <w:tblPrEx>
          <w:tblCellMar>
            <w:top w:w="0" w:type="dxa"/>
            <w:left w:w="108" w:type="dxa"/>
            <w:bottom w:w="0" w:type="dxa"/>
            <w:right w:w="108" w:type="dxa"/>
          </w:tblCellMar>
        </w:tblPrEx>
        <w:trPr>
          <w:trHeight w:val="986" w:hRule="atLeast"/>
          <w:jc w:val="center"/>
        </w:trPr>
        <w:tc>
          <w:tcPr>
            <w:tcW w:w="949" w:type="dxa"/>
            <w:tcBorders>
              <w:top w:val="single" w:color="auto" w:sz="4" w:space="0"/>
              <w:left w:val="nil"/>
              <w:bottom w:val="single" w:color="auto" w:sz="4" w:space="0"/>
              <w:right w:val="single" w:color="auto" w:sz="4" w:space="0"/>
            </w:tcBorders>
            <w:vAlign w:val="center"/>
          </w:tcPr>
          <w:p>
            <w:pPr>
              <w:widowControl/>
              <w:autoSpaceDE w:val="0"/>
              <w:snapToGrid w:val="0"/>
              <w:spacing w:line="360" w:lineRule="auto"/>
              <w:jc w:val="center"/>
              <w:rPr>
                <w:rFonts w:ascii="宋体" w:hAnsi="宋体"/>
                <w:kern w:val="0"/>
                <w:sz w:val="18"/>
                <w:szCs w:val="18"/>
              </w:rPr>
            </w:pPr>
            <w:r>
              <w:rPr>
                <w:rFonts w:hint="eastAsia" w:ascii="宋体" w:hAnsi="宋体"/>
                <w:kern w:val="0"/>
                <w:sz w:val="18"/>
                <w:szCs w:val="18"/>
              </w:rPr>
              <w:t>课程目标</w:t>
            </w:r>
          </w:p>
        </w:tc>
        <w:tc>
          <w:tcPr>
            <w:tcW w:w="3756" w:type="dxa"/>
            <w:tcBorders>
              <w:top w:val="single" w:color="auto" w:sz="4" w:space="0"/>
              <w:left w:val="nil"/>
              <w:bottom w:val="single" w:color="auto" w:sz="4" w:space="0"/>
              <w:right w:val="single" w:color="auto" w:sz="4" w:space="0"/>
            </w:tcBorders>
            <w:vAlign w:val="center"/>
          </w:tcPr>
          <w:p>
            <w:pPr>
              <w:autoSpaceDE w:val="0"/>
              <w:snapToGrid w:val="0"/>
              <w:spacing w:line="360" w:lineRule="auto"/>
              <w:jc w:val="center"/>
              <w:rPr>
                <w:sz w:val="18"/>
                <w:szCs w:val="18"/>
              </w:rPr>
            </w:pPr>
            <w:r>
              <w:rPr>
                <w:rFonts w:hint="eastAsia"/>
                <w:sz w:val="18"/>
                <w:szCs w:val="18"/>
              </w:rPr>
              <w:t>平时成绩</w:t>
            </w:r>
          </w:p>
          <w:p>
            <w:pPr>
              <w:autoSpaceDE w:val="0"/>
              <w:snapToGrid w:val="0"/>
              <w:spacing w:line="360" w:lineRule="auto"/>
              <w:jc w:val="center"/>
              <w:rPr>
                <w:sz w:val="18"/>
                <w:szCs w:val="18"/>
              </w:rPr>
            </w:pPr>
            <w:r>
              <w:rPr>
                <w:rFonts w:hint="eastAsia"/>
                <w:sz w:val="18"/>
                <w:szCs w:val="18"/>
              </w:rPr>
              <w:t>W1</w:t>
            </w:r>
            <w:r>
              <w:rPr>
                <w:rFonts w:hint="eastAsia"/>
                <w:sz w:val="18"/>
                <w:szCs w:val="18"/>
                <w:vertAlign w:val="subscript"/>
              </w:rPr>
              <w:t>i</w:t>
            </w:r>
          </w:p>
        </w:tc>
        <w:tc>
          <w:tcPr>
            <w:tcW w:w="3823" w:type="dxa"/>
            <w:tcBorders>
              <w:top w:val="single" w:color="auto" w:sz="4" w:space="0"/>
              <w:left w:val="nil"/>
              <w:bottom w:val="single" w:color="auto" w:sz="4" w:space="0"/>
              <w:right w:val="nil"/>
            </w:tcBorders>
            <w:vAlign w:val="center"/>
          </w:tcPr>
          <w:p>
            <w:pPr>
              <w:autoSpaceDE w:val="0"/>
              <w:snapToGrid w:val="0"/>
              <w:spacing w:line="360" w:lineRule="auto"/>
              <w:jc w:val="center"/>
              <w:rPr>
                <w:sz w:val="18"/>
                <w:szCs w:val="18"/>
              </w:rPr>
            </w:pPr>
            <w:r>
              <w:rPr>
                <w:rFonts w:hint="eastAsia"/>
                <w:sz w:val="18"/>
                <w:szCs w:val="18"/>
              </w:rPr>
              <w:t>期末考试</w:t>
            </w:r>
          </w:p>
          <w:p>
            <w:pPr>
              <w:autoSpaceDE w:val="0"/>
              <w:snapToGrid w:val="0"/>
              <w:spacing w:line="360" w:lineRule="auto"/>
              <w:jc w:val="center"/>
              <w:rPr>
                <w:sz w:val="18"/>
                <w:szCs w:val="18"/>
              </w:rPr>
            </w:pPr>
            <w:r>
              <w:rPr>
                <w:rFonts w:hint="eastAsia"/>
                <w:sz w:val="18"/>
                <w:szCs w:val="18"/>
              </w:rPr>
              <w:t>W2</w:t>
            </w:r>
            <w:r>
              <w:rPr>
                <w:rFonts w:hint="eastAsia"/>
                <w:sz w:val="18"/>
                <w:szCs w:val="18"/>
                <w:vertAlign w:val="subscript"/>
              </w:rPr>
              <w:t>i</w:t>
            </w:r>
          </w:p>
        </w:tc>
      </w:tr>
      <w:tr>
        <w:tblPrEx>
          <w:tblCellMar>
            <w:top w:w="0" w:type="dxa"/>
            <w:left w:w="108" w:type="dxa"/>
            <w:bottom w:w="0" w:type="dxa"/>
            <w:right w:w="108" w:type="dxa"/>
          </w:tblCellMar>
        </w:tblPrEx>
        <w:trPr>
          <w:trHeight w:val="476" w:hRule="atLeast"/>
          <w:jc w:val="center"/>
        </w:trPr>
        <w:tc>
          <w:tcPr>
            <w:tcW w:w="949" w:type="dxa"/>
            <w:tcBorders>
              <w:top w:val="nil"/>
              <w:left w:val="nil"/>
              <w:bottom w:val="single" w:color="auto" w:sz="4" w:space="0"/>
              <w:right w:val="single" w:color="auto" w:sz="4" w:space="0"/>
            </w:tcBorders>
            <w:vAlign w:val="bottom"/>
          </w:tcPr>
          <w:p>
            <w:pPr>
              <w:autoSpaceDE w:val="0"/>
              <w:snapToGrid w:val="0"/>
              <w:spacing w:line="360" w:lineRule="auto"/>
              <w:jc w:val="center"/>
              <w:rPr>
                <w:sz w:val="18"/>
                <w:szCs w:val="18"/>
              </w:rPr>
            </w:pPr>
            <w:r>
              <w:rPr>
                <w:sz w:val="18"/>
                <w:szCs w:val="18"/>
              </w:rPr>
              <w:t>1</w:t>
            </w:r>
          </w:p>
        </w:tc>
        <w:tc>
          <w:tcPr>
            <w:tcW w:w="3756"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rFonts w:hint="eastAsia"/>
                <w:sz w:val="18"/>
                <w:szCs w:val="18"/>
              </w:rPr>
              <w:t>10-20</w:t>
            </w:r>
          </w:p>
        </w:tc>
        <w:tc>
          <w:tcPr>
            <w:tcW w:w="3823" w:type="dxa"/>
            <w:tcBorders>
              <w:top w:val="single" w:color="auto" w:sz="4" w:space="0"/>
              <w:left w:val="nil"/>
              <w:bottom w:val="single" w:color="auto" w:sz="4" w:space="0"/>
              <w:right w:val="nil"/>
            </w:tcBorders>
            <w:vAlign w:val="bottom"/>
          </w:tcPr>
          <w:p>
            <w:pPr>
              <w:autoSpaceDE w:val="0"/>
              <w:snapToGrid w:val="0"/>
              <w:spacing w:line="360" w:lineRule="auto"/>
              <w:jc w:val="center"/>
              <w:rPr>
                <w:sz w:val="18"/>
                <w:szCs w:val="18"/>
              </w:rPr>
            </w:pPr>
            <w:r>
              <w:rPr>
                <w:rFonts w:hint="eastAsia"/>
                <w:sz w:val="18"/>
                <w:szCs w:val="18"/>
              </w:rPr>
              <w:t>10-20</w:t>
            </w:r>
          </w:p>
        </w:tc>
      </w:tr>
      <w:tr>
        <w:tblPrEx>
          <w:tblCellMar>
            <w:top w:w="0" w:type="dxa"/>
            <w:left w:w="108" w:type="dxa"/>
            <w:bottom w:w="0" w:type="dxa"/>
            <w:right w:w="108" w:type="dxa"/>
          </w:tblCellMar>
        </w:tblPrEx>
        <w:trPr>
          <w:trHeight w:val="476" w:hRule="atLeast"/>
          <w:jc w:val="center"/>
        </w:trPr>
        <w:tc>
          <w:tcPr>
            <w:tcW w:w="949" w:type="dxa"/>
            <w:tcBorders>
              <w:top w:val="nil"/>
              <w:left w:val="nil"/>
              <w:bottom w:val="single" w:color="auto" w:sz="4" w:space="0"/>
              <w:right w:val="single" w:color="auto" w:sz="4" w:space="0"/>
            </w:tcBorders>
            <w:vAlign w:val="bottom"/>
          </w:tcPr>
          <w:p>
            <w:pPr>
              <w:autoSpaceDE w:val="0"/>
              <w:snapToGrid w:val="0"/>
              <w:spacing w:line="360" w:lineRule="auto"/>
              <w:jc w:val="center"/>
              <w:rPr>
                <w:sz w:val="18"/>
                <w:szCs w:val="18"/>
              </w:rPr>
            </w:pPr>
            <w:r>
              <w:rPr>
                <w:sz w:val="18"/>
                <w:szCs w:val="18"/>
              </w:rPr>
              <w:t>2</w:t>
            </w:r>
          </w:p>
        </w:tc>
        <w:tc>
          <w:tcPr>
            <w:tcW w:w="3756"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rFonts w:hint="eastAsia"/>
                <w:sz w:val="18"/>
                <w:szCs w:val="18"/>
              </w:rPr>
              <w:t>30-40</w:t>
            </w:r>
          </w:p>
        </w:tc>
        <w:tc>
          <w:tcPr>
            <w:tcW w:w="3823" w:type="dxa"/>
            <w:tcBorders>
              <w:top w:val="single" w:color="auto" w:sz="4" w:space="0"/>
              <w:left w:val="nil"/>
              <w:bottom w:val="single" w:color="auto" w:sz="4" w:space="0"/>
              <w:right w:val="nil"/>
            </w:tcBorders>
            <w:vAlign w:val="bottom"/>
          </w:tcPr>
          <w:p>
            <w:pPr>
              <w:autoSpaceDE w:val="0"/>
              <w:snapToGrid w:val="0"/>
              <w:spacing w:line="360" w:lineRule="auto"/>
              <w:jc w:val="center"/>
              <w:rPr>
                <w:sz w:val="18"/>
                <w:szCs w:val="18"/>
              </w:rPr>
            </w:pPr>
            <w:r>
              <w:rPr>
                <w:rFonts w:hint="eastAsia"/>
                <w:sz w:val="18"/>
                <w:szCs w:val="18"/>
              </w:rPr>
              <w:t>30-40</w:t>
            </w:r>
          </w:p>
        </w:tc>
      </w:tr>
      <w:tr>
        <w:tblPrEx>
          <w:tblCellMar>
            <w:top w:w="0" w:type="dxa"/>
            <w:left w:w="108" w:type="dxa"/>
            <w:bottom w:w="0" w:type="dxa"/>
            <w:right w:w="108" w:type="dxa"/>
          </w:tblCellMar>
        </w:tblPrEx>
        <w:trPr>
          <w:trHeight w:val="476" w:hRule="atLeast"/>
          <w:jc w:val="center"/>
        </w:trPr>
        <w:tc>
          <w:tcPr>
            <w:tcW w:w="949"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sz w:val="18"/>
                <w:szCs w:val="18"/>
              </w:rPr>
              <w:t>3</w:t>
            </w:r>
          </w:p>
        </w:tc>
        <w:tc>
          <w:tcPr>
            <w:tcW w:w="3756"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rFonts w:hint="eastAsia"/>
                <w:sz w:val="18"/>
                <w:szCs w:val="18"/>
              </w:rPr>
              <w:t>40-50</w:t>
            </w:r>
          </w:p>
        </w:tc>
        <w:tc>
          <w:tcPr>
            <w:tcW w:w="3823" w:type="dxa"/>
            <w:tcBorders>
              <w:top w:val="single" w:color="auto" w:sz="4" w:space="0"/>
              <w:left w:val="nil"/>
              <w:bottom w:val="single" w:color="auto" w:sz="4" w:space="0"/>
              <w:right w:val="nil"/>
            </w:tcBorders>
            <w:vAlign w:val="bottom"/>
          </w:tcPr>
          <w:p>
            <w:pPr>
              <w:autoSpaceDE w:val="0"/>
              <w:snapToGrid w:val="0"/>
              <w:spacing w:line="360" w:lineRule="auto"/>
              <w:jc w:val="center"/>
              <w:rPr>
                <w:sz w:val="18"/>
                <w:szCs w:val="18"/>
              </w:rPr>
            </w:pPr>
            <w:r>
              <w:rPr>
                <w:rFonts w:hint="eastAsia"/>
                <w:sz w:val="18"/>
                <w:szCs w:val="18"/>
              </w:rPr>
              <w:t>30-50</w:t>
            </w:r>
          </w:p>
        </w:tc>
      </w:tr>
      <w:tr>
        <w:tblPrEx>
          <w:tblCellMar>
            <w:top w:w="0" w:type="dxa"/>
            <w:left w:w="108" w:type="dxa"/>
            <w:bottom w:w="0" w:type="dxa"/>
            <w:right w:w="108" w:type="dxa"/>
          </w:tblCellMar>
        </w:tblPrEx>
        <w:trPr>
          <w:trHeight w:val="476" w:hRule="atLeast"/>
          <w:jc w:val="center"/>
        </w:trPr>
        <w:tc>
          <w:tcPr>
            <w:tcW w:w="949"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rFonts w:hint="eastAsia"/>
                <w:sz w:val="18"/>
                <w:szCs w:val="18"/>
              </w:rPr>
              <w:t>4</w:t>
            </w:r>
          </w:p>
        </w:tc>
        <w:tc>
          <w:tcPr>
            <w:tcW w:w="3756" w:type="dxa"/>
            <w:tcBorders>
              <w:top w:val="single" w:color="auto" w:sz="4" w:space="0"/>
              <w:left w:val="nil"/>
              <w:bottom w:val="single" w:color="auto" w:sz="4" w:space="0"/>
              <w:right w:val="single" w:color="auto" w:sz="4" w:space="0"/>
            </w:tcBorders>
            <w:vAlign w:val="bottom"/>
          </w:tcPr>
          <w:p>
            <w:pPr>
              <w:autoSpaceDE w:val="0"/>
              <w:snapToGrid w:val="0"/>
              <w:spacing w:line="360" w:lineRule="auto"/>
              <w:jc w:val="center"/>
              <w:rPr>
                <w:sz w:val="18"/>
                <w:szCs w:val="18"/>
              </w:rPr>
            </w:pPr>
            <w:r>
              <w:rPr>
                <w:rFonts w:hint="eastAsia"/>
                <w:sz w:val="18"/>
                <w:szCs w:val="18"/>
              </w:rPr>
              <w:t>10-20</w:t>
            </w:r>
          </w:p>
        </w:tc>
        <w:tc>
          <w:tcPr>
            <w:tcW w:w="3823" w:type="dxa"/>
            <w:tcBorders>
              <w:top w:val="single" w:color="auto" w:sz="4" w:space="0"/>
              <w:left w:val="nil"/>
              <w:bottom w:val="single" w:color="auto" w:sz="4" w:space="0"/>
              <w:right w:val="nil"/>
            </w:tcBorders>
            <w:vAlign w:val="bottom"/>
          </w:tcPr>
          <w:p>
            <w:pPr>
              <w:autoSpaceDE w:val="0"/>
              <w:snapToGrid w:val="0"/>
              <w:spacing w:line="360" w:lineRule="auto"/>
              <w:jc w:val="center"/>
              <w:rPr>
                <w:sz w:val="18"/>
                <w:szCs w:val="18"/>
              </w:rPr>
            </w:pPr>
            <w:r>
              <w:rPr>
                <w:rFonts w:hint="eastAsia"/>
                <w:sz w:val="18"/>
                <w:szCs w:val="18"/>
              </w:rPr>
              <w:t>10-20</w:t>
            </w:r>
          </w:p>
        </w:tc>
      </w:tr>
    </w:tbl>
    <w:p>
      <w:pPr>
        <w:spacing w:line="360" w:lineRule="auto"/>
        <w:ind w:firstLine="420"/>
        <w:rPr>
          <w:szCs w:val="21"/>
        </w:rPr>
      </w:pPr>
      <w:r>
        <w:rPr>
          <w:rFonts w:hint="eastAsia" w:ascii="宋体" w:hAnsi="宋体"/>
        </w:rPr>
        <w:t>分目标达成值由每个部分对应的实际得分与题目总分数相比后，各环节加权求和得到。</w:t>
      </w:r>
    </w:p>
    <w:p>
      <w:pPr>
        <w:spacing w:line="360" w:lineRule="auto"/>
        <w:ind w:firstLine="420" w:firstLineChars="200"/>
      </w:pPr>
      <w:r>
        <w:rPr>
          <w:rFonts w:hint="eastAsia" w:ascii="宋体" w:hAnsi="宋体"/>
        </w:rPr>
        <w:t>总课程目标达成值由每个环节的总平均分，按照各环节加权求和得到。</w:t>
      </w:r>
    </w:p>
    <w:p>
      <w:pPr>
        <w:spacing w:line="360" w:lineRule="auto"/>
        <w:ind w:firstLine="420" w:firstLineChars="200"/>
        <w:rPr>
          <w:sz w:val="24"/>
          <w:szCs w:val="24"/>
        </w:rPr>
      </w:pPr>
      <w:r>
        <w:rPr>
          <w:rFonts w:hint="eastAsia" w:ascii="宋体" w:hAnsi="宋体"/>
        </w:rPr>
        <w:t>各环节的评价标准参见课程成绩分析报告。</w:t>
      </w:r>
    </w:p>
    <w:p>
      <w:pPr>
        <w:pStyle w:val="20"/>
        <w:spacing w:before="312" w:after="468"/>
        <w:rPr>
          <w:rFonts w:cs="宋体" w:asciiTheme="minorEastAsia" w:hAnsiTheme="minorEastAsia" w:eastAsiaTheme="minorEastAsia"/>
          <w:snapToGrid w:val="0"/>
          <w:color w:val="0000FF"/>
          <w:kern w:val="0"/>
          <w:szCs w:val="21"/>
        </w:rPr>
      </w:pPr>
      <w:bookmarkStart w:id="87" w:name="_Toc4481"/>
      <w:r>
        <w:rPr>
          <w:rFonts w:hint="eastAsia"/>
        </w:rPr>
        <w:t>《</w:t>
      </w:r>
      <w:r>
        <w:rPr>
          <w:kern w:val="0"/>
          <w:szCs w:val="28"/>
        </w:rPr>
        <w:t>X02050001-</w:t>
      </w:r>
      <w:r>
        <w:rPr>
          <w:rFonts w:hint="eastAsia"/>
        </w:rPr>
        <w:t>模拟电子技术A》教学大纲</w:t>
      </w:r>
      <w:bookmarkEnd w:id="87"/>
    </w:p>
    <w:p>
      <w:pPr>
        <w:adjustRightInd w:val="0"/>
        <w:snapToGrid w:val="0"/>
        <w:spacing w:line="360" w:lineRule="auto"/>
        <w:rPr>
          <w:rFonts w:cs="宋体" w:asciiTheme="minorEastAsia" w:hAnsiTheme="minorEastAsia" w:eastAsiaTheme="minorEastAsia"/>
          <w:snapToGrid w:val="0"/>
          <w:color w:val="0000FF"/>
          <w:kern w:val="0"/>
          <w:szCs w:val="21"/>
        </w:rPr>
      </w:pPr>
      <w:r>
        <w:rPr>
          <w:rFonts w:hint="eastAsia" w:eastAsia="黑体"/>
          <w:szCs w:val="21"/>
        </w:rPr>
        <w:t>课程编号：</w:t>
      </w:r>
      <w:r>
        <w:rPr>
          <w:rFonts w:hint="eastAsia"/>
          <w:bCs/>
          <w:kern w:val="0"/>
        </w:rPr>
        <w:t>X02050001</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模拟电子技术A</w:t>
      </w:r>
      <w:r>
        <w:rPr>
          <w:szCs w:val="21"/>
        </w:rPr>
        <w:t xml:space="preserve"> </w:t>
      </w:r>
      <w:r>
        <w:rPr>
          <w:szCs w:val="21"/>
        </w:rPr>
        <w:tab/>
      </w:r>
      <w:r>
        <w:rPr>
          <w:szCs w:val="21"/>
        </w:rPr>
        <w:tab/>
      </w:r>
      <w:r>
        <w:rPr>
          <w:szCs w:val="21"/>
        </w:rPr>
        <w:tab/>
      </w:r>
      <w:r>
        <w:rPr>
          <w:szCs w:val="21"/>
        </w:rPr>
        <w:tab/>
      </w:r>
      <w:r>
        <w:rPr>
          <w:rFonts w:hint="eastAsia" w:eastAsia="黑体"/>
          <w:szCs w:val="21"/>
        </w:rPr>
        <w:t>开课单位：</w:t>
      </w:r>
      <w:r>
        <w:rPr>
          <w:rFonts w:hint="eastAsia"/>
          <w:szCs w:val="21"/>
        </w:rPr>
        <w:t>信息与通信工程学院</w:t>
      </w:r>
      <w:r>
        <w:rPr>
          <w:rFonts w:eastAsia="黑体"/>
          <w:szCs w:val="21"/>
        </w:rPr>
        <w:tab/>
      </w:r>
    </w:p>
    <w:p>
      <w:pPr>
        <w:adjustRightInd w:val="0"/>
        <w:snapToGrid w:val="0"/>
        <w:spacing w:line="360" w:lineRule="auto"/>
        <w:rPr>
          <w:rFonts w:eastAsia="黑体"/>
          <w:szCs w:val="21"/>
        </w:rPr>
      </w:pPr>
      <w:r>
        <w:rPr>
          <w:rFonts w:hint="eastAsia" w:eastAsia="黑体"/>
          <w:szCs w:val="21"/>
        </w:rPr>
        <w:t>总</w:t>
      </w:r>
      <w:r>
        <w:rPr>
          <w:rFonts w:eastAsia="黑体"/>
          <w:szCs w:val="21"/>
        </w:rPr>
        <w:t xml:space="preserve"> </w:t>
      </w:r>
      <w:r>
        <w:rPr>
          <w:rFonts w:hint="eastAsia" w:eastAsia="黑体"/>
          <w:szCs w:val="21"/>
        </w:rPr>
        <w:t>学</w:t>
      </w:r>
      <w:r>
        <w:rPr>
          <w:rFonts w:eastAsia="黑体"/>
          <w:szCs w:val="21"/>
        </w:rPr>
        <w:t xml:space="preserve"> </w:t>
      </w:r>
      <w:r>
        <w:rPr>
          <w:rFonts w:hint="eastAsia" w:eastAsia="黑体"/>
          <w:szCs w:val="21"/>
        </w:rPr>
        <w:t>时：</w:t>
      </w:r>
      <w:r>
        <w:rPr>
          <w:rFonts w:hint="eastAsia"/>
          <w:szCs w:val="21"/>
        </w:rPr>
        <w:t xml:space="preserve">72       </w:t>
      </w:r>
      <w:r>
        <w:rPr>
          <w:rFonts w:eastAsia="黑体"/>
          <w:szCs w:val="21"/>
        </w:rPr>
        <w:tab/>
      </w:r>
      <w:r>
        <w:rPr>
          <w:rFonts w:eastAsia="黑体"/>
          <w:szCs w:val="21"/>
        </w:rPr>
        <w:tab/>
      </w:r>
      <w:r>
        <w:rPr>
          <w:rFonts w:eastAsia="黑体"/>
          <w:szCs w:val="21"/>
        </w:rPr>
        <w:tab/>
      </w:r>
      <w:r>
        <w:rPr>
          <w:rFonts w:hint="eastAsia" w:eastAsia="黑体"/>
          <w:szCs w:val="21"/>
        </w:rPr>
        <w:t xml:space="preserve">      </w:t>
      </w:r>
      <w:r>
        <w:rPr>
          <w:rFonts w:eastAsia="黑体"/>
          <w:szCs w:val="21"/>
        </w:rPr>
        <w:tab/>
      </w:r>
      <w:r>
        <w:rPr>
          <w:rFonts w:hint="eastAsia" w:eastAsia="黑体"/>
          <w:szCs w:val="21"/>
        </w:rPr>
        <w:t xml:space="preserve">    学</w:t>
      </w:r>
      <w:r>
        <w:rPr>
          <w:rFonts w:eastAsia="黑体"/>
          <w:szCs w:val="21"/>
        </w:rPr>
        <w:t xml:space="preserve">    </w:t>
      </w:r>
      <w:r>
        <w:rPr>
          <w:rFonts w:hint="eastAsia" w:eastAsia="黑体"/>
          <w:szCs w:val="21"/>
        </w:rPr>
        <w:t>分：4</w:t>
      </w:r>
      <w:r>
        <w:rPr>
          <w:rFonts w:eastAsia="黑体"/>
          <w:szCs w:val="21"/>
        </w:rPr>
        <w:t>.5</w:t>
      </w:r>
    </w:p>
    <w:p>
      <w:pPr>
        <w:adjustRightInd w:val="0"/>
        <w:snapToGrid w:val="0"/>
        <w:spacing w:line="360" w:lineRule="auto"/>
        <w:rPr>
          <w:rFonts w:eastAsia="黑体"/>
        </w:rPr>
      </w:pPr>
      <w:r>
        <w:rPr>
          <w:rFonts w:hint="eastAsia" w:eastAsia="黑体"/>
          <w:szCs w:val="21"/>
        </w:rPr>
        <w:t>适用专业：</w:t>
      </w:r>
      <w:r>
        <w:rPr>
          <w:szCs w:val="21"/>
        </w:rPr>
        <w:t>电子科学与技术</w:t>
      </w:r>
      <w:r>
        <w:rPr>
          <w:rFonts w:hint="eastAsia"/>
          <w:szCs w:val="21"/>
        </w:rPr>
        <w:t>专业、</w:t>
      </w:r>
      <w:r>
        <w:rPr>
          <w:rFonts w:hint="eastAsia"/>
          <w:bCs/>
          <w:szCs w:val="21"/>
        </w:rPr>
        <w:t>测控技术与仪器专业</w:t>
      </w:r>
      <w:r>
        <w:rPr>
          <w:rFonts w:hint="eastAsia"/>
          <w:szCs w:val="21"/>
        </w:rPr>
        <w:t>、微电子科学与工程专业</w:t>
      </w:r>
    </w:p>
    <w:p>
      <w:pPr>
        <w:adjustRightInd w:val="0"/>
        <w:snapToGrid w:val="0"/>
        <w:spacing w:line="360" w:lineRule="auto"/>
        <w:rPr>
          <w:szCs w:val="21"/>
        </w:rPr>
      </w:pPr>
      <w:r>
        <w:rPr>
          <w:rFonts w:hint="eastAsia" w:eastAsia="黑体"/>
          <w:szCs w:val="21"/>
        </w:rPr>
        <w:t>先修课程：</w:t>
      </w:r>
      <w:r>
        <w:rPr>
          <w:rFonts w:hint="eastAsia"/>
          <w:szCs w:val="21"/>
        </w:rPr>
        <w:t>电路原理</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hint="eastAsia" w:asciiTheme="minorEastAsia" w:hAnsiTheme="minorEastAsia" w:eastAsiaTheme="minorEastAsia"/>
          <w:szCs w:val="21"/>
        </w:rPr>
        <w:t>201</w:t>
      </w:r>
      <w:r>
        <w:rPr>
          <w:rFonts w:asciiTheme="minorEastAsia" w:hAnsiTheme="minorEastAsia" w:eastAsiaTheme="minorEastAsia"/>
          <w:szCs w:val="21"/>
        </w:rPr>
        <w:t>9</w:t>
      </w:r>
      <w:r>
        <w:rPr>
          <w:rFonts w:hint="eastAsia" w:asciiTheme="minorEastAsia" w:hAnsiTheme="minorEastAsia" w:eastAsiaTheme="minorEastAsia"/>
          <w:szCs w:val="21"/>
        </w:rPr>
        <w:t>年</w:t>
      </w:r>
      <w:r>
        <w:rPr>
          <w:rFonts w:asciiTheme="minorEastAsia" w:hAnsiTheme="minorEastAsia" w:eastAsiaTheme="minorEastAsia"/>
          <w:szCs w:val="21"/>
        </w:rPr>
        <w:t>5</w:t>
      </w:r>
      <w:r>
        <w:rPr>
          <w:rFonts w:hint="eastAsia" w:asciiTheme="minorEastAsia" w:hAnsiTheme="minorEastAsia" w:eastAsiaTheme="minorEastAsia"/>
          <w:szCs w:val="21"/>
        </w:rPr>
        <w:t>月</w:t>
      </w:r>
    </w:p>
    <w:p>
      <w:pPr>
        <w:adjustRightInd w:val="0"/>
        <w:snapToGrid w:val="0"/>
        <w:spacing w:line="360" w:lineRule="auto"/>
        <w:rPr>
          <w:szCs w:val="21"/>
        </w:rPr>
      </w:pPr>
    </w:p>
    <w:p>
      <w:pPr>
        <w:numPr>
          <w:ilvl w:val="0"/>
          <w:numId w:val="14"/>
        </w:numPr>
        <w:adjustRightInd w:val="0"/>
        <w:snapToGrid w:val="0"/>
        <w:spacing w:line="360" w:lineRule="auto"/>
        <w:rPr>
          <w:rFonts w:eastAsia="黑体"/>
          <w:szCs w:val="21"/>
        </w:rPr>
      </w:pPr>
      <w:r>
        <w:rPr>
          <w:rFonts w:hint="eastAsia" w:eastAsia="黑体"/>
          <w:szCs w:val="21"/>
        </w:rPr>
        <w:t>课程在教学计划中的地位、作用</w:t>
      </w:r>
    </w:p>
    <w:p>
      <w:pPr>
        <w:adjustRightInd w:val="0"/>
        <w:snapToGrid w:val="0"/>
        <w:spacing w:line="360" w:lineRule="auto"/>
        <w:ind w:firstLine="420" w:firstLineChars="200"/>
        <w:rPr>
          <w:szCs w:val="21"/>
        </w:rPr>
      </w:pPr>
      <w:r>
        <w:rPr>
          <w:rFonts w:hint="eastAsia"/>
          <w:szCs w:val="21"/>
        </w:rPr>
        <w:t>本课程是一门属于电子技术入门性质的专业基础课程，是</w:t>
      </w:r>
      <w:r>
        <w:rPr>
          <w:szCs w:val="21"/>
        </w:rPr>
        <w:t>电子科学与技术</w:t>
      </w:r>
      <w:r>
        <w:rPr>
          <w:rFonts w:hint="eastAsia"/>
          <w:szCs w:val="21"/>
        </w:rPr>
        <w:t>专业、测控技术与仪器专业、微电子科学与工程专业的专业基础课，培养的电路与系统方向的核心课程，它既有自身的理论体系，又有很强的实践性。该课程的任务是使学生获得电子元器件、单元电路及其应用的基本知识，通过该课程的学习使学生掌握电子技术基本知识、，使学生能够能够读懂简单典型电子设备的电子线路原理图，并且能够分析单元电路、根据需要选定简单的电子系统。</w:t>
      </w:r>
    </w:p>
    <w:p>
      <w:pPr>
        <w:tabs>
          <w:tab w:val="left" w:pos="420"/>
        </w:tabs>
        <w:adjustRightInd w:val="0"/>
        <w:snapToGrid w:val="0"/>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二、课程目标</w:t>
      </w:r>
    </w:p>
    <w:p>
      <w:pPr>
        <w:tabs>
          <w:tab w:val="left" w:pos="420"/>
        </w:tabs>
        <w:spacing w:line="360" w:lineRule="auto"/>
        <w:ind w:firstLine="420" w:firstLineChars="200"/>
        <w:rPr>
          <w:color w:val="000000"/>
          <w:szCs w:val="21"/>
        </w:rPr>
      </w:pPr>
      <w:r>
        <w:rPr>
          <w:rFonts w:hint="eastAsia"/>
          <w:color w:val="000000"/>
          <w:szCs w:val="21"/>
        </w:rPr>
        <w:t>模拟电子技术A电类专业课程目标见表1。</w:t>
      </w:r>
    </w:p>
    <w:p>
      <w:pPr>
        <w:spacing w:line="360" w:lineRule="auto"/>
        <w:jc w:val="center"/>
        <w:rPr>
          <w:sz w:val="18"/>
          <w:szCs w:val="18"/>
        </w:rPr>
      </w:pPr>
      <w:r>
        <w:rPr>
          <w:sz w:val="18"/>
          <w:szCs w:val="18"/>
        </w:rPr>
        <w:t>表</w:t>
      </w:r>
      <w:r>
        <w:rPr>
          <w:rFonts w:hint="eastAsia"/>
          <w:sz w:val="18"/>
          <w:szCs w:val="18"/>
        </w:rPr>
        <w:t>1电类专业</w:t>
      </w:r>
      <w:r>
        <w:rPr>
          <w:sz w:val="18"/>
          <w:szCs w:val="18"/>
        </w:rPr>
        <w:t>课程目标</w:t>
      </w:r>
      <w:r>
        <w:rPr>
          <w:rFonts w:hint="eastAsia"/>
          <w:sz w:val="18"/>
          <w:szCs w:val="18"/>
        </w:rPr>
        <w:t>支撑</w:t>
      </w:r>
      <w:r>
        <w:rPr>
          <w:sz w:val="18"/>
          <w:szCs w:val="18"/>
        </w:rPr>
        <w:t>毕业要求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4585"/>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bottom"/>
          </w:tcPr>
          <w:p>
            <w:pPr>
              <w:spacing w:line="360" w:lineRule="auto"/>
              <w:jc w:val="center"/>
              <w:rPr>
                <w:sz w:val="18"/>
                <w:szCs w:val="18"/>
              </w:rPr>
            </w:pPr>
            <w:r>
              <w:rPr>
                <w:sz w:val="18"/>
                <w:szCs w:val="18"/>
              </w:rPr>
              <w:t>序号</w:t>
            </w:r>
          </w:p>
        </w:tc>
        <w:tc>
          <w:tcPr>
            <w:tcW w:w="2690" w:type="pct"/>
            <w:vAlign w:val="bottom"/>
          </w:tcPr>
          <w:p>
            <w:pPr>
              <w:spacing w:line="360" w:lineRule="auto"/>
              <w:jc w:val="center"/>
              <w:rPr>
                <w:sz w:val="18"/>
                <w:szCs w:val="18"/>
              </w:rPr>
            </w:pPr>
            <w:r>
              <w:rPr>
                <w:sz w:val="18"/>
                <w:szCs w:val="18"/>
              </w:rPr>
              <w:t>课程目标</w:t>
            </w:r>
          </w:p>
        </w:tc>
        <w:tc>
          <w:tcPr>
            <w:tcW w:w="1943" w:type="pct"/>
            <w:tcBorders>
              <w:right w:val="nil"/>
            </w:tcBorders>
            <w:vAlign w:val="bottom"/>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1</w:t>
            </w:r>
          </w:p>
        </w:tc>
        <w:tc>
          <w:tcPr>
            <w:tcW w:w="2690"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能够掌握二极管、晶体管、场效应管和集成运算放大器等电子器件的特性、主要参数，具有查阅手册、合理选用、测试常用电子元器件的能力。</w:t>
            </w:r>
          </w:p>
        </w:tc>
        <w:tc>
          <w:tcPr>
            <w:tcW w:w="1943" w:type="pct"/>
            <w:vMerge w:val="restart"/>
            <w:tcBorders>
              <w:right w:val="nil"/>
            </w:tcBorders>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掌握从事电子、仪器类专业工作所需的数学和自然科学知识，掌握本专业工程基础知识和基本理论，并能够将相关知识用于解决与电子信息和仪器类专业相关的复杂工程问题。</w:t>
            </w:r>
          </w:p>
          <w:p>
            <w:pPr>
              <w:adjustRightInd w:val="0"/>
              <w:snapToGrid w:val="0"/>
              <w:spacing w:line="36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2</w:t>
            </w:r>
          </w:p>
        </w:tc>
        <w:tc>
          <w:tcPr>
            <w:tcW w:w="2690" w:type="pct"/>
          </w:tcPr>
          <w:p>
            <w:pPr>
              <w:adjustRightInd w:val="0"/>
              <w:snapToGrid w:val="0"/>
              <w:spacing w:line="360" w:lineRule="auto"/>
              <w:rPr>
                <w:sz w:val="18"/>
                <w:szCs w:val="18"/>
              </w:rPr>
            </w:pPr>
            <w:r>
              <w:rPr>
                <w:rFonts w:hint="eastAsia"/>
                <w:sz w:val="18"/>
                <w:szCs w:val="18"/>
              </w:rPr>
              <w:t>能够通过所学知识读懂常见模拟电路，识别各种放大电路、运算电路、滤波电路、信号产生电路和电源电路等单元电路的组成、工作原理，能够看懂简单典型电子设备的电子线路原理图，并了解各部分组成及功能。</w:t>
            </w:r>
          </w:p>
        </w:tc>
        <w:tc>
          <w:tcPr>
            <w:tcW w:w="1943" w:type="pct"/>
            <w:vMerge w:val="continue"/>
            <w:tcBorders>
              <w:right w:val="nil"/>
            </w:tcBorders>
          </w:tcPr>
          <w:p>
            <w:pPr>
              <w:adjustRightInd w:val="0"/>
              <w:snapToGrid w:val="0"/>
              <w:spacing w:line="36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3</w:t>
            </w:r>
          </w:p>
        </w:tc>
        <w:tc>
          <w:tcPr>
            <w:tcW w:w="2690"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能够分析各种放大电路、运算电路、信号产生电路和电源电路等重要单元电路。</w:t>
            </w:r>
          </w:p>
          <w:p>
            <w:pPr>
              <w:adjustRightInd w:val="0"/>
              <w:snapToGrid w:val="0"/>
              <w:spacing w:line="360" w:lineRule="auto"/>
              <w:rPr>
                <w:sz w:val="18"/>
                <w:szCs w:val="18"/>
              </w:rPr>
            </w:pPr>
          </w:p>
        </w:tc>
        <w:tc>
          <w:tcPr>
            <w:tcW w:w="1943" w:type="pct"/>
            <w:vMerge w:val="restart"/>
            <w:tcBorders>
              <w:right w:val="nil"/>
            </w:tcBorders>
          </w:tcPr>
          <w:p>
            <w:pPr>
              <w:adjustRightInd w:val="0"/>
              <w:snapToGrid w:val="0"/>
              <w:spacing w:line="360" w:lineRule="auto"/>
              <w:rPr>
                <w:sz w:val="18"/>
                <w:szCs w:val="18"/>
              </w:rPr>
            </w:pPr>
            <w:r>
              <w:rPr>
                <w:rFonts w:hint="eastAsia"/>
                <w:b/>
                <w:sz w:val="18"/>
                <w:szCs w:val="18"/>
              </w:rPr>
              <w:t>毕业要求2问题分析：</w:t>
            </w:r>
            <w:r>
              <w:rPr>
                <w:rFonts w:hint="eastAsia"/>
                <w:sz w:val="18"/>
                <w:szCs w:val="18"/>
              </w:rPr>
              <w:t>能够应用工程所需的数学、自然科学知识和专业基本理论，并通过文献检索、资料查询及运用现代技术获取信息的方法，对电子、微电子或仪器类专业有关的复杂工程问题进行识别、表达和分析，得出有效结论。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4</w:t>
            </w:r>
          </w:p>
        </w:tc>
        <w:tc>
          <w:tcPr>
            <w:tcW w:w="2690" w:type="pct"/>
          </w:tcPr>
          <w:p>
            <w:pPr>
              <w:adjustRightInd w:val="0"/>
              <w:snapToGrid w:val="0"/>
              <w:spacing w:line="360" w:lineRule="auto"/>
              <w:rPr>
                <w:sz w:val="18"/>
                <w:szCs w:val="18"/>
              </w:rPr>
            </w:pPr>
            <w:r>
              <w:rPr>
                <w:rFonts w:hint="eastAsia"/>
                <w:sz w:val="18"/>
                <w:szCs w:val="18"/>
              </w:rPr>
              <w:t>能够根据功能需要，选定适当的基本电路组成简单的电子系统，必要时会引入适当的反馈。</w:t>
            </w:r>
          </w:p>
          <w:p>
            <w:pPr>
              <w:adjustRightInd w:val="0"/>
              <w:snapToGrid w:val="0"/>
              <w:spacing w:line="360" w:lineRule="auto"/>
              <w:rPr>
                <w:sz w:val="18"/>
                <w:szCs w:val="18"/>
              </w:rPr>
            </w:pPr>
          </w:p>
        </w:tc>
        <w:tc>
          <w:tcPr>
            <w:tcW w:w="1943" w:type="pct"/>
            <w:vMerge w:val="continue"/>
            <w:tcBorders>
              <w:right w:val="nil"/>
            </w:tcBorders>
          </w:tcPr>
          <w:p>
            <w:pPr>
              <w:adjustRightInd w:val="0"/>
              <w:snapToGrid w:val="0"/>
              <w:spacing w:line="360" w:lineRule="auto"/>
              <w:rPr>
                <w:sz w:val="18"/>
                <w:szCs w:val="18"/>
              </w:rPr>
            </w:pPr>
          </w:p>
        </w:tc>
      </w:tr>
    </w:tbl>
    <w:p>
      <w:pPr>
        <w:spacing w:line="360" w:lineRule="auto"/>
        <w:ind w:firstLine="420" w:firstLineChars="200"/>
        <w:rPr>
          <w:szCs w:val="21"/>
        </w:rPr>
      </w:pPr>
      <w:r>
        <w:rPr>
          <w:rFonts w:hint="eastAsia"/>
          <w:color w:val="000000"/>
          <w:szCs w:val="21"/>
        </w:rPr>
        <w:t>根据模拟电子技术A电类专业课程目标细化至电子科学与技术、测控技术与仪器、微电子科学与工程专业课程目标分别见表2、表3和表4。</w:t>
      </w:r>
    </w:p>
    <w:p>
      <w:pPr>
        <w:spacing w:line="360" w:lineRule="auto"/>
        <w:jc w:val="center"/>
        <w:rPr>
          <w:sz w:val="18"/>
          <w:szCs w:val="18"/>
        </w:rPr>
      </w:pPr>
      <w:r>
        <w:rPr>
          <w:sz w:val="18"/>
          <w:szCs w:val="18"/>
        </w:rPr>
        <w:t>表</w:t>
      </w:r>
      <w:r>
        <w:rPr>
          <w:rFonts w:hint="eastAsia"/>
          <w:sz w:val="18"/>
          <w:szCs w:val="18"/>
        </w:rPr>
        <w:t>2</w:t>
      </w:r>
      <w:r>
        <w:rPr>
          <w:sz w:val="18"/>
          <w:szCs w:val="18"/>
        </w:rPr>
        <w:t>课程目标</w:t>
      </w:r>
      <w:r>
        <w:rPr>
          <w:rFonts w:hint="eastAsia"/>
          <w:sz w:val="18"/>
          <w:szCs w:val="18"/>
        </w:rPr>
        <w:t>支撑</w:t>
      </w:r>
      <w:r>
        <w:rPr>
          <w:sz w:val="18"/>
          <w:szCs w:val="18"/>
        </w:rPr>
        <w:t>毕业要求</w:t>
      </w:r>
      <w:r>
        <w:rPr>
          <w:rFonts w:hint="eastAsia"/>
          <w:sz w:val="18"/>
          <w:szCs w:val="18"/>
        </w:rPr>
        <w:t>（</w:t>
      </w:r>
      <w:r>
        <w:rPr>
          <w:rFonts w:hint="eastAsia"/>
          <w:color w:val="000000"/>
          <w:sz w:val="18"/>
          <w:szCs w:val="18"/>
        </w:rPr>
        <w:t>电子科学与技术</w:t>
      </w:r>
      <w:r>
        <w:rPr>
          <w:sz w:val="18"/>
          <w:szCs w:val="18"/>
        </w:rPr>
        <w:t>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3997"/>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1</w:t>
            </w:r>
          </w:p>
        </w:tc>
        <w:tc>
          <w:tcPr>
            <w:tcW w:w="2345"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能够掌握二极管、晶体管、场效应管和集成运算放大器等电子器件的特性、主要参数，具有查阅手册、合理选用、测试常用电子元器件的能力。</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2</w:t>
            </w:r>
          </w:p>
        </w:tc>
        <w:tc>
          <w:tcPr>
            <w:tcW w:w="2345" w:type="pct"/>
          </w:tcPr>
          <w:p>
            <w:pPr>
              <w:adjustRightInd w:val="0"/>
              <w:snapToGrid w:val="0"/>
              <w:spacing w:line="360" w:lineRule="auto"/>
              <w:rPr>
                <w:sz w:val="18"/>
                <w:szCs w:val="18"/>
              </w:rPr>
            </w:pPr>
            <w:r>
              <w:rPr>
                <w:rFonts w:hint="eastAsia"/>
                <w:sz w:val="18"/>
                <w:szCs w:val="18"/>
              </w:rPr>
              <w:t>能够通过所学知识读懂常见模拟电路，识别各种放大电路、运算电路、滤波电路、信号产生电路和电源电路等单元电路的组成、工作原理，能够看懂简单典型电子设备的电子线路原理图，并了解各部分组成及功能。</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指标点1-2 知识运用能力：</w:t>
            </w:r>
            <w:r>
              <w:rPr>
                <w:rFonts w:hint="eastAsia"/>
                <w:sz w:val="18"/>
                <w:szCs w:val="18"/>
              </w:rPr>
              <w:t>能将基础知识恰当地运用到电子科学与技术专业电路系统、物联网及现场总线等复杂工程问题的解决中。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3</w:t>
            </w:r>
          </w:p>
        </w:tc>
        <w:tc>
          <w:tcPr>
            <w:tcW w:w="2345"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能够分析各种放大电路、运算电路、信号产生电路和电源电路等重要单元电路。</w:t>
            </w:r>
          </w:p>
          <w:p>
            <w:pPr>
              <w:adjustRightInd w:val="0"/>
              <w:snapToGrid w:val="0"/>
              <w:spacing w:line="360" w:lineRule="auto"/>
              <w:rPr>
                <w:sz w:val="18"/>
                <w:szCs w:val="18"/>
              </w:rPr>
            </w:pPr>
          </w:p>
        </w:tc>
        <w:tc>
          <w:tcPr>
            <w:tcW w:w="2288" w:type="pct"/>
            <w:tcBorders>
              <w:right w:val="nil"/>
            </w:tcBorders>
          </w:tcPr>
          <w:p>
            <w:pPr>
              <w:adjustRightInd w:val="0"/>
              <w:snapToGrid w:val="0"/>
              <w:spacing w:line="360" w:lineRule="auto"/>
              <w:rPr>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4</w:t>
            </w:r>
          </w:p>
        </w:tc>
        <w:tc>
          <w:tcPr>
            <w:tcW w:w="2345" w:type="pct"/>
          </w:tcPr>
          <w:p>
            <w:pPr>
              <w:adjustRightInd w:val="0"/>
              <w:snapToGrid w:val="0"/>
              <w:spacing w:line="360" w:lineRule="auto"/>
              <w:rPr>
                <w:sz w:val="18"/>
                <w:szCs w:val="18"/>
              </w:rPr>
            </w:pPr>
            <w:r>
              <w:rPr>
                <w:rFonts w:hint="eastAsia"/>
                <w:sz w:val="18"/>
                <w:szCs w:val="18"/>
              </w:rPr>
              <w:t>能够根据功能需要，选定适当的基本电路组成简单的电子系统，必要时会引入适当的反馈。</w:t>
            </w:r>
          </w:p>
          <w:p>
            <w:pPr>
              <w:adjustRightInd w:val="0"/>
              <w:snapToGrid w:val="0"/>
              <w:spacing w:line="360" w:lineRule="auto"/>
              <w:rPr>
                <w:sz w:val="18"/>
                <w:szCs w:val="18"/>
              </w:rPr>
            </w:pPr>
          </w:p>
        </w:tc>
        <w:tc>
          <w:tcPr>
            <w:tcW w:w="2288" w:type="pct"/>
            <w:tcBorders>
              <w:right w:val="nil"/>
            </w:tcBorders>
          </w:tcPr>
          <w:p>
            <w:pPr>
              <w:adjustRightInd w:val="0"/>
              <w:snapToGrid w:val="0"/>
              <w:spacing w:line="360" w:lineRule="auto"/>
              <w:rPr>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tbl>
    <w:p>
      <w:pPr>
        <w:spacing w:line="360" w:lineRule="auto"/>
        <w:jc w:val="center"/>
        <w:rPr>
          <w:sz w:val="18"/>
          <w:szCs w:val="18"/>
        </w:rPr>
      </w:pPr>
    </w:p>
    <w:p>
      <w:pPr>
        <w:spacing w:line="360" w:lineRule="auto"/>
        <w:jc w:val="center"/>
        <w:rPr>
          <w:sz w:val="18"/>
          <w:szCs w:val="18"/>
        </w:rPr>
      </w:pPr>
      <w:r>
        <w:rPr>
          <w:sz w:val="18"/>
          <w:szCs w:val="18"/>
        </w:rPr>
        <w:t>表</w:t>
      </w:r>
      <w:r>
        <w:rPr>
          <w:rFonts w:hint="eastAsia"/>
          <w:sz w:val="18"/>
          <w:szCs w:val="18"/>
        </w:rPr>
        <w:t>3</w:t>
      </w:r>
      <w:r>
        <w:rPr>
          <w:sz w:val="18"/>
          <w:szCs w:val="18"/>
        </w:rPr>
        <w:t>课程目标</w:t>
      </w:r>
      <w:r>
        <w:rPr>
          <w:rFonts w:hint="eastAsia"/>
          <w:sz w:val="18"/>
          <w:szCs w:val="18"/>
        </w:rPr>
        <w:t>支撑</w:t>
      </w:r>
      <w:r>
        <w:rPr>
          <w:sz w:val="18"/>
          <w:szCs w:val="18"/>
        </w:rPr>
        <w:t>毕业要求</w:t>
      </w:r>
      <w:r>
        <w:rPr>
          <w:rFonts w:hint="eastAsia"/>
          <w:sz w:val="18"/>
          <w:szCs w:val="18"/>
        </w:rPr>
        <w:t>（</w:t>
      </w:r>
      <w:r>
        <w:rPr>
          <w:rFonts w:hint="eastAsia"/>
          <w:bCs/>
          <w:sz w:val="18"/>
          <w:szCs w:val="18"/>
        </w:rPr>
        <w:t>测控技术与仪器专业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3997"/>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1</w:t>
            </w:r>
          </w:p>
        </w:tc>
        <w:tc>
          <w:tcPr>
            <w:tcW w:w="2345"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能够掌握二极管、晶体管、场效应管和集成运算放大器等电子器件的特性、主要参数，具有查阅手册、合理选用、测试常用电子元器件的能力。</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2</w:t>
            </w:r>
          </w:p>
        </w:tc>
        <w:tc>
          <w:tcPr>
            <w:tcW w:w="2345" w:type="pct"/>
          </w:tcPr>
          <w:p>
            <w:pPr>
              <w:adjustRightInd w:val="0"/>
              <w:snapToGrid w:val="0"/>
              <w:spacing w:line="360" w:lineRule="auto"/>
              <w:rPr>
                <w:sz w:val="18"/>
                <w:szCs w:val="18"/>
              </w:rPr>
            </w:pPr>
            <w:r>
              <w:rPr>
                <w:rFonts w:hint="eastAsia"/>
                <w:sz w:val="18"/>
                <w:szCs w:val="18"/>
              </w:rPr>
              <w:t>能够通过所学知识读懂常见模拟电路，识别各种放大电路、运算电路、滤波电路、信号产生电路和电源电路等单元电路的组成、工作原理，能够看懂简单典型电子设备的电子线路原理图，并了解各部分组成及功能。</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指标点1-2 知识运用能力：</w:t>
            </w:r>
            <w:r>
              <w:rPr>
                <w:rFonts w:hint="eastAsia"/>
                <w:sz w:val="18"/>
                <w:szCs w:val="18"/>
              </w:rPr>
              <w:t>能将基础知识恰当地运用到测控技术与仪器专业电路系统、物联网及现场总线等复杂工程问题的解决中。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3</w:t>
            </w:r>
          </w:p>
        </w:tc>
        <w:tc>
          <w:tcPr>
            <w:tcW w:w="2345" w:type="pct"/>
          </w:tcPr>
          <w:p>
            <w:pPr>
              <w:adjustRightInd w:val="0"/>
              <w:snapToGrid w:val="0"/>
              <w:spacing w:line="360" w:lineRule="auto"/>
              <w:rPr>
                <w:sz w:val="18"/>
                <w:szCs w:val="18"/>
              </w:rPr>
            </w:pPr>
            <w:r>
              <w:rPr>
                <w:rFonts w:hint="eastAsia"/>
                <w:sz w:val="18"/>
                <w:szCs w:val="18"/>
              </w:rPr>
              <w:t>能够分析各种放大电路、运算电路、信号产生电路和电源电路等重要单元电路。</w:t>
            </w:r>
          </w:p>
          <w:p>
            <w:pPr>
              <w:adjustRightInd w:val="0"/>
              <w:snapToGrid w:val="0"/>
              <w:spacing w:line="360" w:lineRule="auto"/>
              <w:rPr>
                <w:sz w:val="18"/>
                <w:szCs w:val="18"/>
              </w:rPr>
            </w:pPr>
          </w:p>
        </w:tc>
        <w:tc>
          <w:tcPr>
            <w:tcW w:w="2288" w:type="pct"/>
            <w:tcBorders>
              <w:right w:val="nil"/>
            </w:tcBorders>
          </w:tcPr>
          <w:p>
            <w:pPr>
              <w:adjustRightInd w:val="0"/>
              <w:snapToGrid w:val="0"/>
              <w:spacing w:line="360" w:lineRule="auto"/>
              <w:rPr>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4</w:t>
            </w:r>
          </w:p>
        </w:tc>
        <w:tc>
          <w:tcPr>
            <w:tcW w:w="2345"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能够根据功能需要，选定适当的基本电路组成简单的电子系统，必要时会引入适当的反馈。</w:t>
            </w:r>
          </w:p>
          <w:p>
            <w:pPr>
              <w:adjustRightInd w:val="0"/>
              <w:snapToGrid w:val="0"/>
              <w:spacing w:line="360" w:lineRule="auto"/>
              <w:rPr>
                <w:sz w:val="18"/>
                <w:szCs w:val="18"/>
              </w:rPr>
            </w:pPr>
          </w:p>
        </w:tc>
        <w:tc>
          <w:tcPr>
            <w:tcW w:w="2288" w:type="pct"/>
            <w:tcBorders>
              <w:right w:val="nil"/>
            </w:tcBorders>
          </w:tcPr>
          <w:p>
            <w:pPr>
              <w:adjustRightInd w:val="0"/>
              <w:snapToGrid w:val="0"/>
              <w:spacing w:line="360" w:lineRule="auto"/>
              <w:rPr>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tbl>
    <w:p>
      <w:pPr>
        <w:spacing w:line="360" w:lineRule="auto"/>
        <w:rPr>
          <w:sz w:val="18"/>
          <w:szCs w:val="18"/>
        </w:rPr>
      </w:pPr>
    </w:p>
    <w:p>
      <w:pPr>
        <w:spacing w:line="360" w:lineRule="auto"/>
        <w:jc w:val="center"/>
        <w:rPr>
          <w:sz w:val="18"/>
          <w:szCs w:val="18"/>
        </w:rPr>
      </w:pPr>
      <w:r>
        <w:rPr>
          <w:sz w:val="18"/>
          <w:szCs w:val="18"/>
        </w:rPr>
        <w:t>表</w:t>
      </w:r>
      <w:r>
        <w:rPr>
          <w:rFonts w:hint="eastAsia"/>
          <w:sz w:val="18"/>
          <w:szCs w:val="18"/>
        </w:rPr>
        <w:t>4</w:t>
      </w:r>
      <w:r>
        <w:rPr>
          <w:sz w:val="18"/>
          <w:szCs w:val="18"/>
        </w:rPr>
        <w:t>课程目标</w:t>
      </w:r>
      <w:r>
        <w:rPr>
          <w:rFonts w:hint="eastAsia"/>
          <w:sz w:val="18"/>
          <w:szCs w:val="18"/>
        </w:rPr>
        <w:t>支撑</w:t>
      </w:r>
      <w:r>
        <w:rPr>
          <w:sz w:val="18"/>
          <w:szCs w:val="18"/>
        </w:rPr>
        <w:t>毕业要求</w:t>
      </w:r>
      <w:r>
        <w:rPr>
          <w:rFonts w:hint="eastAsia"/>
          <w:sz w:val="18"/>
          <w:szCs w:val="18"/>
        </w:rPr>
        <w:t>（微电子科学与工程专业）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3997"/>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1</w:t>
            </w:r>
          </w:p>
        </w:tc>
        <w:tc>
          <w:tcPr>
            <w:tcW w:w="2345" w:type="pct"/>
          </w:tcPr>
          <w:p>
            <w:pPr>
              <w:adjustRightInd w:val="0"/>
              <w:snapToGrid w:val="0"/>
              <w:spacing w:line="360" w:lineRule="auto"/>
              <w:rPr>
                <w:color w:val="000000" w:themeColor="text1"/>
                <w:szCs w:val="21"/>
                <w14:textFill>
                  <w14:solidFill>
                    <w14:schemeClr w14:val="tx1"/>
                  </w14:solidFill>
                </w14:textFill>
              </w:rPr>
            </w:pPr>
            <w:r>
              <w:rPr>
                <w:rFonts w:hint="eastAsia"/>
                <w:sz w:val="18"/>
                <w:szCs w:val="18"/>
              </w:rPr>
              <w:t>能够掌握二极管、晶体管、场效应管和集成运算放大器等电子器件的特性、主要参数，具有查阅手册、合理选用、测试常用电子元器件的能力。</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2</w:t>
            </w:r>
          </w:p>
        </w:tc>
        <w:tc>
          <w:tcPr>
            <w:tcW w:w="2345" w:type="pct"/>
          </w:tcPr>
          <w:p>
            <w:pPr>
              <w:adjustRightInd w:val="0"/>
              <w:snapToGrid w:val="0"/>
              <w:spacing w:line="360" w:lineRule="auto"/>
              <w:rPr>
                <w:sz w:val="18"/>
                <w:szCs w:val="18"/>
              </w:rPr>
            </w:pPr>
            <w:r>
              <w:rPr>
                <w:rFonts w:hint="eastAsia"/>
                <w:sz w:val="18"/>
                <w:szCs w:val="18"/>
              </w:rPr>
              <w:t>能够通过所学知识读懂常见模拟电路，识别各种放大电路、运算电路、滤波电路、信号产生电路和电源电路等单元电路的组成、工作原理，能够看懂简单典型电子设备的电子线路原理图，并了解各部分组成及功能。</w:t>
            </w:r>
          </w:p>
        </w:tc>
        <w:tc>
          <w:tcPr>
            <w:tcW w:w="2288" w:type="pct"/>
            <w:tcBorders>
              <w:right w:val="nil"/>
            </w:tcBorders>
          </w:tcPr>
          <w:p>
            <w:pPr>
              <w:adjustRightInd w:val="0"/>
              <w:snapToGrid w:val="0"/>
              <w:spacing w:line="360" w:lineRule="auto"/>
              <w:rPr>
                <w:sz w:val="18"/>
                <w:szCs w:val="18"/>
              </w:rPr>
            </w:pPr>
            <w:r>
              <w:rPr>
                <w:rFonts w:hint="eastAsia"/>
                <w:b/>
                <w:sz w:val="18"/>
                <w:szCs w:val="18"/>
              </w:rPr>
              <w:t>指标点1-2 知识运用能力：</w:t>
            </w:r>
            <w:r>
              <w:rPr>
                <w:rFonts w:hint="eastAsia"/>
                <w:sz w:val="18"/>
                <w:szCs w:val="18"/>
              </w:rPr>
              <w:t>能将基础知识恰当地运用到微电子科学与技术专业电路系统、物联网及现场总线等复杂工程问题的解决中。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3</w:t>
            </w:r>
          </w:p>
        </w:tc>
        <w:tc>
          <w:tcPr>
            <w:tcW w:w="2345" w:type="pct"/>
          </w:tcPr>
          <w:p>
            <w:pPr>
              <w:adjustRightInd w:val="0"/>
              <w:snapToGrid w:val="0"/>
              <w:spacing w:line="360" w:lineRule="auto"/>
              <w:rPr>
                <w:sz w:val="18"/>
                <w:szCs w:val="18"/>
              </w:rPr>
            </w:pPr>
            <w:r>
              <w:rPr>
                <w:rFonts w:hint="eastAsia"/>
                <w:sz w:val="18"/>
                <w:szCs w:val="18"/>
              </w:rPr>
              <w:t>能够分析各种放大电路、运算电路、信号产生电路和电源电路等重要单元电路。</w:t>
            </w:r>
          </w:p>
        </w:tc>
        <w:tc>
          <w:tcPr>
            <w:tcW w:w="2288" w:type="pct"/>
            <w:tcBorders>
              <w:right w:val="nil"/>
            </w:tcBorders>
          </w:tcPr>
          <w:p>
            <w:pPr>
              <w:adjustRightInd w:val="0"/>
              <w:snapToGrid w:val="0"/>
              <w:spacing w:line="360" w:lineRule="auto"/>
              <w:rPr>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sz w:val="18"/>
                <w:szCs w:val="18"/>
              </w:rPr>
            </w:pPr>
            <w:r>
              <w:rPr>
                <w:rFonts w:hint="eastAsia"/>
                <w:sz w:val="18"/>
                <w:szCs w:val="18"/>
              </w:rPr>
              <w:t>4</w:t>
            </w:r>
          </w:p>
        </w:tc>
        <w:tc>
          <w:tcPr>
            <w:tcW w:w="2345" w:type="pct"/>
          </w:tcPr>
          <w:p>
            <w:pPr>
              <w:adjustRightInd w:val="0"/>
              <w:snapToGrid w:val="0"/>
              <w:spacing w:line="360" w:lineRule="auto"/>
              <w:rPr>
                <w:sz w:val="18"/>
                <w:szCs w:val="18"/>
              </w:rPr>
            </w:pPr>
            <w:r>
              <w:rPr>
                <w:rFonts w:hint="eastAsia"/>
                <w:sz w:val="18"/>
                <w:szCs w:val="18"/>
              </w:rPr>
              <w:t>能够根据功能需要，选定适当的基本电路组成简单的电子系统，必要时会引入适当的反馈。</w:t>
            </w:r>
          </w:p>
          <w:p>
            <w:pPr>
              <w:adjustRightInd w:val="0"/>
              <w:snapToGrid w:val="0"/>
              <w:spacing w:line="360" w:lineRule="auto"/>
              <w:rPr>
                <w:sz w:val="18"/>
                <w:szCs w:val="18"/>
              </w:rPr>
            </w:pPr>
          </w:p>
        </w:tc>
        <w:tc>
          <w:tcPr>
            <w:tcW w:w="2288" w:type="pct"/>
            <w:tcBorders>
              <w:right w:val="nil"/>
            </w:tcBorders>
          </w:tcPr>
          <w:p>
            <w:pPr>
              <w:adjustRightInd w:val="0"/>
              <w:snapToGrid w:val="0"/>
              <w:spacing w:line="360" w:lineRule="auto"/>
              <w:rPr>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 基本要求</w:t>
      </w:r>
    </w:p>
    <w:p>
      <w:pPr>
        <w:spacing w:line="360" w:lineRule="auto"/>
        <w:ind w:firstLine="420" w:firstLineChars="200"/>
        <w:rPr>
          <w:rFonts w:ascii="宋体" w:hAnsi="宋体" w:cs="宋体"/>
          <w:color w:val="000000"/>
          <w:spacing w:val="6"/>
          <w:szCs w:val="289"/>
        </w:rPr>
      </w:pPr>
      <w:r>
        <w:rPr>
          <w:rFonts w:hint="eastAsia"/>
          <w:szCs w:val="21"/>
        </w:rPr>
        <w:t>1、本课程为专业基础课，要求先修电路原理课程，</w:t>
      </w:r>
      <w:r>
        <w:rPr>
          <w:rFonts w:hint="eastAsia"/>
          <w:color w:val="000000" w:themeColor="text1"/>
          <w:szCs w:val="21"/>
          <w14:textFill>
            <w14:solidFill>
              <w14:schemeClr w14:val="tx1"/>
            </w14:solidFill>
          </w14:textFill>
        </w:rPr>
        <w:t>在教学中应注重基本概念、基本工作原理和基本分析方法的传授，力求解决学生学习模拟电子技术入门难和学习难的问题，使学生</w:t>
      </w:r>
      <w:r>
        <w:rPr>
          <w:rFonts w:hint="eastAsia" w:ascii="宋体" w:hAnsi="宋体" w:cs="宋体"/>
          <w:color w:val="000000" w:themeColor="text1"/>
          <w:spacing w:val="6"/>
          <w:szCs w:val="289"/>
          <w:shd w:val="clear" w:color="auto" w:fill="FFFFFF"/>
          <w14:textFill>
            <w14:solidFill>
              <w14:schemeClr w14:val="tx1"/>
            </w14:solidFill>
          </w14:textFill>
        </w:rPr>
        <w:t>建立一些新观念（如工程观念）和一些处理实际问题的新方法（如合理的近似分析计算）。</w:t>
      </w:r>
      <w:r>
        <w:rPr>
          <w:rFonts w:ascii="宋体" w:hAnsi="宋体" w:cs="宋体"/>
          <w:color w:val="000000"/>
          <w:spacing w:val="6"/>
          <w:szCs w:val="289"/>
        </w:rPr>
        <w:t xml:space="preserve"> </w:t>
      </w:r>
    </w:p>
    <w:p>
      <w:pPr>
        <w:numPr>
          <w:ilvl w:val="0"/>
          <w:numId w:val="15"/>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在教学中要体现模拟电子技术“管为路用”的思想，</w:t>
      </w:r>
      <w:r>
        <w:rPr>
          <w:rFonts w:hint="eastAsia"/>
        </w:rPr>
        <w:t>在分析由三极管、场效应管构成的放大电路时，强调基本概念、基本工作原理和基本分析方法，为学习后续电路和集成电路打下坚实的基础。在介绍集成运放基本单元电路和主要性能参数的基础上，强调集成运放的线性应用和非线性应用。</w:t>
      </w:r>
    </w:p>
    <w:p>
      <w:pPr>
        <w:numPr>
          <w:ilvl w:val="0"/>
          <w:numId w:val="15"/>
        </w:numPr>
        <w:spacing w:line="360" w:lineRule="auto"/>
        <w:ind w:firstLine="420" w:firstLineChars="200"/>
        <w:rPr>
          <w:color w:val="000000" w:themeColor="text1"/>
          <w:szCs w:val="21"/>
          <w14:textFill>
            <w14:solidFill>
              <w14:schemeClr w14:val="tx1"/>
            </w14:solidFill>
          </w14:textFill>
        </w:rPr>
      </w:pPr>
      <w:r>
        <w:rPr>
          <w:rFonts w:hint="eastAsia"/>
          <w:szCs w:val="21"/>
        </w:rPr>
        <w:t>教师运用类比式和启发式教学，结合经典的实例，使学生掌握</w:t>
      </w:r>
      <w:r>
        <w:rPr>
          <w:rFonts w:hint="eastAsia"/>
        </w:rPr>
        <w:t>各种基本放大电路及分析方法、放大电路中的反馈、模拟集成电路及其应用等重点内容。</w:t>
      </w:r>
    </w:p>
    <w:p>
      <w:pPr>
        <w:spacing w:line="360" w:lineRule="auto"/>
        <w:ind w:firstLine="420" w:firstLineChars="200"/>
        <w:rPr>
          <w:color w:val="FF0000"/>
          <w:szCs w:val="21"/>
        </w:rPr>
      </w:pPr>
      <w:r>
        <w:rPr>
          <w:rFonts w:hint="eastAsia"/>
          <w:color w:val="000000" w:themeColor="text1"/>
          <w:szCs w:val="21"/>
          <w14:textFill>
            <w14:solidFill>
              <w14:schemeClr w14:val="tx1"/>
            </w14:solidFill>
          </w14:textFill>
        </w:rPr>
        <w:t>4、本课程是一门实践性很强的课程，实验单独设课。要求学生通过实验环节把所学的内容巩固和掌握，教学和实验需交替进行。</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5、在教学中适当引入新概念、新技术，新器件，做到经典与现代融合，与实验融合，与工程应用融合，有利于培养学生的实践能力、创新能力；</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6、</w:t>
      </w:r>
      <w:r>
        <w:rPr>
          <w:rFonts w:hint="eastAsia"/>
          <w:szCs w:val="21"/>
        </w:rPr>
        <w:t>利用EDA仿真进行学习，</w:t>
      </w:r>
      <w:r>
        <w:rPr>
          <w:rFonts w:hint="eastAsia"/>
          <w:color w:val="000000" w:themeColor="text1"/>
          <w:szCs w:val="21"/>
          <w14:textFill>
            <w14:solidFill>
              <w14:schemeClr w14:val="tx1"/>
            </w14:solidFill>
          </w14:textFill>
        </w:rPr>
        <w:t>可以更好地理解模拟电路的基本概念、基本理论和基本分析方法。</w:t>
      </w:r>
    </w:p>
    <w:p>
      <w:pPr>
        <w:widowControl/>
        <w:spacing w:line="360" w:lineRule="auto"/>
        <w:ind w:firstLine="420" w:firstLineChars="200"/>
        <w:jc w:val="left"/>
        <w:rPr>
          <w:szCs w:val="21"/>
        </w:rPr>
      </w:pPr>
      <w:r>
        <w:rPr>
          <w:rFonts w:hint="eastAsia"/>
          <w:szCs w:val="21"/>
        </w:rPr>
        <w:t>7、深度和广度说明：学习二极管、晶体管和场效应管，重点是它们的特性和利用这些管子组成各种电子电路，因此教学中除了必要的内容以外，不必过多深入剖析管子内部的一些导电机理和物理过程。同样的道理，运算放大电路的内部原理原理也不必深究，只要搞清楚内部结构和各部分的作用即可，重要的是运算放大电路的特性、参数和应用电路。</w:t>
      </w:r>
    </w:p>
    <w:p>
      <w:pPr>
        <w:spacing w:line="360" w:lineRule="auto"/>
        <w:ind w:firstLine="420" w:firstLineChars="200"/>
        <w:rPr>
          <w:szCs w:val="21"/>
        </w:rPr>
      </w:pPr>
      <w:r>
        <w:rPr>
          <w:rFonts w:hint="eastAsia"/>
          <w:szCs w:val="21"/>
        </w:rPr>
        <w:t>8</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rFonts w:hint="eastAsia" w:ascii="宋体" w:hAnsi="宋体" w:cs="宋体"/>
          <w:color w:val="000000" w:themeColor="text1"/>
          <w:szCs w:val="27"/>
          <w14:textFill>
            <w14:solidFill>
              <w14:schemeClr w14:val="tx1"/>
            </w14:solidFill>
          </w14:textFill>
        </w:rPr>
        <w:t>本课程重点讲授的内容包括：PN结的单向导电性，二极管应用电路分析（包括稳压管稳压条件及稳压电路分析）；晶体管、场效应管的工作原理、特性及主要参数；基于等效电路的基本放大电路的静态工作点和动态指标分析；多级放大电路和差动放大电路的静态工作点和动态指标分析；放大电路的频率特性及波特图；反馈的分类及其判断，深度负反馈放大电路的近似计算；基本运算电路的结构及分析；滤波电路的分类及分析；电压比较器的分类及分析；正弦波振荡电路相位平衡条件的判断方法及振荡频率的计算，集成运放组成的非正弦波发生电路的工作原理及振荡频率的计算方法；功率放大电路的分类，甲类、乙类OCL电路和甲乙类OCL电路的组成、工作原理及各性能指标的计算；单相桥式整流电路、电容滤波电路和各种线性稳压电路的工作原理与参数计算。</w:t>
      </w:r>
      <w:r>
        <w:rPr>
          <w:rFonts w:hint="eastAsia"/>
          <w:color w:val="FF0000"/>
          <w:szCs w:val="21"/>
        </w:rPr>
        <w:t xml:space="preserve">    </w:t>
      </w:r>
    </w:p>
    <w:p>
      <w:pPr>
        <w:spacing w:line="360" w:lineRule="auto"/>
        <w:ind w:firstLine="420" w:firstLineChars="200"/>
        <w:rPr>
          <w:szCs w:val="21"/>
        </w:rPr>
      </w:pPr>
      <w:r>
        <w:rPr>
          <w:szCs w:val="21"/>
        </w:rPr>
        <w:t>本课程在教学方法上，充分利用各种媒体教学手段，采取课堂教学、多媒体课件、</w:t>
      </w:r>
      <w:r>
        <w:rPr>
          <w:rFonts w:hint="eastAsia"/>
          <w:szCs w:val="21"/>
        </w:rPr>
        <w:t>课后讨论等</w:t>
      </w:r>
      <w:r>
        <w:rPr>
          <w:szCs w:val="21"/>
        </w:rPr>
        <w:t>方式有机结合，提高教学效率。</w:t>
      </w:r>
    </w:p>
    <w:p>
      <w:pPr>
        <w:widowControl/>
        <w:spacing w:line="360" w:lineRule="auto"/>
        <w:ind w:firstLine="420" w:firstLineChars="200"/>
        <w:jc w:val="left"/>
        <w:rPr>
          <w:szCs w:val="21"/>
        </w:rPr>
      </w:pPr>
      <w:r>
        <w:rPr>
          <w:rFonts w:hint="eastAsia"/>
          <w:szCs w:val="21"/>
        </w:rPr>
        <w:t>教学中既要体现成熟、经典内容，又要适当引入新器件、新技术、新方法，强化集成运放的应用，增加典型应用电路的分析，体现应用型人才培养的需求。</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为了提高学生的学习兴趣，并取得良好的教学效果，教师在知识讲解的过程中要充分利用问题引导、案例分析等多种教学方法，以进一步提高教学质量。</w:t>
      </w:r>
    </w:p>
    <w:p>
      <w:pPr>
        <w:spacing w:line="360" w:lineRule="auto"/>
        <w:ind w:firstLine="420" w:firstLineChars="200"/>
        <w:rPr>
          <w:szCs w:val="21"/>
        </w:rPr>
      </w:pPr>
    </w:p>
    <w:p>
      <w:pPr>
        <w:autoSpaceDE w:val="0"/>
        <w:autoSpaceDN w:val="0"/>
        <w:adjustRightInd w:val="0"/>
        <w:spacing w:line="360" w:lineRule="auto"/>
        <w:ind w:firstLine="420"/>
        <w:rPr>
          <w:rFonts w:ascii="黑体" w:hAnsi="宋体" w:eastAsia="黑体" w:cs="Tahoma"/>
          <w:szCs w:val="21"/>
        </w:rPr>
      </w:pPr>
      <w:r>
        <w:rPr>
          <w:rFonts w:hint="eastAsia" w:ascii="黑体" w:hAnsi="宋体" w:eastAsia="黑体" w:cs="黑体"/>
          <w:szCs w:val="21"/>
          <w:lang w:val="zh-CN"/>
        </w:rPr>
        <w:t>绪论</w:t>
      </w:r>
      <w:r>
        <w:rPr>
          <w:rFonts w:hint="eastAsia" w:ascii="黑体" w:hAnsi="宋体" w:eastAsia="黑体" w:cs="Tahoma"/>
          <w:szCs w:val="21"/>
        </w:rPr>
        <w:t xml:space="preserve"> （1学时）</w:t>
      </w:r>
    </w:p>
    <w:p>
      <w:pPr>
        <w:autoSpaceDE w:val="0"/>
        <w:autoSpaceDN w:val="0"/>
        <w:adjustRightInd w:val="0"/>
        <w:spacing w:line="360" w:lineRule="auto"/>
        <w:ind w:firstLine="420" w:firstLineChars="200"/>
        <w:rPr>
          <w:rFonts w:ascii="Tahoma" w:hAnsi="Tahoma" w:eastAsia="黑体" w:cs="Tahoma"/>
          <w:szCs w:val="21"/>
        </w:rPr>
      </w:pPr>
      <w:r>
        <w:rPr>
          <w:rFonts w:hint="eastAsia" w:ascii="Tahoma" w:hAnsi="Tahoma" w:eastAsia="黑体" w:cs="Tahoma"/>
          <w:szCs w:val="21"/>
        </w:rPr>
        <w:t>1 半导体二极管及其基本电路</w:t>
      </w:r>
      <w:r>
        <w:rPr>
          <w:rFonts w:hint="eastAsia" w:ascii="黑体" w:hAnsi="宋体" w:eastAsia="黑体" w:cs="Tahoma"/>
          <w:szCs w:val="21"/>
        </w:rPr>
        <w:t>（5学时）</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1.1、</w:t>
      </w:r>
      <w:r>
        <w:rPr>
          <w:rFonts w:hint="eastAsia" w:ascii="宋体" w:hAnsi="Tahoma" w:cs="宋体"/>
          <w:color w:val="000000"/>
          <w:szCs w:val="21"/>
          <w:lang w:val="zh-CN"/>
        </w:rPr>
        <w:t>正确理解</w:t>
      </w:r>
      <w:r>
        <w:rPr>
          <w:rFonts w:ascii="Tahoma" w:hAnsi="Tahoma" w:cs="Tahoma"/>
          <w:color w:val="000000"/>
          <w:szCs w:val="21"/>
        </w:rPr>
        <w:t>PN</w:t>
      </w:r>
      <w:r>
        <w:rPr>
          <w:rFonts w:hint="eastAsia" w:ascii="宋体" w:hAnsi="Tahoma" w:cs="宋体"/>
          <w:color w:val="000000"/>
          <w:szCs w:val="21"/>
          <w:lang w:val="zh-CN"/>
        </w:rPr>
        <w:t>结的形式及其单向导电作用；</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1.2、</w:t>
      </w:r>
      <w:r>
        <w:rPr>
          <w:rFonts w:hint="eastAsia" w:ascii="宋体" w:hAnsi="Tahoma" w:cs="宋体"/>
          <w:color w:val="000000"/>
          <w:szCs w:val="21"/>
          <w:lang w:val="zh-CN"/>
        </w:rPr>
        <w:t>熟练掌握二极管、稳压管的外特性和主要参数</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宋体" w:cs="宋体"/>
          <w:color w:val="000000"/>
          <w:szCs w:val="21"/>
          <w:lang w:val="zh-CN"/>
        </w:rPr>
      </w:pPr>
      <w:r>
        <w:rPr>
          <w:rFonts w:hint="eastAsia" w:ascii="宋体" w:hAnsi="Tahoma" w:cs="宋体"/>
          <w:color w:val="000000"/>
          <w:szCs w:val="21"/>
        </w:rPr>
        <w:t>1.3、</w:t>
      </w:r>
      <w:r>
        <w:rPr>
          <w:rFonts w:hint="eastAsia" w:ascii="宋体" w:hAnsi="Tahoma" w:cs="宋体"/>
          <w:color w:val="000000"/>
          <w:szCs w:val="21"/>
          <w:lang w:val="zh-CN"/>
        </w:rPr>
        <w:t>熟练掌握二极管</w:t>
      </w:r>
      <w:r>
        <w:rPr>
          <w:rFonts w:ascii="宋体" w:hAnsi="Tahoma" w:cs="宋体"/>
          <w:color w:val="000000"/>
          <w:szCs w:val="21"/>
          <w:lang w:val="zh-CN"/>
        </w:rPr>
        <w:t>在电路中的应用。</w:t>
      </w:r>
      <w:r>
        <w:rPr>
          <w:rFonts w:hint="eastAsia" w:ascii="宋体" w:hAnsi="宋体" w:cs="宋体"/>
          <w:color w:val="000000"/>
          <w:szCs w:val="21"/>
          <w:lang w:val="zh-CN"/>
        </w:rPr>
        <w:t>（</w:t>
      </w:r>
      <w:r>
        <w:rPr>
          <w:rFonts w:hint="eastAsia" w:ascii="宋体" w:hAnsi="宋体" w:cs="宋体"/>
          <w:color w:val="000000"/>
          <w:szCs w:val="21"/>
        </w:rPr>
        <w:t>重点、难点</w:t>
      </w:r>
      <w:r>
        <w:rPr>
          <w:rFonts w:hint="eastAsia" w:ascii="宋体" w:hAnsi="宋体" w:cs="宋体"/>
          <w:color w:val="000000"/>
          <w:szCs w:val="21"/>
          <w:lang w:val="zh-CN"/>
        </w:rPr>
        <w:t>）</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1。</w:t>
      </w:r>
    </w:p>
    <w:p>
      <w:pPr>
        <w:autoSpaceDE w:val="0"/>
        <w:autoSpaceDN w:val="0"/>
        <w:adjustRightInd w:val="0"/>
        <w:spacing w:line="360" w:lineRule="auto"/>
        <w:ind w:firstLine="420"/>
        <w:rPr>
          <w:rFonts w:ascii="黑体" w:eastAsia="黑体" w:cs="黑体"/>
          <w:szCs w:val="21"/>
          <w:lang w:val="zh-CN"/>
        </w:rPr>
      </w:pPr>
      <w:r>
        <w:rPr>
          <w:rFonts w:hint="eastAsia" w:ascii="黑体" w:eastAsia="黑体" w:cs="黑体"/>
          <w:szCs w:val="21"/>
        </w:rPr>
        <w:t>2</w:t>
      </w:r>
      <w:r>
        <w:rPr>
          <w:rFonts w:ascii="黑体" w:eastAsia="黑体" w:cs="黑体"/>
          <w:szCs w:val="21"/>
          <w:lang w:val="zh-CN"/>
        </w:rPr>
        <w:t xml:space="preserve">  晶体管及其基本放大电路</w:t>
      </w:r>
      <w:r>
        <w:rPr>
          <w:rFonts w:hint="eastAsia" w:ascii="黑体" w:hAnsi="宋体" w:eastAsia="黑体" w:cs="Tahoma"/>
          <w:szCs w:val="21"/>
        </w:rPr>
        <w:t>（12学时）</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2.1、</w:t>
      </w:r>
      <w:r>
        <w:rPr>
          <w:rFonts w:hint="eastAsia" w:ascii="宋体" w:hAnsi="Tahoma" w:cs="宋体"/>
          <w:color w:val="000000"/>
          <w:szCs w:val="21"/>
          <w:lang w:val="zh-CN"/>
        </w:rPr>
        <w:t>正确理解半导体三极管的工作原理，熟练掌握外特性和主要参数；</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2.2、</w:t>
      </w:r>
      <w:r>
        <w:rPr>
          <w:rFonts w:hint="eastAsia" w:ascii="宋体" w:hAnsi="Tahoma" w:cs="宋体"/>
          <w:color w:val="000000"/>
          <w:szCs w:val="21"/>
          <w:lang w:val="zh-CN"/>
        </w:rPr>
        <w:t>正确理解放大的基本概念，放大电路的主要指标，掌握放大电路的组成特点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2.3、</w:t>
      </w:r>
      <w:r>
        <w:rPr>
          <w:rFonts w:hint="eastAsia" w:ascii="宋体" w:hAnsi="Tahoma" w:cs="宋体"/>
          <w:color w:val="000000"/>
          <w:szCs w:val="21"/>
          <w:lang w:val="zh-CN"/>
        </w:rPr>
        <w:t>正确理解放大电路的图解法，主要用来确定静态工作点，分析动态过程和波形失真</w:t>
      </w:r>
      <w:r>
        <w:rPr>
          <w:rFonts w:hint="eastAsia" w:ascii="宋体" w:hAnsi="宋体" w:cs="宋体"/>
          <w:color w:val="000000"/>
          <w:szCs w:val="21"/>
          <w:lang w:val="zh-CN"/>
        </w:rPr>
        <w:t>；</w:t>
      </w:r>
      <w:r>
        <w:rPr>
          <w:rFonts w:hint="eastAsia" w:ascii="宋体" w:hAnsi="Tahoma" w:cs="宋体"/>
          <w:color w:val="000000"/>
          <w:szCs w:val="21"/>
          <w:lang w:val="zh-CN"/>
        </w:rPr>
        <w:t xml:space="preserve">  </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2.4、</w:t>
      </w:r>
      <w:r>
        <w:rPr>
          <w:rFonts w:hint="eastAsia" w:ascii="宋体" w:hAnsi="Tahoma" w:cs="宋体"/>
          <w:color w:val="000000"/>
          <w:szCs w:val="21"/>
          <w:lang w:val="zh-CN"/>
        </w:rPr>
        <w:t>熟练掌握放大电路的等效电路法，会计算静态工作点，能用</w:t>
      </w:r>
      <w:r>
        <w:rPr>
          <w:rFonts w:ascii="Tahoma" w:hAnsi="Tahoma" w:cs="Tahoma"/>
          <w:color w:val="000000"/>
          <w:szCs w:val="21"/>
        </w:rPr>
        <w:t>H</w:t>
      </w:r>
      <w:r>
        <w:rPr>
          <w:rFonts w:hint="eastAsia" w:ascii="宋体" w:hAnsi="Tahoma" w:cs="宋体"/>
          <w:color w:val="000000"/>
          <w:szCs w:val="21"/>
          <w:lang w:val="zh-CN"/>
        </w:rPr>
        <w:t>参数微变等效电路计算放大电路的电压放大倍数、输入和输出电阻。</w:t>
      </w:r>
      <w:r>
        <w:rPr>
          <w:rFonts w:hint="eastAsia" w:ascii="宋体" w:hAnsi="宋体" w:cs="宋体"/>
          <w:color w:val="000000"/>
          <w:szCs w:val="21"/>
          <w:lang w:val="zh-CN"/>
        </w:rPr>
        <w:t>（</w:t>
      </w:r>
      <w:r>
        <w:rPr>
          <w:rFonts w:hint="eastAsia" w:ascii="宋体" w:hAnsi="宋体" w:cs="宋体"/>
          <w:color w:val="000000"/>
          <w:szCs w:val="21"/>
        </w:rPr>
        <w:t>重点、难点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2.5、</w:t>
      </w:r>
      <w:r>
        <w:rPr>
          <w:rFonts w:hint="eastAsia" w:ascii="宋体" w:hAnsi="Tahoma" w:cs="宋体"/>
          <w:color w:val="000000"/>
          <w:szCs w:val="21"/>
          <w:lang w:val="zh-CN"/>
        </w:rPr>
        <w:t>正确理解复合管及组合放大电路。</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1、2。</w:t>
      </w:r>
    </w:p>
    <w:p>
      <w:pPr>
        <w:autoSpaceDE w:val="0"/>
        <w:autoSpaceDN w:val="0"/>
        <w:adjustRightInd w:val="0"/>
        <w:spacing w:line="360" w:lineRule="auto"/>
        <w:ind w:firstLine="420"/>
        <w:rPr>
          <w:rFonts w:ascii="黑体" w:eastAsia="黑体" w:cs="黑体"/>
          <w:szCs w:val="21"/>
          <w:lang w:val="zh-CN"/>
        </w:rPr>
      </w:pPr>
      <w:r>
        <w:rPr>
          <w:rFonts w:hint="eastAsia" w:ascii="黑体" w:eastAsia="黑体" w:cs="黑体"/>
          <w:szCs w:val="21"/>
        </w:rPr>
        <w:t>3</w:t>
      </w:r>
      <w:r>
        <w:rPr>
          <w:rFonts w:hint="eastAsia" w:ascii="黑体" w:eastAsia="黑体" w:cs="黑体"/>
          <w:szCs w:val="21"/>
          <w:lang w:val="zh-CN"/>
        </w:rPr>
        <w:t xml:space="preserve"> 场效应管及其基本放大电路</w:t>
      </w:r>
      <w:r>
        <w:rPr>
          <w:rFonts w:hint="eastAsia" w:ascii="黑体" w:hAnsi="宋体" w:eastAsia="黑体" w:cs="Tahoma"/>
          <w:szCs w:val="21"/>
        </w:rPr>
        <w:t>（6学时）</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3.1、</w:t>
      </w:r>
      <w:r>
        <w:rPr>
          <w:rFonts w:hint="eastAsia" w:ascii="宋体" w:hAnsi="Tahoma" w:cs="宋体"/>
          <w:color w:val="000000"/>
          <w:szCs w:val="21"/>
          <w:lang w:val="zh-CN"/>
        </w:rPr>
        <w:t>正确理解结型和绝缘栅场效应管的工作原理，熟练掌握外特性和主要参数、使用注意事项</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宋体" w:cs="宋体"/>
          <w:color w:val="000000"/>
          <w:szCs w:val="21"/>
          <w:lang w:val="zh-CN"/>
        </w:rPr>
      </w:pPr>
      <w:r>
        <w:rPr>
          <w:rFonts w:hint="eastAsia" w:ascii="宋体" w:hAnsi="Tahoma" w:cs="宋体"/>
          <w:color w:val="000000"/>
          <w:szCs w:val="21"/>
        </w:rPr>
        <w:t>3.2、</w:t>
      </w:r>
      <w:r>
        <w:rPr>
          <w:rFonts w:hint="eastAsia" w:ascii="宋体" w:hAnsi="Tahoma" w:cs="宋体"/>
          <w:color w:val="000000"/>
          <w:szCs w:val="21"/>
          <w:lang w:val="zh-CN"/>
        </w:rPr>
        <w:t>熟练掌握共源、共漏放大电路的工作原理和分析方法。</w:t>
      </w:r>
      <w:r>
        <w:rPr>
          <w:rFonts w:hint="eastAsia" w:ascii="宋体" w:hAnsi="宋体" w:cs="宋体"/>
          <w:color w:val="000000"/>
          <w:szCs w:val="21"/>
          <w:lang w:val="zh-CN"/>
        </w:rPr>
        <w:t>（</w:t>
      </w:r>
      <w:r>
        <w:rPr>
          <w:rFonts w:hint="eastAsia" w:ascii="宋体" w:hAnsi="宋体" w:cs="宋体"/>
          <w:color w:val="000000"/>
          <w:szCs w:val="21"/>
        </w:rPr>
        <w:t>重点、难点</w:t>
      </w:r>
      <w:r>
        <w:rPr>
          <w:rFonts w:hint="eastAsia" w:ascii="宋体" w:hAnsi="宋体" w:cs="宋体"/>
          <w:color w:val="000000"/>
          <w:szCs w:val="21"/>
          <w:lang w:val="zh-CN"/>
        </w:rPr>
        <w:t>）</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2。</w:t>
      </w:r>
    </w:p>
    <w:p>
      <w:pPr>
        <w:autoSpaceDE w:val="0"/>
        <w:autoSpaceDN w:val="0"/>
        <w:adjustRightInd w:val="0"/>
        <w:spacing w:line="360" w:lineRule="auto"/>
        <w:ind w:firstLine="420"/>
        <w:rPr>
          <w:rFonts w:ascii="黑体" w:eastAsia="黑体" w:cs="黑体"/>
          <w:szCs w:val="21"/>
          <w:lang w:val="zh-CN"/>
        </w:rPr>
      </w:pPr>
      <w:r>
        <w:rPr>
          <w:rFonts w:hint="eastAsia" w:ascii="黑体" w:eastAsia="黑体" w:cs="黑体"/>
          <w:szCs w:val="21"/>
        </w:rPr>
        <w:t>4</w:t>
      </w:r>
      <w:r>
        <w:rPr>
          <w:rFonts w:hint="eastAsia" w:ascii="黑体" w:eastAsia="黑体" w:cs="黑体"/>
          <w:szCs w:val="21"/>
          <w:lang w:val="zh-CN"/>
        </w:rPr>
        <w:t xml:space="preserve"> 多级放大电路和集成运算放大器</w:t>
      </w:r>
      <w:r>
        <w:rPr>
          <w:rFonts w:hint="eastAsia" w:ascii="黑体" w:hAnsi="宋体" w:eastAsia="黑体" w:cs="Tahoma"/>
          <w:szCs w:val="21"/>
        </w:rPr>
        <w:t>（8学时）</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4.1、</w:t>
      </w:r>
      <w:r>
        <w:rPr>
          <w:rFonts w:hint="eastAsia" w:ascii="宋体" w:hAnsi="Tahoma" w:cs="宋体"/>
          <w:color w:val="000000"/>
          <w:szCs w:val="21"/>
          <w:lang w:val="zh-CN"/>
        </w:rPr>
        <w:t>熟练掌握直接耦合多级放大电路的工作原理、电压放大倍数、输入电阻和输出电阻的计算，正确理解阻容耦合放大电路的工作原理和电压放大倍数的计算，对变压器耦合仅作一般了解</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4.2、</w:t>
      </w:r>
      <w:r>
        <w:rPr>
          <w:rFonts w:hint="eastAsia" w:ascii="宋体" w:hAnsi="Tahoma" w:cs="宋体"/>
          <w:color w:val="000000"/>
          <w:szCs w:val="21"/>
          <w:lang w:val="zh-CN"/>
        </w:rPr>
        <w:t>正确理解直接耦合放大电路中零点漂移现象及其抑制措施</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4.3、</w:t>
      </w:r>
      <w:r>
        <w:rPr>
          <w:rFonts w:hint="eastAsia" w:ascii="宋体" w:hAnsi="Tahoma" w:cs="宋体"/>
          <w:color w:val="000000"/>
          <w:szCs w:val="21"/>
          <w:lang w:val="zh-CN"/>
        </w:rPr>
        <w:t>熟练掌握差动放大电路的工作原理、输入和输出方式以及各项指标的计算</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4.4、</w:t>
      </w:r>
      <w:r>
        <w:rPr>
          <w:rFonts w:hint="eastAsia" w:ascii="宋体" w:hAnsi="Tahoma" w:cs="宋体"/>
          <w:color w:val="000000"/>
          <w:szCs w:val="21"/>
          <w:lang w:val="zh-CN"/>
        </w:rPr>
        <w:t>对集成运算放大器的内部电路仅作一般了解，应熟练掌握理想集成运放的特点和实际运放的主要参数。了解集成运放的种类，掌握选择和使用。</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2。</w:t>
      </w:r>
    </w:p>
    <w:p>
      <w:pPr>
        <w:autoSpaceDE w:val="0"/>
        <w:autoSpaceDN w:val="0"/>
        <w:adjustRightInd w:val="0"/>
        <w:spacing w:line="360" w:lineRule="auto"/>
        <w:ind w:firstLine="420"/>
        <w:rPr>
          <w:rFonts w:ascii="黑体" w:eastAsia="黑体" w:cs="黑体"/>
          <w:szCs w:val="21"/>
          <w:lang w:val="zh-CN"/>
        </w:rPr>
      </w:pPr>
      <w:r>
        <w:rPr>
          <w:rFonts w:hint="eastAsia" w:ascii="黑体" w:eastAsia="黑体" w:cs="黑体"/>
          <w:szCs w:val="21"/>
        </w:rPr>
        <w:t xml:space="preserve">5 </w:t>
      </w:r>
      <w:r>
        <w:rPr>
          <w:rFonts w:hint="eastAsia" w:ascii="黑体" w:eastAsia="黑体" w:cs="黑体"/>
          <w:szCs w:val="21"/>
          <w:lang w:val="zh-CN"/>
        </w:rPr>
        <w:t>放大电路的频率特性</w:t>
      </w:r>
      <w:r>
        <w:rPr>
          <w:rFonts w:hint="eastAsia" w:ascii="黑体" w:hAnsi="宋体" w:eastAsia="黑体" w:cs="Tahoma"/>
          <w:szCs w:val="21"/>
        </w:rPr>
        <w:t>（6学时）</w:t>
      </w:r>
    </w:p>
    <w:p>
      <w:pPr>
        <w:autoSpaceDE w:val="0"/>
        <w:autoSpaceDN w:val="0"/>
        <w:adjustRightInd w:val="0"/>
        <w:spacing w:line="360" w:lineRule="auto"/>
        <w:ind w:firstLine="360"/>
        <w:rPr>
          <w:rFonts w:ascii="宋体" w:hAnsi="Tahoma" w:cs="宋体"/>
          <w:color w:val="000000"/>
          <w:szCs w:val="21"/>
          <w:lang w:val="zh-CN"/>
        </w:rPr>
      </w:pPr>
      <w:r>
        <w:rPr>
          <w:rFonts w:hint="eastAsia" w:ascii="宋体" w:hAnsi="Tahoma" w:cs="宋体"/>
          <w:color w:val="000000"/>
          <w:szCs w:val="21"/>
          <w:lang w:val="zh-CN"/>
        </w:rPr>
        <w:t xml:space="preserve"> </w:t>
      </w:r>
      <w:r>
        <w:rPr>
          <w:rFonts w:hint="eastAsia" w:ascii="宋体" w:hAnsi="Tahoma" w:cs="宋体"/>
          <w:color w:val="000000"/>
          <w:szCs w:val="21"/>
        </w:rPr>
        <w:t>5.1、</w:t>
      </w:r>
      <w:r>
        <w:rPr>
          <w:rFonts w:hint="eastAsia" w:ascii="宋体" w:hAnsi="Tahoma" w:cs="宋体"/>
          <w:color w:val="000000"/>
          <w:szCs w:val="21"/>
          <w:lang w:val="zh-CN"/>
        </w:rPr>
        <w:t>熟练掌握放大电路频率响应的基本概念</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360"/>
        <w:rPr>
          <w:rFonts w:ascii="宋体" w:hAnsi="Tahoma" w:cs="宋体"/>
          <w:color w:val="000000"/>
          <w:szCs w:val="21"/>
          <w:lang w:val="zh-CN"/>
        </w:rPr>
      </w:pPr>
      <w:r>
        <w:rPr>
          <w:rFonts w:hint="eastAsia" w:ascii="宋体" w:hAnsi="Tahoma" w:cs="宋体"/>
          <w:color w:val="000000"/>
          <w:szCs w:val="21"/>
          <w:lang w:val="zh-CN"/>
        </w:rPr>
        <w:t xml:space="preserve"> </w:t>
      </w:r>
      <w:r>
        <w:rPr>
          <w:rFonts w:hint="eastAsia" w:ascii="宋体" w:hAnsi="Tahoma" w:cs="宋体"/>
          <w:color w:val="000000"/>
          <w:szCs w:val="21"/>
        </w:rPr>
        <w:t>5.2、</w:t>
      </w:r>
      <w:r>
        <w:rPr>
          <w:rFonts w:hint="eastAsia" w:ascii="宋体" w:hAnsi="Tahoma" w:cs="宋体"/>
          <w:color w:val="000000"/>
          <w:szCs w:val="21"/>
          <w:lang w:val="zh-CN"/>
        </w:rPr>
        <w:t>掌握隔直电容、旁路电容对低频响应的影响，结电容、杂散电容对高频响应的影响，掌握含有一个时间常数的单级放大电路</w:t>
      </w:r>
      <w:r>
        <w:rPr>
          <w:rFonts w:ascii="Tahoma" w:hAnsi="Tahoma" w:cs="Tahoma"/>
          <w:color w:val="000000"/>
          <w:szCs w:val="21"/>
        </w:rPr>
        <w:t xml:space="preserve"> </w:t>
      </w:r>
      <w:r>
        <w:rPr>
          <w:i/>
          <w:color w:val="000000"/>
          <w:szCs w:val="21"/>
        </w:rPr>
        <w:t>f</w:t>
      </w:r>
      <w:r>
        <w:rPr>
          <w:i/>
          <w:color w:val="000000"/>
          <w:szCs w:val="21"/>
          <w:vertAlign w:val="subscript"/>
        </w:rPr>
        <w:t xml:space="preserve"> </w:t>
      </w:r>
      <w:r>
        <w:rPr>
          <w:color w:val="000000"/>
          <w:szCs w:val="21"/>
          <w:vertAlign w:val="subscript"/>
        </w:rPr>
        <w:t>L</w:t>
      </w:r>
      <w:r>
        <w:rPr>
          <w:rFonts w:hint="eastAsia" w:ascii="宋体" w:hAnsi="Tahoma" w:cs="宋体"/>
          <w:color w:val="000000"/>
          <w:szCs w:val="21"/>
          <w:lang w:val="zh-CN"/>
        </w:rPr>
        <w:t>、</w:t>
      </w:r>
      <w:r>
        <w:rPr>
          <w:i/>
          <w:color w:val="000000"/>
          <w:szCs w:val="21"/>
        </w:rPr>
        <w:t xml:space="preserve">f </w:t>
      </w:r>
      <w:r>
        <w:rPr>
          <w:color w:val="000000"/>
          <w:szCs w:val="21"/>
          <w:vertAlign w:val="subscript"/>
        </w:rPr>
        <w:t>H</w:t>
      </w:r>
      <w:r>
        <w:rPr>
          <w:rFonts w:hint="eastAsia" w:ascii="宋体" w:hAnsi="Tahoma" w:cs="宋体"/>
          <w:color w:val="000000"/>
          <w:szCs w:val="21"/>
          <w:lang w:val="zh-CN"/>
        </w:rPr>
        <w:t>的计算</w:t>
      </w:r>
      <w:r>
        <w:rPr>
          <w:rFonts w:hint="eastAsia" w:ascii="宋体" w:hAnsi="宋体" w:cs="宋体"/>
          <w:color w:val="000000"/>
          <w:szCs w:val="21"/>
          <w:lang w:val="zh-CN"/>
        </w:rPr>
        <w:t>；</w:t>
      </w:r>
    </w:p>
    <w:p>
      <w:pPr>
        <w:autoSpaceDE w:val="0"/>
        <w:autoSpaceDN w:val="0"/>
        <w:adjustRightInd w:val="0"/>
        <w:spacing w:line="360" w:lineRule="auto"/>
        <w:ind w:firstLine="360"/>
        <w:rPr>
          <w:rFonts w:ascii="宋体" w:hAnsi="宋体" w:cs="宋体"/>
          <w:color w:val="000000"/>
          <w:szCs w:val="21"/>
          <w:lang w:val="zh-CN"/>
        </w:rPr>
      </w:pPr>
      <w:r>
        <w:rPr>
          <w:rFonts w:hint="eastAsia" w:ascii="宋体" w:hAnsi="Tahoma" w:cs="宋体"/>
          <w:color w:val="000000"/>
          <w:szCs w:val="21"/>
          <w:lang w:val="zh-CN"/>
        </w:rPr>
        <w:t xml:space="preserve"> </w:t>
      </w:r>
      <w:r>
        <w:rPr>
          <w:rFonts w:hint="eastAsia" w:ascii="宋体" w:hAnsi="Tahoma" w:cs="宋体"/>
          <w:color w:val="000000"/>
          <w:szCs w:val="21"/>
        </w:rPr>
        <w:t>5.3、</w:t>
      </w:r>
      <w:r>
        <w:rPr>
          <w:rFonts w:hint="eastAsia" w:ascii="宋体" w:hAnsi="Tahoma" w:cs="宋体"/>
          <w:color w:val="000000"/>
          <w:szCs w:val="21"/>
          <w:lang w:val="zh-CN"/>
        </w:rPr>
        <w:t>正确理解波特图的画法，正确理解频率失真、增益带宽积和多级放大电路的频率响应。</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2、4。</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6 反馈及负反馈放大电路</w:t>
      </w:r>
      <w:r>
        <w:rPr>
          <w:rFonts w:hint="eastAsia" w:ascii="黑体" w:hAnsi="宋体" w:eastAsia="黑体" w:cs="Tahoma"/>
          <w:szCs w:val="21"/>
        </w:rPr>
        <w:t>（8学时）</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6.1、</w:t>
      </w:r>
      <w:r>
        <w:rPr>
          <w:rFonts w:hint="eastAsia" w:ascii="宋体" w:hAnsi="Tahoma" w:cs="宋体"/>
          <w:color w:val="000000"/>
          <w:szCs w:val="21"/>
          <w:lang w:val="zh-CN"/>
        </w:rPr>
        <w:t>熟练掌握反馈的基本概念和分类，会判断反馈放大电路的类型和极性</w:t>
      </w:r>
      <w:r>
        <w:rPr>
          <w:rFonts w:hint="eastAsia" w:ascii="宋体" w:hAnsi="宋体" w:cs="宋体"/>
          <w:color w:val="000000"/>
          <w:szCs w:val="21"/>
          <w:lang w:val="zh-CN"/>
        </w:rPr>
        <w:t>；（</w:t>
      </w:r>
      <w:r>
        <w:rPr>
          <w:rFonts w:hint="eastAsia" w:ascii="宋体" w:hAnsi="宋体" w:cs="宋体"/>
          <w:color w:val="000000"/>
          <w:szCs w:val="21"/>
        </w:rPr>
        <w:t>重点、难点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6.2、</w:t>
      </w:r>
      <w:r>
        <w:rPr>
          <w:rFonts w:hint="eastAsia" w:ascii="宋体" w:hAnsi="Tahoma" w:cs="宋体"/>
          <w:color w:val="000000"/>
          <w:szCs w:val="21"/>
          <w:lang w:val="zh-CN"/>
        </w:rPr>
        <w:t>熟练掌握负反馈对放大电路性能的影响</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6.3、</w:t>
      </w:r>
      <w:r>
        <w:rPr>
          <w:rFonts w:hint="eastAsia" w:ascii="宋体" w:hAnsi="Tahoma" w:cs="宋体"/>
          <w:color w:val="000000"/>
          <w:szCs w:val="21"/>
          <w:lang w:val="zh-CN"/>
        </w:rPr>
        <w:t>熟练掌握在深度负反馈下放大倍数的计算</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6.4、</w:t>
      </w:r>
      <w:r>
        <w:rPr>
          <w:rFonts w:hint="eastAsia" w:ascii="宋体" w:hAnsi="Tahoma" w:cs="宋体"/>
          <w:color w:val="000000"/>
          <w:szCs w:val="21"/>
          <w:lang w:val="zh-CN"/>
        </w:rPr>
        <w:t>正确理解反馈的引入</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6.5、</w:t>
      </w:r>
      <w:r>
        <w:rPr>
          <w:rFonts w:hint="eastAsia" w:ascii="宋体" w:hAnsi="Tahoma" w:cs="宋体"/>
          <w:color w:val="000000"/>
          <w:szCs w:val="21"/>
          <w:lang w:val="zh-CN"/>
        </w:rPr>
        <w:t>熟练掌握虚短、虚断的概念、闭环放大倍数的表达式</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6.6、</w:t>
      </w:r>
      <w:r>
        <w:rPr>
          <w:rFonts w:hint="eastAsia" w:ascii="宋体" w:hAnsi="Tahoma" w:cs="宋体"/>
          <w:color w:val="000000"/>
          <w:szCs w:val="21"/>
          <w:lang w:val="zh-CN"/>
        </w:rPr>
        <w:t>正确理解负反馈放大电路的自激条件，对消振措施作一般了解。</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3。</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7 集成运放组成的运算电路</w:t>
      </w:r>
      <w:r>
        <w:rPr>
          <w:rFonts w:hint="eastAsia" w:ascii="黑体" w:hAnsi="宋体" w:eastAsia="黑体" w:cs="Tahoma"/>
          <w:szCs w:val="21"/>
        </w:rPr>
        <w:t>（4学时）</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7.1、</w:t>
      </w:r>
      <w:r>
        <w:rPr>
          <w:rFonts w:hint="eastAsia" w:ascii="宋体" w:hAnsi="Tahoma" w:cs="宋体"/>
          <w:color w:val="000000"/>
          <w:szCs w:val="21"/>
          <w:lang w:val="zh-CN"/>
        </w:rPr>
        <w:t>正确理解线性应用和非线性应用的特点以及线性应用的分析方法</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7.2、</w:t>
      </w:r>
      <w:r>
        <w:rPr>
          <w:rFonts w:hint="eastAsia" w:ascii="宋体" w:hAnsi="Tahoma" w:cs="宋体"/>
          <w:color w:val="000000"/>
          <w:szCs w:val="21"/>
          <w:lang w:val="zh-CN"/>
        </w:rPr>
        <w:t>熟练掌握由集成运放组成的比例、求和、减法、积分运算电路的工作原理以及输入和输出的关系</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7.3、</w:t>
      </w:r>
      <w:r>
        <w:rPr>
          <w:rFonts w:hint="eastAsia" w:ascii="宋体" w:hAnsi="Tahoma" w:cs="宋体"/>
          <w:color w:val="000000"/>
          <w:szCs w:val="21"/>
          <w:lang w:val="zh-CN"/>
        </w:rPr>
        <w:t>了解微分、对数、指数、模拟乘法器等运算电路的工作原理以及输入和输出关系，初步掌握模拟乘法器的应用。</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1、2。</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8 信号检测与处理电路</w:t>
      </w:r>
      <w:r>
        <w:rPr>
          <w:rFonts w:hint="eastAsia" w:ascii="黑体" w:hAnsi="宋体" w:eastAsia="黑体" w:cs="Tahoma"/>
          <w:szCs w:val="21"/>
        </w:rPr>
        <w:t>（6学时）</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8.1、</w:t>
      </w:r>
      <w:r>
        <w:rPr>
          <w:rFonts w:hint="eastAsia" w:ascii="宋体" w:hAnsi="Tahoma" w:cs="宋体"/>
          <w:color w:val="000000"/>
          <w:szCs w:val="21"/>
          <w:lang w:val="zh-CN"/>
        </w:rPr>
        <w:t>掌握</w:t>
      </w:r>
      <w:r>
        <w:rPr>
          <w:rFonts w:ascii="宋体" w:hAnsi="Tahoma" w:cs="宋体"/>
          <w:color w:val="000000"/>
          <w:szCs w:val="21"/>
          <w:lang w:val="zh-CN"/>
        </w:rPr>
        <w:t>精密仪</w:t>
      </w:r>
      <w:r>
        <w:rPr>
          <w:rFonts w:hint="eastAsia" w:ascii="宋体" w:hAnsi="Tahoma" w:cs="宋体"/>
          <w:color w:val="000000"/>
          <w:szCs w:val="21"/>
          <w:lang w:val="zh-CN"/>
        </w:rPr>
        <w:t>器</w:t>
      </w:r>
      <w:r>
        <w:rPr>
          <w:rFonts w:ascii="宋体" w:hAnsi="Tahoma" w:cs="宋体"/>
          <w:color w:val="000000"/>
          <w:szCs w:val="21"/>
          <w:lang w:val="zh-CN"/>
        </w:rPr>
        <w:t>用放大器分析</w:t>
      </w:r>
      <w:r>
        <w:rPr>
          <w:rFonts w:hint="eastAsia" w:ascii="宋体" w:hAnsi="Tahoma" w:cs="宋体"/>
          <w:color w:val="000000"/>
          <w:szCs w:val="21"/>
          <w:lang w:val="zh-CN"/>
        </w:rPr>
        <w:t>及应用，正确理解</w:t>
      </w:r>
      <w:r>
        <w:rPr>
          <w:rFonts w:ascii="宋体" w:hAnsi="Tahoma" w:cs="宋体"/>
          <w:color w:val="000000"/>
          <w:szCs w:val="21"/>
          <w:lang w:val="zh-CN"/>
        </w:rPr>
        <w:t>电荷放大器</w:t>
      </w:r>
      <w:r>
        <w:rPr>
          <w:rFonts w:hint="eastAsia" w:ascii="宋体" w:hAnsi="Tahoma" w:cs="宋体"/>
          <w:color w:val="000000"/>
          <w:szCs w:val="21"/>
          <w:lang w:val="zh-CN"/>
        </w:rPr>
        <w:t>、</w:t>
      </w:r>
      <w:r>
        <w:rPr>
          <w:rFonts w:ascii="宋体" w:hAnsi="Tahoma" w:cs="宋体"/>
          <w:color w:val="000000"/>
          <w:szCs w:val="21"/>
          <w:lang w:val="zh-CN"/>
        </w:rPr>
        <w:t>采样保持电路</w:t>
      </w:r>
      <w:r>
        <w:rPr>
          <w:rFonts w:hint="eastAsia" w:ascii="宋体" w:hAnsi="Tahoma" w:cs="宋体"/>
          <w:color w:val="000000"/>
          <w:szCs w:val="21"/>
          <w:lang w:val="zh-CN"/>
        </w:rPr>
        <w:t>和</w:t>
      </w:r>
      <w:r>
        <w:rPr>
          <w:rFonts w:ascii="宋体" w:hAnsi="Tahoma" w:cs="宋体"/>
          <w:color w:val="000000"/>
          <w:szCs w:val="21"/>
          <w:lang w:val="zh-CN"/>
        </w:rPr>
        <w:t>精密整流电路的组成及工作原理</w:t>
      </w:r>
      <w:r>
        <w:rPr>
          <w:rFonts w:hint="eastAsia" w:ascii="宋体" w:hAnsi="宋体" w:cs="宋体"/>
          <w:color w:val="000000"/>
          <w:szCs w:val="21"/>
          <w:lang w:val="zh-CN"/>
        </w:rPr>
        <w:t>；</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8.2、</w:t>
      </w:r>
      <w:r>
        <w:rPr>
          <w:rFonts w:hint="eastAsia" w:ascii="宋体" w:hAnsi="Tahoma" w:cs="宋体"/>
          <w:color w:val="000000"/>
          <w:szCs w:val="21"/>
          <w:lang w:val="zh-CN"/>
        </w:rPr>
        <w:t>熟练掌握有源滤波电路的分析方法和设计方法</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宋体" w:cs="宋体"/>
          <w:color w:val="000000"/>
          <w:szCs w:val="21"/>
          <w:lang w:val="zh-CN"/>
        </w:rPr>
      </w:pPr>
      <w:r>
        <w:rPr>
          <w:rFonts w:hint="eastAsia" w:ascii="宋体" w:hAnsi="Tahoma" w:cs="宋体"/>
          <w:color w:val="000000"/>
          <w:szCs w:val="21"/>
        </w:rPr>
        <w:t>8.3、</w:t>
      </w:r>
      <w:r>
        <w:rPr>
          <w:rFonts w:hint="eastAsia" w:ascii="宋体" w:hAnsi="Tahoma" w:cs="宋体"/>
          <w:color w:val="000000"/>
          <w:szCs w:val="21"/>
          <w:lang w:val="zh-CN"/>
        </w:rPr>
        <w:t>熟练掌握电压比较器的基本特性和分析方法。</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3、4。</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9 波形发生电路</w:t>
      </w:r>
      <w:r>
        <w:rPr>
          <w:rFonts w:hint="eastAsia" w:ascii="黑体" w:hAnsi="宋体" w:eastAsia="黑体" w:cs="Tahoma"/>
          <w:szCs w:val="21"/>
        </w:rPr>
        <w:t>（8学时）</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9.1、</w:t>
      </w:r>
      <w:r>
        <w:rPr>
          <w:rFonts w:hint="eastAsia" w:ascii="宋体" w:hAnsi="Tahoma" w:cs="宋体"/>
          <w:color w:val="000000"/>
          <w:szCs w:val="21"/>
          <w:lang w:val="zh-CN"/>
        </w:rPr>
        <w:t>熟练掌握正弦振荡电路的振荡条件，</w:t>
      </w:r>
      <w:r>
        <w:rPr>
          <w:rFonts w:ascii="Tahoma" w:hAnsi="Tahoma" w:cs="Tahoma"/>
          <w:color w:val="000000"/>
          <w:szCs w:val="21"/>
        </w:rPr>
        <w:t>RC</w:t>
      </w:r>
      <w:r>
        <w:rPr>
          <w:rFonts w:hint="eastAsia" w:ascii="宋体" w:hAnsi="Tahoma" w:cs="宋体"/>
          <w:color w:val="000000"/>
          <w:szCs w:val="21"/>
          <w:lang w:val="zh-CN"/>
        </w:rPr>
        <w:t>正弦振荡电路的电路组成和工作原理</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9.2、</w:t>
      </w:r>
      <w:r>
        <w:rPr>
          <w:rFonts w:hint="eastAsia" w:ascii="宋体" w:hAnsi="Tahoma" w:cs="宋体"/>
          <w:color w:val="000000"/>
          <w:szCs w:val="21"/>
          <w:lang w:val="zh-CN"/>
        </w:rPr>
        <w:t>正确理解</w:t>
      </w:r>
      <w:r>
        <w:rPr>
          <w:rFonts w:ascii="Tahoma" w:hAnsi="Tahoma" w:cs="Tahoma"/>
          <w:color w:val="000000"/>
          <w:szCs w:val="21"/>
        </w:rPr>
        <w:t>LC</w:t>
      </w:r>
      <w:r>
        <w:rPr>
          <w:rFonts w:hint="eastAsia" w:ascii="宋体" w:hAnsi="Tahoma" w:cs="宋体"/>
          <w:color w:val="000000"/>
          <w:szCs w:val="21"/>
          <w:lang w:val="zh-CN"/>
        </w:rPr>
        <w:t>正弦振荡电路的组成和振荡条件，一般了解石英晶体振荡电路的工作原理</w:t>
      </w:r>
      <w:r>
        <w:rPr>
          <w:rFonts w:hint="eastAsia" w:ascii="宋体" w:hAnsi="宋体" w:cs="宋体"/>
          <w:color w:val="000000"/>
          <w:szCs w:val="21"/>
          <w:lang w:val="zh-CN"/>
        </w:rPr>
        <w:t>；</w:t>
      </w:r>
      <w:r>
        <w:rPr>
          <w:rFonts w:hint="eastAsia" w:ascii="宋体" w:hAnsi="Tahoma" w:cs="宋体"/>
          <w:color w:val="000000"/>
          <w:szCs w:val="21"/>
          <w:lang w:val="zh-CN"/>
        </w:rPr>
        <w:t xml:space="preserve"> </w:t>
      </w:r>
    </w:p>
    <w:p>
      <w:pPr>
        <w:autoSpaceDE w:val="0"/>
        <w:autoSpaceDN w:val="0"/>
        <w:adjustRightInd w:val="0"/>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9.3、</w:t>
      </w:r>
      <w:r>
        <w:rPr>
          <w:rFonts w:hint="eastAsia" w:ascii="宋体" w:hAnsi="Tahoma" w:cs="宋体"/>
          <w:color w:val="000000"/>
          <w:szCs w:val="21"/>
          <w:lang w:val="zh-CN"/>
        </w:rPr>
        <w:t>正确理解非正弦波产生电路的组成及工作原理。</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2、3。</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10</w:t>
      </w:r>
      <w:r>
        <w:rPr>
          <w:rFonts w:ascii="黑体" w:eastAsia="黑体" w:cs="黑体"/>
          <w:szCs w:val="21"/>
        </w:rPr>
        <w:t xml:space="preserve"> 功率放大电路</w:t>
      </w:r>
      <w:r>
        <w:rPr>
          <w:rFonts w:hint="eastAsia" w:ascii="黑体" w:hAnsi="宋体" w:eastAsia="黑体" w:cs="Tahoma"/>
          <w:szCs w:val="21"/>
        </w:rPr>
        <w:t>（4学时）</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10.1、</w:t>
      </w:r>
      <w:r>
        <w:rPr>
          <w:rFonts w:hint="eastAsia" w:ascii="宋体" w:hAnsi="Tahoma" w:cs="宋体"/>
          <w:color w:val="000000"/>
          <w:szCs w:val="21"/>
          <w:lang w:val="zh-CN"/>
        </w:rPr>
        <w:t>掌握功率放大电路的特点和主要研究对象，熟悉放大电路中晶体管的三种工作状态的特点</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10.2、</w:t>
      </w:r>
      <w:r>
        <w:rPr>
          <w:rFonts w:hint="eastAsia" w:ascii="宋体" w:hAnsi="Tahoma" w:cs="宋体"/>
          <w:color w:val="000000"/>
          <w:szCs w:val="21"/>
          <w:lang w:val="zh-CN"/>
        </w:rPr>
        <w:t>掌握互补电路的工作原理和指标计算</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spacing w:line="360" w:lineRule="auto"/>
        <w:ind w:firstLine="420" w:firstLineChars="200"/>
        <w:rPr>
          <w:rFonts w:ascii="宋体" w:hAnsi="Tahoma" w:cs="宋体"/>
          <w:color w:val="000000"/>
          <w:szCs w:val="21"/>
          <w:lang w:val="zh-CN"/>
        </w:rPr>
      </w:pPr>
      <w:r>
        <w:rPr>
          <w:rFonts w:hint="eastAsia" w:ascii="宋体" w:hAnsi="Tahoma" w:cs="宋体"/>
          <w:color w:val="000000"/>
          <w:szCs w:val="21"/>
        </w:rPr>
        <w:t>10.3、</w:t>
      </w:r>
      <w:r>
        <w:rPr>
          <w:rFonts w:hint="eastAsia" w:ascii="宋体" w:hAnsi="Tahoma" w:cs="宋体"/>
          <w:color w:val="000000"/>
          <w:szCs w:val="21"/>
          <w:lang w:val="zh-CN"/>
        </w:rPr>
        <w:t>正确理解集成功率放大电路的原理及使用方法。</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4。</w:t>
      </w:r>
    </w:p>
    <w:p>
      <w:pPr>
        <w:autoSpaceDE w:val="0"/>
        <w:autoSpaceDN w:val="0"/>
        <w:adjustRightInd w:val="0"/>
        <w:spacing w:line="360" w:lineRule="auto"/>
        <w:ind w:firstLine="420"/>
        <w:rPr>
          <w:rFonts w:ascii="黑体" w:eastAsia="黑体" w:cs="黑体"/>
          <w:szCs w:val="21"/>
        </w:rPr>
      </w:pPr>
      <w:r>
        <w:rPr>
          <w:rFonts w:hint="eastAsia" w:ascii="黑体" w:eastAsia="黑体" w:cs="黑体"/>
          <w:szCs w:val="21"/>
        </w:rPr>
        <w:t>11 直流电源</w:t>
      </w:r>
      <w:r>
        <w:rPr>
          <w:rFonts w:hint="eastAsia" w:ascii="黑体" w:hAnsi="宋体" w:eastAsia="黑体" w:cs="Tahoma"/>
          <w:szCs w:val="21"/>
        </w:rPr>
        <w:t>（4学时）</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11.1、</w:t>
      </w:r>
      <w:r>
        <w:rPr>
          <w:rFonts w:hint="eastAsia" w:ascii="宋体" w:hAnsi="Tahoma" w:cs="宋体"/>
          <w:color w:val="000000"/>
          <w:szCs w:val="21"/>
          <w:lang w:val="zh-CN"/>
        </w:rPr>
        <w:t>正确理解直流电路的组成，掌握整流电路、滤波电路的组成、工作原理和主要指标的计算</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11.2、</w:t>
      </w:r>
      <w:r>
        <w:rPr>
          <w:rFonts w:hint="eastAsia" w:ascii="宋体" w:hAnsi="Tahoma" w:cs="宋体"/>
          <w:color w:val="000000"/>
          <w:szCs w:val="21"/>
          <w:lang w:val="zh-CN"/>
        </w:rPr>
        <w:t>掌握具有放大环节的串联稳压电路的工作原理及电压调节范围</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color w:val="000000"/>
          <w:szCs w:val="21"/>
          <w:lang w:val="zh-CN"/>
        </w:rPr>
      </w:pPr>
      <w:r>
        <w:rPr>
          <w:rFonts w:hint="eastAsia" w:ascii="宋体" w:hAnsi="Tahoma" w:cs="宋体"/>
          <w:color w:val="000000"/>
          <w:szCs w:val="21"/>
        </w:rPr>
        <w:t>11.3、</w:t>
      </w:r>
      <w:r>
        <w:rPr>
          <w:rFonts w:hint="eastAsia" w:ascii="宋体" w:hAnsi="Tahoma" w:cs="宋体"/>
          <w:color w:val="000000"/>
          <w:szCs w:val="21"/>
          <w:lang w:val="zh-CN"/>
        </w:rPr>
        <w:t>掌握三端集成稳压电源的应用</w:t>
      </w:r>
      <w:r>
        <w:rPr>
          <w:rFonts w:hint="eastAsia" w:ascii="宋体" w:hAnsi="宋体" w:cs="宋体"/>
          <w:color w:val="000000"/>
          <w:szCs w:val="21"/>
          <w:lang w:val="zh-CN"/>
        </w:rPr>
        <w:t>；（</w:t>
      </w:r>
      <w:r>
        <w:rPr>
          <w:rFonts w:hint="eastAsia" w:ascii="宋体" w:hAnsi="宋体" w:cs="宋体"/>
          <w:color w:val="000000"/>
          <w:szCs w:val="21"/>
        </w:rPr>
        <w:t>重点</w:t>
      </w:r>
      <w:r>
        <w:rPr>
          <w:rFonts w:hint="eastAsia" w:ascii="宋体" w:hAnsi="宋体" w:cs="宋体"/>
          <w:color w:val="000000"/>
          <w:szCs w:val="21"/>
          <w:lang w:val="zh-CN"/>
        </w:rPr>
        <w:t>）</w:t>
      </w:r>
    </w:p>
    <w:p>
      <w:pPr>
        <w:autoSpaceDE w:val="0"/>
        <w:autoSpaceDN w:val="0"/>
        <w:adjustRightInd w:val="0"/>
        <w:spacing w:line="360" w:lineRule="auto"/>
        <w:ind w:firstLine="420"/>
        <w:rPr>
          <w:rFonts w:ascii="宋体" w:hAnsi="Tahoma" w:cs="宋体"/>
          <w:szCs w:val="21"/>
          <w:lang w:val="zh-CN"/>
        </w:rPr>
      </w:pPr>
      <w:r>
        <w:rPr>
          <w:rFonts w:hint="eastAsia" w:ascii="宋体" w:hAnsi="Tahoma" w:cs="宋体"/>
          <w:szCs w:val="21"/>
        </w:rPr>
        <w:t>11.4、</w:t>
      </w:r>
      <w:r>
        <w:rPr>
          <w:rFonts w:hint="eastAsia" w:ascii="宋体" w:hAnsi="Tahoma" w:cs="宋体"/>
          <w:szCs w:val="21"/>
          <w:lang w:val="zh-CN"/>
        </w:rPr>
        <w:t>了解开关型稳压电路的特点，正确理解开关型稳压电路的工作原理。</w:t>
      </w:r>
    </w:p>
    <w:p>
      <w:pPr>
        <w:spacing w:line="360" w:lineRule="auto"/>
        <w:ind w:firstLine="420" w:firstLineChars="200"/>
        <w:rPr>
          <w:rFonts w:ascii="宋体" w:hAnsi="Tahoma" w:cs="宋体"/>
          <w:szCs w:val="21"/>
          <w:lang w:val="zh-CN"/>
        </w:rPr>
      </w:pPr>
      <w:r>
        <w:rPr>
          <w:rFonts w:cs="宋体"/>
          <w:bCs/>
          <w:snapToGrid w:val="0"/>
          <w:kern w:val="0"/>
          <w:szCs w:val="21"/>
        </w:rPr>
        <w:t>本章内容支撑课程目标</w:t>
      </w:r>
      <w:r>
        <w:rPr>
          <w:rFonts w:hint="eastAsia" w:cs="宋体"/>
          <w:bCs/>
          <w:snapToGrid w:val="0"/>
          <w:kern w:val="0"/>
          <w:szCs w:val="21"/>
        </w:rPr>
        <w:t>1、4。</w:t>
      </w:r>
    </w:p>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rPr>
          <w:szCs w:val="21"/>
        </w:rPr>
      </w:pPr>
      <w:r>
        <w:rPr>
          <w:szCs w:val="21"/>
        </w:rPr>
        <w:t>本课程实验</w:t>
      </w:r>
      <w:r>
        <w:rPr>
          <w:rFonts w:hint="eastAsia"/>
          <w:szCs w:val="21"/>
        </w:rPr>
        <w:t>独立设课。</w:t>
      </w:r>
    </w:p>
    <w:p>
      <w:pPr>
        <w:widowControl/>
        <w:spacing w:line="360" w:lineRule="auto"/>
        <w:jc w:val="left"/>
        <w:rPr>
          <w:rFonts w:ascii="黑体" w:hAnsi="宋体" w:eastAsia="黑体" w:cs="宋体"/>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1457"/>
        <w:gridCol w:w="148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jc w:val="center"/>
              <w:rPr>
                <w:sz w:val="18"/>
                <w:szCs w:val="18"/>
              </w:rPr>
            </w:pPr>
            <w:r>
              <w:rPr>
                <w:rFonts w:hint="eastAsia"/>
                <w:sz w:val="18"/>
                <w:szCs w:val="18"/>
              </w:rPr>
              <w:t>知识点及内容</w:t>
            </w:r>
          </w:p>
        </w:tc>
        <w:tc>
          <w:tcPr>
            <w:tcW w:w="855" w:type="pct"/>
            <w:vAlign w:val="center"/>
          </w:tcPr>
          <w:p>
            <w:pPr>
              <w:adjustRightInd w:val="0"/>
              <w:snapToGrid w:val="0"/>
              <w:jc w:val="center"/>
              <w:rPr>
                <w:sz w:val="18"/>
                <w:szCs w:val="18"/>
              </w:rPr>
            </w:pPr>
            <w:r>
              <w:rPr>
                <w:rFonts w:hint="eastAsia"/>
                <w:sz w:val="18"/>
                <w:szCs w:val="18"/>
              </w:rPr>
              <w:t>讲授（学时）</w:t>
            </w:r>
          </w:p>
        </w:tc>
        <w:tc>
          <w:tcPr>
            <w:tcW w:w="869" w:type="pct"/>
            <w:vAlign w:val="center"/>
          </w:tcPr>
          <w:p>
            <w:pPr>
              <w:adjustRightInd w:val="0"/>
              <w:snapToGrid w:val="0"/>
              <w:jc w:val="center"/>
              <w:rPr>
                <w:sz w:val="18"/>
                <w:szCs w:val="18"/>
              </w:rPr>
            </w:pPr>
            <w:r>
              <w:rPr>
                <w:rFonts w:hint="eastAsia"/>
                <w:sz w:val="18"/>
                <w:szCs w:val="18"/>
              </w:rPr>
              <w:t>实验（学时）</w:t>
            </w:r>
          </w:p>
        </w:tc>
        <w:tc>
          <w:tcPr>
            <w:tcW w:w="804" w:type="pct"/>
            <w:tcBorders>
              <w:right w:val="nil"/>
            </w:tcBorders>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绪论</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1</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1 半导体二极管及其基本电路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5</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2</w:t>
            </w:r>
            <w:r>
              <w:rPr>
                <w:rFonts w:cs="宋体"/>
                <w:kern w:val="0"/>
                <w:sz w:val="18"/>
                <w:szCs w:val="18"/>
              </w:rPr>
              <w:t xml:space="preserve"> 晶体管及其基本放大电路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12</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3 场效应管及其基本放大电路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4 多级放大电路和集成运算放大器</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8</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5 放大电路的频率特性</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6 反馈及负反馈放大电路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8</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7 集成运放组成的运算电路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8 信号检测与处理电路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360" w:firstLineChars="200"/>
              <w:jc w:val="left"/>
              <w:rPr>
                <w:rFonts w:cs="宋体"/>
                <w:kern w:val="0"/>
                <w:sz w:val="18"/>
                <w:szCs w:val="18"/>
              </w:rPr>
            </w:pPr>
            <w:r>
              <w:rPr>
                <w:rFonts w:hint="eastAsia" w:cs="宋体"/>
                <w:kern w:val="0"/>
                <w:sz w:val="18"/>
                <w:szCs w:val="18"/>
              </w:rPr>
              <w:t>9 波形发生电路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8</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270" w:firstLineChars="150"/>
              <w:jc w:val="left"/>
              <w:rPr>
                <w:rFonts w:cs="宋体"/>
                <w:kern w:val="0"/>
                <w:sz w:val="18"/>
                <w:szCs w:val="18"/>
              </w:rPr>
            </w:pPr>
            <w:r>
              <w:rPr>
                <w:rFonts w:hint="eastAsia" w:cs="宋体"/>
                <w:kern w:val="0"/>
                <w:sz w:val="18"/>
                <w:szCs w:val="18"/>
              </w:rPr>
              <w:t>10</w:t>
            </w:r>
            <w:r>
              <w:rPr>
                <w:rFonts w:cs="宋体"/>
                <w:kern w:val="0"/>
                <w:sz w:val="18"/>
                <w:szCs w:val="18"/>
              </w:rPr>
              <w:t xml:space="preserve"> 功率放大电路</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ind w:firstLine="270" w:firstLineChars="150"/>
              <w:jc w:val="left"/>
              <w:rPr>
                <w:rFonts w:cs="宋体"/>
                <w:kern w:val="0"/>
                <w:sz w:val="18"/>
                <w:szCs w:val="18"/>
              </w:rPr>
            </w:pPr>
            <w:r>
              <w:rPr>
                <w:rFonts w:hint="eastAsia" w:cs="宋体"/>
                <w:kern w:val="0"/>
                <w:sz w:val="18"/>
                <w:szCs w:val="18"/>
              </w:rPr>
              <w:t>11 直流电源</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jc w:val="center"/>
              <w:rPr>
                <w:rFonts w:cs="宋体"/>
                <w:kern w:val="0"/>
                <w:sz w:val="18"/>
                <w:szCs w:val="18"/>
              </w:rPr>
            </w:pPr>
            <w:r>
              <w:rPr>
                <w:rFonts w:hint="eastAsia" w:cs="宋体"/>
                <w:kern w:val="0"/>
                <w:sz w:val="18"/>
                <w:szCs w:val="18"/>
              </w:rPr>
              <w:t>合计</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72</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72</w:t>
            </w:r>
          </w:p>
        </w:tc>
      </w:tr>
    </w:tbl>
    <w:p>
      <w:pPr>
        <w:tabs>
          <w:tab w:val="left" w:pos="420"/>
        </w:tabs>
        <w:spacing w:line="360" w:lineRule="auto"/>
        <w:rPr>
          <w:rFonts w:eastAsia="黑体"/>
          <w:szCs w:val="24"/>
        </w:rPr>
      </w:pPr>
    </w:p>
    <w:p>
      <w:pPr>
        <w:tabs>
          <w:tab w:val="left" w:pos="420"/>
        </w:tabs>
        <w:spacing w:line="360" w:lineRule="auto"/>
        <w:rPr>
          <w:rFonts w:eastAsia="黑体"/>
          <w:szCs w:val="24"/>
        </w:rPr>
      </w:pPr>
      <w:r>
        <w:rPr>
          <w:rFonts w:hint="eastAsia" w:eastAsia="黑体"/>
          <w:szCs w:val="24"/>
        </w:rPr>
        <w:t>七、教材、补充教材及参考资料</w:t>
      </w:r>
    </w:p>
    <w:p>
      <w:pPr>
        <w:spacing w:line="360" w:lineRule="auto"/>
        <w:ind w:firstLine="420" w:firstLineChars="200"/>
        <w:rPr>
          <w:rFonts w:ascii="宋体" w:hAnsi="宋体"/>
          <w:szCs w:val="21"/>
        </w:rPr>
      </w:pPr>
      <w:r>
        <w:rPr>
          <w:rFonts w:hint="eastAsia"/>
          <w:szCs w:val="21"/>
        </w:rPr>
        <w:t>1、</w:t>
      </w:r>
      <w:r>
        <w:rPr>
          <w:rFonts w:hint="eastAsia" w:ascii="宋体" w:hAnsi="宋体"/>
          <w:szCs w:val="21"/>
        </w:rPr>
        <w:t>毕满清主编，《模拟电子技术基础(第2版)》，</w:t>
      </w:r>
      <w:r>
        <w:rPr>
          <w:rFonts w:hint="eastAsia"/>
          <w:szCs w:val="21"/>
        </w:rPr>
        <w:t>ISBN 978-7-121-25393-5，</w:t>
      </w:r>
      <w:r>
        <w:rPr>
          <w:rFonts w:hint="eastAsia" w:ascii="宋体" w:hAnsi="宋体"/>
          <w:szCs w:val="21"/>
        </w:rPr>
        <w:t>电子工业出版社。</w:t>
      </w:r>
    </w:p>
    <w:p>
      <w:pPr>
        <w:widowControl/>
        <w:numPr>
          <w:ilvl w:val="255"/>
          <w:numId w:val="0"/>
        </w:numPr>
        <w:spacing w:line="360" w:lineRule="auto"/>
        <w:textAlignment w:val="top"/>
        <w:rPr>
          <w:szCs w:val="21"/>
        </w:rPr>
      </w:pPr>
      <w:r>
        <w:rPr>
          <w:rFonts w:hint="eastAsia"/>
          <w:szCs w:val="21"/>
        </w:rPr>
        <w:t xml:space="preserve">    2、</w:t>
      </w:r>
      <w:r>
        <w:rPr>
          <w:rFonts w:hint="eastAsia" w:ascii="宋体" w:hAnsi="宋体"/>
          <w:szCs w:val="21"/>
        </w:rPr>
        <w:t>童诗白，华英成主编，《模拟电子技术基础</w:t>
      </w:r>
      <w:r>
        <w:rPr>
          <w:rFonts w:hint="eastAsia" w:ascii="宋体" w:hAnsi="宋体" w:cs="宋体"/>
          <w:szCs w:val="21"/>
          <w:lang w:val="zh-CN"/>
        </w:rPr>
        <w:t>（第</w:t>
      </w:r>
      <w:r>
        <w:rPr>
          <w:rFonts w:hint="eastAsia" w:ascii="宋体" w:hAnsi="宋体" w:cs="宋体"/>
          <w:szCs w:val="21"/>
        </w:rPr>
        <w:t>五</w:t>
      </w:r>
      <w:r>
        <w:rPr>
          <w:rFonts w:hint="eastAsia" w:ascii="宋体" w:hAnsi="宋体" w:cs="宋体"/>
          <w:szCs w:val="21"/>
          <w:lang w:val="zh-CN"/>
        </w:rPr>
        <w:t>版）</w:t>
      </w:r>
      <w:r>
        <w:rPr>
          <w:rFonts w:hint="eastAsia" w:ascii="宋体" w:hAnsi="宋体"/>
          <w:szCs w:val="21"/>
        </w:rPr>
        <w:t>》，</w:t>
      </w:r>
      <w:r>
        <w:rPr>
          <w:rFonts w:hint="eastAsia"/>
          <w:szCs w:val="21"/>
        </w:rPr>
        <w:t>ISBN：9787040425055，</w:t>
      </w:r>
      <w:r>
        <w:rPr>
          <w:rFonts w:hint="eastAsia" w:ascii="宋体" w:hAnsi="宋体"/>
          <w:szCs w:val="21"/>
        </w:rPr>
        <w:t>高等教育出版社</w:t>
      </w:r>
      <w:r>
        <w:rPr>
          <w:rFonts w:hint="eastAsia"/>
          <w:szCs w:val="21"/>
        </w:rPr>
        <w:t>。</w:t>
      </w:r>
    </w:p>
    <w:p>
      <w:pPr>
        <w:widowControl/>
        <w:numPr>
          <w:ilvl w:val="255"/>
          <w:numId w:val="0"/>
        </w:numPr>
        <w:spacing w:line="360" w:lineRule="auto"/>
        <w:textAlignment w:val="top"/>
        <w:rPr>
          <w:szCs w:val="21"/>
        </w:rPr>
      </w:pPr>
      <w:r>
        <w:rPr>
          <w:rFonts w:hint="eastAsia"/>
          <w:szCs w:val="21"/>
        </w:rPr>
        <w:t xml:space="preserve">    3、冯军，</w:t>
      </w:r>
      <w:r>
        <w:rPr>
          <w:rFonts w:hint="eastAsia" w:ascii="宋体" w:hAnsi="宋体"/>
          <w:szCs w:val="21"/>
        </w:rPr>
        <w:t>谢嘉奎主编，《电子线路（线性部分）(第5版)》，</w:t>
      </w:r>
      <w:r>
        <w:rPr>
          <w:rFonts w:hint="eastAsia"/>
          <w:szCs w:val="21"/>
        </w:rPr>
        <w:t>ISBN：9787040283167，</w:t>
      </w:r>
      <w:r>
        <w:rPr>
          <w:rFonts w:hint="eastAsia" w:ascii="宋体" w:hAnsi="宋体"/>
          <w:szCs w:val="21"/>
        </w:rPr>
        <w:t>高等教育出版社</w:t>
      </w:r>
      <w:r>
        <w:rPr>
          <w:rFonts w:hint="eastAsia"/>
          <w:szCs w:val="21"/>
        </w:rPr>
        <w:t>。</w:t>
      </w:r>
    </w:p>
    <w:p>
      <w:pPr>
        <w:spacing w:line="360" w:lineRule="auto"/>
        <w:ind w:firstLine="420" w:firstLineChars="200"/>
        <w:rPr>
          <w:szCs w:val="21"/>
        </w:rPr>
      </w:pPr>
      <w:r>
        <w:rPr>
          <w:rFonts w:hint="eastAsia"/>
          <w:szCs w:val="21"/>
        </w:rPr>
        <w:t>4、《模拟电子技术基础精品资源共享课》，爱课网，资料链接：</w:t>
      </w:r>
      <w:r>
        <w:t xml:space="preserve"> </w:t>
      </w:r>
      <w:r>
        <w:rPr>
          <w:rFonts w:hint="eastAsia"/>
        </w:rPr>
        <w:t>http://www.icourses.cn/coursestatic/course_6973.html</w:t>
      </w:r>
      <w:r>
        <w:rPr>
          <w:rFonts w:hint="eastAsia"/>
          <w:szCs w:val="21"/>
        </w:rPr>
        <w:t>。</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color w:val="000000" w:themeColor="text1"/>
          <w:szCs w:val="21"/>
          <w14:textFill>
            <w14:solidFill>
              <w14:schemeClr w14:val="tx1"/>
            </w14:solidFill>
          </w14:textFill>
        </w:rPr>
      </w:pPr>
      <w:r>
        <w:rPr>
          <w:szCs w:val="21"/>
        </w:rPr>
        <w:t>1</w:t>
      </w:r>
      <w:r>
        <w:rPr>
          <w:rFonts w:hint="eastAsia"/>
          <w:szCs w:val="21"/>
        </w:rPr>
        <w:t>、考核目标：</w:t>
      </w:r>
      <w:r>
        <w:rPr>
          <w:rFonts w:hint="eastAsia"/>
          <w:color w:val="000000" w:themeColor="text1"/>
          <w:szCs w:val="21"/>
          <w14:textFill>
            <w14:solidFill>
              <w14:schemeClr w14:val="tx1"/>
            </w14:solidFill>
          </w14:textFill>
        </w:rPr>
        <w:t>在考核学生对电子元器件、单元电路基本知识、基本原理和分析方法的基础上，重点考核学生的常见模拟电路的读图能力和分析能力，针对不同的单元电路应采取的</w:t>
      </w:r>
      <w:r>
        <w:rPr>
          <w:rFonts w:hint="eastAsia" w:ascii="宋体" w:hAnsi="宋体" w:cs="宋体"/>
          <w:color w:val="000000" w:themeColor="text1"/>
          <w:szCs w:val="27"/>
          <w14:textFill>
            <w14:solidFill>
              <w14:schemeClr w14:val="tx1"/>
            </w14:solidFill>
          </w14:textFill>
        </w:rPr>
        <w:t>定性或定量分析方法以及对分析方法的</w:t>
      </w:r>
      <w:r>
        <w:rPr>
          <w:rFonts w:hint="eastAsia"/>
          <w:color w:val="000000" w:themeColor="text1"/>
          <w:szCs w:val="21"/>
          <w14:textFill>
            <w14:solidFill>
              <w14:schemeClr w14:val="tx1"/>
            </w14:solidFill>
          </w14:textFill>
        </w:rPr>
        <w:t>掌握程度。</w:t>
      </w:r>
      <w:r>
        <w:rPr>
          <w:color w:val="000000" w:themeColor="text1"/>
          <w:szCs w:val="21"/>
          <w14:textFill>
            <w14:solidFill>
              <w14:schemeClr w14:val="tx1"/>
            </w14:solidFill>
          </w14:textFill>
        </w:rPr>
        <w:t xml:space="preserve"> </w:t>
      </w:r>
    </w:p>
    <w:p>
      <w:pPr>
        <w:spacing w:line="360" w:lineRule="auto"/>
        <w:ind w:firstLine="420" w:firstLineChars="200"/>
        <w:rPr>
          <w:szCs w:val="21"/>
        </w:rPr>
      </w:pPr>
      <w:r>
        <w:rPr>
          <w:szCs w:val="21"/>
        </w:rPr>
        <w:t>2</w:t>
      </w:r>
      <w:r>
        <w:rPr>
          <w:rFonts w:hint="eastAsia"/>
          <w:szCs w:val="21"/>
        </w:rPr>
        <w:t>、考核方式：考试、作业及课堂提问。</w:t>
      </w:r>
    </w:p>
    <w:p>
      <w:pPr>
        <w:spacing w:line="360" w:lineRule="auto"/>
        <w:ind w:firstLine="420" w:firstLineChars="200"/>
        <w:rPr>
          <w:szCs w:val="21"/>
        </w:rPr>
      </w:pPr>
      <w:r>
        <w:rPr>
          <w:szCs w:val="21"/>
        </w:rPr>
        <w:t>3、</w:t>
      </w:r>
      <w:r>
        <w:rPr>
          <w:rFonts w:hint="eastAsia"/>
          <w:szCs w:val="21"/>
        </w:rPr>
        <w:t>评价环节对课程目标达成贡献率及支撑材料：</w:t>
      </w:r>
      <w:r>
        <w:rPr>
          <w:szCs w:val="21"/>
        </w:rPr>
        <w:t xml:space="preserve"> </w:t>
      </w:r>
    </w:p>
    <w:tbl>
      <w:tblPr>
        <w:tblStyle w:val="22"/>
        <w:tblW w:w="84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660"/>
        <w:gridCol w:w="1736"/>
        <w:gridCol w:w="1738"/>
        <w:gridCol w:w="15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shd w:val="clear" w:color="auto" w:fill="auto"/>
            <w:vAlign w:val="center"/>
          </w:tcPr>
          <w:p>
            <w:pPr>
              <w:widowControl/>
              <w:adjustRightInd w:val="0"/>
              <w:snapToGrid w:val="0"/>
              <w:jc w:val="center"/>
              <w:rPr>
                <w:kern w:val="0"/>
                <w:sz w:val="18"/>
              </w:rPr>
            </w:pPr>
            <w:r>
              <w:rPr>
                <w:kern w:val="0"/>
                <w:sz w:val="18"/>
              </w:rPr>
              <w:t>考察环节</w:t>
            </w:r>
          </w:p>
        </w:tc>
        <w:tc>
          <w:tcPr>
            <w:tcW w:w="1660" w:type="dxa"/>
            <w:shd w:val="clear" w:color="auto" w:fill="auto"/>
            <w:vAlign w:val="center"/>
          </w:tcPr>
          <w:p>
            <w:pPr>
              <w:widowControl/>
              <w:adjustRightInd w:val="0"/>
              <w:snapToGrid w:val="0"/>
              <w:jc w:val="center"/>
              <w:rPr>
                <w:kern w:val="0"/>
                <w:sz w:val="18"/>
              </w:rPr>
            </w:pPr>
            <w:r>
              <w:rPr>
                <w:kern w:val="0"/>
                <w:sz w:val="18"/>
              </w:rPr>
              <w:t>课堂情况</w:t>
            </w:r>
          </w:p>
        </w:tc>
        <w:tc>
          <w:tcPr>
            <w:tcW w:w="1736" w:type="dxa"/>
            <w:shd w:val="clear" w:color="auto" w:fill="auto"/>
            <w:vAlign w:val="center"/>
          </w:tcPr>
          <w:p>
            <w:pPr>
              <w:widowControl/>
              <w:adjustRightInd w:val="0"/>
              <w:snapToGrid w:val="0"/>
              <w:jc w:val="center"/>
              <w:rPr>
                <w:kern w:val="0"/>
                <w:sz w:val="18"/>
              </w:rPr>
            </w:pPr>
            <w:r>
              <w:rPr>
                <w:kern w:val="0"/>
                <w:sz w:val="18"/>
              </w:rPr>
              <w:t>作业</w:t>
            </w:r>
          </w:p>
        </w:tc>
        <w:tc>
          <w:tcPr>
            <w:tcW w:w="1738" w:type="dxa"/>
            <w:shd w:val="clear" w:color="auto" w:fill="auto"/>
            <w:vAlign w:val="center"/>
          </w:tcPr>
          <w:p>
            <w:pPr>
              <w:widowControl/>
              <w:adjustRightInd w:val="0"/>
              <w:snapToGrid w:val="0"/>
              <w:jc w:val="center"/>
              <w:rPr>
                <w:kern w:val="0"/>
                <w:sz w:val="18"/>
              </w:rPr>
            </w:pPr>
            <w:r>
              <w:rPr>
                <w:kern w:val="0"/>
                <w:sz w:val="18"/>
              </w:rPr>
              <w:t>实验</w:t>
            </w:r>
          </w:p>
        </w:tc>
        <w:tc>
          <w:tcPr>
            <w:tcW w:w="1544" w:type="dxa"/>
            <w:shd w:val="clear" w:color="auto" w:fill="auto"/>
            <w:vAlign w:val="center"/>
          </w:tcPr>
          <w:p>
            <w:pPr>
              <w:widowControl/>
              <w:adjustRightInd w:val="0"/>
              <w:snapToGrid w:val="0"/>
              <w:jc w:val="center"/>
              <w:rPr>
                <w:kern w:val="0"/>
                <w:sz w:val="18"/>
              </w:rPr>
            </w:pPr>
            <w:r>
              <w:rPr>
                <w:kern w:val="0"/>
                <w:sz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shd w:val="clear" w:color="auto" w:fill="auto"/>
            <w:vAlign w:val="center"/>
          </w:tcPr>
          <w:p>
            <w:pPr>
              <w:widowControl/>
              <w:adjustRightInd w:val="0"/>
              <w:snapToGrid w:val="0"/>
              <w:jc w:val="center"/>
              <w:rPr>
                <w:kern w:val="0"/>
                <w:sz w:val="18"/>
              </w:rPr>
            </w:pPr>
            <w:r>
              <w:rPr>
                <w:kern w:val="0"/>
                <w:sz w:val="18"/>
              </w:rPr>
              <w:t>课程目标达成</w:t>
            </w:r>
          </w:p>
          <w:p>
            <w:pPr>
              <w:widowControl/>
              <w:adjustRightInd w:val="0"/>
              <w:snapToGrid w:val="0"/>
              <w:jc w:val="center"/>
              <w:rPr>
                <w:kern w:val="0"/>
                <w:sz w:val="18"/>
              </w:rPr>
            </w:pPr>
            <w:r>
              <w:rPr>
                <w:kern w:val="0"/>
                <w:sz w:val="18"/>
              </w:rPr>
              <w:t>的贡献率</w:t>
            </w:r>
          </w:p>
        </w:tc>
        <w:tc>
          <w:tcPr>
            <w:tcW w:w="1660" w:type="dxa"/>
            <w:shd w:val="clear" w:color="auto" w:fill="auto"/>
            <w:vAlign w:val="center"/>
          </w:tcPr>
          <w:p>
            <w:pPr>
              <w:widowControl/>
              <w:adjustRightInd w:val="0"/>
              <w:snapToGrid w:val="0"/>
              <w:jc w:val="center"/>
              <w:rPr>
                <w:kern w:val="0"/>
                <w:sz w:val="18"/>
              </w:rPr>
            </w:pPr>
            <w:r>
              <w:rPr>
                <w:kern w:val="0"/>
                <w:sz w:val="18"/>
              </w:rPr>
              <w:t>0.</w:t>
            </w:r>
            <w:r>
              <w:rPr>
                <w:rFonts w:hint="eastAsia"/>
                <w:kern w:val="0"/>
                <w:sz w:val="18"/>
              </w:rPr>
              <w:t>1</w:t>
            </w:r>
          </w:p>
        </w:tc>
        <w:tc>
          <w:tcPr>
            <w:tcW w:w="1736" w:type="dxa"/>
            <w:shd w:val="clear" w:color="auto" w:fill="auto"/>
            <w:vAlign w:val="center"/>
          </w:tcPr>
          <w:p>
            <w:pPr>
              <w:widowControl/>
              <w:adjustRightInd w:val="0"/>
              <w:snapToGrid w:val="0"/>
              <w:jc w:val="center"/>
              <w:rPr>
                <w:kern w:val="0"/>
                <w:sz w:val="18"/>
              </w:rPr>
            </w:pPr>
            <w:r>
              <w:rPr>
                <w:kern w:val="0"/>
                <w:sz w:val="18"/>
              </w:rPr>
              <w:t>0.</w:t>
            </w:r>
            <w:r>
              <w:rPr>
                <w:rFonts w:hint="eastAsia"/>
                <w:kern w:val="0"/>
                <w:sz w:val="18"/>
              </w:rPr>
              <w:t>1</w:t>
            </w:r>
          </w:p>
        </w:tc>
        <w:tc>
          <w:tcPr>
            <w:tcW w:w="1738" w:type="dxa"/>
            <w:shd w:val="clear" w:color="auto" w:fill="auto"/>
            <w:vAlign w:val="center"/>
          </w:tcPr>
          <w:p>
            <w:pPr>
              <w:widowControl/>
              <w:adjustRightInd w:val="0"/>
              <w:snapToGrid w:val="0"/>
              <w:jc w:val="center"/>
              <w:rPr>
                <w:kern w:val="0"/>
                <w:sz w:val="18"/>
              </w:rPr>
            </w:pPr>
            <w:r>
              <w:rPr>
                <w:kern w:val="0"/>
                <w:sz w:val="18"/>
              </w:rPr>
              <w:t>0</w:t>
            </w:r>
          </w:p>
        </w:tc>
        <w:tc>
          <w:tcPr>
            <w:tcW w:w="1544" w:type="dxa"/>
            <w:shd w:val="clear" w:color="auto" w:fill="auto"/>
            <w:vAlign w:val="center"/>
          </w:tcPr>
          <w:p>
            <w:pPr>
              <w:widowControl/>
              <w:adjustRightInd w:val="0"/>
              <w:snapToGrid w:val="0"/>
              <w:jc w:val="center"/>
              <w:rPr>
                <w:kern w:val="0"/>
                <w:sz w:val="18"/>
              </w:rPr>
            </w:pPr>
            <w:r>
              <w:rPr>
                <w:kern w:val="0"/>
                <w:sz w:val="18"/>
              </w:rPr>
              <w:t>0.</w:t>
            </w:r>
            <w:r>
              <w:rPr>
                <w:rFonts w:hint="eastAsia"/>
                <w:kern w:val="0"/>
                <w:sz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shd w:val="clear" w:color="auto" w:fill="auto"/>
            <w:vAlign w:val="center"/>
          </w:tcPr>
          <w:p>
            <w:pPr>
              <w:widowControl/>
              <w:adjustRightInd w:val="0"/>
              <w:snapToGrid w:val="0"/>
              <w:jc w:val="center"/>
              <w:rPr>
                <w:kern w:val="0"/>
                <w:sz w:val="18"/>
              </w:rPr>
            </w:pPr>
            <w:r>
              <w:rPr>
                <w:kern w:val="0"/>
                <w:sz w:val="18"/>
              </w:rPr>
              <w:t>支撑材料</w:t>
            </w:r>
          </w:p>
        </w:tc>
        <w:tc>
          <w:tcPr>
            <w:tcW w:w="1660" w:type="dxa"/>
            <w:shd w:val="clear" w:color="auto" w:fill="auto"/>
            <w:vAlign w:val="center"/>
          </w:tcPr>
          <w:p>
            <w:pPr>
              <w:widowControl/>
              <w:adjustRightInd w:val="0"/>
              <w:snapToGrid w:val="0"/>
              <w:jc w:val="center"/>
              <w:rPr>
                <w:kern w:val="0"/>
                <w:sz w:val="18"/>
              </w:rPr>
            </w:pPr>
            <w:r>
              <w:rPr>
                <w:kern w:val="0"/>
                <w:sz w:val="18"/>
              </w:rPr>
              <w:t>课堂评价标准，课堂提问记录或随堂考试，结合出勤率等</w:t>
            </w:r>
          </w:p>
        </w:tc>
        <w:tc>
          <w:tcPr>
            <w:tcW w:w="1736" w:type="dxa"/>
            <w:shd w:val="clear" w:color="auto" w:fill="auto"/>
            <w:vAlign w:val="center"/>
          </w:tcPr>
          <w:p>
            <w:pPr>
              <w:widowControl/>
              <w:adjustRightInd w:val="0"/>
              <w:snapToGrid w:val="0"/>
              <w:jc w:val="center"/>
              <w:rPr>
                <w:kern w:val="0"/>
                <w:sz w:val="18"/>
              </w:rPr>
            </w:pPr>
            <w:r>
              <w:rPr>
                <w:kern w:val="0"/>
                <w:sz w:val="18"/>
              </w:rPr>
              <w:t>作业评价标准，典型作业拍照，或电子版</w:t>
            </w:r>
          </w:p>
        </w:tc>
        <w:tc>
          <w:tcPr>
            <w:tcW w:w="1738" w:type="dxa"/>
            <w:shd w:val="clear" w:color="auto" w:fill="auto"/>
            <w:vAlign w:val="center"/>
          </w:tcPr>
          <w:p>
            <w:pPr>
              <w:widowControl/>
              <w:adjustRightInd w:val="0"/>
              <w:snapToGrid w:val="0"/>
              <w:jc w:val="center"/>
              <w:rPr>
                <w:kern w:val="0"/>
                <w:sz w:val="18"/>
              </w:rPr>
            </w:pPr>
            <w:r>
              <w:rPr>
                <w:kern w:val="0"/>
                <w:sz w:val="18"/>
              </w:rPr>
              <w:t>无</w:t>
            </w:r>
          </w:p>
        </w:tc>
        <w:tc>
          <w:tcPr>
            <w:tcW w:w="1544" w:type="dxa"/>
            <w:shd w:val="clear" w:color="auto" w:fill="auto"/>
            <w:vAlign w:val="center"/>
          </w:tcPr>
          <w:p>
            <w:pPr>
              <w:widowControl/>
              <w:adjustRightInd w:val="0"/>
              <w:snapToGrid w:val="0"/>
              <w:jc w:val="center"/>
              <w:rPr>
                <w:kern w:val="0"/>
                <w:sz w:val="18"/>
              </w:rPr>
            </w:pPr>
            <w:r>
              <w:rPr>
                <w:kern w:val="0"/>
                <w:sz w:val="18"/>
              </w:rPr>
              <w:t>试题评分标准，试卷</w:t>
            </w:r>
          </w:p>
        </w:tc>
      </w:tr>
    </w:tbl>
    <w:p>
      <w:pPr>
        <w:spacing w:line="360" w:lineRule="auto"/>
        <w:rPr>
          <w:szCs w:val="21"/>
        </w:rPr>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880"/>
        <w:gridCol w:w="2190"/>
        <w:gridCol w:w="2037"/>
        <w:gridCol w:w="2415"/>
      </w:tblGrid>
      <w:tr>
        <w:tblPrEx>
          <w:tblCellMar>
            <w:top w:w="0" w:type="dxa"/>
            <w:left w:w="108" w:type="dxa"/>
            <w:bottom w:w="0" w:type="dxa"/>
            <w:right w:w="108" w:type="dxa"/>
          </w:tblCellMar>
        </w:tblPrEx>
        <w:trPr>
          <w:trHeight w:val="986" w:hRule="atLeast"/>
          <w:jc w:val="center"/>
        </w:trPr>
        <w:tc>
          <w:tcPr>
            <w:tcW w:w="110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课堂情况</w:t>
            </w:r>
          </w:p>
          <w:p>
            <w:pPr>
              <w:jc w:val="center"/>
              <w:rPr>
                <w:sz w:val="18"/>
                <w:szCs w:val="18"/>
              </w:rPr>
            </w:pPr>
            <w:r>
              <w:rPr>
                <w:rFonts w:hint="eastAsia"/>
                <w:sz w:val="18"/>
                <w:szCs w:val="18"/>
              </w:rPr>
              <w:t>W1</w:t>
            </w:r>
            <w:r>
              <w:rPr>
                <w:rFonts w:hint="eastAsia"/>
                <w:sz w:val="18"/>
                <w:szCs w:val="18"/>
                <w:vertAlign w:val="subscript"/>
              </w:rPr>
              <w:t>i</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w:t>
            </w:r>
          </w:p>
          <w:p>
            <w:pPr>
              <w:jc w:val="center"/>
              <w:rPr>
                <w:sz w:val="18"/>
                <w:szCs w:val="18"/>
              </w:rPr>
            </w:pPr>
            <w:r>
              <w:rPr>
                <w:rFonts w:hint="eastAsia"/>
                <w:sz w:val="18"/>
                <w:szCs w:val="18"/>
              </w:rPr>
              <w:t>W2</w:t>
            </w:r>
            <w:r>
              <w:rPr>
                <w:rFonts w:hint="eastAsia"/>
                <w:sz w:val="18"/>
                <w:szCs w:val="18"/>
                <w:vertAlign w:val="subscript"/>
              </w:rPr>
              <w:t>i</w:t>
            </w:r>
          </w:p>
        </w:tc>
        <w:tc>
          <w:tcPr>
            <w:tcW w:w="1417"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期末考试成绩</w:t>
            </w:r>
          </w:p>
          <w:p>
            <w:pPr>
              <w:jc w:val="center"/>
              <w:rPr>
                <w:sz w:val="18"/>
                <w:szCs w:val="18"/>
              </w:rPr>
            </w:pPr>
            <w:r>
              <w:rPr>
                <w:rFonts w:hint="eastAsia"/>
                <w:sz w:val="18"/>
                <w:szCs w:val="18"/>
              </w:rPr>
              <w:t>W</w:t>
            </w:r>
            <w:r>
              <w:rPr>
                <w:sz w:val="18"/>
                <w:szCs w:val="18"/>
              </w:rPr>
              <w:t>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03" w:type="pct"/>
            <w:tcBorders>
              <w:top w:val="nil"/>
              <w:left w:val="nil"/>
              <w:bottom w:val="single" w:color="auto" w:sz="4" w:space="0"/>
              <w:right w:val="single" w:color="auto" w:sz="4" w:space="0"/>
            </w:tcBorders>
            <w:vAlign w:val="center"/>
          </w:tcPr>
          <w:p>
            <w:pPr>
              <w:jc w:val="center"/>
              <w:rPr>
                <w:b/>
                <w:sz w:val="18"/>
                <w:szCs w:val="18"/>
              </w:rPr>
            </w:pPr>
            <w:r>
              <w:rPr>
                <w:rFonts w:hint="eastAsia"/>
                <w:b/>
                <w:sz w:val="18"/>
                <w:szCs w:val="18"/>
              </w:rPr>
              <w:t>1</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15-20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10-15</w:t>
            </w:r>
          </w:p>
        </w:tc>
        <w:tc>
          <w:tcPr>
            <w:tcW w:w="1417"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15-20</w:t>
            </w:r>
          </w:p>
        </w:tc>
      </w:tr>
      <w:tr>
        <w:tblPrEx>
          <w:tblCellMar>
            <w:top w:w="0" w:type="dxa"/>
            <w:left w:w="108" w:type="dxa"/>
            <w:bottom w:w="0" w:type="dxa"/>
            <w:right w:w="108" w:type="dxa"/>
          </w:tblCellMar>
        </w:tblPrEx>
        <w:trPr>
          <w:jc w:val="center"/>
        </w:trPr>
        <w:tc>
          <w:tcPr>
            <w:tcW w:w="1103"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2</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40-45</w:t>
            </w:r>
          </w:p>
        </w:tc>
        <w:tc>
          <w:tcPr>
            <w:tcW w:w="1195" w:type="pct"/>
            <w:tcBorders>
              <w:top w:val="single" w:color="auto" w:sz="4" w:space="0"/>
              <w:left w:val="single" w:color="auto" w:sz="4" w:space="0"/>
              <w:bottom w:val="single" w:color="auto" w:sz="4" w:space="0"/>
              <w:right w:val="single" w:color="auto" w:sz="4" w:space="0"/>
            </w:tcBorders>
            <w:vAlign w:val="center"/>
          </w:tcPr>
          <w:p>
            <w:pPr>
              <w:ind w:firstLine="716" w:firstLineChars="396"/>
              <w:rPr>
                <w:b/>
                <w:sz w:val="18"/>
                <w:szCs w:val="18"/>
              </w:rPr>
            </w:pPr>
            <w:r>
              <w:rPr>
                <w:rFonts w:hint="eastAsia"/>
                <w:b/>
                <w:sz w:val="18"/>
                <w:szCs w:val="18"/>
              </w:rPr>
              <w:t>20-25</w:t>
            </w:r>
          </w:p>
        </w:tc>
        <w:tc>
          <w:tcPr>
            <w:tcW w:w="1417"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40-50</w:t>
            </w:r>
          </w:p>
        </w:tc>
      </w:tr>
      <w:tr>
        <w:tblPrEx>
          <w:tblCellMar>
            <w:top w:w="0" w:type="dxa"/>
            <w:left w:w="108" w:type="dxa"/>
            <w:bottom w:w="0" w:type="dxa"/>
            <w:right w:w="108" w:type="dxa"/>
          </w:tblCellMar>
        </w:tblPrEx>
        <w:trPr>
          <w:jc w:val="center"/>
        </w:trPr>
        <w:tc>
          <w:tcPr>
            <w:tcW w:w="1103"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3</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15-20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 xml:space="preserve"> 20-25</w:t>
            </w:r>
          </w:p>
        </w:tc>
        <w:tc>
          <w:tcPr>
            <w:tcW w:w="1417"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10-15</w:t>
            </w:r>
          </w:p>
        </w:tc>
      </w:tr>
      <w:tr>
        <w:tblPrEx>
          <w:tblCellMar>
            <w:top w:w="0" w:type="dxa"/>
            <w:left w:w="108" w:type="dxa"/>
            <w:bottom w:w="0" w:type="dxa"/>
            <w:right w:w="108" w:type="dxa"/>
          </w:tblCellMar>
        </w:tblPrEx>
        <w:trPr>
          <w:jc w:val="center"/>
        </w:trPr>
        <w:tc>
          <w:tcPr>
            <w:tcW w:w="1103"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4</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15-20</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 xml:space="preserve"> 40-45</w:t>
            </w:r>
          </w:p>
        </w:tc>
        <w:tc>
          <w:tcPr>
            <w:tcW w:w="1417"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10-15</w:t>
            </w:r>
          </w:p>
        </w:tc>
      </w:tr>
    </w:tbl>
    <w:p>
      <w:pPr>
        <w:widowControl/>
        <w:spacing w:line="360" w:lineRule="auto"/>
        <w:jc w:val="left"/>
        <w:rPr>
          <w:rFonts w:eastAsia="黑体"/>
          <w:szCs w:val="24"/>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8"/>
        <w:gridCol w:w="117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tcBorders>
              <w:left w:val="nil"/>
            </w:tcBorders>
            <w:vAlign w:val="center"/>
          </w:tcPr>
          <w:p>
            <w:pPr>
              <w:adjustRightInd w:val="0"/>
              <w:snapToGrid w:val="0"/>
              <w:jc w:val="center"/>
              <w:rPr>
                <w:sz w:val="18"/>
                <w:szCs w:val="18"/>
              </w:rPr>
            </w:pPr>
            <w:r>
              <w:rPr>
                <w:sz w:val="18"/>
                <w:szCs w:val="18"/>
              </w:rPr>
              <w:t>知识点</w:t>
            </w:r>
          </w:p>
        </w:tc>
        <w:tc>
          <w:tcPr>
            <w:tcW w:w="691" w:type="pct"/>
            <w:vAlign w:val="center"/>
          </w:tcPr>
          <w:p>
            <w:pPr>
              <w:adjustRightInd w:val="0"/>
              <w:snapToGrid w:val="0"/>
              <w:jc w:val="center"/>
              <w:rPr>
                <w:sz w:val="18"/>
                <w:szCs w:val="18"/>
              </w:rPr>
            </w:pPr>
            <w:r>
              <w:rPr>
                <w:sz w:val="18"/>
                <w:szCs w:val="18"/>
              </w:rPr>
              <w:t>权重</w:t>
            </w:r>
          </w:p>
        </w:tc>
        <w:tc>
          <w:tcPr>
            <w:tcW w:w="1048" w:type="pct"/>
            <w:tcBorders>
              <w:right w:val="nil"/>
            </w:tcBorders>
            <w:vAlign w:val="center"/>
          </w:tcPr>
          <w:p>
            <w:pPr>
              <w:adjustRightInd w:val="0"/>
              <w:snapToGrid w:val="0"/>
              <w:jc w:val="center"/>
              <w:rPr>
                <w:sz w:val="18"/>
                <w:szCs w:val="18"/>
              </w:rPr>
            </w:pPr>
            <w:r>
              <w:rPr>
                <w:sz w:val="18"/>
                <w:szCs w:val="18"/>
              </w:rPr>
              <w:t>支撑课程目标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1、</w:t>
            </w:r>
            <w:r>
              <w:rPr>
                <w:kern w:val="0"/>
                <w:sz w:val="18"/>
                <w:szCs w:val="18"/>
              </w:rPr>
              <w:t>半导体二极管及其基本电路</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2、</w:t>
            </w:r>
            <w:r>
              <w:rPr>
                <w:kern w:val="0"/>
                <w:sz w:val="18"/>
                <w:szCs w:val="18"/>
              </w:rPr>
              <w:t>晶体管及其基本放大电路</w:t>
            </w:r>
          </w:p>
        </w:tc>
        <w:tc>
          <w:tcPr>
            <w:tcW w:w="691" w:type="pct"/>
            <w:vAlign w:val="center"/>
          </w:tcPr>
          <w:p>
            <w:pPr>
              <w:adjustRightInd w:val="0"/>
              <w:snapToGrid w:val="0"/>
              <w:jc w:val="center"/>
              <w:rPr>
                <w:sz w:val="18"/>
                <w:szCs w:val="18"/>
              </w:rPr>
            </w:pPr>
            <w:r>
              <w:rPr>
                <w:sz w:val="18"/>
                <w:szCs w:val="18"/>
              </w:rPr>
              <w:t>0.2</w:t>
            </w:r>
          </w:p>
        </w:tc>
        <w:tc>
          <w:tcPr>
            <w:tcW w:w="1048" w:type="pct"/>
            <w:tcBorders>
              <w:right w:val="nil"/>
            </w:tcBorders>
            <w:vAlign w:val="center"/>
          </w:tcPr>
          <w:p>
            <w:pPr>
              <w:adjustRightInd w:val="0"/>
              <w:snapToGrid w:val="0"/>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3、</w:t>
            </w:r>
            <w:r>
              <w:rPr>
                <w:kern w:val="0"/>
                <w:sz w:val="18"/>
                <w:szCs w:val="18"/>
              </w:rPr>
              <w:t>场效应管及其基本放大电路</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4、</w:t>
            </w:r>
            <w:r>
              <w:rPr>
                <w:kern w:val="0"/>
                <w:sz w:val="18"/>
                <w:szCs w:val="18"/>
              </w:rPr>
              <w:t>多级放大电路和集成运算放大器</w:t>
            </w:r>
          </w:p>
        </w:tc>
        <w:tc>
          <w:tcPr>
            <w:tcW w:w="691" w:type="pct"/>
            <w:vAlign w:val="center"/>
          </w:tcPr>
          <w:p>
            <w:pPr>
              <w:adjustRightInd w:val="0"/>
              <w:snapToGrid w:val="0"/>
              <w:jc w:val="center"/>
              <w:rPr>
                <w:sz w:val="18"/>
                <w:szCs w:val="18"/>
              </w:rPr>
            </w:pPr>
            <w:r>
              <w:rPr>
                <w:sz w:val="18"/>
                <w:szCs w:val="18"/>
              </w:rPr>
              <w:t>0.11</w:t>
            </w:r>
          </w:p>
        </w:tc>
        <w:tc>
          <w:tcPr>
            <w:tcW w:w="1048" w:type="pct"/>
            <w:tcBorders>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5、</w:t>
            </w:r>
            <w:r>
              <w:rPr>
                <w:kern w:val="0"/>
                <w:sz w:val="18"/>
                <w:szCs w:val="18"/>
              </w:rPr>
              <w:t>放大电路的频率特性</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6、</w:t>
            </w:r>
            <w:r>
              <w:rPr>
                <w:kern w:val="0"/>
                <w:sz w:val="18"/>
                <w:szCs w:val="18"/>
              </w:rPr>
              <w:t>反馈及负反馈放大电路</w:t>
            </w:r>
          </w:p>
        </w:tc>
        <w:tc>
          <w:tcPr>
            <w:tcW w:w="691" w:type="pct"/>
            <w:vAlign w:val="center"/>
          </w:tcPr>
          <w:p>
            <w:pPr>
              <w:adjustRightInd w:val="0"/>
              <w:snapToGrid w:val="0"/>
              <w:jc w:val="center"/>
              <w:rPr>
                <w:sz w:val="18"/>
                <w:szCs w:val="18"/>
              </w:rPr>
            </w:pPr>
            <w:r>
              <w:rPr>
                <w:sz w:val="18"/>
                <w:szCs w:val="18"/>
              </w:rPr>
              <w:t>0.11</w:t>
            </w:r>
          </w:p>
        </w:tc>
        <w:tc>
          <w:tcPr>
            <w:tcW w:w="1048" w:type="pct"/>
            <w:tcBorders>
              <w:right w:val="nil"/>
            </w:tcBorders>
            <w:vAlign w:val="center"/>
          </w:tcPr>
          <w:p>
            <w:pPr>
              <w:adjustRightInd w:val="0"/>
              <w:snapToGrid w:val="0"/>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7、集成运放组成的运算电路</w:t>
            </w:r>
          </w:p>
        </w:tc>
        <w:tc>
          <w:tcPr>
            <w:tcW w:w="691" w:type="pct"/>
            <w:vAlign w:val="center"/>
          </w:tcPr>
          <w:p>
            <w:pPr>
              <w:adjustRightInd w:val="0"/>
              <w:snapToGrid w:val="0"/>
              <w:jc w:val="center"/>
              <w:rPr>
                <w:sz w:val="18"/>
                <w:szCs w:val="18"/>
              </w:rPr>
            </w:pPr>
            <w:r>
              <w:rPr>
                <w:sz w:val="18"/>
                <w:szCs w:val="18"/>
              </w:rPr>
              <w:t>0.05</w:t>
            </w:r>
          </w:p>
        </w:tc>
        <w:tc>
          <w:tcPr>
            <w:tcW w:w="1048" w:type="pct"/>
            <w:tcBorders>
              <w:right w:val="nil"/>
            </w:tcBorders>
            <w:vAlign w:val="center"/>
          </w:tcPr>
          <w:p>
            <w:pPr>
              <w:adjustRightInd w:val="0"/>
              <w:snapToGrid w:val="0"/>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8、信号检测与处理电路</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9、波形发生电路</w:t>
            </w:r>
          </w:p>
        </w:tc>
        <w:tc>
          <w:tcPr>
            <w:tcW w:w="691" w:type="pct"/>
            <w:vAlign w:val="center"/>
          </w:tcPr>
          <w:p>
            <w:pPr>
              <w:adjustRightInd w:val="0"/>
              <w:snapToGrid w:val="0"/>
              <w:jc w:val="center"/>
              <w:rPr>
                <w:sz w:val="18"/>
                <w:szCs w:val="18"/>
              </w:rPr>
            </w:pPr>
            <w:r>
              <w:rPr>
                <w:sz w:val="18"/>
                <w:szCs w:val="18"/>
              </w:rPr>
              <w:t>0.11</w:t>
            </w:r>
          </w:p>
        </w:tc>
        <w:tc>
          <w:tcPr>
            <w:tcW w:w="1048" w:type="pct"/>
            <w:tcBorders>
              <w:right w:val="nil"/>
            </w:tcBorders>
            <w:vAlign w:val="center"/>
          </w:tcPr>
          <w:p>
            <w:pPr>
              <w:adjustRightInd w:val="0"/>
              <w:snapToGrid w:val="0"/>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10、功率放大电路</w:t>
            </w:r>
          </w:p>
        </w:tc>
        <w:tc>
          <w:tcPr>
            <w:tcW w:w="691" w:type="pct"/>
            <w:vAlign w:val="center"/>
          </w:tcPr>
          <w:p>
            <w:pPr>
              <w:adjustRightInd w:val="0"/>
              <w:snapToGrid w:val="0"/>
              <w:jc w:val="center"/>
              <w:rPr>
                <w:sz w:val="18"/>
                <w:szCs w:val="18"/>
              </w:rPr>
            </w:pPr>
            <w:r>
              <w:rPr>
                <w:sz w:val="18"/>
                <w:szCs w:val="18"/>
              </w:rPr>
              <w:t>0.05</w:t>
            </w:r>
          </w:p>
        </w:tc>
        <w:tc>
          <w:tcPr>
            <w:tcW w:w="1048" w:type="pct"/>
            <w:tcBorders>
              <w:right w:val="nil"/>
            </w:tcBorders>
            <w:vAlign w:val="center"/>
          </w:tcPr>
          <w:p>
            <w:pPr>
              <w:adjustRightInd w:val="0"/>
              <w:snapToGrid w:val="0"/>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11、直流电源</w:t>
            </w:r>
          </w:p>
        </w:tc>
        <w:tc>
          <w:tcPr>
            <w:tcW w:w="691" w:type="pct"/>
            <w:vAlign w:val="center"/>
          </w:tcPr>
          <w:p>
            <w:pPr>
              <w:adjustRightInd w:val="0"/>
              <w:snapToGrid w:val="0"/>
              <w:jc w:val="center"/>
              <w:rPr>
                <w:sz w:val="18"/>
                <w:szCs w:val="18"/>
              </w:rPr>
            </w:pPr>
            <w:r>
              <w:rPr>
                <w:sz w:val="18"/>
                <w:szCs w:val="18"/>
              </w:rPr>
              <w:t>0.05</w:t>
            </w:r>
          </w:p>
        </w:tc>
        <w:tc>
          <w:tcPr>
            <w:tcW w:w="1048" w:type="pct"/>
            <w:tcBorders>
              <w:right w:val="nil"/>
            </w:tcBorders>
            <w:vAlign w:val="center"/>
          </w:tcPr>
          <w:p>
            <w:pPr>
              <w:adjustRightInd w:val="0"/>
              <w:snapToGrid w:val="0"/>
              <w:jc w:val="center"/>
              <w:rPr>
                <w:sz w:val="18"/>
                <w:szCs w:val="18"/>
              </w:rPr>
            </w:pPr>
            <w:r>
              <w:rPr>
                <w:sz w:val="18"/>
                <w:szCs w:val="18"/>
              </w:rPr>
              <w:t>1、4</w:t>
            </w:r>
          </w:p>
        </w:tc>
      </w:tr>
    </w:tbl>
    <w:p>
      <w:pPr>
        <w:spacing w:line="360" w:lineRule="auto"/>
        <w:ind w:firstLine="420" w:firstLineChars="200"/>
        <w:rPr>
          <w:szCs w:val="21"/>
        </w:rPr>
      </w:pPr>
      <w:r>
        <w:rPr>
          <w:rFonts w:hint="eastAsia"/>
          <w:szCs w:val="21"/>
        </w:rPr>
        <w:t>不可以申请免修。</w:t>
      </w:r>
    </w:p>
    <w:p>
      <w:pPr>
        <w:tabs>
          <w:tab w:val="left" w:pos="420"/>
        </w:tabs>
        <w:adjustRightInd w:val="0"/>
        <w:snapToGrid w:val="0"/>
        <w:spacing w:line="360" w:lineRule="auto"/>
        <w:rPr>
          <w:rFonts w:eastAsia="黑体"/>
          <w:szCs w:val="24"/>
        </w:rPr>
      </w:pPr>
    </w:p>
    <w:p>
      <w:pPr>
        <w:tabs>
          <w:tab w:val="left" w:pos="420"/>
        </w:tabs>
        <w:adjustRightInd w:val="0"/>
        <w:snapToGrid w:val="0"/>
        <w:spacing w:line="360" w:lineRule="auto"/>
        <w:rPr>
          <w:rFonts w:eastAsia="黑体"/>
          <w:szCs w:val="24"/>
        </w:rPr>
      </w:pPr>
      <w:r>
        <w:rPr>
          <w:rFonts w:hint="eastAsia" w:eastAsia="黑体"/>
          <w:szCs w:val="24"/>
        </w:rPr>
        <w:t>十、各环节评价标准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本课程允许教师在各评价环节根据具体情况采取多样化、个性化的考核手段，其评价标准应当在《授课计划》中明确并向学生公布，教学过程中的考核评价应当严格按照标准完成。</w:t>
      </w:r>
    </w:p>
    <w:p>
      <w:pPr>
        <w:widowControl/>
        <w:adjustRightInd w:val="0"/>
        <w:snapToGrid w:val="0"/>
        <w:spacing w:line="360" w:lineRule="auto"/>
        <w:jc w:val="left"/>
        <w:rPr>
          <w:rFonts w:eastAsia="黑体"/>
          <w:szCs w:val="24"/>
        </w:rPr>
      </w:pPr>
    </w:p>
    <w:p>
      <w:pPr>
        <w:widowControl/>
        <w:adjustRightInd w:val="0"/>
        <w:snapToGrid w:val="0"/>
        <w:spacing w:line="360" w:lineRule="auto"/>
        <w:jc w:val="left"/>
        <w:rPr>
          <w:szCs w:val="21"/>
        </w:rPr>
      </w:pPr>
      <w:r>
        <w:rPr>
          <w:rFonts w:hint="eastAsia" w:eastAsia="黑体"/>
          <w:szCs w:val="24"/>
        </w:rPr>
        <w:t>十一、课程目标达成评价结果用于持续改进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
    <w:p>
      <w:pPr>
        <w:widowControl/>
        <w:jc w:val="left"/>
      </w:pPr>
      <w:r>
        <w:br w:type="page"/>
      </w:r>
    </w:p>
    <w:p>
      <w:pPr>
        <w:pStyle w:val="20"/>
        <w:spacing w:before="312" w:after="468"/>
      </w:pPr>
      <w:bookmarkStart w:id="88" w:name="_Toc7978"/>
      <w:r>
        <w:rPr>
          <w:rFonts w:hint="eastAsia"/>
        </w:rPr>
        <w:t>《</w:t>
      </w:r>
      <w:r>
        <w:t>X02050003-</w:t>
      </w:r>
      <w:r>
        <w:rPr>
          <w:rFonts w:hint="eastAsia"/>
        </w:rPr>
        <w:t>数字电子技术</w:t>
      </w:r>
      <w:r>
        <w:t>A</w:t>
      </w:r>
      <w:r>
        <w:rPr>
          <w:rFonts w:hint="eastAsia"/>
        </w:rPr>
        <w:t>》教学大纲</w:t>
      </w:r>
      <w:bookmarkEnd w:id="88"/>
    </w:p>
    <w:p>
      <w:pPr>
        <w:adjustRightInd w:val="0"/>
        <w:snapToGrid w:val="0"/>
        <w:spacing w:line="360" w:lineRule="auto"/>
        <w:ind w:firstLine="424" w:firstLineChars="202"/>
        <w:rPr>
          <w:szCs w:val="21"/>
        </w:rPr>
      </w:pPr>
      <w:r>
        <w:rPr>
          <w:rFonts w:hint="eastAsia" w:eastAsia="黑体"/>
          <w:szCs w:val="21"/>
        </w:rPr>
        <w:t>课程编号：</w:t>
      </w:r>
      <w:r>
        <w:rPr>
          <w:szCs w:val="21"/>
        </w:rPr>
        <w:t>X02050003</w:t>
      </w:r>
      <w:r>
        <w:rPr>
          <w:szCs w:val="21"/>
        </w:rPr>
        <w:tab/>
      </w:r>
    </w:p>
    <w:p>
      <w:pPr>
        <w:adjustRightInd w:val="0"/>
        <w:snapToGrid w:val="0"/>
        <w:spacing w:line="360" w:lineRule="auto"/>
        <w:ind w:firstLine="420" w:firstLineChars="200"/>
        <w:rPr>
          <w:snapToGrid w:val="0"/>
          <w:kern w:val="0"/>
          <w:szCs w:val="21"/>
        </w:rPr>
      </w:pPr>
      <w:r>
        <w:rPr>
          <w:rFonts w:hint="eastAsia" w:eastAsia="黑体"/>
          <w:szCs w:val="21"/>
        </w:rPr>
        <w:t>课程名称：</w:t>
      </w:r>
      <w:r>
        <w:rPr>
          <w:rFonts w:hint="eastAsia"/>
          <w:szCs w:val="21"/>
        </w:rPr>
        <w:t>数字电子技术</w:t>
      </w:r>
      <w:r>
        <w:rPr>
          <w:szCs w:val="21"/>
        </w:rPr>
        <w:t>A</w:t>
      </w:r>
      <w:r>
        <w:rPr>
          <w:szCs w:val="21"/>
        </w:rPr>
        <w:tab/>
      </w:r>
      <w:r>
        <w:rPr>
          <w:szCs w:val="21"/>
        </w:rPr>
        <w:tab/>
      </w:r>
      <w:r>
        <w:rPr>
          <w:szCs w:val="21"/>
        </w:rPr>
        <w:tab/>
      </w:r>
      <w:r>
        <w:rPr>
          <w:szCs w:val="21"/>
        </w:rPr>
        <w:tab/>
      </w:r>
      <w:r>
        <w:rPr>
          <w:szCs w:val="21"/>
        </w:rPr>
        <w:t xml:space="preserve">    </w:t>
      </w:r>
      <w:r>
        <w:rPr>
          <w:rFonts w:hint="eastAsia" w:eastAsia="黑体"/>
          <w:szCs w:val="21"/>
        </w:rPr>
        <w:t>开课单位：</w:t>
      </w:r>
      <w:r>
        <w:rPr>
          <w:rFonts w:hint="eastAsia"/>
          <w:szCs w:val="21"/>
        </w:rPr>
        <w:t>信息与通信工程学院</w:t>
      </w:r>
      <w:r>
        <w:rPr>
          <w:rFonts w:eastAsia="黑体"/>
          <w:szCs w:val="21"/>
        </w:rPr>
        <w:tab/>
      </w:r>
    </w:p>
    <w:p>
      <w:pPr>
        <w:adjustRightInd w:val="0"/>
        <w:snapToGrid w:val="0"/>
        <w:spacing w:line="360" w:lineRule="auto"/>
        <w:ind w:firstLine="424" w:firstLineChars="202"/>
        <w:rPr>
          <w:rFonts w:eastAsia="黑体"/>
          <w:szCs w:val="21"/>
        </w:rPr>
      </w:pPr>
      <w:r>
        <w:rPr>
          <w:rFonts w:hint="eastAsia" w:eastAsia="黑体"/>
          <w:szCs w:val="21"/>
        </w:rPr>
        <w:t>总</w:t>
      </w:r>
      <w:r>
        <w:rPr>
          <w:rFonts w:eastAsia="黑体"/>
          <w:szCs w:val="21"/>
        </w:rPr>
        <w:t xml:space="preserve"> </w:t>
      </w:r>
      <w:r>
        <w:rPr>
          <w:rFonts w:hint="eastAsia" w:eastAsia="黑体"/>
          <w:szCs w:val="21"/>
        </w:rPr>
        <w:t>学</w:t>
      </w:r>
      <w:r>
        <w:rPr>
          <w:rFonts w:eastAsia="黑体"/>
          <w:szCs w:val="21"/>
        </w:rPr>
        <w:t xml:space="preserve"> </w:t>
      </w:r>
      <w:r>
        <w:rPr>
          <w:rFonts w:hint="eastAsia" w:eastAsia="黑体"/>
          <w:szCs w:val="21"/>
        </w:rPr>
        <w:t>时：</w:t>
      </w:r>
      <w:r>
        <w:rPr>
          <w:szCs w:val="21"/>
        </w:rPr>
        <w:t xml:space="preserve">64                  </w:t>
      </w:r>
      <w:r>
        <w:rPr>
          <w:rFonts w:eastAsia="黑体"/>
          <w:szCs w:val="21"/>
        </w:rPr>
        <w:tab/>
      </w:r>
      <w:r>
        <w:rPr>
          <w:rFonts w:eastAsia="黑体"/>
          <w:szCs w:val="21"/>
        </w:rPr>
        <w:tab/>
      </w:r>
      <w:r>
        <w:rPr>
          <w:rFonts w:eastAsia="黑体"/>
          <w:szCs w:val="21"/>
        </w:rPr>
        <w:tab/>
      </w:r>
      <w:r>
        <w:rPr>
          <w:rFonts w:hint="eastAsia" w:eastAsia="黑体"/>
          <w:szCs w:val="21"/>
        </w:rPr>
        <w:t>学</w:t>
      </w:r>
      <w:r>
        <w:rPr>
          <w:rFonts w:eastAsia="黑体"/>
          <w:szCs w:val="21"/>
        </w:rPr>
        <w:t xml:space="preserve">    </w:t>
      </w:r>
      <w:r>
        <w:rPr>
          <w:rFonts w:hint="eastAsia" w:eastAsia="黑体"/>
          <w:szCs w:val="21"/>
        </w:rPr>
        <w:t>分：</w:t>
      </w:r>
      <w:r>
        <w:rPr>
          <w:rFonts w:eastAsia="黑体"/>
          <w:szCs w:val="21"/>
        </w:rPr>
        <w:t>4</w:t>
      </w:r>
    </w:p>
    <w:p>
      <w:pPr>
        <w:adjustRightInd w:val="0"/>
        <w:snapToGrid w:val="0"/>
        <w:spacing w:line="360" w:lineRule="auto"/>
        <w:ind w:firstLine="424" w:firstLineChars="202"/>
        <w:rPr>
          <w:rFonts w:eastAsia="黑体"/>
        </w:rPr>
      </w:pPr>
      <w:r>
        <w:rPr>
          <w:rFonts w:hint="eastAsia" w:eastAsia="黑体"/>
          <w:szCs w:val="21"/>
        </w:rPr>
        <w:t>适用专业：</w:t>
      </w:r>
      <w:r>
        <w:rPr>
          <w:rFonts w:hint="eastAsia"/>
          <w:szCs w:val="21"/>
        </w:rPr>
        <w:t>电子科学与技术专业、</w:t>
      </w:r>
      <w:r>
        <w:rPr>
          <w:rFonts w:hint="eastAsia"/>
          <w:bCs/>
          <w:szCs w:val="21"/>
        </w:rPr>
        <w:t>测控技术与仪器专业</w:t>
      </w:r>
      <w:r>
        <w:rPr>
          <w:rFonts w:hint="eastAsia"/>
          <w:szCs w:val="21"/>
        </w:rPr>
        <w:t>、微电子科学与工程专业</w:t>
      </w:r>
    </w:p>
    <w:p>
      <w:pPr>
        <w:adjustRightInd w:val="0"/>
        <w:snapToGrid w:val="0"/>
        <w:spacing w:line="360" w:lineRule="auto"/>
        <w:ind w:firstLine="424" w:firstLineChars="202"/>
        <w:rPr>
          <w:szCs w:val="21"/>
        </w:rPr>
      </w:pPr>
      <w:r>
        <w:rPr>
          <w:rFonts w:hint="eastAsia" w:eastAsia="黑体"/>
          <w:szCs w:val="21"/>
        </w:rPr>
        <w:t>先修课程：</w:t>
      </w:r>
      <w:r>
        <w:rPr>
          <w:rFonts w:hint="eastAsia" w:asciiTheme="minorEastAsia" w:hAnsiTheme="minorEastAsia"/>
          <w:szCs w:val="21"/>
        </w:rPr>
        <w:t>模拟电子技术</w:t>
      </w:r>
    </w:p>
    <w:p>
      <w:pPr>
        <w:adjustRightInd w:val="0"/>
        <w:snapToGrid w:val="0"/>
        <w:spacing w:line="360" w:lineRule="auto"/>
        <w:ind w:firstLine="424" w:firstLineChars="202"/>
        <w:rPr>
          <w:szCs w:val="21"/>
        </w:rPr>
      </w:pPr>
      <w:r>
        <w:rPr>
          <w:rFonts w:hint="eastAsia" w:eastAsia="黑体"/>
          <w:szCs w:val="21"/>
        </w:rPr>
        <w:t>大纲编写（修订）时间：</w:t>
      </w:r>
      <w:r>
        <w:rPr>
          <w:rFonts w:hint="eastAsia" w:asciiTheme="minorEastAsia" w:hAnsiTheme="minorEastAsia" w:eastAsiaTheme="minorEastAsia"/>
          <w:szCs w:val="21"/>
        </w:rPr>
        <w:t>2019年5月</w:t>
      </w:r>
    </w:p>
    <w:p>
      <w:pPr>
        <w:rPr>
          <w:b/>
          <w:szCs w:val="21"/>
        </w:rPr>
      </w:pPr>
    </w:p>
    <w:p>
      <w:pPr>
        <w:numPr>
          <w:ilvl w:val="0"/>
          <w:numId w:val="16"/>
        </w:numPr>
        <w:tabs>
          <w:tab w:val="left" w:pos="420"/>
        </w:tabs>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rFonts w:hint="eastAsia"/>
          <w:szCs w:val="21"/>
        </w:rPr>
        <w:t>本课程是一门属于电子技术入门性质的学科基础课程，是电子科学与技术专业、</w:t>
      </w:r>
      <w:r>
        <w:rPr>
          <w:rFonts w:hint="eastAsia"/>
          <w:bCs/>
          <w:szCs w:val="21"/>
        </w:rPr>
        <w:t>测控技术与仪器专业</w:t>
      </w:r>
      <w:r>
        <w:rPr>
          <w:rFonts w:hint="eastAsia"/>
          <w:szCs w:val="21"/>
        </w:rPr>
        <w:t>、微电子科学与工程专业培养的电路与系统方向的核心课程，它既有自身的理论体系，又有很强的实践性。本课程的任务</w:t>
      </w:r>
      <w:r>
        <w:rPr>
          <w:rFonts w:hint="eastAsia" w:ascii="宋体" w:hAnsi="宋体" w:cs="宋体"/>
          <w:szCs w:val="24"/>
        </w:rPr>
        <w:t>是使学生获得数字电子技术的基本概念和基本理论，掌握数字电路的分析方法和设计方法。通过该课程的学习使学生掌握</w:t>
      </w:r>
      <w:r>
        <w:rPr>
          <w:rFonts w:hint="eastAsia"/>
          <w:szCs w:val="21"/>
        </w:rPr>
        <w:t>器件的外特性（包括逻辑功能和电气特性）及其应用，使学生能够进行大规模集成器件数字电路的分析和设计。</w:t>
      </w: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p>
      <w:pPr>
        <w:tabs>
          <w:tab w:val="left" w:pos="420"/>
        </w:tabs>
        <w:spacing w:line="360" w:lineRule="auto"/>
        <w:ind w:firstLine="420" w:firstLineChars="200"/>
        <w:rPr>
          <w:color w:val="000000"/>
          <w:szCs w:val="21"/>
        </w:rPr>
      </w:pPr>
      <w:r>
        <w:rPr>
          <w:rFonts w:hint="eastAsia"/>
          <w:color w:val="000000"/>
          <w:szCs w:val="21"/>
        </w:rPr>
        <w:t>模拟电子技术</w:t>
      </w:r>
      <w:r>
        <w:rPr>
          <w:color w:val="000000"/>
          <w:szCs w:val="21"/>
        </w:rPr>
        <w:t>A</w:t>
      </w:r>
      <w:r>
        <w:rPr>
          <w:rFonts w:hint="eastAsia"/>
          <w:color w:val="000000"/>
          <w:szCs w:val="21"/>
        </w:rPr>
        <w:t>电类专业课程目标见表</w:t>
      </w:r>
      <w:r>
        <w:rPr>
          <w:color w:val="000000"/>
          <w:szCs w:val="21"/>
        </w:rPr>
        <w:t>1</w:t>
      </w:r>
      <w:r>
        <w:rPr>
          <w:rFonts w:hint="eastAsia"/>
          <w:color w:val="000000"/>
          <w:szCs w:val="21"/>
        </w:rPr>
        <w:t>。</w:t>
      </w:r>
    </w:p>
    <w:p>
      <w:pPr>
        <w:spacing w:line="360" w:lineRule="auto"/>
        <w:jc w:val="center"/>
        <w:rPr>
          <w:sz w:val="18"/>
          <w:szCs w:val="18"/>
        </w:rPr>
      </w:pPr>
      <w:r>
        <w:rPr>
          <w:rFonts w:hint="eastAsia"/>
          <w:sz w:val="18"/>
          <w:szCs w:val="18"/>
        </w:rPr>
        <w:t>表</w:t>
      </w:r>
      <w:r>
        <w:rPr>
          <w:sz w:val="18"/>
          <w:szCs w:val="18"/>
        </w:rPr>
        <w:t>1</w:t>
      </w:r>
      <w:r>
        <w:rPr>
          <w:rFonts w:hint="eastAsia"/>
          <w:sz w:val="18"/>
          <w:szCs w:val="18"/>
        </w:rPr>
        <w:t>电类专业课程目标支撑毕业要求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4445"/>
        <w:gridCol w:w="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序号</w:t>
            </w:r>
          </w:p>
        </w:tc>
        <w:tc>
          <w:tcPr>
            <w:tcW w:w="26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rFonts w:hint="eastAsia"/>
                <w:sz w:val="18"/>
                <w:szCs w:val="18"/>
              </w:rPr>
              <w:t>课程目标</w:t>
            </w:r>
          </w:p>
        </w:tc>
        <w:tc>
          <w:tcPr>
            <w:tcW w:w="2025" w:type="pct"/>
            <w:tcBorders>
              <w:top w:val="single" w:color="auto" w:sz="4" w:space="0"/>
              <w:left w:val="single" w:color="auto" w:sz="4" w:space="0"/>
              <w:bottom w:val="single" w:color="auto" w:sz="4" w:space="0"/>
              <w:right w:val="nil"/>
            </w:tcBorders>
            <w:vAlign w:val="center"/>
          </w:tcPr>
          <w:p>
            <w:pPr>
              <w:spacing w:line="360" w:lineRule="auto"/>
              <w:jc w:val="center"/>
              <w:rPr>
                <w:sz w:val="18"/>
                <w:szCs w:val="18"/>
              </w:rPr>
            </w:pPr>
            <w:r>
              <w:rPr>
                <w:sz w:val="18"/>
                <w:szCs w:val="18"/>
              </w:rPr>
              <w:t xml:space="preserve"> </w:t>
            </w: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left"/>
              <w:rPr>
                <w:sz w:val="18"/>
                <w:szCs w:val="18"/>
              </w:rPr>
            </w:pPr>
            <w:r>
              <w:rPr>
                <w:sz w:val="18"/>
                <w:szCs w:val="18"/>
              </w:rPr>
              <w:t>1</w:t>
            </w:r>
          </w:p>
        </w:tc>
        <w:tc>
          <w:tcPr>
            <w:tcW w:w="260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left"/>
              <w:rPr>
                <w:sz w:val="18"/>
                <w:szCs w:val="18"/>
              </w:rPr>
            </w:pPr>
            <w:r>
              <w:rPr>
                <w:rFonts w:hint="eastAsia"/>
                <w:sz w:val="18"/>
                <w:szCs w:val="18"/>
              </w:rPr>
              <w:t>能够掌握数字电子技术的特点，建立逻辑代数体系，包括逻辑运算、逻辑代数的公式、逻辑代数的基本规则、实际问题的逻辑抽象；学习基本门、触发器的电路结构和工作原理，门电路的外特性；数字集成电路（如数据选择器、译码器、计数器等）的主要功能；存储器的基本工作原理、分类、特点和容量扩展方法；</w:t>
            </w:r>
            <w:r>
              <w:rPr>
                <w:sz w:val="18"/>
                <w:szCs w:val="18"/>
              </w:rPr>
              <w:t>555</w:t>
            </w:r>
            <w:r>
              <w:rPr>
                <w:rFonts w:hint="eastAsia"/>
                <w:sz w:val="18"/>
                <w:szCs w:val="18"/>
              </w:rPr>
              <w:t>定时器的工作原理及其组成施密特触发器、单稳态触发器和多谐振荡器的方法。</w:t>
            </w:r>
          </w:p>
        </w:tc>
        <w:tc>
          <w:tcPr>
            <w:tcW w:w="2025" w:type="pct"/>
            <w:vMerge w:val="restart"/>
            <w:tcBorders>
              <w:top w:val="single" w:color="auto" w:sz="4" w:space="0"/>
              <w:left w:val="single" w:color="auto" w:sz="4" w:space="0"/>
              <w:bottom w:val="single" w:color="auto" w:sz="4" w:space="0"/>
              <w:right w:val="nil"/>
            </w:tcBorders>
          </w:tcPr>
          <w:p>
            <w:pPr>
              <w:adjustRightInd w:val="0"/>
              <w:snapToGrid w:val="0"/>
              <w:spacing w:line="360" w:lineRule="auto"/>
              <w:jc w:val="left"/>
              <w:rPr>
                <w:sz w:val="18"/>
                <w:szCs w:val="18"/>
              </w:rPr>
            </w:pPr>
            <w:r>
              <w:rPr>
                <w:rFonts w:hint="eastAsia"/>
                <w:b/>
                <w:sz w:val="18"/>
                <w:szCs w:val="18"/>
              </w:rPr>
              <w:t>毕业要求</w:t>
            </w:r>
            <w:r>
              <w:rPr>
                <w:b/>
                <w:sz w:val="18"/>
                <w:szCs w:val="18"/>
              </w:rPr>
              <w:t>1</w:t>
            </w:r>
            <w:r>
              <w:rPr>
                <w:rFonts w:hint="eastAsia"/>
                <w:b/>
                <w:sz w:val="18"/>
                <w:szCs w:val="18"/>
              </w:rPr>
              <w:t>工程知识：</w:t>
            </w:r>
            <w:r>
              <w:rPr>
                <w:rFonts w:hint="eastAsia"/>
                <w:sz w:val="18"/>
                <w:szCs w:val="18"/>
              </w:rPr>
              <w:t>掌握从事电子、仪器类专业工作所需的数学和自然科学知识，掌握本专业工程基础知识和基本理论，并能够将相关知识用于解决与电子信息和仪器类专业相关的复杂工程问题。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left"/>
              <w:rPr>
                <w:sz w:val="18"/>
                <w:szCs w:val="18"/>
              </w:rPr>
            </w:pPr>
            <w:r>
              <w:rPr>
                <w:sz w:val="18"/>
                <w:szCs w:val="18"/>
              </w:rPr>
              <w:t>2</w:t>
            </w:r>
          </w:p>
        </w:tc>
        <w:tc>
          <w:tcPr>
            <w:tcW w:w="260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left"/>
              <w:rPr>
                <w:szCs w:val="21"/>
              </w:rPr>
            </w:pPr>
            <w:r>
              <w:rPr>
                <w:rFonts w:hint="eastAsia"/>
                <w:sz w:val="18"/>
                <w:szCs w:val="18"/>
              </w:rPr>
              <w:t>能够通过所学触发器的动作特点、逻辑功能等进行应用；常用</w:t>
            </w:r>
            <w:r>
              <w:rPr>
                <w:sz w:val="18"/>
                <w:szCs w:val="18"/>
              </w:rPr>
              <w:t>D/A</w:t>
            </w:r>
            <w:r>
              <w:rPr>
                <w:rFonts w:hint="eastAsia"/>
                <w:sz w:val="18"/>
                <w:szCs w:val="18"/>
              </w:rPr>
              <w:t>转换器和</w:t>
            </w:r>
            <w:r>
              <w:rPr>
                <w:sz w:val="18"/>
                <w:szCs w:val="18"/>
              </w:rPr>
              <w:t>A/D</w:t>
            </w:r>
            <w:r>
              <w:rPr>
                <w:rFonts w:hint="eastAsia"/>
                <w:sz w:val="18"/>
                <w:szCs w:val="18"/>
              </w:rPr>
              <w:t>转换器的工作原理、性能指标和使用方法。</w:t>
            </w:r>
          </w:p>
        </w:tc>
        <w:tc>
          <w:tcPr>
            <w:tcW w:w="0" w:type="auto"/>
            <w:vMerge w:val="continue"/>
            <w:tcBorders>
              <w:top w:val="single" w:color="auto" w:sz="4" w:space="0"/>
              <w:left w:val="single" w:color="auto" w:sz="4" w:space="0"/>
              <w:bottom w:val="single" w:color="auto" w:sz="4" w:space="0"/>
              <w:right w:val="nil"/>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left"/>
              <w:rPr>
                <w:sz w:val="18"/>
                <w:szCs w:val="18"/>
              </w:rPr>
            </w:pPr>
            <w:r>
              <w:rPr>
                <w:sz w:val="18"/>
                <w:szCs w:val="18"/>
              </w:rPr>
              <w:t>3</w:t>
            </w:r>
          </w:p>
        </w:tc>
        <w:tc>
          <w:tcPr>
            <w:tcW w:w="260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left"/>
              <w:rPr>
                <w:sz w:val="18"/>
                <w:szCs w:val="18"/>
              </w:rPr>
            </w:pPr>
            <w:r>
              <w:rPr>
                <w:rFonts w:hint="eastAsia"/>
                <w:sz w:val="18"/>
                <w:szCs w:val="18"/>
              </w:rPr>
              <w:t>能够读懂数字集成电路功能表，分析常用组合逻辑电路和时序逻辑电路的逻辑功能；能够利用可编程逻辑器件的基本特征、分类及各种类型的特点，正确理解采用可编程逻辑器件设计数字电路的设计思想和设计流程。</w:t>
            </w:r>
          </w:p>
        </w:tc>
        <w:tc>
          <w:tcPr>
            <w:tcW w:w="2025" w:type="pct"/>
            <w:tcBorders>
              <w:top w:val="single" w:color="auto" w:sz="4" w:space="0"/>
              <w:left w:val="single" w:color="auto" w:sz="4" w:space="0"/>
              <w:bottom w:val="single" w:color="auto" w:sz="4" w:space="0"/>
              <w:right w:val="nil"/>
            </w:tcBorders>
          </w:tcPr>
          <w:p>
            <w:pPr>
              <w:adjustRightInd w:val="0"/>
              <w:snapToGrid w:val="0"/>
              <w:spacing w:line="360" w:lineRule="auto"/>
              <w:jc w:val="left"/>
            </w:pPr>
            <w:r>
              <w:rPr>
                <w:rFonts w:hint="eastAsia"/>
                <w:b/>
                <w:sz w:val="18"/>
                <w:szCs w:val="18"/>
              </w:rPr>
              <w:t>毕业要求</w:t>
            </w:r>
            <w:r>
              <w:rPr>
                <w:b/>
                <w:sz w:val="18"/>
                <w:szCs w:val="18"/>
              </w:rPr>
              <w:t>2</w:t>
            </w:r>
            <w:r>
              <w:rPr>
                <w:rFonts w:hint="eastAsia"/>
                <w:b/>
                <w:sz w:val="18"/>
                <w:szCs w:val="18"/>
              </w:rPr>
              <w:t>问题分析：</w:t>
            </w:r>
            <w:r>
              <w:rPr>
                <w:rFonts w:hint="eastAsia"/>
                <w:sz w:val="18"/>
                <w:szCs w:val="18"/>
              </w:rPr>
              <w:t>能够应用工程所需的数学、自然科学知识和专业基本理论，并通过文献检索、资料查询及运用现代技术获取信息的方法，对电子、微电子或仪器类专业有关的复杂工程问题进行识别、表达和分析，得出有效结论。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left"/>
              <w:rPr>
                <w:sz w:val="18"/>
                <w:szCs w:val="18"/>
              </w:rPr>
            </w:pPr>
            <w:r>
              <w:rPr>
                <w:sz w:val="18"/>
                <w:szCs w:val="18"/>
              </w:rPr>
              <w:t>4</w:t>
            </w:r>
          </w:p>
        </w:tc>
        <w:tc>
          <w:tcPr>
            <w:tcW w:w="2608"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left"/>
              <w:rPr>
                <w:sz w:val="18"/>
                <w:szCs w:val="18"/>
              </w:rPr>
            </w:pPr>
            <w:r>
              <w:rPr>
                <w:rFonts w:hint="eastAsia"/>
                <w:sz w:val="18"/>
                <w:szCs w:val="18"/>
              </w:rPr>
              <w:t>能够采用小规模集成芯片（门电路或触发器）、常用中规模集成芯片（数据选择器、译码器、计数器等）实现常用组合逻辑电路或同步时序逻辑电路。</w:t>
            </w:r>
          </w:p>
        </w:tc>
        <w:tc>
          <w:tcPr>
            <w:tcW w:w="2025" w:type="pct"/>
            <w:tcBorders>
              <w:top w:val="single" w:color="auto" w:sz="4" w:space="0"/>
              <w:left w:val="single" w:color="auto" w:sz="4" w:space="0"/>
              <w:bottom w:val="single" w:color="auto" w:sz="4" w:space="0"/>
              <w:right w:val="nil"/>
            </w:tcBorders>
          </w:tcPr>
          <w:p>
            <w:pPr>
              <w:adjustRightInd w:val="0"/>
              <w:snapToGrid w:val="0"/>
              <w:spacing w:line="360" w:lineRule="auto"/>
              <w:jc w:val="left"/>
            </w:pPr>
            <w:r>
              <w:rPr>
                <w:rFonts w:hint="eastAsia"/>
                <w:b/>
                <w:sz w:val="18"/>
                <w:szCs w:val="18"/>
              </w:rPr>
              <w:t>毕业要求</w:t>
            </w:r>
            <w:r>
              <w:rPr>
                <w:b/>
                <w:sz w:val="18"/>
                <w:szCs w:val="18"/>
              </w:rPr>
              <w:t>2</w:t>
            </w:r>
            <w:r>
              <w:rPr>
                <w:rFonts w:hint="eastAsia"/>
                <w:b/>
                <w:sz w:val="18"/>
                <w:szCs w:val="18"/>
              </w:rPr>
              <w:t>问题分析：</w:t>
            </w:r>
            <w:r>
              <w:rPr>
                <w:rFonts w:hint="eastAsia"/>
                <w:sz w:val="18"/>
                <w:szCs w:val="18"/>
              </w:rPr>
              <w:t>能够应用工程所需的数学、自然科学知识和专业基本理论，并通过文献检索、资料查询及运用现代技术获取信息的方法，对电子、微电子或仪器类专业有关的复杂工程问题进行识别、表达和分析，得出有效结论。</w:t>
            </w:r>
          </w:p>
        </w:tc>
      </w:tr>
    </w:tbl>
    <w:p>
      <w:pPr>
        <w:spacing w:line="360" w:lineRule="auto"/>
        <w:ind w:firstLine="420" w:firstLineChars="200"/>
        <w:rPr>
          <w:szCs w:val="21"/>
        </w:rPr>
      </w:pPr>
      <w:r>
        <w:rPr>
          <w:rFonts w:hint="eastAsia"/>
          <w:color w:val="000000"/>
          <w:szCs w:val="21"/>
        </w:rPr>
        <w:t>根据电气类专业课程目标细化到电子科学与技术、测控技术与仪器、微电子科学与工程专业课程目标分别见表</w:t>
      </w:r>
      <w:r>
        <w:rPr>
          <w:color w:val="000000"/>
          <w:szCs w:val="21"/>
        </w:rPr>
        <w:t>2</w:t>
      </w:r>
      <w:r>
        <w:rPr>
          <w:rFonts w:hint="eastAsia"/>
          <w:color w:val="000000"/>
          <w:szCs w:val="21"/>
        </w:rPr>
        <w:t>、表</w:t>
      </w:r>
      <w:r>
        <w:rPr>
          <w:color w:val="000000"/>
          <w:szCs w:val="21"/>
        </w:rPr>
        <w:t>3</w:t>
      </w:r>
      <w:r>
        <w:rPr>
          <w:rFonts w:hint="eastAsia"/>
          <w:color w:val="000000"/>
          <w:szCs w:val="21"/>
        </w:rPr>
        <w:t>和表</w:t>
      </w:r>
      <w:r>
        <w:rPr>
          <w:color w:val="000000"/>
          <w:szCs w:val="21"/>
        </w:rPr>
        <w:t>4</w:t>
      </w:r>
      <w:r>
        <w:rPr>
          <w:rFonts w:hint="eastAsia"/>
          <w:color w:val="000000"/>
          <w:szCs w:val="21"/>
        </w:rPr>
        <w:t>。</w:t>
      </w:r>
    </w:p>
    <w:p>
      <w:pPr>
        <w:spacing w:line="360" w:lineRule="auto"/>
        <w:jc w:val="center"/>
        <w:rPr>
          <w:sz w:val="18"/>
          <w:szCs w:val="18"/>
        </w:rPr>
      </w:pPr>
      <w:r>
        <w:rPr>
          <w:rFonts w:hint="eastAsia"/>
          <w:sz w:val="18"/>
          <w:szCs w:val="18"/>
        </w:rPr>
        <w:t>表</w:t>
      </w:r>
      <w:r>
        <w:rPr>
          <w:sz w:val="18"/>
          <w:szCs w:val="18"/>
        </w:rPr>
        <w:t xml:space="preserve">2 </w:t>
      </w:r>
      <w:r>
        <w:rPr>
          <w:rFonts w:hint="eastAsia"/>
          <w:sz w:val="18"/>
          <w:szCs w:val="18"/>
        </w:rPr>
        <w:t>课程目标支撑毕业要求（</w:t>
      </w:r>
      <w:r>
        <w:rPr>
          <w:rFonts w:hint="eastAsia"/>
          <w:color w:val="000000"/>
          <w:sz w:val="18"/>
          <w:szCs w:val="18"/>
        </w:rPr>
        <w:t>电子科学与技术</w:t>
      </w:r>
      <w:r>
        <w:rPr>
          <w:rFonts w:hint="eastAsia"/>
          <w:sz w:val="18"/>
          <w:szCs w:val="18"/>
        </w:rPr>
        <w:t>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4587"/>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序号</w:t>
            </w:r>
          </w:p>
        </w:tc>
        <w:tc>
          <w:tcPr>
            <w:tcW w:w="269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rFonts w:hint="eastAsia"/>
                <w:sz w:val="18"/>
                <w:szCs w:val="18"/>
              </w:rPr>
              <w:t>课程目标</w:t>
            </w:r>
          </w:p>
        </w:tc>
        <w:tc>
          <w:tcPr>
            <w:tcW w:w="1943" w:type="pct"/>
            <w:tcBorders>
              <w:top w:val="single" w:color="auto" w:sz="4" w:space="0"/>
              <w:left w:val="single" w:color="auto" w:sz="4" w:space="0"/>
              <w:bottom w:val="single" w:color="auto" w:sz="4" w:space="0"/>
              <w:right w:val="nil"/>
            </w:tcBorders>
            <w:vAlign w:val="center"/>
          </w:tcPr>
          <w:p>
            <w:pPr>
              <w:spacing w:line="360" w:lineRule="auto"/>
              <w:jc w:val="center"/>
              <w:rPr>
                <w:sz w:val="18"/>
                <w:szCs w:val="18"/>
              </w:rPr>
            </w:pPr>
            <w:r>
              <w:rPr>
                <w:sz w:val="18"/>
                <w:szCs w:val="18"/>
              </w:rPr>
              <w:t xml:space="preserve"> </w:t>
            </w: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掌握数字电子技术的特点，建立逻辑代数体系，包括逻辑运算、逻辑代数的公式、逻辑代数的基本规则、实际问题的逻辑抽象；学习基本门、触发器的电路结构和工作原理，门电路的外特性；数字集成电路（如数据选择器、译码器、计数器等）的主要功能；存储器的基本工作原理、分类、特点和容量扩展方法；</w:t>
            </w:r>
            <w:r>
              <w:rPr>
                <w:sz w:val="18"/>
                <w:szCs w:val="18"/>
              </w:rPr>
              <w:t>555</w:t>
            </w:r>
            <w:r>
              <w:rPr>
                <w:rFonts w:hint="eastAsia"/>
                <w:sz w:val="18"/>
                <w:szCs w:val="18"/>
              </w:rPr>
              <w:t>定时器的工作原理及其组成施密特触发器、单稳态触发器和多谐振荡器的方法。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1-1 </w:t>
            </w:r>
            <w:r>
              <w:rPr>
                <w:rFonts w:hint="eastAsia"/>
                <w:b/>
                <w:sz w:val="18"/>
                <w:szCs w:val="18"/>
              </w:rPr>
              <w:t>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Cs w:val="21"/>
              </w:rPr>
            </w:pPr>
            <w:r>
              <w:rPr>
                <w:rFonts w:hint="eastAsia"/>
                <w:sz w:val="18"/>
                <w:szCs w:val="18"/>
              </w:rPr>
              <w:t>能够通过所学触发器的动作特点、逻辑功能等进行应用；常用</w:t>
            </w:r>
            <w:r>
              <w:rPr>
                <w:sz w:val="18"/>
                <w:szCs w:val="18"/>
              </w:rPr>
              <w:t>D/A</w:t>
            </w:r>
            <w:r>
              <w:rPr>
                <w:rFonts w:hint="eastAsia"/>
                <w:sz w:val="18"/>
                <w:szCs w:val="18"/>
              </w:rPr>
              <w:t>转换器和</w:t>
            </w:r>
            <w:r>
              <w:rPr>
                <w:sz w:val="18"/>
                <w:szCs w:val="18"/>
              </w:rPr>
              <w:t>A/D</w:t>
            </w:r>
            <w:r>
              <w:rPr>
                <w:rFonts w:hint="eastAsia"/>
                <w:sz w:val="18"/>
                <w:szCs w:val="18"/>
              </w:rPr>
              <w:t>转换器的工作原理、性能指标和使用方法。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1-2 </w:t>
            </w:r>
            <w:r>
              <w:rPr>
                <w:rFonts w:hint="eastAsia"/>
                <w:b/>
                <w:sz w:val="18"/>
                <w:szCs w:val="18"/>
              </w:rPr>
              <w:t>知识运用能力：</w:t>
            </w:r>
            <w:r>
              <w:rPr>
                <w:rFonts w:hint="eastAsia"/>
                <w:sz w:val="18"/>
                <w:szCs w:val="18"/>
              </w:rPr>
              <w:t>能将基础知识恰当地运用到电子科学与技术专业电路系统、物联网及现场总线等复杂工程问题的解决中。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读懂数字集成电路功能表，分析常用组合逻辑电路和时序逻辑电路的逻辑功能；能够利用可编程逻辑器件的基本特征、分类及各种类型的特点，正确理解采用可编程逻辑器件设计数字电路的设计思想和设计流程。</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2-1 </w:t>
            </w:r>
            <w:r>
              <w:rPr>
                <w:rFonts w:hint="eastAsia"/>
                <w:b/>
                <w:sz w:val="18"/>
                <w:szCs w:val="18"/>
              </w:rPr>
              <w:t>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能够采用小规模集成芯片（门电路或触发器）、常用中规模集成芯片（数据选择器、译码器、计数器等）实现常用组合逻辑电路或同步时序逻辑电路。</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2-2 </w:t>
            </w:r>
            <w:r>
              <w:rPr>
                <w:rFonts w:hint="eastAsia"/>
                <w:b/>
                <w:sz w:val="18"/>
                <w:szCs w:val="18"/>
              </w:rPr>
              <w:t>问题表达：</w:t>
            </w:r>
            <w:r>
              <w:rPr>
                <w:rFonts w:hint="eastAsia"/>
                <w:sz w:val="18"/>
                <w:szCs w:val="18"/>
              </w:rPr>
              <w:t>能够应用科学原理对本专业复杂工程问题的识别结果进行有效表达，将工程问题转化为技术问题。</w:t>
            </w:r>
          </w:p>
        </w:tc>
      </w:tr>
    </w:tbl>
    <w:p>
      <w:pPr>
        <w:spacing w:line="360" w:lineRule="auto"/>
        <w:rPr>
          <w:szCs w:val="21"/>
        </w:rPr>
      </w:pPr>
    </w:p>
    <w:p>
      <w:pPr>
        <w:spacing w:line="360" w:lineRule="auto"/>
        <w:jc w:val="center"/>
        <w:rPr>
          <w:sz w:val="18"/>
          <w:szCs w:val="18"/>
        </w:rPr>
      </w:pPr>
      <w:r>
        <w:rPr>
          <w:rFonts w:hint="eastAsia"/>
          <w:sz w:val="18"/>
          <w:szCs w:val="18"/>
        </w:rPr>
        <w:t>表</w:t>
      </w:r>
      <w:r>
        <w:rPr>
          <w:sz w:val="18"/>
          <w:szCs w:val="18"/>
        </w:rPr>
        <w:t xml:space="preserve">3 </w:t>
      </w:r>
      <w:r>
        <w:rPr>
          <w:rFonts w:hint="eastAsia"/>
          <w:sz w:val="18"/>
          <w:szCs w:val="18"/>
        </w:rPr>
        <w:t>课程目标支撑毕业要求（测控技术与仪器专业）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4587"/>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序号</w:t>
            </w:r>
          </w:p>
        </w:tc>
        <w:tc>
          <w:tcPr>
            <w:tcW w:w="269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rFonts w:hint="eastAsia"/>
                <w:sz w:val="18"/>
                <w:szCs w:val="18"/>
              </w:rPr>
              <w:t>课程目标</w:t>
            </w:r>
          </w:p>
        </w:tc>
        <w:tc>
          <w:tcPr>
            <w:tcW w:w="1943" w:type="pct"/>
            <w:tcBorders>
              <w:top w:val="single" w:color="auto" w:sz="4" w:space="0"/>
              <w:left w:val="single" w:color="auto" w:sz="4" w:space="0"/>
              <w:bottom w:val="single" w:color="auto" w:sz="4" w:space="0"/>
              <w:right w:val="nil"/>
            </w:tcBorders>
            <w:vAlign w:val="center"/>
          </w:tcPr>
          <w:p>
            <w:pPr>
              <w:spacing w:line="360" w:lineRule="auto"/>
              <w:jc w:val="center"/>
              <w:rPr>
                <w:sz w:val="18"/>
                <w:szCs w:val="18"/>
              </w:rPr>
            </w:pPr>
            <w:r>
              <w:rPr>
                <w:sz w:val="18"/>
                <w:szCs w:val="18"/>
              </w:rPr>
              <w:t xml:space="preserve"> </w:t>
            </w: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掌握数字电子技术的特点，建立逻辑代数体系，包括逻辑运算、逻辑代数的公式、逻辑代数的基本规则、实际问题的逻辑抽象；学习基本门、触发器的电路结构和工作原理，门电路的外特性；数字集成电路（如数据选择器、译码器、计数器等）的主要功能；存储器的基本工作原理、分类、特点和容量扩展方法；</w:t>
            </w:r>
            <w:r>
              <w:rPr>
                <w:sz w:val="18"/>
                <w:szCs w:val="18"/>
              </w:rPr>
              <w:t>555</w:t>
            </w:r>
            <w:r>
              <w:rPr>
                <w:rFonts w:hint="eastAsia"/>
                <w:sz w:val="18"/>
                <w:szCs w:val="18"/>
              </w:rPr>
              <w:t>定时器的工作原理及其组成施密特触发器、单稳态触发器和多谐振荡器的方法。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1-1 </w:t>
            </w:r>
            <w:r>
              <w:rPr>
                <w:rFonts w:hint="eastAsia"/>
                <w:b/>
                <w:sz w:val="18"/>
                <w:szCs w:val="18"/>
              </w:rPr>
              <w:t>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Cs w:val="21"/>
              </w:rPr>
            </w:pPr>
            <w:r>
              <w:rPr>
                <w:rFonts w:hint="eastAsia"/>
                <w:sz w:val="18"/>
                <w:szCs w:val="18"/>
              </w:rPr>
              <w:t>能够通过所学触发器的动作特点、逻辑功能等进行应用；常用</w:t>
            </w:r>
            <w:r>
              <w:rPr>
                <w:sz w:val="18"/>
                <w:szCs w:val="18"/>
              </w:rPr>
              <w:t>D/A</w:t>
            </w:r>
            <w:r>
              <w:rPr>
                <w:rFonts w:hint="eastAsia"/>
                <w:sz w:val="18"/>
                <w:szCs w:val="18"/>
              </w:rPr>
              <w:t>转换器和</w:t>
            </w:r>
            <w:r>
              <w:rPr>
                <w:sz w:val="18"/>
                <w:szCs w:val="18"/>
              </w:rPr>
              <w:t>A/D</w:t>
            </w:r>
            <w:r>
              <w:rPr>
                <w:rFonts w:hint="eastAsia"/>
                <w:sz w:val="18"/>
                <w:szCs w:val="18"/>
              </w:rPr>
              <w:t>转换器的工作原理、性能指标和使用方法。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1-2 </w:t>
            </w:r>
            <w:r>
              <w:rPr>
                <w:rFonts w:hint="eastAsia"/>
                <w:b/>
                <w:sz w:val="18"/>
                <w:szCs w:val="18"/>
              </w:rPr>
              <w:t>知识运用能力：</w:t>
            </w:r>
            <w:r>
              <w:rPr>
                <w:rFonts w:hint="eastAsia"/>
                <w:sz w:val="18"/>
                <w:szCs w:val="18"/>
              </w:rPr>
              <w:t>能将基础知识恰当地运用到测控技术与仪器专业电路系统、物联网及现场总线等复杂工程问题的解决中。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读懂数字集成电路功能表，分析常用组合逻辑电路和时序逻辑电路的逻辑功能；能够利用可编程逻辑器件的基本特征、分类及各种类型的特点，正确理解采用可编程逻辑器件设计数字电路的设计思想和设计流程。</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2-1 </w:t>
            </w:r>
            <w:r>
              <w:rPr>
                <w:rFonts w:hint="eastAsia"/>
                <w:b/>
                <w:sz w:val="18"/>
                <w:szCs w:val="18"/>
              </w:rPr>
              <w:t>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69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能够采用小规模集成芯片（门电路或触发器）、常用中规模集成芯片（数据选择器、译码器、计数器等）实现常用组合逻辑电路或同步时序逻辑电路。</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2-2 </w:t>
            </w:r>
            <w:r>
              <w:rPr>
                <w:rFonts w:hint="eastAsia"/>
                <w:b/>
                <w:sz w:val="18"/>
                <w:szCs w:val="18"/>
              </w:rPr>
              <w:t>问题表达：</w:t>
            </w:r>
            <w:r>
              <w:rPr>
                <w:rFonts w:hint="eastAsia"/>
                <w:sz w:val="18"/>
                <w:szCs w:val="18"/>
              </w:rPr>
              <w:t>能够应用科学原理对本专业复杂工程问题的识别结果进行有效表达，将工程问题转化为技术问题。</w:t>
            </w:r>
          </w:p>
        </w:tc>
      </w:tr>
    </w:tbl>
    <w:p>
      <w:pPr>
        <w:spacing w:line="360" w:lineRule="auto"/>
        <w:rPr>
          <w:szCs w:val="21"/>
        </w:rPr>
      </w:pPr>
    </w:p>
    <w:p>
      <w:pPr>
        <w:spacing w:line="360" w:lineRule="auto"/>
        <w:jc w:val="center"/>
        <w:rPr>
          <w:sz w:val="18"/>
          <w:szCs w:val="18"/>
        </w:rPr>
      </w:pPr>
      <w:r>
        <w:rPr>
          <w:rFonts w:hint="eastAsia"/>
          <w:sz w:val="18"/>
          <w:szCs w:val="18"/>
        </w:rPr>
        <w:t>表</w:t>
      </w:r>
      <w:r>
        <w:rPr>
          <w:sz w:val="18"/>
          <w:szCs w:val="18"/>
        </w:rPr>
        <w:t xml:space="preserve">4 </w:t>
      </w:r>
      <w:r>
        <w:rPr>
          <w:rFonts w:hint="eastAsia"/>
          <w:sz w:val="18"/>
          <w:szCs w:val="18"/>
        </w:rPr>
        <w:t>课程目标支撑毕业要求（微电子科学与工程专业）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4585"/>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序号</w:t>
            </w:r>
          </w:p>
        </w:tc>
        <w:tc>
          <w:tcPr>
            <w:tcW w:w="26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rFonts w:hint="eastAsia"/>
                <w:sz w:val="18"/>
                <w:szCs w:val="18"/>
              </w:rPr>
              <w:t>课程目标</w:t>
            </w:r>
          </w:p>
        </w:tc>
        <w:tc>
          <w:tcPr>
            <w:tcW w:w="1943" w:type="pct"/>
            <w:tcBorders>
              <w:top w:val="single" w:color="auto" w:sz="4" w:space="0"/>
              <w:left w:val="single" w:color="auto" w:sz="4" w:space="0"/>
              <w:bottom w:val="single" w:color="auto" w:sz="4" w:space="0"/>
              <w:right w:val="nil"/>
            </w:tcBorders>
            <w:vAlign w:val="center"/>
          </w:tcPr>
          <w:p>
            <w:pPr>
              <w:spacing w:line="360" w:lineRule="auto"/>
              <w:jc w:val="center"/>
              <w:rPr>
                <w:sz w:val="18"/>
                <w:szCs w:val="18"/>
              </w:rPr>
            </w:pPr>
            <w:r>
              <w:rPr>
                <w:sz w:val="18"/>
                <w:szCs w:val="18"/>
              </w:rPr>
              <w:t xml:space="preserve"> </w:t>
            </w: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690"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掌握数字电子技术的特点，建立逻辑代数体系，包括逻辑运算、逻辑代数的公式、逻辑代数的基本规则、实际问题的逻辑抽象；学习基本门、触发器的电路结构和工作原理，门电路的外特性；数字集成电路（如数据选择器、译码器、计数器等）的主要功能；存储器的基本工作原理、分类、特点和容量扩展方法；</w:t>
            </w:r>
            <w:r>
              <w:rPr>
                <w:sz w:val="18"/>
                <w:szCs w:val="18"/>
              </w:rPr>
              <w:t>555</w:t>
            </w:r>
            <w:r>
              <w:rPr>
                <w:rFonts w:hint="eastAsia"/>
                <w:sz w:val="18"/>
                <w:szCs w:val="18"/>
              </w:rPr>
              <w:t>定时器的工作原理及其组成施密特触发器、单稳态触发器和多谐振荡器的方法。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1-1 </w:t>
            </w:r>
            <w:r>
              <w:rPr>
                <w:rFonts w:hint="eastAsia"/>
                <w:b/>
                <w:sz w:val="18"/>
                <w:szCs w:val="18"/>
              </w:rPr>
              <w:t>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690"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Cs w:val="21"/>
              </w:rPr>
            </w:pPr>
            <w:r>
              <w:rPr>
                <w:rFonts w:hint="eastAsia"/>
                <w:sz w:val="18"/>
                <w:szCs w:val="18"/>
              </w:rPr>
              <w:t>能够通过所学触发器的动作特点、逻辑功能等进行应用；常用</w:t>
            </w:r>
            <w:r>
              <w:rPr>
                <w:sz w:val="18"/>
                <w:szCs w:val="18"/>
              </w:rPr>
              <w:t>D/A</w:t>
            </w:r>
            <w:r>
              <w:rPr>
                <w:rFonts w:hint="eastAsia"/>
                <w:sz w:val="18"/>
                <w:szCs w:val="18"/>
              </w:rPr>
              <w:t>转换器和</w:t>
            </w:r>
            <w:r>
              <w:rPr>
                <w:sz w:val="18"/>
                <w:szCs w:val="18"/>
              </w:rPr>
              <w:t>A/D</w:t>
            </w:r>
            <w:r>
              <w:rPr>
                <w:rFonts w:hint="eastAsia"/>
                <w:sz w:val="18"/>
                <w:szCs w:val="18"/>
              </w:rPr>
              <w:t>转换器的工作原理、性能指标和使用方法。</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1-2 </w:t>
            </w:r>
            <w:r>
              <w:rPr>
                <w:rFonts w:hint="eastAsia"/>
                <w:b/>
                <w:sz w:val="18"/>
                <w:szCs w:val="18"/>
              </w:rPr>
              <w:t>知识运用能力：</w:t>
            </w:r>
            <w:r>
              <w:rPr>
                <w:rFonts w:hint="eastAsia"/>
                <w:sz w:val="18"/>
                <w:szCs w:val="18"/>
              </w:rPr>
              <w:t>能将基础知识恰当地运用到微电子科学与工程专业电路系统、物联网及现场总线等复杂工程问题的解决中。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690"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读懂数字集成电路功能表，分析常用组合逻辑电路和时序逻辑电路的逻辑功能；能够利用可编程逻辑器件的基本特征、分类及各种类型的特点，正确理解采用可编程逻辑器件设计数字电路的设计思想和设计流程。</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2-1 </w:t>
            </w:r>
            <w:r>
              <w:rPr>
                <w:rFonts w:hint="eastAsia"/>
                <w:b/>
                <w:sz w:val="18"/>
                <w:szCs w:val="18"/>
              </w:rPr>
              <w:t>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690"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sz w:val="18"/>
                <w:szCs w:val="18"/>
              </w:rPr>
              <w:t>能够采用小规模集成芯片（门电路或触发器）、常用中规模集成芯片（数据选择器、译码器、计数器等）实现常用组合逻辑电路或同步时序逻辑电路。</w:t>
            </w:r>
          </w:p>
        </w:tc>
        <w:tc>
          <w:tcPr>
            <w:tcW w:w="1943"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2-2 </w:t>
            </w:r>
            <w:r>
              <w:rPr>
                <w:rFonts w:hint="eastAsia"/>
                <w:b/>
                <w:sz w:val="18"/>
                <w:szCs w:val="18"/>
              </w:rPr>
              <w:t>问题表达：</w:t>
            </w:r>
            <w:r>
              <w:rPr>
                <w:rFonts w:hint="eastAsia"/>
                <w:sz w:val="18"/>
                <w:szCs w:val="18"/>
              </w:rPr>
              <w:t>能够应用科学原理对本专业复杂工程问题的识别结果进行有效表达，将工程问题转化为技术问题。</w:t>
            </w:r>
          </w:p>
        </w:tc>
      </w:tr>
    </w:tbl>
    <w:p>
      <w:pPr>
        <w:spacing w:line="360" w:lineRule="auto"/>
        <w:rPr>
          <w:szCs w:val="21"/>
        </w:rPr>
      </w:pPr>
    </w:p>
    <w:p>
      <w:pPr>
        <w:tabs>
          <w:tab w:val="left" w:pos="420"/>
        </w:tabs>
        <w:spacing w:line="360" w:lineRule="auto"/>
        <w:ind w:hanging="420"/>
        <w:rPr>
          <w:rFonts w:eastAsia="黑体"/>
          <w:szCs w:val="21"/>
        </w:rPr>
      </w:pPr>
      <w:r>
        <w:rPr>
          <w:rFonts w:hint="eastAsia" w:eastAsia="黑体"/>
          <w:szCs w:val="21"/>
        </w:rPr>
        <w:t>三、</w:t>
      </w:r>
      <w:r>
        <w:rPr>
          <w:rFonts w:eastAsia="黑体"/>
          <w:szCs w:val="21"/>
        </w:rPr>
        <w:t xml:space="preserve"> </w:t>
      </w:r>
      <w:r>
        <w:rPr>
          <w:rFonts w:hint="eastAsia" w:eastAsia="黑体"/>
          <w:szCs w:val="21"/>
        </w:rPr>
        <w:t>基本要求</w:t>
      </w:r>
    </w:p>
    <w:p>
      <w:pPr>
        <w:spacing w:line="360" w:lineRule="auto"/>
        <w:ind w:firstLine="420" w:firstLineChars="200"/>
        <w:rPr>
          <w:szCs w:val="21"/>
        </w:rPr>
      </w:pPr>
      <w:r>
        <w:rPr>
          <w:szCs w:val="21"/>
        </w:rPr>
        <w:t>1</w:t>
      </w:r>
      <w:r>
        <w:rPr>
          <w:rFonts w:hint="eastAsia"/>
          <w:szCs w:val="21"/>
        </w:rPr>
        <w:t>、本课程为专业基础课，要求先修</w:t>
      </w:r>
      <w:r>
        <w:rPr>
          <w:rFonts w:hint="eastAsia" w:asciiTheme="minorEastAsia" w:hAnsiTheme="minorEastAsia"/>
          <w:szCs w:val="21"/>
        </w:rPr>
        <w:t>模拟电子技术</w:t>
      </w:r>
      <w:r>
        <w:rPr>
          <w:rFonts w:hint="eastAsia"/>
          <w:szCs w:val="21"/>
        </w:rPr>
        <w:t>课程，</w:t>
      </w:r>
      <w:r>
        <w:rPr>
          <w:rFonts w:hint="eastAsia"/>
          <w:color w:val="000000" w:themeColor="text1"/>
          <w:szCs w:val="21"/>
          <w14:textFill>
            <w14:solidFill>
              <w14:schemeClr w14:val="tx1"/>
            </w14:solidFill>
          </w14:textFill>
        </w:rPr>
        <w:t>如果先上数字电子技术，需要增加半导体二极管、三极管和理想运算放大器的基本知识</w:t>
      </w:r>
      <w:r>
        <w:rPr>
          <w:rFonts w:hint="eastAsia" w:ascii="宋体" w:hAnsi="宋体" w:cs="宋体"/>
          <w:color w:val="000000" w:themeColor="text1"/>
          <w:spacing w:val="6"/>
          <w:szCs w:val="289"/>
          <w:shd w:val="clear" w:color="auto" w:fill="FFFFFF"/>
          <w14:textFill>
            <w14:solidFill>
              <w14:schemeClr w14:val="tx1"/>
            </w14:solidFill>
          </w14:textFill>
        </w:rPr>
        <w:t>。</w:t>
      </w:r>
    </w:p>
    <w:p>
      <w:pPr>
        <w:numPr>
          <w:ilvl w:val="0"/>
          <w:numId w:val="17"/>
        </w:num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本课程是一门实践性很强的课程，实验单独设课。要求学生通过实验环节</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把所学的内容巩固和掌握，教学和实验需交替进行。</w:t>
      </w:r>
    </w:p>
    <w:p>
      <w:pPr>
        <w:spacing w:line="360" w:lineRule="auto"/>
        <w:ind w:firstLine="420" w:firstLineChars="200"/>
        <w:rPr>
          <w:color w:val="FF0000"/>
          <w:szCs w:val="21"/>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、在教学中针对集成器件，要注意</w:t>
      </w:r>
      <w:r>
        <w:rPr>
          <w:rFonts w:hint="eastAsia" w:ascii="宋体" w:hAnsi="宋体" w:cs="宋体"/>
          <w:color w:val="000000"/>
          <w:szCs w:val="21"/>
          <w:shd w:val="clear" w:color="auto" w:fill="FFFFFF"/>
        </w:rPr>
        <w:t>淡化电路的内部结构，强调电路的外部特性</w:t>
      </w:r>
      <w:r>
        <w:rPr>
          <w:rFonts w:hint="eastAsia" w:ascii="宋体" w:hAnsi="宋体" w:cs="宋体"/>
          <w:color w:val="000000"/>
          <w:sz w:val="18"/>
          <w:szCs w:val="18"/>
          <w:shd w:val="clear" w:color="auto" w:fill="FFFFFF"/>
        </w:rPr>
        <w:t>，</w:t>
      </w:r>
      <w:r>
        <w:rPr>
          <w:rFonts w:hint="eastAsia"/>
          <w:color w:val="000000" w:themeColor="text1"/>
          <w:szCs w:val="21"/>
          <w14:textFill>
            <w14:solidFill>
              <w14:schemeClr w14:val="tx1"/>
            </w14:solidFill>
          </w14:textFill>
        </w:rPr>
        <w:t>使学生具有常见数字电路的分析能力，</w:t>
      </w:r>
      <w:r>
        <w:rPr>
          <w:rFonts w:hint="eastAsia" w:ascii="宋体" w:hAnsi="宋体" w:cs="宋体"/>
          <w:color w:val="000000" w:themeColor="text1"/>
          <w:szCs w:val="27"/>
          <w14:textFill>
            <w14:solidFill>
              <w14:schemeClr w14:val="tx1"/>
            </w14:solidFill>
          </w14:textFill>
        </w:rPr>
        <w:t>能正确分析数字电路的逻辑功能。</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、在教学中应结合实验教学，培养学生灵活运用知识的能力，使学生掌握组合逻辑电路或同步时序逻辑电路</w:t>
      </w:r>
      <w:r>
        <w:rPr>
          <w:rFonts w:hint="eastAsia" w:ascii="宋体" w:hAnsi="宋体" w:cs="宋体"/>
          <w:color w:val="000000" w:themeColor="text1"/>
          <w:szCs w:val="27"/>
          <w14:textFill>
            <w14:solidFill>
              <w14:schemeClr w14:val="tx1"/>
            </w14:solidFill>
          </w14:textFill>
        </w:rPr>
        <w:t>的设计方法。</w:t>
      </w:r>
    </w:p>
    <w:p>
      <w:pPr>
        <w:pStyle w:val="19"/>
        <w:spacing w:before="0" w:beforeAutospacing="0" w:after="0" w:afterAutospacing="0" w:line="360" w:lineRule="auto"/>
        <w:ind w:firstLine="465"/>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w:t>
      </w:r>
      <w:r>
        <w:rPr>
          <w:rFonts w:hint="eastAsia"/>
          <w:sz w:val="21"/>
          <w:szCs w:val="21"/>
        </w:rPr>
        <w:t>利用</w:t>
      </w:r>
      <w:r>
        <w:rPr>
          <w:sz w:val="21"/>
          <w:szCs w:val="21"/>
        </w:rPr>
        <w:t>EDA</w:t>
      </w:r>
      <w:r>
        <w:rPr>
          <w:rFonts w:hint="eastAsia"/>
          <w:sz w:val="21"/>
          <w:szCs w:val="21"/>
        </w:rPr>
        <w:t>仿真进行学习，</w:t>
      </w:r>
      <w:r>
        <w:rPr>
          <w:rFonts w:hint="eastAsia"/>
          <w:color w:val="000000" w:themeColor="text1"/>
          <w:sz w:val="21"/>
          <w:szCs w:val="21"/>
          <w14:textFill>
            <w14:solidFill>
              <w14:schemeClr w14:val="tx1"/>
            </w14:solidFill>
          </w14:textFill>
        </w:rPr>
        <w:t>可以更好地理解数字电路的基本概念、基本理论和基本分析和设计方法。</w:t>
      </w:r>
    </w:p>
    <w:p>
      <w:pPr>
        <w:pStyle w:val="19"/>
        <w:spacing w:before="0" w:beforeAutospacing="0" w:after="0" w:afterAutospacing="0" w:line="360" w:lineRule="auto"/>
        <w:ind w:firstLine="465"/>
        <w:jc w:val="both"/>
        <w:rPr>
          <w:color w:val="FF0000"/>
          <w:szCs w:val="21"/>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、为适应电子技术的发展，学生需具有能够继续深入学习和接受电子技术新发展的能力。</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深度和广度说明：器件内部结构了解即可，器件的外特性（包括逻辑功能和电气特性）及其应用是重点。弱化分立器件、门电路和触发器级电路的分析和设计，强化基于中大规模集成器件数字电路的分析和设计方法，强化内容教师要重点讲授以使学生完全掌握。</w:t>
      </w:r>
    </w:p>
    <w:p>
      <w:pPr>
        <w:spacing w:line="360" w:lineRule="auto"/>
        <w:ind w:firstLine="420" w:firstLineChars="200"/>
        <w:rPr>
          <w:color w:val="FF0000"/>
          <w:szCs w:val="21"/>
        </w:rPr>
      </w:pP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、偏差说明：为了鼓励教师引入个人授课风格或者适应技术发展的紧迫性，本课程允许教师授课内容做适当调整，最大正偏差为</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，不允许负偏差。正偏差通过压缩同等内容的学时数来完成。特殊情况，最大正偏差和置换偏差累计可达到</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，但在开课前要申</w:t>
      </w:r>
      <w:r>
        <w:rPr>
          <w:rFonts w:hint="eastAsia"/>
          <w:szCs w:val="21"/>
        </w:rPr>
        <w:t>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rFonts w:ascii="黑体" w:hAnsi="黑体" w:eastAsia="黑体"/>
          <w:color w:val="0000FF"/>
          <w:szCs w:val="21"/>
        </w:rPr>
      </w:pPr>
      <w:r>
        <w:rPr>
          <w:rFonts w:hint="eastAsia" w:ascii="宋体" w:hAnsi="宋体" w:cs="宋体"/>
          <w:color w:val="000000" w:themeColor="text1"/>
          <w:szCs w:val="27"/>
          <w14:textFill>
            <w14:solidFill>
              <w14:schemeClr w14:val="tx1"/>
            </w14:solidFill>
          </w14:textFill>
        </w:rPr>
        <w:t>本课程重点讲授的内容包括：</w:t>
      </w:r>
      <w:r>
        <w:rPr>
          <w:rFonts w:hint="eastAsia"/>
        </w:rPr>
        <w:t>逻辑代数的逻辑运算、公式及规则，逻辑函数的代数化简法和卡诺图化简法</w:t>
      </w:r>
      <w:r>
        <w:rPr>
          <w:rFonts w:hint="eastAsia" w:ascii="宋体" w:hAnsi="宋体" w:cs="宋体"/>
          <w:color w:val="000000" w:themeColor="text1"/>
          <w:szCs w:val="27"/>
          <w14:textFill>
            <w14:solidFill>
              <w14:schemeClr w14:val="tx1"/>
            </w14:solidFill>
          </w14:textFill>
        </w:rPr>
        <w:t>；</w:t>
      </w:r>
      <w:r>
        <w:t>TTL</w:t>
      </w:r>
      <w:r>
        <w:rPr>
          <w:rFonts w:hint="eastAsia"/>
        </w:rPr>
        <w:t>和</w:t>
      </w:r>
      <w:r>
        <w:t>CMOS</w:t>
      </w:r>
      <w:r>
        <w:rPr>
          <w:rFonts w:hint="eastAsia"/>
        </w:rPr>
        <w:t>逻辑门电路的外特性、参数及使用方法；组合逻辑电路的分析和设计方法；中规模组合逻辑器件</w:t>
      </w:r>
      <w:r>
        <w:rPr>
          <w:rFonts w:hint="eastAsia" w:ascii="宋体"/>
        </w:rPr>
        <w:t>(</w:t>
      </w:r>
      <w:r>
        <w:rPr>
          <w:rFonts w:hint="eastAsia"/>
        </w:rPr>
        <w:t>译码器、数据选择器、加法器等</w:t>
      </w:r>
      <w:r>
        <w:rPr>
          <w:rFonts w:hint="eastAsia" w:ascii="宋体"/>
        </w:rPr>
        <w:t>)</w:t>
      </w:r>
      <w:r>
        <w:rPr>
          <w:rFonts w:hint="eastAsia"/>
        </w:rPr>
        <w:t>的逻辑功能及应用；各种触发器的逻辑功能、触发方式和正确运用；同步时序逻辑电路的一般分析和设计方法；几种常用</w:t>
      </w:r>
      <w:r>
        <w:t>MSI</w:t>
      </w:r>
      <w:r>
        <w:rPr>
          <w:rFonts w:hint="eastAsia"/>
        </w:rPr>
        <w:t>器件为组件的时序逻辑电路分析及设计；</w:t>
      </w:r>
      <w:r>
        <w:t>555</w:t>
      </w:r>
      <w:r>
        <w:rPr>
          <w:rFonts w:hint="eastAsia"/>
        </w:rPr>
        <w:t>定时器工作原理及其应用；各类存储器的特点；存储器容量扩展；可编程逻辑器件的电路表示方法、特点和应用；</w:t>
      </w:r>
      <w:r>
        <w:t>D/A</w:t>
      </w:r>
      <w:r>
        <w:rPr>
          <w:rFonts w:hint="eastAsia"/>
        </w:rPr>
        <w:t>转换器和</w:t>
      </w:r>
      <w:r>
        <w:t>A/D</w:t>
      </w:r>
      <w:r>
        <w:rPr>
          <w:rFonts w:hint="eastAsia"/>
        </w:rPr>
        <w:t>转换器的基本概念、工作原理及典型电路主要性能指标和使用方法。</w:t>
      </w:r>
    </w:p>
    <w:p>
      <w:pPr>
        <w:spacing w:line="360" w:lineRule="auto"/>
        <w:ind w:firstLine="420" w:firstLineChars="200"/>
        <w:rPr>
          <w:szCs w:val="21"/>
        </w:rPr>
      </w:pPr>
      <w:r>
        <w:rPr>
          <w:rFonts w:hint="eastAsia"/>
          <w:szCs w:val="21"/>
        </w:rPr>
        <w:t>本课程在教学方法上，充分利用各种媒体教学手段，采取课堂教学、多媒体课件、课后讨论等方式有机结合，提高教学效率。</w:t>
      </w:r>
    </w:p>
    <w:p>
      <w:pPr>
        <w:pStyle w:val="19"/>
        <w:spacing w:before="0" w:beforeAutospacing="0" w:after="0" w:afterAutospacing="0" w:line="360" w:lineRule="auto"/>
        <w:ind w:firstLine="42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教学中引入了部分新概念、新技术、新器件及其电路，在介绍分析、设计方法时，增加了较多的应用实例。由于数字电子技术的应用领域及其广阔，具体的应用电路更是层出不穷，所以教学的重点始终应该放在数字电路的基本概念、基本原理、基本的分析方法和设计方法以及常用电子器件的使用方法上。</w:t>
      </w:r>
    </w:p>
    <w:p>
      <w:pPr>
        <w:autoSpaceDE w:val="0"/>
        <w:autoSpaceDN w:val="0"/>
        <w:adjustRightInd w:val="0"/>
        <w:spacing w:line="360" w:lineRule="auto"/>
        <w:ind w:left="441"/>
        <w:rPr>
          <w:rFonts w:ascii="黑体" w:hAnsi="黑体" w:eastAsia="黑体"/>
          <w:szCs w:val="21"/>
        </w:rPr>
      </w:pPr>
      <w:r>
        <w:rPr>
          <w:rFonts w:hint="eastAsia" w:ascii="黑体" w:hAnsi="黑体" w:eastAsia="黑体"/>
          <w:szCs w:val="21"/>
        </w:rPr>
        <w:t>绪论（1学时）</w:t>
      </w:r>
    </w:p>
    <w:p>
      <w:pPr>
        <w:tabs>
          <w:tab w:val="left" w:pos="7491"/>
        </w:tabs>
        <w:autoSpaceDE w:val="0"/>
        <w:autoSpaceDN w:val="0"/>
        <w:adjustRightInd w:val="0"/>
        <w:spacing w:line="360" w:lineRule="auto"/>
        <w:rPr>
          <w:rFonts w:ascii="宋体" w:hAnsi="宋体"/>
          <w:szCs w:val="21"/>
        </w:rPr>
      </w:pPr>
      <w:r>
        <w:rPr>
          <w:rFonts w:hint="eastAsia" w:ascii="宋体" w:hAnsi="宋体"/>
          <w:szCs w:val="21"/>
        </w:rPr>
        <w:t xml:space="preserve">    了解数字电子技术性质、内容和任务；</w:t>
      </w:r>
      <w:r>
        <w:rPr>
          <w:rFonts w:hint="eastAsia" w:ascii="宋体" w:hAnsi="宋体"/>
          <w:szCs w:val="21"/>
        </w:rPr>
        <w:tab/>
      </w:r>
    </w:p>
    <w:p>
      <w:pPr>
        <w:autoSpaceDE w:val="0"/>
        <w:autoSpaceDN w:val="0"/>
        <w:adjustRightInd w:val="0"/>
        <w:spacing w:line="360" w:lineRule="auto"/>
        <w:ind w:left="420"/>
        <w:rPr>
          <w:rFonts w:ascii="宋体" w:hAnsi="宋体"/>
          <w:szCs w:val="21"/>
        </w:rPr>
      </w:pPr>
      <w:r>
        <w:rPr>
          <w:rFonts w:hint="eastAsia" w:ascii="宋体" w:hAnsi="宋体"/>
          <w:szCs w:val="21"/>
        </w:rPr>
        <w:t>理解数字电路与模拟电路的区别；</w:t>
      </w:r>
    </w:p>
    <w:p>
      <w:pPr>
        <w:autoSpaceDE w:val="0"/>
        <w:autoSpaceDN w:val="0"/>
        <w:adjustRightInd w:val="0"/>
        <w:spacing w:line="360" w:lineRule="auto"/>
        <w:ind w:firstLine="420" w:firstLineChars="200"/>
        <w:rPr>
          <w:rFonts w:ascii="宋体" w:hAnsi="宋体"/>
          <w:szCs w:val="21"/>
        </w:rPr>
      </w:pPr>
      <w:r>
        <w:rPr>
          <w:rFonts w:hint="eastAsia" w:ascii="宋体" w:hAnsi="宋体"/>
          <w:szCs w:val="21"/>
        </w:rPr>
        <w:t>了解数字电路的发展与分类；</w:t>
      </w:r>
    </w:p>
    <w:p>
      <w:pPr>
        <w:autoSpaceDE w:val="0"/>
        <w:autoSpaceDN w:val="0"/>
        <w:adjustRightInd w:val="0"/>
        <w:spacing w:line="360" w:lineRule="auto"/>
        <w:ind w:firstLine="420" w:firstLineChars="200"/>
        <w:rPr>
          <w:rFonts w:ascii="宋体" w:hAnsi="宋体"/>
          <w:szCs w:val="21"/>
        </w:rPr>
      </w:pPr>
      <w:r>
        <w:rPr>
          <w:rFonts w:hint="eastAsia" w:ascii="宋体" w:hAnsi="宋体"/>
          <w:szCs w:val="21"/>
        </w:rPr>
        <w:t>了解课程特点与学习方法。</w:t>
      </w:r>
    </w:p>
    <w:p>
      <w:pPr>
        <w:spacing w:line="360" w:lineRule="auto"/>
        <w:ind w:left="420"/>
        <w:rPr>
          <w:rFonts w:ascii="黑体" w:hAnsi="黑体" w:eastAsia="黑体" w:cs="黑体"/>
          <w:szCs w:val="21"/>
          <w:lang w:val="zh-CN"/>
        </w:rPr>
      </w:pPr>
      <w:r>
        <w:rPr>
          <w:rFonts w:hint="eastAsia" w:ascii="黑体" w:hAnsi="黑体" w:eastAsia="黑体" w:cs="黑体"/>
          <w:szCs w:val="21"/>
        </w:rPr>
        <w:t>1</w:t>
      </w:r>
      <w:r>
        <w:rPr>
          <w:rFonts w:hint="eastAsia" w:ascii="黑体" w:hAnsi="黑体" w:eastAsia="黑体" w:cs="黑体"/>
          <w:szCs w:val="21"/>
          <w:lang w:val="zh-CN"/>
        </w:rPr>
        <w:t>数字电路基础</w:t>
      </w:r>
      <w:r>
        <w:rPr>
          <w:rFonts w:hint="eastAsia" w:ascii="黑体" w:hAnsi="黑体" w:eastAsia="黑体"/>
          <w:szCs w:val="21"/>
        </w:rPr>
        <w:t>（7学时）</w:t>
      </w:r>
    </w:p>
    <w:p>
      <w:pPr>
        <w:spacing w:line="360" w:lineRule="auto"/>
        <w:rPr>
          <w:rFonts w:ascii="宋体" w:cs="宋体"/>
          <w:szCs w:val="21"/>
          <w:lang w:val="zh-CN"/>
        </w:rPr>
      </w:pPr>
      <w:r>
        <w:rPr>
          <w:rFonts w:hint="eastAsia" w:ascii="宋体" w:cs="宋体"/>
          <w:szCs w:val="21"/>
        </w:rPr>
        <w:t xml:space="preserve">    </w:t>
      </w:r>
      <w:r>
        <w:rPr>
          <w:rFonts w:hint="eastAsia" w:ascii="宋体" w:cs="宋体"/>
          <w:szCs w:val="21"/>
          <w:lang w:val="zh-CN"/>
        </w:rPr>
        <w:t>1</w:t>
      </w:r>
      <w:r>
        <w:rPr>
          <w:rFonts w:hint="eastAsia" w:ascii="宋体" w:cs="宋体"/>
          <w:szCs w:val="21"/>
        </w:rPr>
        <w:t>.1、</w:t>
      </w:r>
      <w:r>
        <w:rPr>
          <w:rFonts w:hint="eastAsia" w:ascii="宋体" w:hAnsi="Tahoma" w:cs="宋体"/>
          <w:color w:val="000000"/>
          <w:kern w:val="0"/>
          <w:szCs w:val="21"/>
          <w:lang w:val="zh-CN"/>
        </w:rPr>
        <w:t>了解数字电路的工作特点；</w:t>
      </w:r>
    </w:p>
    <w:p>
      <w:pPr>
        <w:tabs>
          <w:tab w:val="left" w:pos="891"/>
        </w:tabs>
        <w:spacing w:line="360" w:lineRule="auto"/>
        <w:ind w:firstLine="420" w:firstLineChars="200"/>
        <w:rPr>
          <w:rFonts w:ascii="宋体" w:hAnsi="Tahoma" w:cs="宋体"/>
          <w:color w:val="000000"/>
          <w:kern w:val="0"/>
          <w:szCs w:val="21"/>
        </w:rPr>
      </w:pPr>
      <w:r>
        <w:rPr>
          <w:rFonts w:hint="eastAsia" w:ascii="宋体" w:cs="宋体"/>
          <w:szCs w:val="21"/>
        </w:rPr>
        <w:t>1.2、</w:t>
      </w:r>
      <w:r>
        <w:rPr>
          <w:rFonts w:hint="eastAsia" w:ascii="宋体" w:hAnsi="Tahoma" w:cs="宋体"/>
          <w:color w:val="000000"/>
          <w:kern w:val="0"/>
          <w:szCs w:val="21"/>
          <w:lang w:val="zh-CN"/>
        </w:rPr>
        <w:t>正确理解二进制、十六进制及其与十进制的相互转换规律</w:t>
      </w:r>
      <w:r>
        <w:rPr>
          <w:rFonts w:hint="eastAsia" w:ascii="宋体" w:hAnsi="Tahoma" w:cs="宋体"/>
          <w:color w:val="000000"/>
          <w:kern w:val="0"/>
          <w:szCs w:val="21"/>
        </w:rPr>
        <w:t>,</w:t>
      </w:r>
      <w:r>
        <w:rPr>
          <w:rFonts w:hint="eastAsia" w:ascii="宋体" w:hAnsi="Tahoma" w:cs="宋体"/>
          <w:color w:val="000000"/>
          <w:kern w:val="0"/>
          <w:szCs w:val="21"/>
          <w:lang w:val="zh-CN"/>
        </w:rPr>
        <w:t>熟练掌握</w:t>
      </w:r>
      <w:r>
        <w:rPr>
          <w:rFonts w:ascii="Tahoma" w:hAnsi="Tahoma" w:cs="Tahoma"/>
          <w:color w:val="000000"/>
          <w:kern w:val="0"/>
          <w:szCs w:val="21"/>
        </w:rPr>
        <w:t>8421BCD</w:t>
      </w:r>
      <w:r>
        <w:rPr>
          <w:rFonts w:hint="eastAsia" w:ascii="宋体" w:hAnsi="Tahoma" w:cs="宋体"/>
          <w:color w:val="000000"/>
          <w:kern w:val="0"/>
          <w:szCs w:val="21"/>
          <w:lang w:val="zh-CN"/>
        </w:rPr>
        <w:t>码及了解其它常用的</w:t>
      </w:r>
      <w:r>
        <w:rPr>
          <w:rFonts w:ascii="Tahoma" w:hAnsi="Tahoma" w:cs="Tahoma"/>
          <w:color w:val="000000"/>
          <w:kern w:val="0"/>
          <w:szCs w:val="21"/>
        </w:rPr>
        <w:t>BCD</w:t>
      </w:r>
      <w:r>
        <w:rPr>
          <w:rFonts w:hint="eastAsia" w:ascii="宋体" w:hAnsi="Tahoma" w:cs="宋体"/>
          <w:color w:val="000000"/>
          <w:kern w:val="0"/>
          <w:szCs w:val="21"/>
          <w:lang w:val="zh-CN"/>
        </w:rPr>
        <w:t>码</w:t>
      </w:r>
      <w:r>
        <w:rPr>
          <w:rFonts w:hint="eastAsia" w:ascii="Tahoma" w:hAnsi="Tahoma" w:cs="Tahoma"/>
          <w:color w:val="000000"/>
          <w:kern w:val="0"/>
          <w:szCs w:val="21"/>
        </w:rPr>
        <w:t>；（重点）</w:t>
      </w:r>
    </w:p>
    <w:p>
      <w:pPr>
        <w:spacing w:line="360" w:lineRule="auto"/>
        <w:ind w:firstLine="420" w:firstLineChars="200"/>
        <w:rPr>
          <w:rFonts w:ascii="宋体" w:cs="宋体"/>
          <w:szCs w:val="21"/>
          <w:lang w:val="zh-CN"/>
        </w:rPr>
      </w:pPr>
      <w:r>
        <w:rPr>
          <w:rFonts w:hint="eastAsia" w:ascii="宋体" w:hAnsi="Tahoma" w:cs="宋体"/>
          <w:color w:val="000000"/>
          <w:kern w:val="0"/>
          <w:szCs w:val="21"/>
        </w:rPr>
        <w:t>1.3、</w:t>
      </w:r>
      <w:r>
        <w:rPr>
          <w:rFonts w:hint="eastAsia" w:ascii="宋体" w:hAnsi="Tahoma" w:cs="宋体"/>
          <w:color w:val="000000"/>
          <w:kern w:val="0"/>
          <w:szCs w:val="21"/>
          <w:lang w:val="zh-CN"/>
        </w:rPr>
        <w:t>熟练掌握逻辑代数的基础定律、定理；熟练掌握逻辑问题的描述方法；</w:t>
      </w:r>
      <w:r>
        <w:rPr>
          <w:rFonts w:hint="eastAsia" w:ascii="Tahoma" w:hAnsi="Tahoma" w:cs="Tahoma"/>
          <w:color w:val="000000"/>
          <w:kern w:val="0"/>
          <w:szCs w:val="21"/>
        </w:rPr>
        <w:t>（重点）</w:t>
      </w:r>
    </w:p>
    <w:p>
      <w:pPr>
        <w:tabs>
          <w:tab w:val="left" w:pos="891"/>
        </w:tabs>
        <w:spacing w:line="360" w:lineRule="auto"/>
        <w:rPr>
          <w:rFonts w:ascii="宋体" w:hAnsi="Tahoma" w:cs="宋体"/>
          <w:color w:val="000000"/>
          <w:kern w:val="0"/>
          <w:szCs w:val="21"/>
        </w:rPr>
      </w:pPr>
      <w:r>
        <w:rPr>
          <w:rFonts w:hint="eastAsia" w:ascii="宋体" w:hAnsi="Tahoma" w:cs="宋体"/>
          <w:color w:val="000000"/>
          <w:kern w:val="0"/>
          <w:szCs w:val="21"/>
        </w:rPr>
        <w:t xml:space="preserve">    1.4、熟练掌握逻辑问题的描述方法；</w:t>
      </w:r>
    </w:p>
    <w:p>
      <w:pPr>
        <w:spacing w:line="360" w:lineRule="auto"/>
        <w:ind w:firstLine="420" w:firstLineChars="200"/>
        <w:rPr>
          <w:rFonts w:ascii="Tahoma" w:hAnsi="Tahoma" w:cs="Tahoma"/>
          <w:color w:val="000000"/>
          <w:kern w:val="0"/>
          <w:szCs w:val="21"/>
        </w:rPr>
      </w:pPr>
      <w:r>
        <w:rPr>
          <w:rFonts w:hint="eastAsia" w:ascii="宋体" w:cs="宋体"/>
          <w:szCs w:val="21"/>
        </w:rPr>
        <w:t>1.5、</w:t>
      </w:r>
      <w:r>
        <w:rPr>
          <w:rFonts w:hint="eastAsia" w:ascii="宋体" w:hAnsi="Tahoma" w:cs="宋体"/>
          <w:color w:val="000000"/>
          <w:kern w:val="0"/>
          <w:szCs w:val="21"/>
          <w:lang w:val="zh-CN"/>
        </w:rPr>
        <w:t>熟练掌握用代数法和卡诺图法化简和变换逻辑函数。</w:t>
      </w:r>
      <w:r>
        <w:rPr>
          <w:rFonts w:hint="eastAsia" w:ascii="Tahoma" w:hAnsi="Tahoma" w:cs="Tahoma"/>
          <w:color w:val="000000"/>
          <w:kern w:val="0"/>
          <w:szCs w:val="21"/>
        </w:rPr>
        <w:t>（重点、难点）</w:t>
      </w:r>
    </w:p>
    <w:p>
      <w:pPr>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p>
    <w:p>
      <w:pPr>
        <w:spacing w:line="360" w:lineRule="auto"/>
        <w:ind w:firstLine="420" w:firstLineChars="200"/>
        <w:rPr>
          <w:rFonts w:ascii="黑体" w:hAnsi="黑体" w:eastAsia="黑体" w:cs="黑体"/>
          <w:szCs w:val="21"/>
        </w:rPr>
      </w:pPr>
      <w:r>
        <w:rPr>
          <w:rFonts w:hint="eastAsia" w:ascii="黑体" w:hAnsi="黑体" w:eastAsia="黑体" w:cs="黑体"/>
          <w:szCs w:val="21"/>
        </w:rPr>
        <w:t>2 逻辑门电路</w:t>
      </w:r>
      <w:r>
        <w:rPr>
          <w:rFonts w:hint="eastAsia" w:ascii="黑体" w:hAnsi="黑体" w:eastAsia="黑体"/>
          <w:szCs w:val="21"/>
        </w:rPr>
        <w:t>（10学时）</w:t>
      </w:r>
    </w:p>
    <w:p>
      <w:pPr>
        <w:spacing w:line="360" w:lineRule="auto"/>
        <w:ind w:firstLine="420" w:firstLineChars="200"/>
        <w:rPr>
          <w:szCs w:val="21"/>
        </w:rPr>
      </w:pPr>
      <w:r>
        <w:rPr>
          <w:szCs w:val="21"/>
        </w:rPr>
        <w:t>2.1</w:t>
      </w:r>
      <w:r>
        <w:rPr>
          <w:rFonts w:hint="eastAsia"/>
          <w:szCs w:val="21"/>
        </w:rPr>
        <w:t>、</w:t>
      </w:r>
      <w:r>
        <w:rPr>
          <w:rFonts w:hint="eastAsia"/>
          <w:color w:val="000000"/>
          <w:kern w:val="0"/>
          <w:szCs w:val="21"/>
          <w:lang w:val="zh-CN"/>
        </w:rPr>
        <w:t>了解半导体二极管、</w:t>
      </w:r>
      <w:r>
        <w:rPr>
          <w:rFonts w:hint="eastAsia"/>
          <w:color w:val="000000"/>
          <w:kern w:val="0"/>
          <w:szCs w:val="21"/>
        </w:rPr>
        <w:t>三极管的开关特性极其组成的</w:t>
      </w:r>
      <w:r>
        <w:rPr>
          <w:rFonts w:hint="eastAsia"/>
          <w:color w:val="000000"/>
          <w:kern w:val="0"/>
          <w:szCs w:val="21"/>
          <w:lang w:val="zh-CN"/>
        </w:rPr>
        <w:t>与、或、非电路组成；</w:t>
      </w:r>
    </w:p>
    <w:p>
      <w:pPr>
        <w:adjustRightInd w:val="0"/>
        <w:snapToGrid w:val="0"/>
        <w:spacing w:line="360" w:lineRule="auto"/>
        <w:ind w:firstLine="420" w:firstLineChars="200"/>
        <w:rPr>
          <w:szCs w:val="21"/>
        </w:rPr>
      </w:pPr>
      <w:r>
        <w:rPr>
          <w:szCs w:val="21"/>
        </w:rPr>
        <w:t>2.2</w:t>
      </w:r>
      <w:r>
        <w:rPr>
          <w:rFonts w:hint="eastAsia"/>
          <w:szCs w:val="21"/>
        </w:rPr>
        <w:t>、掌握由</w:t>
      </w:r>
      <w:r>
        <w:rPr>
          <w:color w:val="000000"/>
          <w:kern w:val="0"/>
          <w:szCs w:val="21"/>
        </w:rPr>
        <w:t>TTL</w:t>
      </w:r>
      <w:r>
        <w:rPr>
          <w:rFonts w:hint="eastAsia"/>
          <w:color w:val="000000"/>
          <w:kern w:val="0"/>
          <w:szCs w:val="21"/>
        </w:rPr>
        <w:t>组成的非</w:t>
      </w:r>
      <w:r>
        <w:rPr>
          <w:rFonts w:hint="eastAsia"/>
          <w:color w:val="000000"/>
          <w:kern w:val="0"/>
          <w:szCs w:val="21"/>
          <w:lang w:val="zh-CN"/>
        </w:rPr>
        <w:t>、与非、或非、与非门的电路组成、工作原理、外部特性、逻辑功能及其描述方法；</w:t>
      </w:r>
      <w:r>
        <w:rPr>
          <w:rFonts w:hint="eastAsia"/>
          <w:color w:val="000000"/>
          <w:kern w:val="0"/>
          <w:szCs w:val="21"/>
        </w:rPr>
        <w:t>（重点、难点）</w:t>
      </w:r>
    </w:p>
    <w:p>
      <w:pPr>
        <w:adjustRightInd w:val="0"/>
        <w:snapToGrid w:val="0"/>
        <w:spacing w:line="360" w:lineRule="auto"/>
        <w:ind w:firstLine="420" w:firstLineChars="200"/>
        <w:rPr>
          <w:szCs w:val="21"/>
        </w:rPr>
      </w:pPr>
      <w:r>
        <w:rPr>
          <w:szCs w:val="21"/>
        </w:rPr>
        <w:t>2.3</w:t>
      </w:r>
      <w:r>
        <w:rPr>
          <w:rFonts w:hint="eastAsia"/>
          <w:szCs w:val="21"/>
        </w:rPr>
        <w:t>、掌握由</w:t>
      </w:r>
      <w:r>
        <w:rPr>
          <w:szCs w:val="21"/>
        </w:rPr>
        <w:t>CMOS</w:t>
      </w:r>
      <w:r>
        <w:rPr>
          <w:rFonts w:hint="eastAsia"/>
          <w:color w:val="000000"/>
          <w:kern w:val="0"/>
          <w:szCs w:val="21"/>
        </w:rPr>
        <w:t>组成的</w:t>
      </w:r>
      <w:r>
        <w:rPr>
          <w:rFonts w:hint="eastAsia"/>
          <w:color w:val="000000"/>
          <w:kern w:val="0"/>
          <w:szCs w:val="21"/>
          <w:lang w:val="zh-CN"/>
        </w:rPr>
        <w:t>与非、或非的电路组成、工作原理、外部特性、逻辑功能及其描述方法；熟练掌握</w:t>
      </w:r>
      <w:r>
        <w:rPr>
          <w:color w:val="000000"/>
          <w:kern w:val="0"/>
          <w:szCs w:val="21"/>
        </w:rPr>
        <w:t>CMOS</w:t>
      </w:r>
      <w:r>
        <w:rPr>
          <w:rFonts w:hint="eastAsia"/>
          <w:color w:val="000000"/>
          <w:kern w:val="0"/>
          <w:szCs w:val="21"/>
          <w:lang w:val="zh-CN"/>
        </w:rPr>
        <w:t>传输门及双向模拟开关；</w:t>
      </w:r>
      <w:r>
        <w:rPr>
          <w:rFonts w:hint="eastAsia"/>
          <w:color w:val="000000"/>
          <w:kern w:val="0"/>
          <w:szCs w:val="21"/>
        </w:rPr>
        <w:t>（重点、难点）</w:t>
      </w:r>
    </w:p>
    <w:p>
      <w:pPr>
        <w:adjustRightInd w:val="0"/>
        <w:snapToGrid w:val="0"/>
        <w:spacing w:line="360" w:lineRule="auto"/>
        <w:ind w:firstLine="420" w:firstLineChars="200"/>
        <w:rPr>
          <w:color w:val="000000"/>
          <w:kern w:val="0"/>
          <w:szCs w:val="21"/>
        </w:rPr>
      </w:pPr>
      <w:r>
        <w:rPr>
          <w:color w:val="000000"/>
          <w:kern w:val="0"/>
          <w:szCs w:val="21"/>
        </w:rPr>
        <w:t>2.4</w:t>
      </w:r>
      <w:r>
        <w:rPr>
          <w:rFonts w:hint="eastAsia"/>
          <w:color w:val="000000"/>
          <w:kern w:val="0"/>
          <w:szCs w:val="21"/>
        </w:rPr>
        <w:t>、</w:t>
      </w:r>
      <w:r>
        <w:rPr>
          <w:rFonts w:hint="eastAsia"/>
          <w:color w:val="000000"/>
          <w:kern w:val="0"/>
          <w:szCs w:val="21"/>
          <w:lang w:val="zh-CN"/>
        </w:rPr>
        <w:t>掌握</w:t>
      </w:r>
      <w:r>
        <w:rPr>
          <w:color w:val="000000"/>
          <w:kern w:val="0"/>
          <w:szCs w:val="21"/>
        </w:rPr>
        <w:t>OC</w:t>
      </w:r>
      <w:r>
        <w:rPr>
          <w:rFonts w:hint="eastAsia"/>
          <w:color w:val="000000"/>
          <w:kern w:val="0"/>
          <w:szCs w:val="21"/>
          <w:lang w:val="zh-CN"/>
        </w:rPr>
        <w:t>门、</w:t>
      </w:r>
      <w:r>
        <w:rPr>
          <w:color w:val="000000"/>
          <w:kern w:val="0"/>
          <w:szCs w:val="21"/>
        </w:rPr>
        <w:t>OD</w:t>
      </w:r>
      <w:r>
        <w:rPr>
          <w:rFonts w:hint="eastAsia"/>
          <w:color w:val="000000"/>
          <w:kern w:val="0"/>
          <w:szCs w:val="21"/>
        </w:rPr>
        <w:t>门及</w:t>
      </w:r>
      <w:r>
        <w:rPr>
          <w:rFonts w:hint="eastAsia"/>
          <w:color w:val="000000"/>
          <w:kern w:val="0"/>
          <w:szCs w:val="21"/>
          <w:lang w:val="zh-CN"/>
        </w:rPr>
        <w:t>三态门的工作原理和使用方法，正确理解</w:t>
      </w:r>
      <w:r>
        <w:rPr>
          <w:color w:val="000000"/>
          <w:kern w:val="0"/>
          <w:szCs w:val="21"/>
        </w:rPr>
        <w:t>OC</w:t>
      </w:r>
      <w:r>
        <w:rPr>
          <w:rFonts w:hint="eastAsia"/>
          <w:color w:val="000000"/>
          <w:kern w:val="0"/>
          <w:szCs w:val="21"/>
          <w:lang w:val="zh-CN"/>
        </w:rPr>
        <w:t>门负载电阻的计算及线与、线或的概念。</w:t>
      </w:r>
      <w:r>
        <w:rPr>
          <w:rFonts w:hint="eastAsia"/>
          <w:color w:val="000000"/>
          <w:kern w:val="0"/>
          <w:szCs w:val="21"/>
        </w:rPr>
        <w:t>（重点、难点）</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p>
    <w:p>
      <w:pPr>
        <w:adjustRightInd w:val="0"/>
        <w:snapToGrid w:val="0"/>
        <w:spacing w:line="360" w:lineRule="auto"/>
        <w:ind w:left="420"/>
        <w:rPr>
          <w:rFonts w:ascii="黑体" w:hAnsi="黑体" w:eastAsia="黑体" w:cs="黑体"/>
          <w:szCs w:val="21"/>
        </w:rPr>
      </w:pPr>
      <w:r>
        <w:rPr>
          <w:rFonts w:hint="eastAsia" w:ascii="黑体" w:hAnsi="黑体" w:eastAsia="黑体" w:cs="黑体"/>
          <w:szCs w:val="21"/>
        </w:rPr>
        <w:t>3 组合逻辑电路</w:t>
      </w:r>
      <w:r>
        <w:rPr>
          <w:rFonts w:hint="eastAsia" w:ascii="黑体" w:hAnsi="黑体" w:eastAsia="黑体"/>
          <w:szCs w:val="21"/>
        </w:rPr>
        <w:t>（12学时）</w:t>
      </w:r>
    </w:p>
    <w:p>
      <w:pPr>
        <w:adjustRightInd w:val="0"/>
        <w:snapToGrid w:val="0"/>
        <w:spacing w:line="360" w:lineRule="auto"/>
        <w:ind w:firstLine="420" w:firstLineChars="200"/>
        <w:rPr>
          <w:color w:val="000000"/>
          <w:kern w:val="0"/>
          <w:szCs w:val="21"/>
          <w:lang w:val="zh-CN"/>
        </w:rPr>
      </w:pPr>
      <w:r>
        <w:rPr>
          <w:color w:val="000000"/>
          <w:kern w:val="0"/>
          <w:szCs w:val="21"/>
        </w:rPr>
        <w:t>3.1</w:t>
      </w:r>
      <w:r>
        <w:rPr>
          <w:rFonts w:hint="eastAsia"/>
          <w:color w:val="000000"/>
          <w:kern w:val="0"/>
          <w:szCs w:val="21"/>
        </w:rPr>
        <w:t>、</w:t>
      </w:r>
      <w:r>
        <w:rPr>
          <w:rFonts w:hint="eastAsia"/>
          <w:color w:val="000000"/>
          <w:kern w:val="0"/>
          <w:szCs w:val="21"/>
          <w:lang w:val="zh-CN"/>
        </w:rPr>
        <w:t>熟练掌握常用组合逻辑电路的分析与设计方法；</w:t>
      </w:r>
      <w:r>
        <w:rPr>
          <w:rFonts w:hint="eastAsia"/>
          <w:color w:val="000000"/>
          <w:kern w:val="0"/>
          <w:szCs w:val="21"/>
        </w:rPr>
        <w:t>（重点、难点）</w:t>
      </w:r>
    </w:p>
    <w:p>
      <w:pPr>
        <w:adjustRightInd w:val="0"/>
        <w:snapToGrid w:val="0"/>
        <w:spacing w:line="360" w:lineRule="auto"/>
        <w:ind w:firstLine="420" w:firstLineChars="200"/>
        <w:rPr>
          <w:szCs w:val="21"/>
        </w:rPr>
      </w:pPr>
      <w:r>
        <w:rPr>
          <w:color w:val="000000"/>
          <w:kern w:val="0"/>
          <w:szCs w:val="21"/>
        </w:rPr>
        <w:t>3.2</w:t>
      </w:r>
      <w:r>
        <w:rPr>
          <w:rFonts w:hint="eastAsia"/>
          <w:color w:val="000000"/>
          <w:kern w:val="0"/>
          <w:szCs w:val="21"/>
        </w:rPr>
        <w:t>、</w:t>
      </w:r>
      <w:r>
        <w:rPr>
          <w:rFonts w:hint="eastAsia"/>
          <w:color w:val="000000"/>
          <w:kern w:val="0"/>
          <w:szCs w:val="21"/>
          <w:lang w:val="zh-CN"/>
        </w:rPr>
        <w:t>能正确使用常用组合逻辑器件如加法器、编码器、译码器、多路分配器、数据选择器、数码比较器等，熟练掌握用</w:t>
      </w:r>
      <w:r>
        <w:rPr>
          <w:color w:val="000000"/>
          <w:kern w:val="0"/>
          <w:szCs w:val="21"/>
        </w:rPr>
        <w:t>MSI</w:t>
      </w:r>
      <w:r>
        <w:rPr>
          <w:rFonts w:hint="eastAsia"/>
          <w:color w:val="000000"/>
          <w:kern w:val="0"/>
          <w:szCs w:val="21"/>
          <w:lang w:val="zh-CN"/>
        </w:rPr>
        <w:t>的数据选择器、译码器、全加器实现其它组合逻辑电路的方法</w:t>
      </w:r>
      <w:r>
        <w:rPr>
          <w:rFonts w:hint="eastAsia"/>
          <w:szCs w:val="21"/>
        </w:rPr>
        <w:t>；</w:t>
      </w:r>
      <w:r>
        <w:rPr>
          <w:rFonts w:hint="eastAsia"/>
          <w:color w:val="000000"/>
          <w:kern w:val="0"/>
          <w:szCs w:val="21"/>
        </w:rPr>
        <w:t>（重点、难点）</w:t>
      </w:r>
    </w:p>
    <w:p>
      <w:pPr>
        <w:adjustRightInd w:val="0"/>
        <w:snapToGrid w:val="0"/>
        <w:spacing w:line="360" w:lineRule="auto"/>
        <w:rPr>
          <w:szCs w:val="21"/>
        </w:rPr>
      </w:pPr>
      <w:r>
        <w:rPr>
          <w:szCs w:val="21"/>
        </w:rPr>
        <w:t xml:space="preserve">    3.3</w:t>
      </w:r>
      <w:r>
        <w:rPr>
          <w:rFonts w:hint="eastAsia"/>
          <w:szCs w:val="21"/>
        </w:rPr>
        <w:t>、学会阅读常用的</w:t>
      </w:r>
      <w:r>
        <w:rPr>
          <w:szCs w:val="21"/>
        </w:rPr>
        <w:t>MSI</w:t>
      </w:r>
      <w:r>
        <w:rPr>
          <w:rFonts w:hint="eastAsia"/>
          <w:szCs w:val="21"/>
        </w:rPr>
        <w:t>组合器件表，并能应用于设计电路的连接；</w:t>
      </w:r>
    </w:p>
    <w:p>
      <w:pPr>
        <w:adjustRightInd w:val="0"/>
        <w:snapToGrid w:val="0"/>
        <w:spacing w:line="360" w:lineRule="auto"/>
        <w:ind w:firstLine="420" w:firstLineChars="200"/>
        <w:rPr>
          <w:color w:val="000000"/>
          <w:kern w:val="0"/>
          <w:szCs w:val="21"/>
          <w:lang w:val="zh-CN"/>
        </w:rPr>
      </w:pPr>
      <w:r>
        <w:rPr>
          <w:color w:val="000000"/>
          <w:kern w:val="0"/>
          <w:szCs w:val="21"/>
        </w:rPr>
        <w:t>3.4</w:t>
      </w:r>
      <w:r>
        <w:rPr>
          <w:rFonts w:hint="eastAsia"/>
          <w:color w:val="000000"/>
          <w:kern w:val="0"/>
          <w:szCs w:val="21"/>
        </w:rPr>
        <w:t>、</w:t>
      </w:r>
      <w:r>
        <w:rPr>
          <w:rFonts w:hint="eastAsia"/>
          <w:color w:val="000000"/>
          <w:kern w:val="0"/>
          <w:szCs w:val="21"/>
          <w:lang w:val="zh-CN"/>
        </w:rPr>
        <w:t>对半导体数码管、荧光数码管、液晶显示器具有正确使用的能力；</w:t>
      </w:r>
    </w:p>
    <w:p>
      <w:pPr>
        <w:adjustRightInd w:val="0"/>
        <w:snapToGrid w:val="0"/>
        <w:spacing w:line="360" w:lineRule="auto"/>
        <w:ind w:firstLine="420" w:firstLineChars="200"/>
        <w:rPr>
          <w:color w:val="000000"/>
          <w:kern w:val="0"/>
          <w:szCs w:val="21"/>
          <w:lang w:val="zh-CN"/>
        </w:rPr>
      </w:pPr>
      <w:r>
        <w:rPr>
          <w:color w:val="000000"/>
          <w:kern w:val="0"/>
          <w:szCs w:val="21"/>
        </w:rPr>
        <w:t>3.5</w:t>
      </w:r>
      <w:r>
        <w:rPr>
          <w:rFonts w:hint="eastAsia"/>
          <w:color w:val="000000"/>
          <w:kern w:val="0"/>
          <w:szCs w:val="21"/>
        </w:rPr>
        <w:t>、</w:t>
      </w:r>
      <w:r>
        <w:rPr>
          <w:rFonts w:hint="eastAsia"/>
          <w:color w:val="000000"/>
          <w:kern w:val="0"/>
          <w:szCs w:val="21"/>
          <w:lang w:val="zh-CN"/>
        </w:rPr>
        <w:t>了解竞争冒险产生的原因，初步具有判断和处理的能力。</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rPr>
          <w:rFonts w:ascii="黑体" w:hAnsi="黑体" w:eastAsia="黑体" w:cs="黑体"/>
          <w:szCs w:val="21"/>
        </w:rPr>
      </w:pPr>
      <w:r>
        <w:rPr>
          <w:rFonts w:hint="eastAsia" w:ascii="黑体" w:hAnsi="黑体" w:eastAsia="黑体" w:cs="黑体"/>
          <w:szCs w:val="21"/>
        </w:rPr>
        <w:t>4 触发器</w:t>
      </w:r>
      <w:r>
        <w:rPr>
          <w:rFonts w:hint="eastAsia" w:ascii="黑体" w:hAnsi="黑体" w:eastAsia="黑体"/>
          <w:szCs w:val="21"/>
        </w:rPr>
        <w:t>（6学时）</w:t>
      </w:r>
    </w:p>
    <w:p>
      <w:pPr>
        <w:adjustRightInd w:val="0"/>
        <w:snapToGrid w:val="0"/>
        <w:spacing w:line="360" w:lineRule="auto"/>
        <w:ind w:firstLine="420" w:firstLineChars="200"/>
        <w:rPr>
          <w:rFonts w:ascii="宋体" w:hAnsi="宋体"/>
          <w:szCs w:val="21"/>
        </w:rPr>
      </w:pPr>
      <w:r>
        <w:rPr>
          <w:rFonts w:hint="eastAsia" w:ascii="宋体" w:hAnsi="宋体"/>
          <w:szCs w:val="21"/>
        </w:rPr>
        <w:t>4.1、</w:t>
      </w:r>
      <w:r>
        <w:rPr>
          <w:rFonts w:hint="eastAsia" w:ascii="宋体" w:hAnsi="Tahoma" w:cs="宋体"/>
          <w:color w:val="000000"/>
          <w:kern w:val="0"/>
          <w:szCs w:val="21"/>
          <w:lang w:val="zh-CN"/>
        </w:rPr>
        <w:t>正确理解基本</w:t>
      </w:r>
      <w:r>
        <w:rPr>
          <w:rFonts w:ascii="Tahoma" w:hAnsi="Tahoma" w:cs="Tahoma"/>
          <w:color w:val="000000"/>
          <w:kern w:val="0"/>
          <w:szCs w:val="21"/>
        </w:rPr>
        <w:t>RS</w:t>
      </w:r>
      <w:r>
        <w:rPr>
          <w:rFonts w:hint="eastAsia" w:ascii="宋体" w:hAnsi="Tahoma" w:cs="宋体"/>
          <w:color w:val="000000"/>
          <w:kern w:val="0"/>
          <w:szCs w:val="21"/>
          <w:lang w:val="zh-CN"/>
        </w:rPr>
        <w:t>触发器、主从结构触发器、边沿触发器的电路结构，工作原理；</w:t>
      </w:r>
    </w:p>
    <w:p>
      <w:pPr>
        <w:adjustRightInd w:val="0"/>
        <w:snapToGrid w:val="0"/>
        <w:spacing w:line="360" w:lineRule="auto"/>
        <w:ind w:firstLine="420" w:firstLineChars="200"/>
        <w:rPr>
          <w:rFonts w:ascii="宋体" w:hAnsi="Tahoma" w:cs="宋体"/>
          <w:color w:val="000000"/>
          <w:kern w:val="0"/>
          <w:szCs w:val="21"/>
          <w:lang w:val="zh-CN"/>
        </w:rPr>
      </w:pPr>
      <w:r>
        <w:rPr>
          <w:rFonts w:hint="eastAsia" w:ascii="宋体" w:hAnsi="Tahoma" w:cs="宋体"/>
          <w:color w:val="000000"/>
          <w:kern w:val="0"/>
          <w:szCs w:val="21"/>
        </w:rPr>
        <w:t>4.2、</w:t>
      </w:r>
      <w:r>
        <w:rPr>
          <w:rFonts w:hint="eastAsia" w:ascii="宋体" w:hAnsi="Tahoma" w:cs="宋体"/>
          <w:color w:val="000000"/>
          <w:kern w:val="0"/>
          <w:szCs w:val="21"/>
          <w:lang w:val="zh-CN"/>
        </w:rPr>
        <w:t>熟练掌握</w:t>
      </w:r>
      <w:r>
        <w:rPr>
          <w:rFonts w:ascii="Tahoma" w:hAnsi="Tahoma" w:cs="Tahoma"/>
          <w:color w:val="000000"/>
          <w:kern w:val="0"/>
          <w:szCs w:val="21"/>
        </w:rPr>
        <w:t>D</w:t>
      </w:r>
      <w:r>
        <w:rPr>
          <w:rFonts w:hint="eastAsia" w:ascii="宋体" w:hAnsi="Tahoma" w:cs="宋体"/>
          <w:color w:val="000000"/>
          <w:kern w:val="0"/>
          <w:szCs w:val="21"/>
          <w:lang w:val="zh-CN"/>
        </w:rPr>
        <w:t>、</w:t>
      </w:r>
      <w:r>
        <w:rPr>
          <w:rFonts w:ascii="Tahoma" w:hAnsi="Tahoma" w:cs="Tahoma"/>
          <w:color w:val="000000"/>
          <w:kern w:val="0"/>
          <w:szCs w:val="21"/>
        </w:rPr>
        <w:t>JK</w:t>
      </w:r>
      <w:r>
        <w:rPr>
          <w:rFonts w:hint="eastAsia" w:ascii="宋体" w:hAnsi="Tahoma" w:cs="宋体"/>
          <w:color w:val="000000"/>
          <w:kern w:val="0"/>
          <w:szCs w:val="21"/>
          <w:lang w:val="zh-CN"/>
        </w:rPr>
        <w:t>、</w:t>
      </w:r>
      <w:r>
        <w:rPr>
          <w:rFonts w:ascii="Tahoma" w:hAnsi="Tahoma" w:cs="Tahoma"/>
          <w:color w:val="000000"/>
          <w:kern w:val="0"/>
          <w:szCs w:val="21"/>
        </w:rPr>
        <w:t>RS</w:t>
      </w:r>
      <w:r>
        <w:rPr>
          <w:rFonts w:hint="eastAsia" w:ascii="宋体" w:hAnsi="Tahoma" w:cs="宋体"/>
          <w:color w:val="000000"/>
          <w:kern w:val="0"/>
          <w:szCs w:val="21"/>
          <w:lang w:val="zh-CN"/>
        </w:rPr>
        <w:t>、</w:t>
      </w:r>
      <w:r>
        <w:rPr>
          <w:rFonts w:ascii="Tahoma" w:hAnsi="Tahoma" w:cs="Tahoma"/>
          <w:color w:val="000000"/>
          <w:kern w:val="0"/>
          <w:szCs w:val="21"/>
        </w:rPr>
        <w:t>T</w:t>
      </w:r>
      <w:r>
        <w:rPr>
          <w:rFonts w:hint="eastAsia" w:ascii="宋体" w:hAnsi="Tahoma" w:cs="宋体"/>
          <w:color w:val="000000"/>
          <w:kern w:val="0"/>
          <w:szCs w:val="21"/>
          <w:lang w:val="zh-CN"/>
        </w:rPr>
        <w:t>、</w:t>
      </w:r>
      <w:r>
        <w:rPr>
          <w:rFonts w:ascii="Tahoma" w:hAnsi="Tahoma" w:cs="Tahoma"/>
          <w:color w:val="000000"/>
          <w:kern w:val="0"/>
          <w:szCs w:val="21"/>
        </w:rPr>
        <w:t>T'</w:t>
      </w:r>
      <w:r>
        <w:rPr>
          <w:rFonts w:hint="eastAsia" w:ascii="宋体" w:hAnsi="Tahoma" w:cs="宋体"/>
          <w:color w:val="000000"/>
          <w:kern w:val="0"/>
          <w:szCs w:val="21"/>
          <w:lang w:val="zh-CN"/>
        </w:rPr>
        <w:t>触发器逻辑功能及其描述方法，触发方式及特性；</w:t>
      </w:r>
      <w:r>
        <w:rPr>
          <w:rFonts w:hint="eastAsia" w:ascii="Tahoma" w:hAnsi="Tahoma" w:cs="Tahoma"/>
          <w:color w:val="000000"/>
          <w:kern w:val="0"/>
          <w:szCs w:val="21"/>
        </w:rPr>
        <w:t>（重点、难点）</w:t>
      </w:r>
    </w:p>
    <w:p>
      <w:pPr>
        <w:adjustRightInd w:val="0"/>
        <w:snapToGrid w:val="0"/>
        <w:spacing w:line="360" w:lineRule="auto"/>
        <w:ind w:firstLine="420" w:firstLineChars="200"/>
        <w:rPr>
          <w:rFonts w:ascii="宋体" w:hAnsi="Tahoma" w:cs="宋体"/>
          <w:color w:val="000000"/>
          <w:kern w:val="0"/>
          <w:szCs w:val="21"/>
          <w:lang w:val="zh-CN"/>
        </w:rPr>
      </w:pPr>
      <w:r>
        <w:rPr>
          <w:rFonts w:hint="eastAsia" w:ascii="宋体" w:hAnsi="Tahoma" w:cs="宋体"/>
          <w:color w:val="000000"/>
          <w:kern w:val="0"/>
          <w:szCs w:val="21"/>
        </w:rPr>
        <w:t>4.3、</w:t>
      </w:r>
      <w:r>
        <w:rPr>
          <w:rFonts w:hint="eastAsia" w:ascii="宋体" w:hAnsi="Tahoma" w:cs="宋体"/>
          <w:color w:val="000000"/>
          <w:kern w:val="0"/>
          <w:szCs w:val="21"/>
          <w:lang w:val="zh-CN"/>
        </w:rPr>
        <w:t>了解触发器逻辑功能的相互转换</w:t>
      </w:r>
      <w:r>
        <w:rPr>
          <w:rFonts w:hint="eastAsia" w:ascii="宋体" w:hAnsi="宋体"/>
          <w:szCs w:val="21"/>
        </w:rPr>
        <w:t>；</w:t>
      </w:r>
    </w:p>
    <w:p>
      <w:pPr>
        <w:adjustRightInd w:val="0"/>
        <w:snapToGrid w:val="0"/>
        <w:spacing w:line="360" w:lineRule="auto"/>
        <w:ind w:firstLine="420" w:firstLineChars="200"/>
        <w:rPr>
          <w:rFonts w:ascii="宋体" w:hAnsi="Tahoma" w:cs="宋体"/>
          <w:color w:val="000000"/>
          <w:kern w:val="0"/>
          <w:szCs w:val="21"/>
        </w:rPr>
      </w:pPr>
      <w:r>
        <w:rPr>
          <w:rFonts w:hint="eastAsia" w:ascii="宋体" w:hAnsi="Tahoma" w:cs="宋体"/>
          <w:color w:val="000000"/>
          <w:kern w:val="0"/>
          <w:szCs w:val="21"/>
        </w:rPr>
        <w:t>4.4、掌握不同类型、不同结构、不同触发方式的触发器的时序波形图的画法。</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2</w:t>
      </w:r>
      <w:r>
        <w:rPr>
          <w:rFonts w:hint="eastAsia" w:cs="宋体"/>
          <w:bCs/>
          <w:snapToGrid w:val="0"/>
          <w:kern w:val="0"/>
          <w:szCs w:val="21"/>
        </w:rPr>
        <w:t>。</w:t>
      </w:r>
    </w:p>
    <w:p>
      <w:pPr>
        <w:adjustRightInd w:val="0"/>
        <w:snapToGrid w:val="0"/>
        <w:spacing w:line="360" w:lineRule="auto"/>
        <w:rPr>
          <w:rFonts w:ascii="黑体" w:hAnsi="黑体" w:eastAsia="黑体" w:cs="黑体"/>
          <w:bCs/>
          <w:szCs w:val="21"/>
        </w:rPr>
      </w:pPr>
      <w:r>
        <w:rPr>
          <w:rFonts w:hAnsi="宋体"/>
          <w:bCs/>
          <w:szCs w:val="21"/>
        </w:rPr>
        <w:t xml:space="preserve">   </w:t>
      </w:r>
      <w:r>
        <w:rPr>
          <w:rFonts w:hint="eastAsia" w:ascii="黑体" w:hAnsi="黑体" w:eastAsia="黑体" w:cs="黑体"/>
          <w:bCs/>
          <w:szCs w:val="21"/>
        </w:rPr>
        <w:t xml:space="preserve"> 5 时序逻辑电路</w:t>
      </w:r>
      <w:r>
        <w:rPr>
          <w:rFonts w:hint="eastAsia" w:ascii="黑体" w:hAnsi="黑体" w:eastAsia="黑体"/>
          <w:szCs w:val="21"/>
        </w:rPr>
        <w:t>（12学时）</w:t>
      </w:r>
    </w:p>
    <w:p>
      <w:pPr>
        <w:adjustRightInd w:val="0"/>
        <w:snapToGrid w:val="0"/>
        <w:spacing w:line="360" w:lineRule="auto"/>
        <w:ind w:firstLine="420" w:firstLineChars="200"/>
        <w:rPr>
          <w:rFonts w:ascii="宋体" w:hAnsi="Tahoma" w:cs="宋体"/>
          <w:color w:val="000000"/>
          <w:kern w:val="0"/>
          <w:szCs w:val="21"/>
          <w:lang w:val="zh-CN"/>
        </w:rPr>
      </w:pPr>
      <w:r>
        <w:rPr>
          <w:rFonts w:hint="eastAsia" w:ascii="宋体" w:hAnsi="宋体"/>
          <w:szCs w:val="21"/>
        </w:rPr>
        <w:t>5.1、</w:t>
      </w:r>
      <w:r>
        <w:rPr>
          <w:rFonts w:hint="eastAsia" w:ascii="宋体" w:hAnsi="Tahoma" w:cs="宋体"/>
          <w:color w:val="000000"/>
          <w:kern w:val="0"/>
          <w:szCs w:val="21"/>
          <w:lang w:val="zh-CN"/>
        </w:rPr>
        <w:t>熟练掌握时序逻辑电路的分析方法；</w:t>
      </w:r>
      <w:r>
        <w:rPr>
          <w:rFonts w:hint="eastAsia" w:ascii="Tahoma" w:hAnsi="Tahoma" w:cs="Tahoma"/>
          <w:color w:val="000000"/>
          <w:kern w:val="0"/>
          <w:szCs w:val="21"/>
        </w:rPr>
        <w:t>（重点、难点）</w:t>
      </w:r>
    </w:p>
    <w:p>
      <w:pPr>
        <w:adjustRightInd w:val="0"/>
        <w:snapToGrid w:val="0"/>
        <w:spacing w:line="360" w:lineRule="auto"/>
        <w:ind w:firstLine="420" w:firstLineChars="200"/>
        <w:rPr>
          <w:rFonts w:ascii="宋体" w:hAnsi="宋体"/>
          <w:szCs w:val="21"/>
        </w:rPr>
      </w:pPr>
      <w:r>
        <w:rPr>
          <w:rFonts w:hint="eastAsia" w:ascii="宋体" w:hAnsi="宋体"/>
          <w:szCs w:val="21"/>
        </w:rPr>
        <w:t>5.2、</w:t>
      </w:r>
      <w:r>
        <w:rPr>
          <w:rFonts w:hint="eastAsia" w:ascii="宋体" w:hAnsi="Tahoma" w:cs="宋体"/>
          <w:color w:val="000000"/>
          <w:kern w:val="0"/>
          <w:szCs w:val="21"/>
          <w:lang w:val="zh-CN"/>
        </w:rPr>
        <w:t>掌握同步时序逻辑电路的设计方法，用小规模方法能正确设计一般的同步时序电路；</w:t>
      </w:r>
      <w:r>
        <w:rPr>
          <w:rFonts w:hint="eastAsia" w:ascii="Tahoma" w:hAnsi="Tahoma" w:cs="Tahoma"/>
          <w:color w:val="000000"/>
          <w:kern w:val="0"/>
          <w:szCs w:val="21"/>
        </w:rPr>
        <w:t>（重点、难点）</w:t>
      </w:r>
    </w:p>
    <w:p>
      <w:pPr>
        <w:adjustRightInd w:val="0"/>
        <w:snapToGrid w:val="0"/>
        <w:spacing w:line="360" w:lineRule="auto"/>
        <w:ind w:firstLine="420" w:firstLineChars="200"/>
        <w:rPr>
          <w:rFonts w:ascii="宋体" w:hAnsi="Tahoma" w:cs="宋体"/>
          <w:color w:val="000000"/>
          <w:kern w:val="0"/>
          <w:szCs w:val="21"/>
          <w:lang w:val="zh-CN"/>
        </w:rPr>
      </w:pPr>
      <w:r>
        <w:rPr>
          <w:rFonts w:hint="eastAsia" w:ascii="宋体" w:hAnsi="Tahoma" w:cs="宋体"/>
          <w:color w:val="000000"/>
          <w:kern w:val="0"/>
          <w:szCs w:val="21"/>
        </w:rPr>
        <w:t>5.3、</w:t>
      </w:r>
      <w:r>
        <w:rPr>
          <w:rFonts w:hint="eastAsia" w:ascii="宋体" w:hAnsi="Tahoma" w:cs="宋体"/>
          <w:color w:val="000000"/>
          <w:kern w:val="0"/>
          <w:szCs w:val="21"/>
          <w:lang w:val="zh-CN"/>
        </w:rPr>
        <w:t>熟练掌握常用中规模时序逻辑器件的逻辑功能及使用方法，能正确应用寄存器、计数器集成芯片实现其它时序逻辑；具有使用新的时序逻辑器件设计电路的能力；</w:t>
      </w:r>
      <w:r>
        <w:rPr>
          <w:rFonts w:hint="eastAsia" w:ascii="Tahoma" w:hAnsi="Tahoma" w:cs="Tahoma"/>
          <w:color w:val="000000"/>
          <w:kern w:val="0"/>
          <w:szCs w:val="21"/>
        </w:rPr>
        <w:t>（重点、难点）</w:t>
      </w:r>
    </w:p>
    <w:p>
      <w:pPr>
        <w:adjustRightInd w:val="0"/>
        <w:snapToGrid w:val="0"/>
        <w:spacing w:line="360" w:lineRule="auto"/>
        <w:ind w:firstLine="420" w:firstLineChars="200"/>
        <w:rPr>
          <w:rFonts w:ascii="宋体" w:hAnsi="Tahoma" w:cs="宋体"/>
          <w:color w:val="000000"/>
          <w:kern w:val="0"/>
          <w:szCs w:val="21"/>
        </w:rPr>
      </w:pPr>
      <w:r>
        <w:rPr>
          <w:rFonts w:hint="eastAsia" w:ascii="宋体" w:hAnsi="Tahoma" w:cs="宋体"/>
          <w:color w:val="000000"/>
          <w:kern w:val="0"/>
          <w:szCs w:val="21"/>
        </w:rPr>
        <w:t>5.4、 理解顺序脉冲发生器及序列信号发生器的工作原理及常用实现方法。</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3</w:t>
      </w:r>
      <w:r>
        <w:rPr>
          <w:rFonts w:hint="eastAsia" w:cs="宋体"/>
          <w:bCs/>
          <w:snapToGrid w:val="0"/>
          <w:kern w:val="0"/>
          <w:szCs w:val="21"/>
        </w:rPr>
        <w:t>。</w:t>
      </w:r>
    </w:p>
    <w:p>
      <w:pPr>
        <w:adjustRightInd w:val="0"/>
        <w:snapToGrid w:val="0"/>
        <w:spacing w:line="360" w:lineRule="auto"/>
        <w:rPr>
          <w:rFonts w:ascii="黑体" w:hAnsi="黑体" w:eastAsia="黑体" w:cs="黑体"/>
          <w:szCs w:val="21"/>
        </w:rPr>
      </w:pPr>
      <w:r>
        <w:rPr>
          <w:rFonts w:hAnsi="宋体"/>
          <w:szCs w:val="21"/>
        </w:rPr>
        <w:t xml:space="preserve">   </w:t>
      </w:r>
      <w:r>
        <w:rPr>
          <w:rFonts w:hint="eastAsia" w:ascii="黑体" w:hAnsi="黑体" w:eastAsia="黑体" w:cs="黑体"/>
          <w:szCs w:val="21"/>
        </w:rPr>
        <w:t xml:space="preserve"> 6 脉冲信号的产生与整形</w:t>
      </w:r>
      <w:r>
        <w:rPr>
          <w:rFonts w:hint="eastAsia" w:ascii="黑体" w:hAnsi="黑体" w:eastAsia="黑体"/>
          <w:szCs w:val="21"/>
        </w:rPr>
        <w:t>（4学时）</w:t>
      </w:r>
    </w:p>
    <w:p>
      <w:pPr>
        <w:adjustRightInd w:val="0"/>
        <w:snapToGrid w:val="0"/>
        <w:spacing w:line="360" w:lineRule="auto"/>
        <w:ind w:firstLine="420" w:firstLineChars="200"/>
        <w:rPr>
          <w:szCs w:val="21"/>
        </w:rPr>
      </w:pPr>
      <w:r>
        <w:rPr>
          <w:rFonts w:hint="eastAsia" w:ascii="宋体" w:hAnsi="Tahoma" w:cs="宋体"/>
          <w:color w:val="000000"/>
          <w:kern w:val="0"/>
          <w:szCs w:val="21"/>
        </w:rPr>
        <w:t>6.1、</w:t>
      </w:r>
      <w:r>
        <w:rPr>
          <w:rFonts w:hint="eastAsia" w:ascii="宋体" w:hAnsi="Tahoma" w:cs="宋体"/>
          <w:color w:val="000000"/>
          <w:kern w:val="0"/>
          <w:szCs w:val="21"/>
          <w:lang w:val="zh-CN"/>
        </w:rPr>
        <w:t>了解脉冲产生与整形在电路中的作用；</w:t>
      </w:r>
    </w:p>
    <w:p>
      <w:pPr>
        <w:adjustRightInd w:val="0"/>
        <w:snapToGrid w:val="0"/>
        <w:spacing w:line="360" w:lineRule="auto"/>
        <w:ind w:firstLine="420" w:firstLineChars="200"/>
        <w:rPr>
          <w:szCs w:val="21"/>
        </w:rPr>
      </w:pPr>
      <w:r>
        <w:rPr>
          <w:rFonts w:hint="eastAsia" w:ascii="宋体" w:hAnsi="Tahoma" w:cs="宋体"/>
          <w:color w:val="000000"/>
          <w:kern w:val="0"/>
          <w:szCs w:val="21"/>
        </w:rPr>
        <w:t>6.2、</w:t>
      </w:r>
      <w:r>
        <w:rPr>
          <w:rFonts w:hint="eastAsia" w:ascii="宋体" w:hAnsi="Tahoma" w:cs="宋体"/>
          <w:color w:val="000000"/>
          <w:kern w:val="0"/>
          <w:szCs w:val="21"/>
          <w:lang w:val="zh-CN"/>
        </w:rPr>
        <w:t>熟练掌握</w:t>
      </w:r>
      <w:r>
        <w:rPr>
          <w:rFonts w:ascii="Tahoma" w:hAnsi="Tahoma" w:cs="Tahoma"/>
          <w:color w:val="000000"/>
          <w:kern w:val="0"/>
          <w:szCs w:val="21"/>
        </w:rPr>
        <w:t>555</w:t>
      </w:r>
      <w:r>
        <w:rPr>
          <w:rFonts w:hint="eastAsia" w:ascii="宋体" w:hAnsi="Tahoma" w:cs="宋体"/>
          <w:color w:val="000000"/>
          <w:kern w:val="0"/>
          <w:szCs w:val="21"/>
          <w:lang w:val="zh-CN"/>
        </w:rPr>
        <w:t>定时器的工作原理及其组成施密特触发器、单稳态触发器和多谐振荡器的方法；</w:t>
      </w:r>
      <w:r>
        <w:rPr>
          <w:rFonts w:hint="eastAsia" w:ascii="Tahoma" w:hAnsi="Tahoma" w:cs="Tahoma"/>
          <w:color w:val="000000"/>
          <w:kern w:val="0"/>
          <w:szCs w:val="21"/>
        </w:rPr>
        <w:t>（重点）</w:t>
      </w:r>
    </w:p>
    <w:p>
      <w:pPr>
        <w:autoSpaceDE w:val="0"/>
        <w:autoSpaceDN w:val="0"/>
        <w:adjustRightInd w:val="0"/>
        <w:snapToGrid w:val="0"/>
        <w:spacing w:line="360" w:lineRule="auto"/>
        <w:ind w:firstLine="403" w:firstLineChars="192"/>
        <w:jc w:val="left"/>
        <w:rPr>
          <w:rFonts w:ascii="宋体" w:hAnsi="Tahoma" w:cs="宋体"/>
          <w:color w:val="000000"/>
          <w:szCs w:val="21"/>
          <w:lang w:val="zh-CN"/>
        </w:rPr>
      </w:pPr>
      <w:r>
        <w:rPr>
          <w:rFonts w:hint="eastAsia" w:ascii="宋体" w:hAnsi="Tahoma" w:cs="宋体"/>
          <w:color w:val="000000"/>
          <w:szCs w:val="21"/>
        </w:rPr>
        <w:t>6.3、</w:t>
      </w:r>
      <w:r>
        <w:rPr>
          <w:rFonts w:hint="eastAsia" w:ascii="宋体" w:hAnsi="Tahoma" w:cs="宋体"/>
          <w:color w:val="000000"/>
          <w:szCs w:val="21"/>
          <w:lang w:val="zh-CN"/>
        </w:rPr>
        <w:t>了解用门电路组成的环形振荡器、晶体振荡器、单稳态触发器及施密特触发器的方法和工作原理，了解其他集成</w:t>
      </w:r>
      <w:r>
        <w:rPr>
          <w:rFonts w:hint="eastAsia" w:ascii="宋体" w:hAnsi="Tahoma" w:cs="宋体"/>
          <w:color w:val="000000"/>
          <w:kern w:val="0"/>
          <w:szCs w:val="21"/>
          <w:lang w:val="zh-CN"/>
        </w:rPr>
        <w:t>施密特触发器、单稳态触发器及其应用</w:t>
      </w:r>
      <w:r>
        <w:rPr>
          <w:rFonts w:hint="eastAsia" w:ascii="宋体" w:hAnsi="Tahoma" w:cs="宋体"/>
          <w:color w:val="000000"/>
          <w:szCs w:val="21"/>
          <w:lang w:val="zh-CN"/>
        </w:rPr>
        <w:t>。</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rPr>
          <w:rFonts w:ascii="黑体" w:hAnsi="黑体" w:eastAsia="黑体" w:cs="黑体"/>
          <w:szCs w:val="21"/>
        </w:rPr>
      </w:pPr>
      <w:r>
        <w:rPr>
          <w:rFonts w:hint="eastAsia" w:ascii="黑体" w:hAnsi="黑体" w:eastAsia="黑体" w:cs="黑体"/>
          <w:szCs w:val="21"/>
        </w:rPr>
        <w:t>7 半导体存储器</w:t>
      </w:r>
      <w:r>
        <w:rPr>
          <w:rFonts w:hint="eastAsia" w:ascii="黑体" w:hAnsi="黑体" w:eastAsia="黑体"/>
          <w:szCs w:val="21"/>
        </w:rPr>
        <w:t>（4学时）</w:t>
      </w:r>
    </w:p>
    <w:p>
      <w:pPr>
        <w:adjustRightInd w:val="0"/>
        <w:snapToGrid w:val="0"/>
        <w:spacing w:line="360" w:lineRule="auto"/>
        <w:ind w:firstLine="420" w:firstLineChars="200"/>
        <w:rPr>
          <w:szCs w:val="21"/>
        </w:rPr>
      </w:pPr>
      <w:r>
        <w:rPr>
          <w:color w:val="000000"/>
          <w:kern w:val="0"/>
          <w:szCs w:val="21"/>
        </w:rPr>
        <w:t>7.1</w:t>
      </w:r>
      <w:r>
        <w:rPr>
          <w:rFonts w:hint="eastAsia"/>
          <w:color w:val="000000"/>
          <w:kern w:val="0"/>
          <w:szCs w:val="21"/>
        </w:rPr>
        <w:t>、</w:t>
      </w:r>
      <w:r>
        <w:rPr>
          <w:rFonts w:hint="eastAsia"/>
          <w:color w:val="000000"/>
          <w:kern w:val="0"/>
          <w:szCs w:val="21"/>
          <w:lang w:val="zh-CN"/>
        </w:rPr>
        <w:t>掌握存储器地址、字、位、存储容量等基本概念；</w:t>
      </w:r>
    </w:p>
    <w:p>
      <w:pPr>
        <w:adjustRightInd w:val="0"/>
        <w:snapToGrid w:val="0"/>
        <w:spacing w:line="360" w:lineRule="auto"/>
        <w:ind w:firstLine="420" w:firstLineChars="200"/>
        <w:rPr>
          <w:szCs w:val="21"/>
        </w:rPr>
      </w:pPr>
      <w:r>
        <w:rPr>
          <w:color w:val="000000"/>
          <w:kern w:val="0"/>
          <w:szCs w:val="21"/>
        </w:rPr>
        <w:t>7.2</w:t>
      </w:r>
      <w:r>
        <w:rPr>
          <w:rFonts w:hint="eastAsia"/>
          <w:color w:val="000000"/>
          <w:kern w:val="0"/>
          <w:szCs w:val="21"/>
        </w:rPr>
        <w:t>、</w:t>
      </w:r>
      <w:r>
        <w:rPr>
          <w:rFonts w:hint="eastAsia"/>
          <w:color w:val="000000"/>
          <w:kern w:val="0"/>
          <w:szCs w:val="21"/>
          <w:lang w:val="zh-CN"/>
        </w:rPr>
        <w:t>掌握</w:t>
      </w:r>
      <w:r>
        <w:rPr>
          <w:color w:val="000000"/>
          <w:kern w:val="0"/>
          <w:szCs w:val="21"/>
        </w:rPr>
        <w:t>ROM</w:t>
      </w:r>
      <w:r>
        <w:rPr>
          <w:rFonts w:hint="eastAsia"/>
          <w:color w:val="000000"/>
          <w:kern w:val="0"/>
          <w:szCs w:val="21"/>
          <w:lang w:val="zh-CN"/>
        </w:rPr>
        <w:t>的电路结构、工作原理和使用方法，理解用</w:t>
      </w:r>
      <w:r>
        <w:rPr>
          <w:color w:val="000000"/>
          <w:kern w:val="0"/>
          <w:szCs w:val="21"/>
        </w:rPr>
        <w:t>ROM</w:t>
      </w:r>
      <w:r>
        <w:rPr>
          <w:rFonts w:hint="eastAsia"/>
          <w:color w:val="000000"/>
          <w:kern w:val="0"/>
          <w:szCs w:val="21"/>
        </w:rPr>
        <w:t>实现组合逻辑函数的方法；（重点）</w:t>
      </w:r>
    </w:p>
    <w:p>
      <w:pPr>
        <w:adjustRightInd w:val="0"/>
        <w:snapToGrid w:val="0"/>
        <w:spacing w:line="360" w:lineRule="auto"/>
        <w:ind w:firstLine="420" w:firstLineChars="200"/>
        <w:rPr>
          <w:szCs w:val="21"/>
        </w:rPr>
      </w:pPr>
      <w:r>
        <w:rPr>
          <w:color w:val="000000"/>
          <w:kern w:val="0"/>
          <w:szCs w:val="21"/>
        </w:rPr>
        <w:t>7.3</w:t>
      </w:r>
      <w:r>
        <w:rPr>
          <w:rFonts w:hint="eastAsia"/>
          <w:color w:val="000000"/>
          <w:kern w:val="0"/>
          <w:szCs w:val="21"/>
        </w:rPr>
        <w:t>、</w:t>
      </w:r>
      <w:r>
        <w:rPr>
          <w:rFonts w:hint="eastAsia"/>
          <w:color w:val="000000"/>
          <w:kern w:val="0"/>
          <w:szCs w:val="21"/>
          <w:lang w:val="zh-CN"/>
        </w:rPr>
        <w:t>掌握</w:t>
      </w:r>
      <w:r>
        <w:rPr>
          <w:color w:val="000000"/>
          <w:kern w:val="0"/>
          <w:szCs w:val="21"/>
        </w:rPr>
        <w:t>RAM</w:t>
      </w:r>
      <w:r>
        <w:rPr>
          <w:rFonts w:hint="eastAsia"/>
          <w:color w:val="000000"/>
          <w:kern w:val="0"/>
          <w:szCs w:val="21"/>
          <w:lang w:val="zh-CN"/>
        </w:rPr>
        <w:t>的电路结构、工作原理，了解静态</w:t>
      </w:r>
      <w:r>
        <w:rPr>
          <w:color w:val="000000"/>
          <w:kern w:val="0"/>
          <w:szCs w:val="21"/>
        </w:rPr>
        <w:t>RAM</w:t>
      </w:r>
      <w:r>
        <w:rPr>
          <w:rFonts w:hint="eastAsia"/>
          <w:color w:val="000000"/>
          <w:kern w:val="0"/>
          <w:szCs w:val="21"/>
          <w:lang w:val="zh-CN"/>
        </w:rPr>
        <w:t>和动态</w:t>
      </w:r>
      <w:r>
        <w:rPr>
          <w:color w:val="000000"/>
          <w:kern w:val="0"/>
          <w:szCs w:val="21"/>
        </w:rPr>
        <w:t>RAM</w:t>
      </w:r>
      <w:r>
        <w:rPr>
          <w:rFonts w:hint="eastAsia"/>
          <w:color w:val="000000"/>
          <w:kern w:val="0"/>
          <w:szCs w:val="21"/>
          <w:lang w:val="zh-CN"/>
        </w:rPr>
        <w:t>的存储原理、使用方法；</w:t>
      </w:r>
      <w:r>
        <w:rPr>
          <w:rFonts w:hint="eastAsia"/>
          <w:color w:val="000000"/>
          <w:kern w:val="0"/>
          <w:szCs w:val="21"/>
        </w:rPr>
        <w:t>（重点）</w:t>
      </w:r>
    </w:p>
    <w:p>
      <w:pPr>
        <w:adjustRightInd w:val="0"/>
        <w:snapToGrid w:val="0"/>
        <w:spacing w:line="360" w:lineRule="auto"/>
        <w:ind w:firstLine="420" w:firstLineChars="200"/>
        <w:rPr>
          <w:color w:val="000000"/>
          <w:kern w:val="0"/>
          <w:szCs w:val="21"/>
        </w:rPr>
      </w:pPr>
      <w:r>
        <w:rPr>
          <w:color w:val="000000"/>
          <w:kern w:val="0"/>
          <w:szCs w:val="21"/>
        </w:rPr>
        <w:t>7.4</w:t>
      </w:r>
      <w:r>
        <w:rPr>
          <w:rFonts w:hint="eastAsia"/>
          <w:color w:val="000000"/>
          <w:kern w:val="0"/>
          <w:szCs w:val="21"/>
        </w:rPr>
        <w:t>、</w:t>
      </w:r>
      <w:r>
        <w:rPr>
          <w:rFonts w:hint="eastAsia"/>
          <w:color w:val="000000"/>
          <w:kern w:val="0"/>
          <w:szCs w:val="21"/>
          <w:lang w:val="zh-CN"/>
        </w:rPr>
        <w:t>掌握</w:t>
      </w:r>
      <w:r>
        <w:rPr>
          <w:rFonts w:hint="eastAsia"/>
          <w:szCs w:val="21"/>
        </w:rPr>
        <w:t>存储容量的扩展方法。</w:t>
      </w:r>
      <w:r>
        <w:rPr>
          <w:rFonts w:hint="eastAsia"/>
          <w:color w:val="000000"/>
          <w:kern w:val="0"/>
          <w:szCs w:val="21"/>
        </w:rPr>
        <w:t>（重点）</w:t>
      </w:r>
    </w:p>
    <w:p>
      <w:pPr>
        <w:adjustRightInd w:val="0"/>
        <w:snapToGrid w:val="0"/>
        <w:spacing w:line="360" w:lineRule="auto"/>
        <w:ind w:firstLine="420" w:firstLineChars="200"/>
        <w:rPr>
          <w:rFonts w:ascii="宋体" w:hAnsi="Tahoma" w:cs="宋体"/>
          <w:kern w:val="0"/>
          <w:szCs w:val="21"/>
          <w:lang w:val="zh-CN"/>
        </w:rPr>
      </w:pPr>
      <w:r>
        <w:rPr>
          <w:rFonts w:hint="eastAsia" w:cs="宋体"/>
          <w:bCs/>
          <w:snapToGrid w:val="0"/>
          <w:kern w:val="0"/>
          <w:szCs w:val="21"/>
        </w:rPr>
        <w:t>本章内容支撑课程目标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rPr>
          <w:rFonts w:ascii="黑体" w:hAnsi="黑体" w:eastAsia="黑体" w:cs="黑体"/>
          <w:szCs w:val="21"/>
        </w:rPr>
      </w:pPr>
      <w:r>
        <w:rPr>
          <w:rFonts w:hint="eastAsia" w:ascii="黑体" w:hAnsi="黑体" w:eastAsia="黑体" w:cs="黑体"/>
          <w:szCs w:val="21"/>
        </w:rPr>
        <w:t>8 可编程逻辑器件</w:t>
      </w:r>
      <w:r>
        <w:rPr>
          <w:rFonts w:hint="eastAsia" w:ascii="黑体" w:hAnsi="黑体" w:eastAsia="黑体"/>
          <w:szCs w:val="21"/>
        </w:rPr>
        <w:t>（4学时）</w:t>
      </w:r>
    </w:p>
    <w:p>
      <w:pPr>
        <w:adjustRightInd w:val="0"/>
        <w:snapToGrid w:val="0"/>
        <w:spacing w:line="360" w:lineRule="auto"/>
        <w:ind w:firstLine="420" w:firstLineChars="200"/>
        <w:rPr>
          <w:rFonts w:hAnsi="宋体"/>
          <w:szCs w:val="21"/>
        </w:rPr>
      </w:pPr>
      <w:r>
        <w:rPr>
          <w:rFonts w:hAnsi="宋体"/>
          <w:szCs w:val="21"/>
        </w:rPr>
        <w:t>8.1</w:t>
      </w:r>
      <w:r>
        <w:rPr>
          <w:rFonts w:hint="eastAsia" w:hAnsi="宋体"/>
          <w:szCs w:val="21"/>
        </w:rPr>
        <w:t>、理解可编程逻辑器件的基本特征及编程原理；</w:t>
      </w:r>
    </w:p>
    <w:p>
      <w:pPr>
        <w:adjustRightInd w:val="0"/>
        <w:snapToGrid w:val="0"/>
        <w:spacing w:line="360" w:lineRule="auto"/>
        <w:ind w:firstLine="420" w:firstLineChars="200"/>
        <w:rPr>
          <w:rFonts w:hAnsi="宋体"/>
          <w:szCs w:val="21"/>
        </w:rPr>
      </w:pPr>
      <w:r>
        <w:rPr>
          <w:rFonts w:hAnsi="宋体"/>
          <w:szCs w:val="21"/>
        </w:rPr>
        <w:t>8.2</w:t>
      </w:r>
      <w:r>
        <w:rPr>
          <w:rFonts w:hint="eastAsia" w:hAnsi="宋体"/>
          <w:szCs w:val="21"/>
        </w:rPr>
        <w:t>、了解典型可编程逻辑器件的电路结构、特点和使用方法；</w:t>
      </w:r>
    </w:p>
    <w:p>
      <w:pPr>
        <w:adjustRightInd w:val="0"/>
        <w:snapToGrid w:val="0"/>
        <w:spacing w:line="360" w:lineRule="auto"/>
        <w:ind w:firstLine="420" w:firstLineChars="200"/>
        <w:rPr>
          <w:rFonts w:hAnsi="宋体"/>
          <w:szCs w:val="21"/>
        </w:rPr>
      </w:pPr>
      <w:r>
        <w:rPr>
          <w:rFonts w:hAnsi="宋体"/>
          <w:szCs w:val="21"/>
        </w:rPr>
        <w:t>8.3</w:t>
      </w:r>
      <w:r>
        <w:rPr>
          <w:rFonts w:hint="eastAsia" w:hAnsi="宋体"/>
          <w:szCs w:val="21"/>
        </w:rPr>
        <w:t>、了解可编程逻辑器件的开发技术；</w:t>
      </w:r>
    </w:p>
    <w:p>
      <w:pPr>
        <w:adjustRightInd w:val="0"/>
        <w:snapToGrid w:val="0"/>
        <w:spacing w:line="360" w:lineRule="auto"/>
        <w:ind w:firstLine="420" w:firstLineChars="200"/>
        <w:rPr>
          <w:rFonts w:ascii="Tahoma" w:hAnsi="Tahoma" w:cs="Tahoma"/>
          <w:color w:val="000000"/>
          <w:kern w:val="0"/>
          <w:szCs w:val="21"/>
        </w:rPr>
      </w:pPr>
      <w:r>
        <w:rPr>
          <w:rFonts w:hAnsi="宋体"/>
          <w:szCs w:val="21"/>
        </w:rPr>
        <w:t>8.4</w:t>
      </w:r>
      <w:r>
        <w:rPr>
          <w:rFonts w:hint="eastAsia" w:hAnsi="宋体"/>
          <w:szCs w:val="21"/>
        </w:rPr>
        <w:t>、理解基于可编程逻辑器件的数字系统的设计方法。</w:t>
      </w:r>
      <w:r>
        <w:rPr>
          <w:rFonts w:hAnsi="宋体"/>
          <w:szCs w:val="21"/>
        </w:rPr>
        <w:t xml:space="preserve"> </w:t>
      </w:r>
      <w:r>
        <w:rPr>
          <w:rFonts w:hint="eastAsia" w:ascii="Tahoma" w:hAnsi="Tahoma" w:cs="Tahoma"/>
          <w:color w:val="000000"/>
          <w:kern w:val="0"/>
          <w:szCs w:val="21"/>
        </w:rPr>
        <w:t>（重点）</w:t>
      </w:r>
    </w:p>
    <w:p>
      <w:pPr>
        <w:autoSpaceDE w:val="0"/>
        <w:autoSpaceDN w:val="0"/>
        <w:adjustRightInd w:val="0"/>
        <w:snapToGrid w:val="0"/>
        <w:spacing w:line="360" w:lineRule="auto"/>
        <w:ind w:firstLine="420" w:firstLineChars="200"/>
        <w:rPr>
          <w:rFonts w:ascii="黑体" w:hAnsi="宋体" w:eastAsia="黑体" w:cs="宋体"/>
          <w:snapToGrid w:val="0"/>
          <w:kern w:val="0"/>
          <w:szCs w:val="21"/>
        </w:rPr>
      </w:pPr>
      <w:r>
        <w:rPr>
          <w:rFonts w:hint="eastAsia" w:cs="宋体"/>
          <w:bCs/>
          <w:snapToGrid w:val="0"/>
          <w:kern w:val="0"/>
          <w:szCs w:val="21"/>
        </w:rPr>
        <w:t>本章内容支撑课程目标</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rPr>
          <w:rFonts w:ascii="黑体" w:hAnsi="黑体" w:eastAsia="黑体" w:cs="黑体"/>
          <w:szCs w:val="21"/>
        </w:rPr>
      </w:pPr>
      <w:r>
        <w:rPr>
          <w:rFonts w:hint="eastAsia" w:ascii="黑体" w:hAnsi="黑体" w:eastAsia="黑体" w:cs="黑体"/>
          <w:szCs w:val="21"/>
        </w:rPr>
        <w:t>9 模数与数模转换器</w:t>
      </w:r>
      <w:r>
        <w:rPr>
          <w:rFonts w:hint="eastAsia" w:ascii="黑体" w:hAnsi="黑体" w:eastAsia="黑体"/>
          <w:szCs w:val="21"/>
        </w:rPr>
        <w:t>（4学时）</w:t>
      </w:r>
    </w:p>
    <w:p>
      <w:pPr>
        <w:adjustRightInd w:val="0"/>
        <w:snapToGrid w:val="0"/>
        <w:spacing w:line="360" w:lineRule="auto"/>
        <w:ind w:firstLine="420" w:firstLineChars="200"/>
        <w:rPr>
          <w:rFonts w:hAnsi="宋体"/>
          <w:szCs w:val="21"/>
        </w:rPr>
      </w:pPr>
      <w:r>
        <w:rPr>
          <w:rFonts w:hAnsi="宋体"/>
          <w:szCs w:val="21"/>
        </w:rPr>
        <w:t>9.1</w:t>
      </w:r>
      <w:r>
        <w:rPr>
          <w:rFonts w:hint="eastAsia" w:hAnsi="宋体"/>
          <w:szCs w:val="21"/>
        </w:rPr>
        <w:t>、了解</w:t>
      </w:r>
      <w:r>
        <w:rPr>
          <w:rFonts w:hAnsi="宋体"/>
          <w:szCs w:val="21"/>
        </w:rPr>
        <w:t>D/A</w:t>
      </w:r>
      <w:r>
        <w:rPr>
          <w:rFonts w:hint="eastAsia" w:hAnsi="宋体"/>
          <w:szCs w:val="21"/>
        </w:rPr>
        <w:t>和</w:t>
      </w:r>
      <w:r>
        <w:rPr>
          <w:rFonts w:hAnsi="宋体"/>
          <w:szCs w:val="21"/>
        </w:rPr>
        <w:t>A/D</w:t>
      </w:r>
      <w:r>
        <w:rPr>
          <w:rFonts w:hint="eastAsia" w:hAnsi="宋体"/>
          <w:szCs w:val="21"/>
        </w:rPr>
        <w:t>在数字与模拟电路接口中的地位；</w:t>
      </w:r>
    </w:p>
    <w:p>
      <w:pPr>
        <w:adjustRightInd w:val="0"/>
        <w:snapToGrid w:val="0"/>
        <w:spacing w:line="360" w:lineRule="auto"/>
        <w:ind w:firstLine="420" w:firstLineChars="200"/>
        <w:rPr>
          <w:rFonts w:hAnsi="宋体"/>
          <w:szCs w:val="21"/>
        </w:rPr>
      </w:pPr>
      <w:r>
        <w:rPr>
          <w:rFonts w:hAnsi="宋体"/>
          <w:szCs w:val="21"/>
        </w:rPr>
        <w:t>9.2</w:t>
      </w:r>
      <w:r>
        <w:rPr>
          <w:rFonts w:hint="eastAsia" w:hAnsi="宋体"/>
          <w:szCs w:val="21"/>
        </w:rPr>
        <w:t>、掌握倒</w:t>
      </w:r>
      <w:r>
        <w:rPr>
          <w:rFonts w:hAnsi="宋体"/>
          <w:szCs w:val="21"/>
        </w:rPr>
        <w:t>T</w:t>
      </w:r>
      <w:r>
        <w:rPr>
          <w:rFonts w:hint="eastAsia" w:hAnsi="宋体"/>
          <w:szCs w:val="21"/>
        </w:rPr>
        <w:t>型电阻</w:t>
      </w:r>
      <w:r>
        <w:rPr>
          <w:rFonts w:hAnsi="宋体"/>
          <w:szCs w:val="21"/>
        </w:rPr>
        <w:t>D/A</w:t>
      </w:r>
      <w:r>
        <w:rPr>
          <w:rFonts w:hint="eastAsia" w:hAnsi="宋体"/>
          <w:szCs w:val="21"/>
        </w:rPr>
        <w:t>转换器、权电流型</w:t>
      </w:r>
      <w:r>
        <w:rPr>
          <w:rFonts w:hAnsi="宋体"/>
          <w:szCs w:val="21"/>
        </w:rPr>
        <w:t>D/A</w:t>
      </w:r>
      <w:r>
        <w:rPr>
          <w:rFonts w:hint="eastAsia" w:hAnsi="宋体"/>
          <w:szCs w:val="21"/>
        </w:rPr>
        <w:t>转换器的工作原理、性能指标和使用方法；</w:t>
      </w:r>
      <w:r>
        <w:rPr>
          <w:rFonts w:hint="eastAsia" w:ascii="Tahoma" w:hAnsi="Tahoma" w:cs="Tahoma"/>
          <w:color w:val="000000"/>
          <w:kern w:val="0"/>
          <w:szCs w:val="21"/>
        </w:rPr>
        <w:t>（重点）</w:t>
      </w:r>
    </w:p>
    <w:p>
      <w:pPr>
        <w:adjustRightInd w:val="0"/>
        <w:snapToGrid w:val="0"/>
        <w:spacing w:line="360" w:lineRule="auto"/>
        <w:ind w:firstLine="420" w:firstLineChars="200"/>
        <w:rPr>
          <w:rFonts w:hAnsi="宋体"/>
          <w:szCs w:val="21"/>
        </w:rPr>
      </w:pPr>
      <w:r>
        <w:rPr>
          <w:rFonts w:hAnsi="宋体"/>
          <w:szCs w:val="21"/>
        </w:rPr>
        <w:t>9.3</w:t>
      </w:r>
      <w:r>
        <w:rPr>
          <w:rFonts w:hint="eastAsia" w:hAnsi="宋体"/>
          <w:szCs w:val="21"/>
        </w:rPr>
        <w:t>、掌握并行比较型、逐次渐近型和双积分型</w:t>
      </w:r>
      <w:r>
        <w:rPr>
          <w:rFonts w:hAnsi="宋体"/>
          <w:szCs w:val="21"/>
        </w:rPr>
        <w:t>A/D</w:t>
      </w:r>
      <w:r>
        <w:rPr>
          <w:rFonts w:hint="eastAsia" w:hAnsi="宋体"/>
          <w:szCs w:val="21"/>
        </w:rPr>
        <w:t>转换器的工作原理，性能指标和使用方法；</w:t>
      </w:r>
      <w:r>
        <w:rPr>
          <w:rFonts w:hint="eastAsia" w:ascii="Tahoma" w:hAnsi="Tahoma" w:cs="Tahoma"/>
          <w:color w:val="000000"/>
          <w:kern w:val="0"/>
          <w:szCs w:val="21"/>
        </w:rPr>
        <w:t>（重点）</w:t>
      </w:r>
    </w:p>
    <w:p>
      <w:pPr>
        <w:autoSpaceDE w:val="0"/>
        <w:autoSpaceDN w:val="0"/>
        <w:adjustRightInd w:val="0"/>
        <w:snapToGrid w:val="0"/>
        <w:spacing w:line="360" w:lineRule="auto"/>
        <w:ind w:firstLine="420"/>
        <w:rPr>
          <w:rFonts w:ascii="黑体" w:hAnsi="宋体" w:eastAsia="黑体" w:cs="宋体"/>
          <w:snapToGrid w:val="0"/>
          <w:color w:val="0000FF"/>
          <w:kern w:val="0"/>
          <w:szCs w:val="21"/>
        </w:rPr>
      </w:pPr>
      <w:r>
        <w:rPr>
          <w:rFonts w:hAnsi="宋体"/>
          <w:szCs w:val="21"/>
        </w:rPr>
        <w:t>9.4</w:t>
      </w:r>
      <w:r>
        <w:rPr>
          <w:rFonts w:hint="eastAsia" w:hAnsi="宋体"/>
          <w:szCs w:val="21"/>
        </w:rPr>
        <w:t>、了解采样</w:t>
      </w:r>
      <w:r>
        <w:rPr>
          <w:rFonts w:hAnsi="宋体"/>
          <w:szCs w:val="21"/>
        </w:rPr>
        <w:t>/</w:t>
      </w:r>
      <w:r>
        <w:rPr>
          <w:rFonts w:hint="eastAsia" w:hAnsi="宋体"/>
          <w:szCs w:val="21"/>
        </w:rPr>
        <w:t>保持原理及常用集成采样</w:t>
      </w:r>
      <w:r>
        <w:rPr>
          <w:rFonts w:hAnsi="宋体"/>
          <w:szCs w:val="21"/>
        </w:rPr>
        <w:t>/</w:t>
      </w:r>
      <w:r>
        <w:rPr>
          <w:rFonts w:hint="eastAsia" w:hAnsi="宋体"/>
          <w:szCs w:val="21"/>
        </w:rPr>
        <w:t>保持器件</w:t>
      </w:r>
      <w:r>
        <w:rPr>
          <w:rFonts w:hAnsi="宋体"/>
          <w:szCs w:val="21"/>
        </w:rPr>
        <w:t>,</w:t>
      </w:r>
      <w:r>
        <w:rPr>
          <w:rFonts w:hint="eastAsia" w:hAnsi="宋体"/>
          <w:szCs w:val="21"/>
        </w:rPr>
        <w:t>了解一些常用的</w:t>
      </w:r>
      <w:r>
        <w:rPr>
          <w:rFonts w:hAnsi="宋体"/>
          <w:szCs w:val="21"/>
        </w:rPr>
        <w:t>D/A</w:t>
      </w:r>
      <w:r>
        <w:rPr>
          <w:rFonts w:hint="eastAsia" w:hAnsi="宋体"/>
          <w:szCs w:val="21"/>
        </w:rPr>
        <w:t>和</w:t>
      </w:r>
      <w:r>
        <w:rPr>
          <w:rFonts w:hAnsi="宋体"/>
          <w:szCs w:val="21"/>
        </w:rPr>
        <w:t>A/D</w:t>
      </w:r>
      <w:r>
        <w:rPr>
          <w:rFonts w:hint="eastAsia" w:hAnsi="宋体"/>
          <w:szCs w:val="21"/>
        </w:rPr>
        <w:t>芯片。</w:t>
      </w:r>
    </w:p>
    <w:p>
      <w:pPr>
        <w:autoSpaceDE w:val="0"/>
        <w:autoSpaceDN w:val="0"/>
        <w:adjustRightInd w:val="0"/>
        <w:snapToGrid w:val="0"/>
        <w:spacing w:line="360" w:lineRule="auto"/>
        <w:ind w:firstLine="420" w:firstLineChars="200"/>
        <w:rPr>
          <w:rFonts w:ascii="黑体" w:hAnsi="宋体" w:eastAsia="黑体" w:cs="宋体"/>
          <w:snapToGrid w:val="0"/>
          <w:kern w:val="0"/>
          <w:szCs w:val="21"/>
        </w:rPr>
      </w:pPr>
      <w:r>
        <w:rPr>
          <w:rFonts w:hint="eastAsia" w:cs="宋体"/>
          <w:bCs/>
          <w:snapToGrid w:val="0"/>
          <w:kern w:val="0"/>
          <w:szCs w:val="21"/>
        </w:rPr>
        <w:t>本章内容支撑课程目标</w:t>
      </w:r>
      <w:r>
        <w:rPr>
          <w:rFonts w:cs="宋体"/>
          <w:bCs/>
          <w:snapToGrid w:val="0"/>
          <w:kern w:val="0"/>
          <w:szCs w:val="21"/>
        </w:rPr>
        <w:t>2</w:t>
      </w:r>
      <w:r>
        <w:rPr>
          <w:rFonts w:hint="eastAsia" w:cs="宋体"/>
          <w:bCs/>
          <w:snapToGrid w:val="0"/>
          <w:kern w:val="0"/>
          <w:szCs w:val="21"/>
        </w:rPr>
        <w:t>。</w:t>
      </w:r>
    </w:p>
    <w:p>
      <w:pPr>
        <w:spacing w:line="360" w:lineRule="auto"/>
        <w:rPr>
          <w:rFonts w:eastAsia="黑体"/>
          <w:szCs w:val="21"/>
        </w:rPr>
      </w:pPr>
    </w:p>
    <w:p>
      <w:pPr>
        <w:tabs>
          <w:tab w:val="left" w:pos="420"/>
        </w:tabs>
        <w:adjustRightInd w:val="0"/>
        <w:snapToGrid w:val="0"/>
        <w:spacing w:line="360" w:lineRule="auto"/>
        <w:ind w:left="420" w:hanging="420"/>
        <w:rPr>
          <w:rFonts w:cs="宋体"/>
          <w:bCs/>
          <w:snapToGrid w:val="0"/>
          <w:color w:val="FF0000"/>
          <w:kern w:val="0"/>
          <w:szCs w:val="21"/>
        </w:rPr>
      </w:pPr>
      <w:r>
        <w:rPr>
          <w:rFonts w:hint="eastAsia" w:eastAsia="黑体"/>
          <w:szCs w:val="24"/>
        </w:rPr>
        <w:t>五、实验内容</w:t>
      </w:r>
    </w:p>
    <w:p>
      <w:pPr>
        <w:adjustRightInd w:val="0"/>
        <w:snapToGrid w:val="0"/>
        <w:spacing w:line="360" w:lineRule="auto"/>
        <w:ind w:firstLine="420" w:firstLineChars="200"/>
        <w:jc w:val="left"/>
        <w:rPr>
          <w:rFonts w:cs="宋体"/>
          <w:bCs/>
          <w:snapToGrid w:val="0"/>
          <w:color w:val="FF0000"/>
          <w:kern w:val="0"/>
          <w:szCs w:val="21"/>
        </w:rPr>
      </w:pPr>
      <w:r>
        <w:rPr>
          <w:rFonts w:hint="eastAsia"/>
          <w:szCs w:val="21"/>
        </w:rPr>
        <w:t>本课程实验独立设课</w:t>
      </w:r>
      <w:r>
        <w:rPr>
          <w:rFonts w:cs="宋体"/>
          <w:bCs/>
          <w:snapToGrid w:val="0"/>
          <w:color w:val="FF0000"/>
          <w:kern w:val="0"/>
          <w:szCs w:val="21"/>
        </w:rPr>
        <w:tab/>
      </w:r>
      <w:r>
        <w:rPr>
          <w:rFonts w:cs="宋体"/>
          <w:bCs/>
          <w:snapToGrid w:val="0"/>
          <w:color w:val="FF0000"/>
          <w:kern w:val="0"/>
          <w:szCs w:val="21"/>
        </w:rPr>
        <w:tab/>
      </w:r>
      <w:r>
        <w:rPr>
          <w:rFonts w:cs="宋体"/>
          <w:bCs/>
          <w:snapToGrid w:val="0"/>
          <w:color w:val="FF0000"/>
          <w:kern w:val="0"/>
          <w:szCs w:val="21"/>
        </w:rPr>
        <w:tab/>
      </w:r>
      <w:r>
        <w:rPr>
          <w:rFonts w:cs="宋体"/>
          <w:bCs/>
          <w:snapToGrid w:val="0"/>
          <w:color w:val="FF0000"/>
          <w:kern w:val="0"/>
          <w:szCs w:val="21"/>
        </w:rPr>
        <w:tab/>
      </w: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1457"/>
        <w:gridCol w:w="148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知识点及内容</w:t>
            </w:r>
          </w:p>
        </w:tc>
        <w:tc>
          <w:tcPr>
            <w:tcW w:w="8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讲授（学时）</w:t>
            </w:r>
          </w:p>
        </w:tc>
        <w:tc>
          <w:tcPr>
            <w:tcW w:w="8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实验（学时）</w:t>
            </w:r>
          </w:p>
        </w:tc>
        <w:tc>
          <w:tcPr>
            <w:tcW w:w="804"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360" w:firstLineChars="200"/>
              <w:jc w:val="left"/>
              <w:rPr>
                <w:sz w:val="18"/>
                <w:szCs w:val="18"/>
              </w:rPr>
            </w:pPr>
            <w:r>
              <w:rPr>
                <w:rFonts w:hint="eastAsia"/>
                <w:sz w:val="18"/>
                <w:szCs w:val="18"/>
              </w:rPr>
              <w:t>绪论</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1</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1 </w:t>
            </w:r>
            <w:r>
              <w:rPr>
                <w:rFonts w:hint="eastAsia"/>
                <w:sz w:val="18"/>
                <w:szCs w:val="18"/>
              </w:rPr>
              <w:t>数字电路基础</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7</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2 </w:t>
            </w:r>
            <w:r>
              <w:rPr>
                <w:rFonts w:hint="eastAsia"/>
                <w:sz w:val="18"/>
                <w:szCs w:val="18"/>
              </w:rPr>
              <w:t>集成逻辑门电路</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10</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3 </w:t>
            </w:r>
            <w:r>
              <w:rPr>
                <w:rFonts w:hint="eastAsia"/>
                <w:sz w:val="18"/>
                <w:szCs w:val="18"/>
              </w:rPr>
              <w:t>组合逻辑电路</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12</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4 </w:t>
            </w:r>
            <w:r>
              <w:rPr>
                <w:rFonts w:hint="eastAsia"/>
                <w:sz w:val="18"/>
                <w:szCs w:val="18"/>
              </w:rPr>
              <w:t>集成触发器</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6</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5 </w:t>
            </w:r>
            <w:r>
              <w:rPr>
                <w:rFonts w:hint="eastAsia"/>
                <w:sz w:val="18"/>
                <w:szCs w:val="18"/>
              </w:rPr>
              <w:t>时序逻辑电路</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12</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6 </w:t>
            </w:r>
            <w:r>
              <w:rPr>
                <w:rFonts w:hint="eastAsia"/>
                <w:sz w:val="18"/>
                <w:szCs w:val="18"/>
              </w:rPr>
              <w:t>脉冲波形的产生与整形</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4</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7 </w:t>
            </w:r>
            <w:r>
              <w:rPr>
                <w:rFonts w:hint="eastAsia"/>
                <w:sz w:val="18"/>
                <w:szCs w:val="18"/>
              </w:rPr>
              <w:t>半导体存储器</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4</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ind w:firstLine="270" w:firstLineChars="150"/>
              <w:jc w:val="left"/>
              <w:rPr>
                <w:sz w:val="18"/>
                <w:szCs w:val="18"/>
              </w:rPr>
            </w:pPr>
            <w:r>
              <w:rPr>
                <w:sz w:val="18"/>
                <w:szCs w:val="18"/>
              </w:rPr>
              <w:t xml:space="preserve">8 </w:t>
            </w:r>
            <w:r>
              <w:rPr>
                <w:rFonts w:hint="eastAsia"/>
                <w:sz w:val="18"/>
                <w:szCs w:val="18"/>
              </w:rPr>
              <w:t>可编程逻辑器件</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4</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tcPr>
          <w:p>
            <w:pPr>
              <w:adjustRightInd w:val="0"/>
              <w:snapToGrid w:val="0"/>
              <w:ind w:firstLine="270" w:firstLineChars="150"/>
              <w:jc w:val="left"/>
              <w:rPr>
                <w:sz w:val="18"/>
                <w:szCs w:val="18"/>
              </w:rPr>
            </w:pPr>
            <w:r>
              <w:rPr>
                <w:sz w:val="18"/>
                <w:szCs w:val="18"/>
              </w:rPr>
              <w:t xml:space="preserve">9 </w:t>
            </w:r>
            <w:r>
              <w:rPr>
                <w:rFonts w:hint="eastAsia"/>
                <w:sz w:val="18"/>
                <w:szCs w:val="18"/>
              </w:rPr>
              <w:t>模数与数模转换器</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4</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rFonts w:hint="eastAsia"/>
                <w:sz w:val="18"/>
                <w:szCs w:val="18"/>
              </w:rPr>
              <w:t>合计</w:t>
            </w:r>
          </w:p>
        </w:tc>
        <w:tc>
          <w:tcPr>
            <w:tcW w:w="8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64</w:t>
            </w:r>
          </w:p>
        </w:tc>
        <w:tc>
          <w:tcPr>
            <w:tcW w:w="869"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cs="宋体"/>
                <w:kern w:val="0"/>
                <w:sz w:val="18"/>
                <w:szCs w:val="18"/>
              </w:rPr>
            </w:pPr>
            <w:r>
              <w:rPr>
                <w:rFonts w:cs="宋体"/>
                <w:kern w:val="0"/>
                <w:sz w:val="18"/>
                <w:szCs w:val="18"/>
              </w:rPr>
              <w:t>0</w:t>
            </w:r>
          </w:p>
        </w:tc>
        <w:tc>
          <w:tcPr>
            <w:tcW w:w="804" w:type="pct"/>
            <w:tcBorders>
              <w:top w:val="single" w:color="auto" w:sz="4" w:space="0"/>
              <w:left w:val="single" w:color="auto" w:sz="4" w:space="0"/>
              <w:bottom w:val="single" w:color="auto" w:sz="4" w:space="0"/>
              <w:right w:val="nil"/>
            </w:tcBorders>
            <w:vAlign w:val="center"/>
          </w:tcPr>
          <w:p>
            <w:pPr>
              <w:widowControl/>
              <w:adjustRightInd w:val="0"/>
              <w:snapToGrid w:val="0"/>
              <w:jc w:val="center"/>
              <w:rPr>
                <w:rFonts w:cs="宋体"/>
                <w:kern w:val="0"/>
                <w:sz w:val="18"/>
                <w:szCs w:val="18"/>
              </w:rPr>
            </w:pPr>
            <w:r>
              <w:rPr>
                <w:rFonts w:cs="宋体"/>
                <w:kern w:val="0"/>
                <w:sz w:val="18"/>
                <w:szCs w:val="18"/>
              </w:rPr>
              <w:t>64</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rFonts w:ascii="宋体" w:hAnsi="宋体"/>
          <w:szCs w:val="21"/>
        </w:rPr>
      </w:pPr>
      <w:r>
        <w:rPr>
          <w:color w:val="0000FF"/>
          <w:szCs w:val="21"/>
        </w:rPr>
        <w:t xml:space="preserve"> </w:t>
      </w:r>
      <w:r>
        <w:rPr>
          <w:szCs w:val="21"/>
        </w:rPr>
        <w:t>1</w:t>
      </w:r>
      <w:r>
        <w:rPr>
          <w:rFonts w:hint="eastAsia"/>
          <w:szCs w:val="21"/>
        </w:rPr>
        <w:t>、</w:t>
      </w:r>
      <w:r>
        <w:rPr>
          <w:rFonts w:hint="eastAsia" w:ascii="宋体" w:hAnsi="宋体"/>
          <w:szCs w:val="21"/>
        </w:rPr>
        <w:t>韩焱主编，《数字电子技术基础(第2版)》，</w:t>
      </w:r>
      <w:r>
        <w:rPr>
          <w:szCs w:val="21"/>
        </w:rPr>
        <w:t>ISBN 978-7-121-21641-1</w:t>
      </w:r>
      <w:r>
        <w:rPr>
          <w:rFonts w:hint="eastAsia"/>
          <w:szCs w:val="21"/>
        </w:rPr>
        <w:t>，</w:t>
      </w:r>
      <w:r>
        <w:rPr>
          <w:rFonts w:hint="eastAsia" w:ascii="宋体" w:hAnsi="宋体"/>
          <w:szCs w:val="21"/>
        </w:rPr>
        <w:t>电子工业出版社。</w:t>
      </w:r>
    </w:p>
    <w:p>
      <w:pPr>
        <w:widowControl/>
        <w:spacing w:line="360" w:lineRule="atLeast"/>
        <w:jc w:val="left"/>
        <w:rPr>
          <w:szCs w:val="21"/>
        </w:rPr>
      </w:pPr>
      <w:r>
        <w:rPr>
          <w:szCs w:val="21"/>
        </w:rPr>
        <w:t xml:space="preserve">    2</w:t>
      </w:r>
      <w:r>
        <w:rPr>
          <w:rFonts w:hint="eastAsia"/>
          <w:szCs w:val="21"/>
        </w:rPr>
        <w:t>、</w:t>
      </w:r>
      <w:r>
        <w:rPr>
          <w:rFonts w:hint="eastAsia" w:ascii="宋体" w:hAnsi="宋体"/>
          <w:szCs w:val="21"/>
        </w:rPr>
        <w:t>阎石主编，《数字电子技术基础</w:t>
      </w:r>
      <w:r>
        <w:rPr>
          <w:rFonts w:hint="eastAsia" w:ascii="宋体" w:hAnsi="宋体" w:cs="宋体"/>
          <w:szCs w:val="21"/>
          <w:lang w:val="zh-CN"/>
        </w:rPr>
        <w:t>（第</w:t>
      </w:r>
      <w:r>
        <w:rPr>
          <w:rFonts w:hint="eastAsia" w:ascii="宋体" w:hAnsi="宋体" w:cs="宋体"/>
          <w:szCs w:val="21"/>
        </w:rPr>
        <w:t>五</w:t>
      </w:r>
      <w:r>
        <w:rPr>
          <w:rFonts w:hint="eastAsia" w:ascii="宋体" w:hAnsi="宋体" w:cs="宋体"/>
          <w:szCs w:val="21"/>
          <w:lang w:val="zh-CN"/>
        </w:rPr>
        <w:t>版）</w:t>
      </w:r>
      <w:r>
        <w:rPr>
          <w:rFonts w:hint="eastAsia" w:ascii="宋体" w:hAnsi="宋体"/>
          <w:szCs w:val="21"/>
        </w:rPr>
        <w:t>》，</w:t>
      </w:r>
      <w:r>
        <w:rPr>
          <w:szCs w:val="21"/>
        </w:rPr>
        <w:t>ISBN</w:t>
      </w:r>
      <w:r>
        <w:rPr>
          <w:rFonts w:hint="eastAsia"/>
          <w:szCs w:val="21"/>
        </w:rPr>
        <w:t>：</w:t>
      </w:r>
      <w:r>
        <w:rPr>
          <w:szCs w:val="21"/>
        </w:rPr>
        <w:t>9787040193831</w:t>
      </w:r>
      <w:r>
        <w:rPr>
          <w:rFonts w:hint="eastAsia"/>
          <w:szCs w:val="21"/>
        </w:rPr>
        <w:t>，</w:t>
      </w:r>
      <w:r>
        <w:rPr>
          <w:rFonts w:hint="eastAsia" w:ascii="宋体" w:hAnsi="宋体"/>
          <w:szCs w:val="21"/>
        </w:rPr>
        <w:t>高等教育出版社</w:t>
      </w:r>
      <w:r>
        <w:rPr>
          <w:rFonts w:hint="eastAsia"/>
          <w:szCs w:val="21"/>
        </w:rPr>
        <w:t>。</w:t>
      </w:r>
    </w:p>
    <w:p>
      <w:pPr>
        <w:widowControl/>
        <w:spacing w:line="360" w:lineRule="auto"/>
        <w:textAlignment w:val="top"/>
        <w:rPr>
          <w:szCs w:val="21"/>
        </w:rPr>
      </w:pPr>
      <w:r>
        <w:rPr>
          <w:szCs w:val="21"/>
        </w:rPr>
        <w:t xml:space="preserve">    3</w:t>
      </w:r>
      <w:r>
        <w:rPr>
          <w:rFonts w:hint="eastAsia"/>
          <w:szCs w:val="21"/>
        </w:rPr>
        <w:t>、</w:t>
      </w:r>
      <w:r>
        <w:rPr>
          <w:rFonts w:hint="eastAsia" w:ascii="宋体" w:hAnsi="宋体"/>
          <w:szCs w:val="21"/>
        </w:rPr>
        <w:t>成立主编，《数字电子技术（第3版）》，</w:t>
      </w:r>
      <w:r>
        <w:rPr>
          <w:szCs w:val="21"/>
        </w:rPr>
        <w:t>ISBN</w:t>
      </w:r>
      <w:r>
        <w:rPr>
          <w:rFonts w:hint="eastAsia"/>
          <w:szCs w:val="21"/>
        </w:rPr>
        <w:t>：</w:t>
      </w:r>
      <w:r>
        <w:rPr>
          <w:szCs w:val="21"/>
        </w:rPr>
        <w:t>9787111526476</w:t>
      </w:r>
      <w:r>
        <w:rPr>
          <w:rFonts w:hint="eastAsia"/>
          <w:szCs w:val="21"/>
        </w:rPr>
        <w:t>，</w:t>
      </w:r>
      <w:r>
        <w:rPr>
          <w:rFonts w:hint="eastAsia" w:ascii="宋体" w:hAnsi="宋体"/>
          <w:szCs w:val="21"/>
        </w:rPr>
        <w:t>机械工业出版社</w:t>
      </w:r>
      <w:r>
        <w:rPr>
          <w:rFonts w:hint="eastAsia"/>
          <w:szCs w:val="21"/>
        </w:rPr>
        <w:t>。</w:t>
      </w:r>
    </w:p>
    <w:p>
      <w:pPr>
        <w:tabs>
          <w:tab w:val="left" w:pos="420"/>
        </w:tabs>
        <w:spacing w:line="360" w:lineRule="auto"/>
        <w:ind w:firstLine="435"/>
        <w:rPr>
          <w:szCs w:val="21"/>
        </w:rPr>
      </w:pPr>
      <w:r>
        <w:rPr>
          <w:szCs w:val="21"/>
        </w:rPr>
        <w:t>4</w:t>
      </w:r>
      <w:r>
        <w:rPr>
          <w:rFonts w:hint="eastAsia"/>
          <w:szCs w:val="21"/>
        </w:rPr>
        <w:t>、《数字电子技术基础精品资源共享课》，山西省精品资源共享课，资料链接：</w:t>
      </w:r>
      <w:r>
        <w:fldChar w:fldCharType="begin"/>
      </w:r>
      <w:r>
        <w:instrText xml:space="preserve"> HYPERLINK "http://jpkc.nuc.edu.cn/szdzjsjc/" </w:instrText>
      </w:r>
      <w:r>
        <w:fldChar w:fldCharType="separate"/>
      </w:r>
      <w:r>
        <w:rPr>
          <w:rStyle w:val="27"/>
          <w:szCs w:val="21"/>
        </w:rPr>
        <w:t>http://jpkc.nuc.edu.cn/szdzjsjc/</w:t>
      </w:r>
      <w:r>
        <w:rPr>
          <w:rStyle w:val="27"/>
          <w:szCs w:val="21"/>
        </w:rPr>
        <w:fldChar w:fldCharType="end"/>
      </w:r>
      <w:r>
        <w:rPr>
          <w:rFonts w:hint="eastAsia"/>
          <w:szCs w:val="21"/>
        </w:rPr>
        <w:t>。</w:t>
      </w:r>
    </w:p>
    <w:p>
      <w:pPr>
        <w:tabs>
          <w:tab w:val="left" w:pos="420"/>
        </w:tabs>
        <w:spacing w:line="360" w:lineRule="auto"/>
        <w:ind w:firstLine="435"/>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pStyle w:val="19"/>
        <w:shd w:val="clear" w:color="auto" w:fill="FFFFFF"/>
        <w:spacing w:before="0" w:beforeAutospacing="0" w:after="0" w:afterAutospacing="0" w:line="360" w:lineRule="auto"/>
        <w:ind w:firstLine="420" w:firstLineChars="200"/>
        <w:jc w:val="both"/>
        <w:rPr>
          <w:color w:val="000000" w:themeColor="text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考核目标：通过本课程的考试，检查学生对掌握数字电路的基础理论知识的掌握程度，是否理解基本数字逻辑电路的工作原理，能否掌握数字逻辑电路的基本分析和设计方法，考查学生是否具有运用数字逻辑电路初步解决数字逻辑问题的能力。兼顾检查对前沿科技知识的了解程度。</w:t>
      </w:r>
    </w:p>
    <w:p>
      <w:pPr>
        <w:spacing w:line="360" w:lineRule="auto"/>
        <w:ind w:firstLine="420" w:firstLineChars="200"/>
        <w:rPr>
          <w:color w:val="FF0000"/>
          <w:szCs w:val="21"/>
        </w:rPr>
      </w:pPr>
      <w:r>
        <w:rPr>
          <w:szCs w:val="21"/>
        </w:rPr>
        <w:t>2</w:t>
      </w:r>
      <w:r>
        <w:rPr>
          <w:rFonts w:hint="eastAsia"/>
          <w:szCs w:val="21"/>
        </w:rPr>
        <w:t>、考核方式：</w:t>
      </w:r>
      <w:r>
        <w:rPr>
          <w:rFonts w:hint="eastAsia"/>
          <w:color w:val="000000" w:themeColor="text1"/>
          <w:szCs w:val="21"/>
          <w14:textFill>
            <w14:solidFill>
              <w14:schemeClr w14:val="tx1"/>
            </w14:solidFill>
          </w14:textFill>
        </w:rPr>
        <w:t>课堂提问、作业及考试</w:t>
      </w:r>
    </w:p>
    <w:p>
      <w:pPr>
        <w:spacing w:line="360" w:lineRule="auto"/>
        <w:ind w:firstLine="420" w:firstLineChars="200"/>
        <w:rPr>
          <w:szCs w:val="21"/>
        </w:rPr>
      </w:pPr>
      <w:r>
        <w:rPr>
          <w:szCs w:val="21"/>
        </w:rPr>
        <w:t>3</w:t>
      </w:r>
      <w:r>
        <w:rPr>
          <w:rFonts w:hint="eastAsia"/>
          <w:szCs w:val="21"/>
        </w:rPr>
        <w:t>、评价环节对课程目标达成贡献率及支撑材料：</w:t>
      </w:r>
      <w:r>
        <w:rPr>
          <w:szCs w:val="21"/>
        </w:rPr>
        <w:t xml:space="preserve"> </w:t>
      </w:r>
    </w:p>
    <w:tbl>
      <w:tblPr>
        <w:tblStyle w:val="22"/>
        <w:tblW w:w="84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659"/>
        <w:gridCol w:w="1735"/>
        <w:gridCol w:w="1737"/>
        <w:gridCol w:w="15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tcBorders>
              <w:top w:val="single" w:color="auto" w:sz="4" w:space="0"/>
              <w:left w:val="nil"/>
              <w:bottom w:val="single" w:color="auto" w:sz="4" w:space="0"/>
              <w:right w:val="single" w:color="auto" w:sz="4" w:space="0"/>
            </w:tcBorders>
            <w:vAlign w:val="center"/>
          </w:tcPr>
          <w:p>
            <w:pPr>
              <w:widowControl/>
              <w:jc w:val="center"/>
              <w:rPr>
                <w:kern w:val="0"/>
                <w:sz w:val="18"/>
              </w:rPr>
            </w:pPr>
            <w:r>
              <w:rPr>
                <w:rFonts w:hint="eastAsia"/>
                <w:kern w:val="0"/>
                <w:sz w:val="18"/>
              </w:rPr>
              <w:t>考察环节</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课堂情况</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作业</w:t>
            </w:r>
          </w:p>
        </w:tc>
        <w:tc>
          <w:tcPr>
            <w:tcW w:w="173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实验</w:t>
            </w:r>
          </w:p>
        </w:tc>
        <w:tc>
          <w:tcPr>
            <w:tcW w:w="1544" w:type="dxa"/>
            <w:tcBorders>
              <w:top w:val="single" w:color="auto" w:sz="4" w:space="0"/>
              <w:left w:val="single" w:color="auto" w:sz="4" w:space="0"/>
              <w:bottom w:val="single" w:color="auto" w:sz="4" w:space="0"/>
              <w:right w:val="nil"/>
            </w:tcBorders>
            <w:vAlign w:val="center"/>
          </w:tcPr>
          <w:p>
            <w:pPr>
              <w:widowControl/>
              <w:jc w:val="center"/>
              <w:rPr>
                <w:kern w:val="0"/>
                <w:sz w:val="18"/>
              </w:rPr>
            </w:pPr>
            <w:r>
              <w:rPr>
                <w:rFonts w:hint="eastAsia"/>
                <w:kern w:val="0"/>
                <w:sz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tcBorders>
              <w:top w:val="single" w:color="auto" w:sz="4" w:space="0"/>
              <w:left w:val="nil"/>
              <w:bottom w:val="single" w:color="auto" w:sz="4" w:space="0"/>
              <w:right w:val="single" w:color="auto" w:sz="4" w:space="0"/>
            </w:tcBorders>
            <w:vAlign w:val="center"/>
          </w:tcPr>
          <w:p>
            <w:pPr>
              <w:widowControl/>
              <w:jc w:val="center"/>
              <w:rPr>
                <w:kern w:val="0"/>
                <w:sz w:val="18"/>
              </w:rPr>
            </w:pPr>
            <w:r>
              <w:rPr>
                <w:rFonts w:hint="eastAsia"/>
                <w:kern w:val="0"/>
                <w:sz w:val="18"/>
              </w:rPr>
              <w:t>课程目标达成</w:t>
            </w:r>
          </w:p>
          <w:p>
            <w:pPr>
              <w:widowControl/>
              <w:jc w:val="center"/>
              <w:rPr>
                <w:kern w:val="0"/>
                <w:sz w:val="18"/>
              </w:rPr>
            </w:pPr>
            <w:r>
              <w:rPr>
                <w:rFonts w:hint="eastAsia"/>
                <w:kern w:val="0"/>
                <w:sz w:val="18"/>
              </w:rPr>
              <w:t>的贡献率</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0.1</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0.1</w:t>
            </w:r>
          </w:p>
        </w:tc>
        <w:tc>
          <w:tcPr>
            <w:tcW w:w="173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0</w:t>
            </w:r>
          </w:p>
        </w:tc>
        <w:tc>
          <w:tcPr>
            <w:tcW w:w="1544" w:type="dxa"/>
            <w:tcBorders>
              <w:top w:val="single" w:color="auto" w:sz="4" w:space="0"/>
              <w:left w:val="single" w:color="auto" w:sz="4" w:space="0"/>
              <w:bottom w:val="single" w:color="auto" w:sz="4" w:space="0"/>
              <w:right w:val="nil"/>
            </w:tcBorders>
            <w:vAlign w:val="center"/>
          </w:tcPr>
          <w:p>
            <w:pPr>
              <w:widowControl/>
              <w:jc w:val="center"/>
              <w:rPr>
                <w:kern w:val="0"/>
                <w:sz w:val="18"/>
              </w:rPr>
            </w:pPr>
            <w:r>
              <w:rPr>
                <w:kern w:val="0"/>
                <w:sz w:val="18"/>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6" w:type="dxa"/>
            <w:tcBorders>
              <w:top w:val="single" w:color="auto" w:sz="4" w:space="0"/>
              <w:left w:val="nil"/>
              <w:bottom w:val="single" w:color="auto" w:sz="4" w:space="0"/>
              <w:right w:val="single" w:color="auto" w:sz="4" w:space="0"/>
            </w:tcBorders>
            <w:vAlign w:val="center"/>
          </w:tcPr>
          <w:p>
            <w:pPr>
              <w:widowControl/>
              <w:jc w:val="center"/>
              <w:rPr>
                <w:kern w:val="0"/>
                <w:sz w:val="18"/>
              </w:rPr>
            </w:pPr>
            <w:r>
              <w:rPr>
                <w:rFonts w:hint="eastAsia"/>
                <w:kern w:val="0"/>
                <w:sz w:val="18"/>
              </w:rPr>
              <w:t>支撑材料</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课堂评价标准，课堂提问记录或随堂考试，结合出勤率等</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作业评价标准，典型作业拍照，或电子版</w:t>
            </w:r>
          </w:p>
        </w:tc>
        <w:tc>
          <w:tcPr>
            <w:tcW w:w="173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rFonts w:hint="eastAsia"/>
                <w:kern w:val="0"/>
                <w:sz w:val="18"/>
              </w:rPr>
              <w:t>无</w:t>
            </w:r>
          </w:p>
        </w:tc>
        <w:tc>
          <w:tcPr>
            <w:tcW w:w="1544" w:type="dxa"/>
            <w:tcBorders>
              <w:top w:val="single" w:color="auto" w:sz="4" w:space="0"/>
              <w:left w:val="single" w:color="auto" w:sz="4" w:space="0"/>
              <w:bottom w:val="single" w:color="auto" w:sz="4" w:space="0"/>
              <w:right w:val="nil"/>
            </w:tcBorders>
            <w:vAlign w:val="center"/>
          </w:tcPr>
          <w:p>
            <w:pPr>
              <w:widowControl/>
              <w:jc w:val="center"/>
              <w:rPr>
                <w:kern w:val="0"/>
                <w:sz w:val="18"/>
              </w:rPr>
            </w:pPr>
            <w:r>
              <w:rPr>
                <w:rFonts w:hint="eastAsia"/>
                <w:kern w:val="0"/>
                <w:sz w:val="18"/>
              </w:rPr>
              <w:t>试题评分标准，试卷</w:t>
            </w:r>
          </w:p>
        </w:tc>
      </w:tr>
    </w:tbl>
    <w:p>
      <w:pPr>
        <w:widowControl/>
        <w:spacing w:line="360" w:lineRule="auto"/>
        <w:jc w:val="left"/>
        <w:rPr>
          <w:rFonts w:eastAsia="黑体"/>
          <w:szCs w:val="24"/>
        </w:rPr>
      </w:pPr>
    </w:p>
    <w:p>
      <w:pPr>
        <w:spacing w:line="360" w:lineRule="auto"/>
        <w:ind w:firstLine="420" w:firstLineChars="200"/>
        <w:rPr>
          <w:b/>
          <w:bCs/>
          <w:color w:val="1D41D5"/>
          <w:szCs w:val="21"/>
        </w:rPr>
      </w:pPr>
      <w:r>
        <w:rPr>
          <w:rFonts w:hint="eastAsia"/>
          <w:szCs w:val="21"/>
        </w:rPr>
        <w:t>指导性课程目标评价题目分数分配：</w:t>
      </w:r>
      <w:r>
        <w:rPr>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880"/>
        <w:gridCol w:w="2190"/>
        <w:gridCol w:w="2037"/>
        <w:gridCol w:w="2415"/>
      </w:tblGrid>
      <w:tr>
        <w:tblPrEx>
          <w:tblCellMar>
            <w:top w:w="0" w:type="dxa"/>
            <w:left w:w="108" w:type="dxa"/>
            <w:bottom w:w="0" w:type="dxa"/>
            <w:right w:w="108" w:type="dxa"/>
          </w:tblCellMar>
        </w:tblPrEx>
        <w:trPr>
          <w:trHeight w:val="986" w:hRule="atLeast"/>
          <w:jc w:val="center"/>
        </w:trPr>
        <w:tc>
          <w:tcPr>
            <w:tcW w:w="110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课堂情况</w:t>
            </w:r>
          </w:p>
          <w:p>
            <w:pPr>
              <w:jc w:val="center"/>
              <w:rPr>
                <w:sz w:val="18"/>
                <w:szCs w:val="18"/>
              </w:rPr>
            </w:pPr>
            <w:r>
              <w:rPr>
                <w:sz w:val="18"/>
                <w:szCs w:val="18"/>
              </w:rPr>
              <w:t>W1</w:t>
            </w:r>
            <w:r>
              <w:rPr>
                <w:sz w:val="18"/>
                <w:szCs w:val="18"/>
                <w:vertAlign w:val="subscript"/>
              </w:rPr>
              <w:t>i</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w:t>
            </w:r>
          </w:p>
          <w:p>
            <w:pPr>
              <w:jc w:val="center"/>
              <w:rPr>
                <w:sz w:val="18"/>
                <w:szCs w:val="18"/>
              </w:rPr>
            </w:pPr>
            <w:r>
              <w:rPr>
                <w:sz w:val="18"/>
                <w:szCs w:val="18"/>
              </w:rPr>
              <w:t>W2</w:t>
            </w:r>
            <w:r>
              <w:rPr>
                <w:sz w:val="18"/>
                <w:szCs w:val="18"/>
                <w:vertAlign w:val="subscript"/>
              </w:rPr>
              <w:t>i</w:t>
            </w:r>
          </w:p>
        </w:tc>
        <w:tc>
          <w:tcPr>
            <w:tcW w:w="1417"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期末考试成绩</w:t>
            </w:r>
          </w:p>
          <w:p>
            <w:pPr>
              <w:jc w:val="center"/>
              <w:rPr>
                <w:sz w:val="18"/>
                <w:szCs w:val="18"/>
              </w:rPr>
            </w:pPr>
            <w:r>
              <w:rPr>
                <w:sz w:val="18"/>
                <w:szCs w:val="18"/>
              </w:rPr>
              <w:t>W4</w:t>
            </w:r>
            <w:r>
              <w:rPr>
                <w:sz w:val="18"/>
                <w:szCs w:val="18"/>
                <w:vertAlign w:val="subscript"/>
              </w:rPr>
              <w:t>i</w:t>
            </w:r>
          </w:p>
        </w:tc>
      </w:tr>
      <w:tr>
        <w:tblPrEx>
          <w:tblCellMar>
            <w:top w:w="0" w:type="dxa"/>
            <w:left w:w="108" w:type="dxa"/>
            <w:bottom w:w="0" w:type="dxa"/>
            <w:right w:w="108" w:type="dxa"/>
          </w:tblCellMar>
        </w:tblPrEx>
        <w:trPr>
          <w:jc w:val="center"/>
        </w:trPr>
        <w:tc>
          <w:tcPr>
            <w:tcW w:w="1103" w:type="pct"/>
            <w:tcBorders>
              <w:top w:val="nil"/>
              <w:left w:val="nil"/>
              <w:bottom w:val="single" w:color="auto" w:sz="4" w:space="0"/>
              <w:right w:val="single" w:color="auto" w:sz="4" w:space="0"/>
            </w:tcBorders>
            <w:vAlign w:val="center"/>
          </w:tcPr>
          <w:p>
            <w:pPr>
              <w:jc w:val="center"/>
              <w:rPr>
                <w:b/>
                <w:sz w:val="18"/>
                <w:szCs w:val="18"/>
              </w:rPr>
            </w:pPr>
            <w:r>
              <w:rPr>
                <w:b/>
                <w:sz w:val="18"/>
                <w:szCs w:val="18"/>
              </w:rPr>
              <w:t>1</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10-15</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30-35</w:t>
            </w:r>
          </w:p>
        </w:tc>
        <w:tc>
          <w:tcPr>
            <w:tcW w:w="141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45-50</w:t>
            </w:r>
          </w:p>
        </w:tc>
      </w:tr>
      <w:tr>
        <w:tblPrEx>
          <w:tblCellMar>
            <w:top w:w="0" w:type="dxa"/>
            <w:left w:w="108" w:type="dxa"/>
            <w:bottom w:w="0" w:type="dxa"/>
            <w:right w:w="108" w:type="dxa"/>
          </w:tblCellMar>
        </w:tblPrEx>
        <w:trPr>
          <w:jc w:val="center"/>
        </w:trPr>
        <w:tc>
          <w:tcPr>
            <w:tcW w:w="1103"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2</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45-50</w:t>
            </w:r>
          </w:p>
        </w:tc>
        <w:tc>
          <w:tcPr>
            <w:tcW w:w="1195" w:type="pct"/>
            <w:tcBorders>
              <w:top w:val="single" w:color="auto" w:sz="4" w:space="0"/>
              <w:left w:val="single" w:color="auto" w:sz="4" w:space="0"/>
              <w:bottom w:val="single" w:color="auto" w:sz="4" w:space="0"/>
              <w:right w:val="single" w:color="auto" w:sz="4" w:space="0"/>
            </w:tcBorders>
            <w:vAlign w:val="center"/>
          </w:tcPr>
          <w:p>
            <w:pPr>
              <w:ind w:firstLine="716" w:firstLineChars="396"/>
              <w:rPr>
                <w:b/>
                <w:sz w:val="18"/>
                <w:szCs w:val="18"/>
              </w:rPr>
            </w:pPr>
            <w:r>
              <w:rPr>
                <w:b/>
                <w:sz w:val="18"/>
                <w:szCs w:val="18"/>
              </w:rPr>
              <w:t>20-25</w:t>
            </w:r>
          </w:p>
        </w:tc>
        <w:tc>
          <w:tcPr>
            <w:tcW w:w="141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5-10</w:t>
            </w:r>
          </w:p>
        </w:tc>
      </w:tr>
      <w:tr>
        <w:tblPrEx>
          <w:tblCellMar>
            <w:top w:w="0" w:type="dxa"/>
            <w:left w:w="108" w:type="dxa"/>
            <w:bottom w:w="0" w:type="dxa"/>
            <w:right w:w="108" w:type="dxa"/>
          </w:tblCellMar>
        </w:tblPrEx>
        <w:trPr>
          <w:jc w:val="center"/>
        </w:trPr>
        <w:tc>
          <w:tcPr>
            <w:tcW w:w="1103"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3</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30-35</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 xml:space="preserve"> 20-25</w:t>
            </w:r>
          </w:p>
        </w:tc>
        <w:tc>
          <w:tcPr>
            <w:tcW w:w="141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35-40</w:t>
            </w:r>
          </w:p>
        </w:tc>
      </w:tr>
      <w:tr>
        <w:tblPrEx>
          <w:tblCellMar>
            <w:top w:w="0" w:type="dxa"/>
            <w:left w:w="108" w:type="dxa"/>
            <w:bottom w:w="0" w:type="dxa"/>
            <w:right w:w="108" w:type="dxa"/>
          </w:tblCellMar>
        </w:tblPrEx>
        <w:trPr>
          <w:jc w:val="center"/>
        </w:trPr>
        <w:tc>
          <w:tcPr>
            <w:tcW w:w="1103"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4</w:t>
            </w:r>
          </w:p>
        </w:tc>
        <w:tc>
          <w:tcPr>
            <w:tcW w:w="128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10-15</w:t>
            </w:r>
          </w:p>
        </w:tc>
        <w:tc>
          <w:tcPr>
            <w:tcW w:w="1195"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 xml:space="preserve"> 25-30</w:t>
            </w:r>
          </w:p>
        </w:tc>
        <w:tc>
          <w:tcPr>
            <w:tcW w:w="141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5-10</w:t>
            </w:r>
          </w:p>
        </w:tc>
      </w:tr>
    </w:tbl>
    <w:p>
      <w:pPr>
        <w:widowControl/>
        <w:spacing w:line="360" w:lineRule="auto"/>
        <w:jc w:val="left"/>
        <w:rPr>
          <w:rFonts w:eastAsia="黑体"/>
          <w:szCs w:val="24"/>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hint="eastAsia" w:eastAsia="黑体"/>
          <w:szCs w:val="24"/>
        </w:rPr>
        <w:t>九、覆盖课程目标达成评价的知识点及权重</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8"/>
        <w:gridCol w:w="117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jc w:val="center"/>
              <w:rPr>
                <w:sz w:val="18"/>
                <w:szCs w:val="18"/>
              </w:rPr>
            </w:pPr>
            <w:r>
              <w:rPr>
                <w:sz w:val="18"/>
                <w:szCs w:val="18"/>
              </w:rPr>
              <w:t>知识点</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权重</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支撑课程目标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1、</w:t>
            </w:r>
            <w:r>
              <w:rPr>
                <w:sz w:val="18"/>
                <w:szCs w:val="18"/>
                <w:lang w:val="zh-CN"/>
              </w:rPr>
              <w:t>数字电路基础；</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0.11</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2、</w:t>
            </w:r>
            <w:r>
              <w:rPr>
                <w:sz w:val="18"/>
                <w:szCs w:val="18"/>
                <w:lang w:val="zh-CN"/>
              </w:rPr>
              <w:t>集成逻辑门电路；</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0.15</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3、</w:t>
            </w:r>
            <w:r>
              <w:rPr>
                <w:sz w:val="18"/>
                <w:szCs w:val="18"/>
                <w:lang w:val="zh-CN"/>
              </w:rPr>
              <w:t>组合逻辑电路；</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0.20</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4、</w:t>
            </w:r>
            <w:r>
              <w:rPr>
                <w:sz w:val="18"/>
                <w:szCs w:val="18"/>
                <w:lang w:val="zh-CN"/>
              </w:rPr>
              <w:t>集成触发器；</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0.10</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5、</w:t>
            </w:r>
            <w:r>
              <w:rPr>
                <w:sz w:val="18"/>
                <w:szCs w:val="18"/>
                <w:lang w:val="zh-CN"/>
              </w:rPr>
              <w:t>时序逻辑电路；</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0.20</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6、</w:t>
            </w:r>
            <w:r>
              <w:rPr>
                <w:sz w:val="18"/>
                <w:szCs w:val="18"/>
                <w:lang w:val="zh-CN"/>
              </w:rPr>
              <w:t>脉冲波形的产生与整形；</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7、半导体存储器；</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8、可编程逻辑器件；</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ind w:firstLine="282" w:firstLineChars="157"/>
              <w:rPr>
                <w:sz w:val="18"/>
                <w:szCs w:val="18"/>
              </w:rPr>
            </w:pPr>
            <w:r>
              <w:rPr>
                <w:sz w:val="18"/>
                <w:szCs w:val="18"/>
              </w:rPr>
              <w:t>9、可编程逻辑器件。</w:t>
            </w:r>
          </w:p>
        </w:tc>
        <w:tc>
          <w:tcPr>
            <w:tcW w:w="69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2</w:t>
            </w:r>
          </w:p>
        </w:tc>
      </w:tr>
    </w:tbl>
    <w:p>
      <w:pPr>
        <w:spacing w:line="360" w:lineRule="auto"/>
        <w:ind w:firstLine="420" w:firstLineChars="200"/>
        <w:rPr>
          <w:szCs w:val="21"/>
        </w:rPr>
      </w:pPr>
      <w:r>
        <w:rPr>
          <w:rFonts w:hint="eastAsia"/>
          <w:szCs w:val="21"/>
        </w:rPr>
        <w:t>不可以申请免修。</w:t>
      </w:r>
    </w:p>
    <w:p>
      <w:pPr>
        <w:tabs>
          <w:tab w:val="left" w:pos="420"/>
        </w:tabs>
        <w:adjustRightInd w:val="0"/>
        <w:snapToGrid w:val="0"/>
        <w:spacing w:line="360" w:lineRule="auto"/>
        <w:rPr>
          <w:rFonts w:eastAsia="黑体"/>
          <w:szCs w:val="24"/>
        </w:rPr>
      </w:pPr>
    </w:p>
    <w:p>
      <w:pPr>
        <w:tabs>
          <w:tab w:val="left" w:pos="420"/>
        </w:tabs>
        <w:adjustRightInd w:val="0"/>
        <w:snapToGrid w:val="0"/>
        <w:spacing w:line="360" w:lineRule="auto"/>
        <w:rPr>
          <w:rFonts w:eastAsia="黑体"/>
          <w:szCs w:val="24"/>
        </w:rPr>
      </w:pPr>
      <w:r>
        <w:rPr>
          <w:rFonts w:hint="eastAsia" w:eastAsia="黑体"/>
          <w:szCs w:val="24"/>
        </w:rPr>
        <w:t>十、各环节评价标准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十一、课程目标达成评价结果用于持续改进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ind w:firstLine="420" w:firstLineChars="200"/>
        <w:rPr>
          <w:szCs w:val="21"/>
        </w:rPr>
      </w:pPr>
    </w:p>
    <w:p>
      <w:pPr>
        <w:widowControl/>
        <w:jc w:val="left"/>
        <w:rPr>
          <w:szCs w:val="21"/>
        </w:rPr>
      </w:pPr>
      <w:r>
        <w:rPr>
          <w:szCs w:val="21"/>
        </w:rPr>
        <w:br w:type="page"/>
      </w:r>
    </w:p>
    <w:p>
      <w:pPr>
        <w:pStyle w:val="20"/>
        <w:spacing w:before="312" w:after="468"/>
      </w:pPr>
      <w:bookmarkStart w:id="89" w:name="_Toc13538"/>
      <w:r>
        <w:rPr>
          <w:rFonts w:hint="eastAsia"/>
        </w:rPr>
        <w:t>《</w:t>
      </w:r>
      <w:r>
        <w:t>X02080001、X02080002-</w:t>
      </w:r>
      <w:r>
        <w:rPr>
          <w:rFonts w:hint="eastAsia"/>
        </w:rPr>
        <w:t>高等数学A》</w:t>
      </w:r>
      <w:r>
        <w:t>教学大纲</w:t>
      </w:r>
      <w:bookmarkEnd w:id="89"/>
    </w:p>
    <w:p>
      <w:pPr>
        <w:adjustRightInd w:val="0"/>
        <w:snapToGrid w:val="0"/>
        <w:spacing w:line="360" w:lineRule="auto"/>
        <w:rPr>
          <w:rFonts w:eastAsia="黑体"/>
          <w:szCs w:val="21"/>
          <w:highlight w:val="yellow"/>
        </w:rPr>
      </w:pPr>
      <w:r>
        <w:rPr>
          <w:rFonts w:hint="eastAsia" w:eastAsia="黑体"/>
          <w:szCs w:val="21"/>
        </w:rPr>
        <w:t xml:space="preserve">   </w:t>
      </w:r>
      <w:r>
        <w:rPr>
          <w:rFonts w:eastAsia="黑体"/>
          <w:szCs w:val="21"/>
        </w:rPr>
        <w:t>课程类别：</w:t>
      </w:r>
      <w:r>
        <w:rPr>
          <w:rFonts w:hint="eastAsia" w:hAnsi="宋体"/>
          <w:szCs w:val="21"/>
        </w:rPr>
        <w:t>基础教育课程</w:t>
      </w:r>
      <w:r>
        <w:rPr>
          <w:rFonts w:eastAsia="黑体"/>
          <w:szCs w:val="21"/>
        </w:rPr>
        <w:t xml:space="preserve">                     课程名称：</w:t>
      </w:r>
      <w:r>
        <w:rPr>
          <w:rFonts w:hint="eastAsia"/>
          <w:szCs w:val="21"/>
        </w:rPr>
        <w:t>高等数学A</w:t>
      </w:r>
    </w:p>
    <w:p>
      <w:pPr>
        <w:adjustRightInd w:val="0"/>
        <w:snapToGrid w:val="0"/>
        <w:spacing w:line="360" w:lineRule="auto"/>
        <w:rPr>
          <w:rFonts w:eastAsia="黑体"/>
          <w:szCs w:val="21"/>
          <w:highlight w:val="yellow"/>
        </w:rPr>
      </w:pPr>
      <w:r>
        <w:rPr>
          <w:rFonts w:eastAsia="黑体"/>
          <w:szCs w:val="21"/>
        </w:rPr>
        <w:t xml:space="preserve">   开课单位：</w:t>
      </w:r>
      <w:r>
        <w:rPr>
          <w:rFonts w:hint="eastAsia" w:hAnsi="宋体"/>
          <w:szCs w:val="21"/>
        </w:rPr>
        <w:t xml:space="preserve">理学院数学学科部 </w:t>
      </w:r>
      <w:r>
        <w:rPr>
          <w:rFonts w:hAnsi="宋体"/>
          <w:szCs w:val="21"/>
        </w:rPr>
        <w:t xml:space="preserve">   </w:t>
      </w:r>
      <w:r>
        <w:rPr>
          <w:rFonts w:eastAsia="黑体"/>
          <w:szCs w:val="21"/>
        </w:rPr>
        <w:t xml:space="preserve">             课程编号：</w:t>
      </w:r>
      <w:r>
        <w:rPr>
          <w:rFonts w:eastAsia="黑体"/>
          <w:color w:val="000000"/>
          <w:kern w:val="0"/>
          <w:szCs w:val="21"/>
        </w:rPr>
        <w:t>X02080001</w:t>
      </w:r>
      <w:r>
        <w:rPr>
          <w:rFonts w:hint="eastAsia" w:eastAsia="黑体"/>
          <w:color w:val="000000"/>
          <w:kern w:val="0"/>
          <w:szCs w:val="21"/>
        </w:rPr>
        <w:t>、</w:t>
      </w:r>
      <w:r>
        <w:rPr>
          <w:rFonts w:eastAsia="黑体"/>
          <w:color w:val="000000"/>
          <w:kern w:val="0"/>
          <w:szCs w:val="21"/>
        </w:rPr>
        <w:t>X02080002</w:t>
      </w:r>
    </w:p>
    <w:p>
      <w:pPr>
        <w:adjustRightInd w:val="0"/>
        <w:snapToGrid w:val="0"/>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时：176                              学    分：11</w:t>
      </w:r>
    </w:p>
    <w:p>
      <w:pPr>
        <w:adjustRightInd w:val="0"/>
        <w:snapToGrid w:val="0"/>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adjustRightInd w:val="0"/>
        <w:snapToGrid w:val="0"/>
        <w:spacing w:line="360" w:lineRule="auto"/>
        <w:rPr>
          <w:rFonts w:eastAsia="黑体"/>
          <w:szCs w:val="21"/>
        </w:rPr>
      </w:pPr>
      <w:r>
        <w:rPr>
          <w:rFonts w:eastAsia="黑体"/>
          <w:szCs w:val="21"/>
        </w:rPr>
        <w:t xml:space="preserve">   先修课程：</w:t>
      </w:r>
      <w:r>
        <w:rPr>
          <w:rFonts w:ascii="宋体" w:hAnsi="宋体"/>
        </w:rPr>
        <w:t>初等数学</w:t>
      </w:r>
    </w:p>
    <w:p>
      <w:pPr>
        <w:adjustRightInd w:val="0"/>
        <w:snapToGrid w:val="0"/>
        <w:spacing w:line="360" w:lineRule="auto"/>
        <w:rPr>
          <w:rFonts w:eastAsia="黑体"/>
          <w:szCs w:val="21"/>
        </w:rPr>
      </w:pPr>
      <w:r>
        <w:rPr>
          <w:rFonts w:hint="eastAsia" w:eastAsia="黑体"/>
          <w:szCs w:val="21"/>
        </w:rPr>
        <w:t xml:space="preserve">  </w:t>
      </w:r>
      <w:r>
        <w:rPr>
          <w:rFonts w:eastAsia="黑体"/>
          <w:szCs w:val="21"/>
        </w:rPr>
        <w:t>大纲编写（修订）时间：2019年4月</w:t>
      </w:r>
    </w:p>
    <w:p>
      <w:pPr>
        <w:adjustRightInd w:val="0"/>
        <w:snapToGrid w:val="0"/>
        <w:spacing w:line="360" w:lineRule="auto"/>
        <w:rPr>
          <w:sz w:val="24"/>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420" w:firstLineChars="200"/>
        <w:rPr>
          <w:rFonts w:hAnsi="宋体"/>
          <w:szCs w:val="21"/>
        </w:rPr>
      </w:pPr>
      <w:r>
        <w:rPr>
          <w:rFonts w:hint="eastAsia" w:hAnsi="宋体"/>
          <w:szCs w:val="21"/>
        </w:rPr>
        <w:t>高等数学是高等学校理工科专业的一门必修的重要基础课。通过这门课程的学习，使学生系统地获得函数、极限、连续、微积分、向量代数与空间解析几何、微分方程和无穷级数等方面的基本概念、基本理论和基本运算技能，为学习后继课程和进一步获得数学知识奠定必要的数学基础。在传授知识的同时，要通过各个教学环节逐步培养学生具有抽象概括问题的能力、逻辑推理能力、空间想象能力和自学能力，还要特别注意培养学生具有比较熟练的运算能力和综合运用所学知识去分析问题和解决问题的能力。</w:t>
      </w:r>
    </w:p>
    <w:p>
      <w:pPr>
        <w:adjustRightInd w:val="0"/>
        <w:snapToGrid w:val="0"/>
        <w:spacing w:line="360" w:lineRule="auto"/>
        <w:ind w:firstLine="480" w:firstLineChars="200"/>
        <w:rPr>
          <w:sz w:val="24"/>
        </w:rPr>
      </w:pPr>
    </w:p>
    <w:p>
      <w:pPr>
        <w:adjustRightInd w:val="0"/>
        <w:snapToGrid w:val="0"/>
        <w:spacing w:line="360" w:lineRule="auto"/>
        <w:rPr>
          <w:rFonts w:eastAsia="黑体"/>
          <w:szCs w:val="21"/>
        </w:rPr>
      </w:pPr>
      <w:r>
        <w:rPr>
          <w:rFonts w:eastAsia="黑体"/>
          <w:szCs w:val="21"/>
        </w:rPr>
        <w:t>二、课程目标</w:t>
      </w:r>
    </w:p>
    <w:p>
      <w:pPr>
        <w:adjustRightInd w:val="0"/>
        <w:snapToGrid w:val="0"/>
        <w:spacing w:line="360" w:lineRule="auto"/>
        <w:ind w:firstLine="420" w:firstLineChars="200"/>
        <w:rPr>
          <w:b/>
          <w:bCs/>
          <w:color w:val="0B5FD1"/>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4065"/>
        <w:gridCol w:w="38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tcPr>
          <w:p>
            <w:pPr>
              <w:spacing w:line="360" w:lineRule="auto"/>
              <w:jc w:val="center"/>
              <w:rPr>
                <w:sz w:val="18"/>
                <w:szCs w:val="18"/>
              </w:rPr>
            </w:pPr>
            <w:r>
              <w:rPr>
                <w:rFonts w:hint="eastAsia"/>
                <w:sz w:val="18"/>
                <w:szCs w:val="18"/>
              </w:rPr>
              <w:t>序号</w:t>
            </w:r>
          </w:p>
        </w:tc>
        <w:tc>
          <w:tcPr>
            <w:tcW w:w="2385" w:type="pct"/>
            <w:shd w:val="clear" w:color="auto" w:fill="auto"/>
          </w:tcPr>
          <w:p>
            <w:pPr>
              <w:spacing w:line="360" w:lineRule="auto"/>
              <w:jc w:val="center"/>
              <w:rPr>
                <w:sz w:val="18"/>
                <w:szCs w:val="18"/>
              </w:rPr>
            </w:pPr>
            <w:r>
              <w:rPr>
                <w:rFonts w:hint="eastAsia"/>
                <w:sz w:val="18"/>
                <w:szCs w:val="18"/>
              </w:rPr>
              <w:t>课程目标</w:t>
            </w:r>
          </w:p>
        </w:tc>
        <w:tc>
          <w:tcPr>
            <w:tcW w:w="2271"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385" w:type="pct"/>
            <w:shd w:val="clear" w:color="auto" w:fill="auto"/>
          </w:tcPr>
          <w:p>
            <w:pPr>
              <w:adjustRightInd w:val="0"/>
              <w:snapToGrid w:val="0"/>
              <w:spacing w:line="360" w:lineRule="auto"/>
              <w:rPr>
                <w:sz w:val="18"/>
                <w:szCs w:val="18"/>
              </w:rPr>
            </w:pPr>
            <w:r>
              <w:rPr>
                <w:rFonts w:hint="eastAsia" w:hAnsi="宋体"/>
                <w:bCs/>
                <w:sz w:val="18"/>
                <w:szCs w:val="18"/>
              </w:rPr>
              <w:t>能够运用极限、微分和积分等基本数学概念和数学思想，通过数学方法理解和描述一些具体问题（如物理问题、几何问题等），具备一定的抽象概况问题能力、空间想象能力和数学语言表达能力</w:t>
            </w:r>
            <w:r>
              <w:rPr>
                <w:rFonts w:hAnsi="宋体"/>
                <w:bCs/>
                <w:sz w:val="18"/>
                <w:szCs w:val="18"/>
              </w:rPr>
              <w:t>；</w:t>
            </w:r>
            <w:r>
              <w:rPr>
                <w:rFonts w:hint="eastAsia" w:hAnsi="宋体"/>
                <w:bCs/>
                <w:sz w:val="18"/>
                <w:szCs w:val="18"/>
              </w:rPr>
              <w:t>能够运用微积分的基本运算方法，掌握一般函数的极限、导数、微分、积分的计算，向量的基本运算，微分方程的求解、无穷级数敛散性的判定及求和等问题，具备熟练的数学计算能力和一定的逻辑推理能力。</w:t>
            </w:r>
          </w:p>
        </w:tc>
        <w:tc>
          <w:tcPr>
            <w:tcW w:w="2271"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掌握从事电子类专业工作所需的数学和自然科学知识，掌握电路原理、模拟电子、数字电子、信号与系统等专业工程基础知识和基本理论，并能够将相关知识用于解决光电子系统设计及应用、物联网设计与应用、嵌入式系统设计与应用等专业特色相关的复杂工程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385" w:type="pct"/>
            <w:shd w:val="clear" w:color="auto" w:fill="auto"/>
          </w:tcPr>
          <w:p>
            <w:pPr>
              <w:adjustRightInd w:val="0"/>
              <w:snapToGrid w:val="0"/>
              <w:spacing w:line="360" w:lineRule="auto"/>
              <w:rPr>
                <w:sz w:val="18"/>
                <w:szCs w:val="18"/>
              </w:rPr>
            </w:pPr>
            <w:r>
              <w:rPr>
                <w:rFonts w:hint="eastAsia" w:hAnsi="宋体"/>
                <w:sz w:val="18"/>
                <w:szCs w:val="18"/>
              </w:rPr>
              <w:t>能够对一些数学应用问题（如实际问题的最值、图形面积、立体体积、质量、重心、转动惯量等）进行分析、求解，具备一定的综合运用数学知识去分析和解决实际问题的能力。</w:t>
            </w:r>
          </w:p>
        </w:tc>
        <w:tc>
          <w:tcPr>
            <w:tcW w:w="2271"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掌握从事电子类专业工作所需的数学和自然科学知识，掌握电路原理、模拟电子、数字电子、信号与系统等专业工程基础知识和基本理论，并能够将相关知识用于解决光电子系统设计及应用、物联网设计与应用、嵌入式系统设计与应用等专业特色相关的复杂工程问题。</w:t>
            </w:r>
          </w:p>
        </w:tc>
      </w:tr>
    </w:tbl>
    <w:p>
      <w:pPr>
        <w:spacing w:line="360" w:lineRule="auto"/>
        <w:rPr>
          <w:rFonts w:eastAsia="黑体"/>
          <w:szCs w:val="21"/>
        </w:rPr>
      </w:pPr>
    </w:p>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pStyle w:val="45"/>
        <w:spacing w:line="360" w:lineRule="auto"/>
        <w:rPr>
          <w:rFonts w:eastAsia="黑体"/>
          <w:szCs w:val="24"/>
        </w:rPr>
      </w:pPr>
      <w:r>
        <w:rPr>
          <w:rFonts w:eastAsia="黑体"/>
          <w:szCs w:val="24"/>
        </w:rPr>
        <w:t>第一章</w:t>
      </w:r>
      <w:r>
        <w:rPr>
          <w:rFonts w:hint="eastAsia" w:eastAsia="黑体"/>
          <w:szCs w:val="24"/>
        </w:rPr>
        <w:t xml:space="preserve">  </w:t>
      </w:r>
      <w:r>
        <w:rPr>
          <w:rFonts w:eastAsia="黑体"/>
          <w:szCs w:val="24"/>
        </w:rPr>
        <w:t>函数与极限</w:t>
      </w:r>
      <w:r>
        <w:rPr>
          <w:rFonts w:hint="eastAsia" w:eastAsia="黑体"/>
          <w:szCs w:val="24"/>
        </w:rPr>
        <w:t>（20学时）</w:t>
      </w:r>
    </w:p>
    <w:p>
      <w:pPr>
        <w:pStyle w:val="68"/>
        <w:spacing w:before="0" w:beforeAutospacing="0" w:after="0" w:afterAutospacing="0" w:line="360" w:lineRule="auto"/>
        <w:ind w:firstLine="420" w:firstLineChars="200"/>
        <w:rPr>
          <w:rFonts w:ascii="Times New Roman" w:hAnsi="Times New Roman" w:cs="Times New Roman"/>
          <w:sz w:val="21"/>
          <w:szCs w:val="24"/>
        </w:rPr>
      </w:pPr>
      <w:r>
        <w:rPr>
          <w:rFonts w:ascii="Times New Roman" w:hAnsi="Times New Roman" w:cs="Times New Roman"/>
          <w:sz w:val="21"/>
          <w:szCs w:val="24"/>
        </w:rPr>
        <w:t>1. 在中学已有函数知识的基础上，加深对函数概念的理解和函数性质（奇偶性、单调性、周期性和有界性）的了解。</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2. 理解复合函数的概念，了解反函数的概念。</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3. 会建立简单实际问题中的函数关系式。</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4. 理解极限的概念，了解极限的</w:t>
      </w:r>
      <w:r>
        <w:rPr>
          <w:rFonts w:ascii="Times New Roman" w:hAnsi="Times New Roman" w:cs="Times New Roman"/>
          <w:position w:val="-10"/>
          <w:sz w:val="21"/>
          <w:szCs w:val="24"/>
        </w:rPr>
        <w:object>
          <v:shape id="_x0000_i1025" o:spt="75" type="#_x0000_t75" style="height:16.5pt;width:58.5pt;" o:ole="t" filled="f" o:preferrelative="t" stroked="f" coordsize="21600,21600">
            <v:path/>
            <v:fill on="f" focussize="0,0"/>
            <v:stroke on="f" joinstyle="miter"/>
            <v:imagedata r:id="rId155" o:title=""/>
            <o:lock v:ext="edit" aspectratio="t"/>
            <w10:wrap type="none"/>
            <w10:anchorlock/>
          </v:shape>
          <o:OLEObject Type="Embed" ProgID="Equation.DSMT4" ShapeID="_x0000_i1025" DrawAspect="Content" ObjectID="_1468075725" r:id="rId154">
            <o:LockedField>false</o:LockedField>
          </o:OLEObject>
        </w:object>
      </w:r>
      <w:r>
        <w:rPr>
          <w:rFonts w:ascii="Times New Roman" w:hAnsi="Times New Roman" w:cs="Times New Roman"/>
          <w:sz w:val="21"/>
          <w:szCs w:val="24"/>
        </w:rPr>
        <w:t>定义（不要求学生做给出</w:t>
      </w:r>
      <w:r>
        <w:rPr>
          <w:rFonts w:ascii="Times New Roman" w:hAnsi="Times New Roman" w:cs="Times New Roman"/>
          <w:position w:val="-6"/>
          <w:sz w:val="21"/>
          <w:szCs w:val="24"/>
        </w:rPr>
        <w:object>
          <v:shape id="_x0000_i1026" o:spt="75" type="#_x0000_t75" style="height:10.5pt;width:10.5pt;" o:ole="t" filled="f" o:preferrelative="t" stroked="f" coordsize="21600,21600">
            <v:path/>
            <v:fill on="f" focussize="0,0"/>
            <v:stroke on="f" joinstyle="miter"/>
            <v:imagedata r:id="rId157" o:title=""/>
            <o:lock v:ext="edit" aspectratio="t"/>
            <w10:wrap type="none"/>
            <w10:anchorlock/>
          </v:shape>
          <o:OLEObject Type="Embed" ProgID="Equation.DSMT4" ShapeID="_x0000_i1026" DrawAspect="Content" ObjectID="_1468075726" r:id="rId156">
            <o:LockedField>false</o:LockedField>
          </o:OLEObject>
        </w:object>
      </w:r>
      <w:r>
        <w:rPr>
          <w:rFonts w:ascii="Times New Roman" w:hAnsi="Times New Roman" w:cs="Times New Roman"/>
          <w:sz w:val="21"/>
          <w:szCs w:val="24"/>
        </w:rPr>
        <w:t>求</w:t>
      </w:r>
      <w:r>
        <w:rPr>
          <w:rFonts w:ascii="Times New Roman" w:hAnsi="Times New Roman" w:cs="Times New Roman"/>
          <w:i/>
          <w:sz w:val="21"/>
          <w:szCs w:val="24"/>
        </w:rPr>
        <w:t>N</w:t>
      </w:r>
      <w:r>
        <w:rPr>
          <w:rFonts w:ascii="Times New Roman" w:hAnsi="Times New Roman" w:cs="Times New Roman"/>
          <w:sz w:val="21"/>
          <w:szCs w:val="24"/>
        </w:rPr>
        <w:t>或</w:t>
      </w:r>
      <w:r>
        <w:rPr>
          <w:rFonts w:ascii="Times New Roman" w:hAnsi="Times New Roman" w:cs="Times New Roman"/>
          <w:position w:val="-6"/>
          <w:sz w:val="21"/>
          <w:szCs w:val="24"/>
        </w:rPr>
        <w:object>
          <v:shape id="_x0000_i1027" o:spt="75" type="#_x0000_t75" style="height:13.5pt;width:10.5pt;" o:ole="t" filled="f" o:preferrelative="t" stroked="f" coordsize="21600,21600">
            <v:path/>
            <v:fill on="f" focussize="0,0"/>
            <v:stroke on="f" joinstyle="miter"/>
            <v:imagedata r:id="rId159" o:title=""/>
            <o:lock v:ext="edit" aspectratio="t"/>
            <w10:wrap type="none"/>
            <w10:anchorlock/>
          </v:shape>
          <o:OLEObject Type="Embed" ProgID="Equation.DSMT4" ShapeID="_x0000_i1027" DrawAspect="Content" ObjectID="_1468075727" r:id="rId158">
            <o:LockedField>false</o:LockedField>
          </o:OLEObject>
        </w:object>
      </w:r>
      <w:r>
        <w:rPr>
          <w:rFonts w:ascii="Times New Roman" w:hAnsi="Times New Roman" w:cs="Times New Roman"/>
          <w:sz w:val="21"/>
          <w:szCs w:val="24"/>
        </w:rPr>
        <w:t>的习题）。</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5. 掌握极限的有理运算法则，会用变量代换求某些简单复合函数的极限。</w:t>
      </w:r>
    </w:p>
    <w:p>
      <w:pPr>
        <w:pStyle w:val="68"/>
        <w:spacing w:before="0" w:beforeAutospacing="0" w:after="0" w:afterAutospacing="0" w:line="360" w:lineRule="auto"/>
        <w:ind w:firstLine="420" w:firstLineChars="200"/>
        <w:rPr>
          <w:rFonts w:ascii="Times New Roman" w:hAnsi="Times New Roman" w:cs="Times New Roman"/>
          <w:sz w:val="21"/>
          <w:szCs w:val="24"/>
        </w:rPr>
      </w:pPr>
      <w:r>
        <w:rPr>
          <w:rFonts w:ascii="Times New Roman" w:hAnsi="Times New Roman" w:cs="Times New Roman"/>
          <w:sz w:val="21"/>
          <w:szCs w:val="24"/>
        </w:rPr>
        <w:t>6. 了解极限的性质（唯一性、有界性、保号性）和两个存在准则（夹逼准则与单调有界准则），会用两个重要极限</w:t>
      </w:r>
      <w:r>
        <w:rPr>
          <w:rFonts w:ascii="Times New Roman" w:hAnsi="Times New Roman" w:cs="Times New Roman"/>
          <w:position w:val="-24"/>
          <w:sz w:val="21"/>
          <w:szCs w:val="24"/>
        </w:rPr>
        <w:object>
          <v:shape id="_x0000_i1028" o:spt="75" type="#_x0000_t75" style="height:31.5pt;width:73.55pt;" o:ole="t" filled="f" o:preferrelative="t" stroked="f" coordsize="21600,21600">
            <v:path/>
            <v:fill on="f" focussize="0,0"/>
            <v:stroke on="f" joinstyle="miter"/>
            <v:imagedata r:id="rId161" o:title=""/>
            <o:lock v:ext="edit" aspectratio="t"/>
            <w10:wrap type="none"/>
            <w10:anchorlock/>
          </v:shape>
          <o:OLEObject Type="Embed" ProgID="Equation.DSMT4" ShapeID="_x0000_i1028" DrawAspect="Content" ObjectID="_1468075728" r:id="rId160">
            <o:LockedField>false</o:LockedField>
          </o:OLEObject>
        </w:object>
      </w:r>
      <w:r>
        <w:rPr>
          <w:rFonts w:ascii="Times New Roman" w:hAnsi="Times New Roman" w:cs="Times New Roman"/>
          <w:sz w:val="21"/>
          <w:szCs w:val="24"/>
        </w:rPr>
        <w:t>与</w:t>
      </w:r>
      <w:r>
        <w:rPr>
          <w:rFonts w:ascii="Times New Roman" w:hAnsi="Times New Roman" w:cs="Times New Roman"/>
          <w:position w:val="-24"/>
          <w:sz w:val="21"/>
          <w:szCs w:val="24"/>
        </w:rPr>
        <w:object>
          <v:shape id="_x0000_i1029" o:spt="75" type="#_x0000_t75" style="height:31.5pt;width:61.5pt;" o:ole="t" filled="f" o:preferrelative="t" stroked="f" coordsize="21600,21600">
            <v:path/>
            <v:fill on="f" focussize="0,0"/>
            <v:stroke on="f" joinstyle="miter"/>
            <v:imagedata r:id="rId163" o:title=""/>
            <o:lock v:ext="edit" aspectratio="t"/>
            <w10:wrap type="none"/>
            <w10:anchorlock/>
          </v:shape>
          <o:OLEObject Type="Embed" ProgID="Equation.DSMT4" ShapeID="_x0000_i1029" DrawAspect="Content" ObjectID="_1468075729" r:id="rId162">
            <o:LockedField>false</o:LockedField>
          </o:OLEObject>
        </w:object>
      </w:r>
      <w:r>
        <w:rPr>
          <w:rFonts w:ascii="Times New Roman" w:hAnsi="Times New Roman" w:cs="Times New Roman"/>
          <w:sz w:val="21"/>
          <w:szCs w:val="24"/>
        </w:rPr>
        <w:t>求极限。</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7. 了解无穷小、无穷大、高阶无穷小和等价无穷小的概念，会用等价无穷小求极限。</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8. 理解函数在一点连续和在一区间上连续的概念。</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9. 了解函数间断点的概念，会判别间断点的类型。</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ascii="Times New Roman" w:hAnsi="Times New Roman" w:cs="Times New Roman"/>
          <w:sz w:val="21"/>
          <w:szCs w:val="24"/>
        </w:rPr>
        <w:t>10. 了解初等函数的连续性和闭区间上连续函数的介值定理与最大值、最小值定理。</w:t>
      </w:r>
    </w:p>
    <w:p>
      <w:pPr>
        <w:pStyle w:val="45"/>
        <w:spacing w:line="360" w:lineRule="auto"/>
        <w:ind w:firstLine="422"/>
        <w:rPr>
          <w:b/>
          <w:bCs/>
          <w:szCs w:val="21"/>
        </w:rPr>
      </w:pPr>
      <w:r>
        <w:rPr>
          <w:b/>
          <w:bCs/>
          <w:szCs w:val="21"/>
        </w:rPr>
        <w:t>【本章重点】</w:t>
      </w:r>
    </w:p>
    <w:p>
      <w:pPr>
        <w:pStyle w:val="68"/>
        <w:spacing w:before="0" w:beforeAutospacing="0" w:after="0" w:afterAutospacing="0" w:line="360" w:lineRule="auto"/>
        <w:ind w:firstLine="420"/>
      </w:pPr>
      <w:r>
        <w:rPr>
          <w:rFonts w:hint="eastAsia" w:ascii="Times New Roman" w:hAnsi="Times New Roman" w:cs="Times New Roman"/>
          <w:sz w:val="21"/>
          <w:szCs w:val="24"/>
        </w:rPr>
        <w:t>复合函数的概念，极限的概念，极限的计算方法，复合函数的极限，幂指数函数的极限，判断极限存在的准则及两个重要极限的应用，无穷大与无穷小的概念以及二者之间的关系，等价无穷小的运用，连续性与间断点的概念与判断，闭区间上连续函数的性质。</w:t>
      </w:r>
    </w:p>
    <w:p>
      <w:pPr>
        <w:pStyle w:val="45"/>
        <w:spacing w:line="360" w:lineRule="auto"/>
        <w:ind w:firstLine="422"/>
        <w:rPr>
          <w:b/>
          <w:bCs/>
          <w:szCs w:val="21"/>
        </w:rPr>
      </w:pPr>
      <w:r>
        <w:rPr>
          <w:b/>
          <w:bCs/>
          <w:szCs w:val="21"/>
        </w:rPr>
        <w:t>【本章难点】</w:t>
      </w:r>
    </w:p>
    <w:p>
      <w:pPr>
        <w:pStyle w:val="68"/>
        <w:spacing w:before="0" w:beforeAutospacing="0" w:after="0" w:afterAutospacing="0" w:line="360" w:lineRule="auto"/>
        <w:ind w:firstLine="420"/>
        <w:rPr>
          <w:rFonts w:ascii="Times New Roman" w:hAnsi="Times New Roman" w:cs="Times New Roman"/>
          <w:sz w:val="21"/>
          <w:szCs w:val="24"/>
        </w:rPr>
      </w:pPr>
      <w:r>
        <w:rPr>
          <w:rFonts w:hint="eastAsia" w:ascii="Times New Roman" w:hAnsi="Times New Roman" w:cs="Times New Roman"/>
          <w:sz w:val="21"/>
          <w:szCs w:val="24"/>
        </w:rPr>
        <w:t>极限的概念，利用极限的定义证明函数与数列的极限，幂指数函数极限的计算，判断极限存在的两个准则及两个重要极限，复合函数的极限，等价无穷小的代换，间断点的判断与分类，根的存在性定理的应用。</w:t>
      </w:r>
    </w:p>
    <w:p>
      <w:pPr>
        <w:spacing w:line="360" w:lineRule="auto"/>
        <w:ind w:firstLine="420" w:firstLineChars="200"/>
        <w:rPr>
          <w:szCs w:val="21"/>
        </w:rPr>
      </w:pPr>
      <w:r>
        <w:rPr>
          <w:rFonts w:hint="eastAsia"/>
          <w:szCs w:val="21"/>
        </w:rPr>
        <w:t>本章节内容支撑课程目标 1。</w:t>
      </w:r>
    </w:p>
    <w:p>
      <w:pPr>
        <w:pStyle w:val="45"/>
        <w:spacing w:line="360" w:lineRule="auto"/>
        <w:rPr>
          <w:rFonts w:eastAsia="黑体"/>
          <w:szCs w:val="24"/>
        </w:rPr>
      </w:pPr>
      <w:r>
        <w:rPr>
          <w:rFonts w:eastAsia="黑体"/>
          <w:szCs w:val="24"/>
        </w:rPr>
        <w:t xml:space="preserve">第二章 </w:t>
      </w:r>
      <w:r>
        <w:rPr>
          <w:rFonts w:hint="eastAsia" w:eastAsia="黑体"/>
          <w:szCs w:val="24"/>
        </w:rPr>
        <w:t xml:space="preserve"> </w:t>
      </w:r>
      <w:r>
        <w:rPr>
          <w:rFonts w:eastAsia="黑体"/>
          <w:szCs w:val="24"/>
        </w:rPr>
        <w:t xml:space="preserve">导数与微分 </w:t>
      </w:r>
      <w:r>
        <w:rPr>
          <w:rFonts w:hint="eastAsia" w:eastAsia="黑体"/>
          <w:szCs w:val="24"/>
        </w:rPr>
        <w:t>（12学时）</w:t>
      </w:r>
      <w:r>
        <w:rPr>
          <w:rFonts w:eastAsia="黑体"/>
          <w:szCs w:val="24"/>
        </w:rPr>
        <w:t xml:space="preserve"> </w:t>
      </w:r>
    </w:p>
    <w:p>
      <w:pPr>
        <w:pStyle w:val="45"/>
        <w:spacing w:line="360" w:lineRule="auto"/>
        <w:rPr>
          <w:szCs w:val="24"/>
        </w:rPr>
      </w:pPr>
      <w:r>
        <w:rPr>
          <w:rFonts w:hint="eastAsia"/>
          <w:szCs w:val="24"/>
        </w:rPr>
        <w:t>1. 理解微分和导数的概念、关系和几何意义。会用导数描述一些物理量，理解函数的可微性和连续性的关系；</w:t>
      </w:r>
    </w:p>
    <w:p>
      <w:pPr>
        <w:pStyle w:val="45"/>
        <w:spacing w:line="360" w:lineRule="auto"/>
        <w:rPr>
          <w:szCs w:val="24"/>
        </w:rPr>
      </w:pPr>
      <w:r>
        <w:rPr>
          <w:rFonts w:hint="eastAsia"/>
          <w:szCs w:val="24"/>
        </w:rPr>
        <w:t>2.熟练掌握导数的四则运算法则和复合函数求导的链式法则，熟练掌握基本初等函数的求导公式、掌握反函数求导方法，隐函数求导方法和参数方程确定的函数的求导法，掌握对数求导法；</w:t>
      </w:r>
    </w:p>
    <w:p>
      <w:pPr>
        <w:pStyle w:val="45"/>
        <w:spacing w:line="360" w:lineRule="auto"/>
        <w:rPr>
          <w:szCs w:val="24"/>
        </w:rPr>
      </w:pPr>
      <w:r>
        <w:rPr>
          <w:rFonts w:hint="eastAsia"/>
          <w:szCs w:val="24"/>
        </w:rPr>
        <w:t>3.理解高阶导数的概念，会求简单函数的高阶导数；</w:t>
      </w:r>
    </w:p>
    <w:p>
      <w:pPr>
        <w:pStyle w:val="45"/>
        <w:spacing w:line="360" w:lineRule="auto"/>
        <w:rPr>
          <w:szCs w:val="24"/>
        </w:rPr>
      </w:pPr>
      <w:r>
        <w:rPr>
          <w:rFonts w:hint="eastAsia"/>
          <w:szCs w:val="24"/>
        </w:rPr>
        <w:t>4.了解微分的四则运算法则和一阶微分的形式不变性，会求函数的微分，了解微分在近似计算和误差估计中的应用；</w:t>
      </w:r>
    </w:p>
    <w:p>
      <w:pPr>
        <w:pStyle w:val="45"/>
        <w:spacing w:line="360" w:lineRule="auto"/>
        <w:rPr>
          <w:szCs w:val="24"/>
        </w:rPr>
      </w:pPr>
      <w:r>
        <w:rPr>
          <w:rFonts w:hint="eastAsia"/>
          <w:szCs w:val="24"/>
        </w:rPr>
        <w:t>5.掌握带皮亚诺余项和拉格朗日余项的泰勒公式，掌握美克劳林公式。</w:t>
      </w:r>
    </w:p>
    <w:p>
      <w:pPr>
        <w:pStyle w:val="45"/>
        <w:spacing w:line="360" w:lineRule="auto"/>
        <w:ind w:firstLine="422"/>
        <w:rPr>
          <w:b/>
          <w:bCs/>
          <w:szCs w:val="21"/>
        </w:rPr>
      </w:pPr>
      <w:r>
        <w:rPr>
          <w:b/>
          <w:bCs/>
          <w:szCs w:val="21"/>
        </w:rPr>
        <w:t>【本章重点】</w:t>
      </w:r>
    </w:p>
    <w:p>
      <w:pPr>
        <w:pStyle w:val="45"/>
        <w:spacing w:line="360" w:lineRule="auto"/>
        <w:rPr>
          <w:bCs/>
          <w:szCs w:val="21"/>
        </w:rPr>
      </w:pPr>
      <w:r>
        <w:rPr>
          <w:rFonts w:hint="eastAsia"/>
          <w:bCs/>
          <w:szCs w:val="21"/>
        </w:rPr>
        <w:t>导数的概念，可导与连续的关系，导数公式和求导法则，复合函数和隐函数的导数，复合函数的二阶导数，函数的导数与微分的关系，泰勒公式。</w:t>
      </w:r>
    </w:p>
    <w:p>
      <w:pPr>
        <w:pStyle w:val="45"/>
        <w:spacing w:line="360" w:lineRule="auto"/>
        <w:ind w:firstLine="422"/>
        <w:rPr>
          <w:b/>
          <w:bCs/>
          <w:szCs w:val="21"/>
        </w:rPr>
      </w:pPr>
      <w:r>
        <w:rPr>
          <w:b/>
          <w:bCs/>
          <w:szCs w:val="21"/>
        </w:rPr>
        <w:t>【本章</w:t>
      </w:r>
      <w:r>
        <w:rPr>
          <w:rFonts w:hint="eastAsia"/>
          <w:b/>
          <w:bCs/>
          <w:szCs w:val="21"/>
        </w:rPr>
        <w:t>难</w:t>
      </w:r>
      <w:r>
        <w:rPr>
          <w:b/>
          <w:bCs/>
          <w:szCs w:val="21"/>
        </w:rPr>
        <w:t>点】</w:t>
      </w:r>
    </w:p>
    <w:p>
      <w:pPr>
        <w:pStyle w:val="45"/>
        <w:spacing w:line="360" w:lineRule="auto"/>
        <w:rPr>
          <w:bCs/>
          <w:szCs w:val="21"/>
        </w:rPr>
      </w:pPr>
      <w:r>
        <w:rPr>
          <w:rFonts w:hint="eastAsia"/>
          <w:bCs/>
          <w:szCs w:val="21"/>
        </w:rPr>
        <w:t>导数几何意义的应用，微分的几何意义，高阶导数与高阶微分，泰勒公式的应用。</w:t>
      </w:r>
    </w:p>
    <w:p>
      <w:pPr>
        <w:adjustRightInd w:val="0"/>
        <w:spacing w:line="360" w:lineRule="auto"/>
        <w:ind w:firstLine="420" w:firstLineChars="200"/>
        <w:rPr>
          <w:szCs w:val="21"/>
        </w:rPr>
      </w:pPr>
      <w:r>
        <w:rPr>
          <w:rFonts w:hint="eastAsia"/>
          <w:szCs w:val="21"/>
        </w:rPr>
        <w:t>本章节内容支撑课程目标 1。</w:t>
      </w:r>
    </w:p>
    <w:p>
      <w:pPr>
        <w:pStyle w:val="45"/>
        <w:spacing w:line="360" w:lineRule="auto"/>
        <w:rPr>
          <w:rFonts w:eastAsia="黑体"/>
          <w:szCs w:val="24"/>
        </w:rPr>
      </w:pPr>
      <w:r>
        <w:rPr>
          <w:rFonts w:eastAsia="黑体"/>
          <w:szCs w:val="24"/>
        </w:rPr>
        <w:t>第三章</w:t>
      </w:r>
      <w:r>
        <w:rPr>
          <w:rFonts w:hint="eastAsia" w:eastAsia="黑体"/>
          <w:szCs w:val="24"/>
        </w:rPr>
        <w:t xml:space="preserve"> </w:t>
      </w:r>
      <w:r>
        <w:rPr>
          <w:rFonts w:eastAsia="黑体"/>
          <w:szCs w:val="24"/>
        </w:rPr>
        <w:t xml:space="preserve"> 微分中值定理与导数的应用</w:t>
      </w:r>
      <w:r>
        <w:rPr>
          <w:rFonts w:hint="eastAsia" w:eastAsia="黑体"/>
          <w:szCs w:val="24"/>
        </w:rPr>
        <w:t>（16学时）</w:t>
      </w:r>
    </w:p>
    <w:p>
      <w:pPr>
        <w:pStyle w:val="68"/>
        <w:spacing w:before="0" w:beforeAutospacing="0" w:after="0" w:afterAutospacing="0" w:line="360" w:lineRule="auto"/>
        <w:ind w:firstLine="420" w:firstLineChars="200"/>
        <w:rPr>
          <w:rFonts w:ascii="Times New Roman" w:hAnsi="Times New Roman" w:cs="Times New Roman"/>
          <w:sz w:val="21"/>
          <w:szCs w:val="24"/>
        </w:rPr>
      </w:pPr>
      <w:r>
        <w:rPr>
          <w:rFonts w:hint="eastAsia" w:ascii="Times New Roman" w:hAnsi="Times New Roman" w:cs="Times New Roman"/>
          <w:sz w:val="21"/>
          <w:szCs w:val="24"/>
        </w:rPr>
        <w:t>1</w:t>
      </w:r>
      <w:r>
        <w:rPr>
          <w:rFonts w:ascii="Times New Roman" w:hAnsi="Times New Roman" w:cs="Times New Roman"/>
          <w:sz w:val="21"/>
          <w:szCs w:val="24"/>
        </w:rPr>
        <w:t>. 了解泰勒（Taylor）定理以及用多项式逼近函数的思想（对定理的分析证明以及利用泰勒定理证明相关问题不作要求）。</w:t>
      </w:r>
    </w:p>
    <w:p>
      <w:pPr>
        <w:pStyle w:val="68"/>
        <w:spacing w:before="0" w:beforeAutospacing="0" w:after="0" w:afterAutospacing="0" w:line="360" w:lineRule="auto"/>
        <w:ind w:firstLine="420" w:firstLineChars="200"/>
        <w:rPr>
          <w:rFonts w:ascii="Times New Roman" w:hAnsi="Times New Roman" w:cs="Times New Roman"/>
          <w:sz w:val="21"/>
          <w:szCs w:val="24"/>
        </w:rPr>
      </w:pPr>
      <w:r>
        <w:rPr>
          <w:rFonts w:hint="eastAsia" w:ascii="Times New Roman" w:hAnsi="Times New Roman" w:cs="Times New Roman"/>
          <w:sz w:val="21"/>
          <w:szCs w:val="24"/>
        </w:rPr>
        <w:t>2</w:t>
      </w:r>
      <w:r>
        <w:rPr>
          <w:rFonts w:ascii="Times New Roman" w:hAnsi="Times New Roman" w:cs="Times New Roman"/>
          <w:sz w:val="21"/>
          <w:szCs w:val="24"/>
        </w:rPr>
        <w:t>. 理解函数的极值概念，掌握用导数判断函数的单调性和求极值的方法。会求解较简单的最大值与最小值的应用问题。</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3</w:t>
      </w:r>
      <w:r>
        <w:rPr>
          <w:rFonts w:ascii="Times New Roman" w:hAnsi="Times New Roman" w:cs="Times New Roman"/>
          <w:sz w:val="21"/>
          <w:szCs w:val="24"/>
        </w:rPr>
        <w:t>. 会用导数判断函数图形的凹凸性，会求拐点，会描绘一些简单函数的图形（包括水平和铅直渐近线）。</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hint="eastAsia" w:ascii="Times New Roman" w:hAnsi="Times New Roman" w:cs="Times New Roman"/>
          <w:sz w:val="21"/>
          <w:szCs w:val="24"/>
        </w:rPr>
        <w:t>4</w:t>
      </w:r>
      <w:r>
        <w:rPr>
          <w:rFonts w:ascii="Times New Roman" w:hAnsi="Times New Roman" w:cs="Times New Roman"/>
          <w:sz w:val="21"/>
          <w:szCs w:val="24"/>
        </w:rPr>
        <w:t>. 了解曲率和曲率半径的概念，会计算曲率和曲率半径。</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hint="eastAsia" w:ascii="Times New Roman" w:hAnsi="Times New Roman" w:cs="Times New Roman"/>
          <w:sz w:val="21"/>
          <w:szCs w:val="24"/>
        </w:rPr>
        <w:t>5</w:t>
      </w:r>
      <w:r>
        <w:rPr>
          <w:rFonts w:ascii="Times New Roman" w:hAnsi="Times New Roman" w:cs="Times New Roman"/>
          <w:sz w:val="21"/>
          <w:szCs w:val="24"/>
        </w:rPr>
        <w:t xml:space="preserve">. </w:t>
      </w:r>
      <w:r>
        <w:rPr>
          <w:rFonts w:ascii="Times New Roman" w:hAnsi="Times New Roman" w:cs="Times New Roman"/>
          <w:b/>
          <w:sz w:val="21"/>
          <w:szCs w:val="24"/>
          <w:vertAlign w:val="superscript"/>
        </w:rPr>
        <w:t>*</w:t>
      </w:r>
      <w:r>
        <w:rPr>
          <w:rFonts w:ascii="Times New Roman" w:hAnsi="Times New Roman" w:cs="Times New Roman"/>
          <w:sz w:val="21"/>
          <w:szCs w:val="24"/>
        </w:rPr>
        <w:t>了解求方程近似解的二分法和切线法的思想。</w:t>
      </w:r>
    </w:p>
    <w:p>
      <w:pPr>
        <w:pStyle w:val="45"/>
        <w:tabs>
          <w:tab w:val="left" w:pos="2181"/>
        </w:tabs>
        <w:spacing w:line="360" w:lineRule="auto"/>
        <w:ind w:firstLine="422"/>
        <w:rPr>
          <w:b/>
          <w:bCs/>
          <w:szCs w:val="21"/>
        </w:rPr>
      </w:pPr>
      <w:r>
        <w:rPr>
          <w:b/>
          <w:bCs/>
          <w:szCs w:val="21"/>
        </w:rPr>
        <w:t>【本章重点】</w:t>
      </w:r>
      <w:r>
        <w:rPr>
          <w:b/>
          <w:bCs/>
          <w:szCs w:val="21"/>
        </w:rPr>
        <w:tab/>
      </w:r>
    </w:p>
    <w:p>
      <w:pPr>
        <w:pStyle w:val="45"/>
        <w:spacing w:line="360" w:lineRule="auto"/>
        <w:rPr>
          <w:szCs w:val="24"/>
        </w:rPr>
      </w:pPr>
      <w:r>
        <w:rPr>
          <w:rFonts w:hint="eastAsia"/>
          <w:szCs w:val="24"/>
        </w:rPr>
        <w:t>导数的几何意义及切线方程与法线方程，可导与连续的关系，导数和微分的计算，复合函数的导数，隐函数和由参数方程所确定的函数的一阶、二阶导数的求法，高阶导数及一些重要函数的高阶导数公式，微分中值定理，尤其是罗尔定理和拉格朗日中值定理；应用洛必达法则求不定式极限，利用导数判断函数的单调性、凹凸性；极值与拐点的求法。</w:t>
      </w:r>
    </w:p>
    <w:p>
      <w:pPr>
        <w:pStyle w:val="45"/>
        <w:spacing w:line="360" w:lineRule="auto"/>
        <w:ind w:firstLine="422"/>
        <w:rPr>
          <w:b/>
          <w:bCs/>
          <w:szCs w:val="21"/>
        </w:rPr>
      </w:pPr>
      <w:r>
        <w:rPr>
          <w:b/>
          <w:bCs/>
          <w:szCs w:val="21"/>
        </w:rPr>
        <w:t>【本章难点】</w:t>
      </w:r>
    </w:p>
    <w:p>
      <w:pPr>
        <w:pStyle w:val="68"/>
        <w:spacing w:before="0" w:beforeAutospacing="0" w:after="0" w:afterAutospacing="0" w:line="360" w:lineRule="auto"/>
        <w:ind w:firstLine="420"/>
        <w:rPr>
          <w:rFonts w:ascii="Times New Roman" w:hAnsi="Times New Roman" w:cs="Times New Roman"/>
          <w:sz w:val="21"/>
          <w:szCs w:val="24"/>
        </w:rPr>
      </w:pPr>
      <w:r>
        <w:rPr>
          <w:rFonts w:hint="eastAsia" w:ascii="Times New Roman" w:hAnsi="Times New Roman" w:cs="Times New Roman"/>
          <w:sz w:val="21"/>
          <w:szCs w:val="24"/>
        </w:rPr>
        <w:t>隐函数和由参数方程所确定的函数的一阶、二阶导数的求法，在应用中值定理过程中关于辅助函数的构造，洛必达法则的应用，极值点与驻点的关系；函数的最大值与最小值的求法，极值与最值的关系。</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eastAsia="黑体"/>
        </w:rPr>
      </w:pPr>
      <w:r>
        <w:rPr>
          <w:rFonts w:eastAsia="黑体"/>
        </w:rPr>
        <w:t>第四章 不定积分</w:t>
      </w:r>
      <w:r>
        <w:rPr>
          <w:rFonts w:hint="eastAsia" w:eastAsia="黑体"/>
        </w:rPr>
        <w:t>（12学时）</w:t>
      </w:r>
    </w:p>
    <w:p>
      <w:pPr>
        <w:spacing w:line="360" w:lineRule="auto"/>
      </w:pPr>
      <w:r>
        <w:rPr>
          <w:rFonts w:hint="eastAsia" w:eastAsia="黑体"/>
        </w:rPr>
        <w:t xml:space="preserve">  </w:t>
      </w:r>
      <w:r>
        <w:rPr>
          <w:rFonts w:hint="eastAsia"/>
        </w:rPr>
        <w:t xml:space="preserve"> 1. 理解掌握不定积分的基本公式，掌握不定积分的第一换元积分法和第二换元积分法，掌握分部积分法；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2. 理解原函数与不定积分的概念，理解变上限的积分作为其上限的函数及其求导定理，掌握牛顿－莱布尼茨（Newton-Leibniz）公式。</w:t>
      </w:r>
    </w:p>
    <w:p>
      <w:pPr>
        <w:pStyle w:val="45"/>
        <w:tabs>
          <w:tab w:val="left" w:pos="2181"/>
        </w:tabs>
        <w:spacing w:line="360" w:lineRule="auto"/>
        <w:ind w:firstLine="422"/>
        <w:rPr>
          <w:b/>
          <w:bCs/>
          <w:szCs w:val="21"/>
        </w:rPr>
      </w:pPr>
      <w:r>
        <w:rPr>
          <w:b/>
          <w:bCs/>
          <w:szCs w:val="21"/>
        </w:rPr>
        <w:t>【本章重点】</w:t>
      </w:r>
      <w:r>
        <w:rPr>
          <w:b/>
          <w:bCs/>
          <w:szCs w:val="21"/>
        </w:rPr>
        <w:tab/>
      </w:r>
    </w:p>
    <w:p>
      <w:pPr>
        <w:spacing w:line="360" w:lineRule="auto"/>
      </w:pPr>
      <w:r>
        <w:rPr>
          <w:rFonts w:hint="eastAsia"/>
        </w:rPr>
        <w:t xml:space="preserve">     利用换元积分法与分部积分法求不定积分，常用的简单有理函数、三角函数与无理根式的不定积分的计算。</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eastAsia="黑体"/>
        </w:rPr>
      </w:pPr>
      <w:r>
        <w:rPr>
          <w:rFonts w:eastAsia="黑体"/>
        </w:rPr>
        <w:t>第五章 定积分</w:t>
      </w:r>
      <w:r>
        <w:rPr>
          <w:rFonts w:hint="eastAsia" w:eastAsia="黑体"/>
        </w:rPr>
        <w:t>（12学时）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1. 理解定积分的概念和几何意义（对于利用定积分定义求定积分与求极限不作要求），了解定积分的性质和积分中值定理</w:t>
      </w:r>
      <w:r>
        <w:rPr>
          <w:rFonts w:hint="eastAsia" w:ascii="Times New Roman" w:hAnsi="Times New Roman" w:cs="Times New Roman"/>
          <w:sz w:val="21"/>
          <w:szCs w:val="24"/>
        </w:rPr>
        <w:t>；</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2. 掌握微积分基本定理。</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3. 会计算有理函数的积分、某些无理函数的积分和三角函数有理式的积分；</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4. 掌握定积分计算的换元积分法和分部积分法。</w:t>
      </w:r>
    </w:p>
    <w:p>
      <w:pPr>
        <w:pStyle w:val="45"/>
        <w:spacing w:line="360" w:lineRule="auto"/>
        <w:ind w:firstLine="422"/>
        <w:rPr>
          <w:b/>
          <w:bCs/>
        </w:rPr>
      </w:pPr>
      <w:r>
        <w:rPr>
          <w:b/>
          <w:bCs/>
        </w:rPr>
        <w:t>【本章重点】</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1. 定积分的概念，原函数与微积分基本原理，利用换元积分法与分部积分法求 不定积分，常用的简单的有理函数、三角函数与无理根式的定积分计算。</w:t>
      </w:r>
    </w:p>
    <w:p>
      <w:pPr>
        <w:pStyle w:val="45"/>
        <w:spacing w:line="360" w:lineRule="auto"/>
        <w:ind w:firstLine="422"/>
        <w:rPr>
          <w:b/>
          <w:bCs/>
        </w:rPr>
      </w:pPr>
      <w:r>
        <w:rPr>
          <w:b/>
          <w:bCs/>
        </w:rPr>
        <w:t>【本章</w:t>
      </w:r>
      <w:r>
        <w:rPr>
          <w:rFonts w:hint="eastAsia"/>
          <w:b/>
          <w:bCs/>
        </w:rPr>
        <w:t>难</w:t>
      </w:r>
      <w:r>
        <w:rPr>
          <w:b/>
          <w:bCs/>
        </w:rPr>
        <w:t>点】</w:t>
      </w:r>
    </w:p>
    <w:p>
      <w:pPr>
        <w:pStyle w:val="45"/>
        <w:spacing w:line="360" w:lineRule="auto"/>
        <w:rPr>
          <w:szCs w:val="24"/>
        </w:rPr>
      </w:pPr>
      <w:r>
        <w:rPr>
          <w:rFonts w:hint="eastAsia"/>
          <w:szCs w:val="24"/>
        </w:rPr>
        <w:t>1.有理函数的部分分式分解，无理根式的积分。</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eastAsia="黑体"/>
        </w:rPr>
      </w:pPr>
      <w:r>
        <w:rPr>
          <w:rFonts w:eastAsia="黑体"/>
        </w:rPr>
        <w:t>第六章 定积分的应用</w:t>
      </w:r>
      <w:r>
        <w:rPr>
          <w:rFonts w:hint="eastAsia" w:eastAsia="黑体"/>
        </w:rPr>
        <w:t>（6学时）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1</w:t>
      </w:r>
      <w:r>
        <w:rPr>
          <w:rFonts w:ascii="Times New Roman" w:hAnsi="Times New Roman" w:cs="Times New Roman"/>
          <w:sz w:val="21"/>
          <w:szCs w:val="24"/>
        </w:rPr>
        <w:t>. 掌握不定积分的基本公式以及求不定积分、定积分的换元法与分部积分法（淡化特殊积分技巧的训练，对于求有理函数积分的一般方法不作要求，对于一些简单有理函数、三角有理函数和无理函数的积分可作为两类积分法的例题作适当训练）。</w:t>
      </w:r>
    </w:p>
    <w:p>
      <w:pPr>
        <w:pStyle w:val="68"/>
        <w:spacing w:before="0" w:beforeAutospacing="0" w:after="0" w:afterAutospacing="0" w:line="360" w:lineRule="auto"/>
        <w:ind w:firstLine="420" w:firstLineChars="200"/>
        <w:rPr>
          <w:rFonts w:ascii="Times New Roman" w:hAnsi="Times New Roman" w:cs="Times New Roman"/>
          <w:sz w:val="21"/>
          <w:szCs w:val="24"/>
        </w:rPr>
      </w:pPr>
      <w:r>
        <w:rPr>
          <w:rFonts w:hint="eastAsia" w:ascii="Times New Roman" w:hAnsi="Times New Roman" w:cs="Times New Roman"/>
          <w:sz w:val="21"/>
          <w:szCs w:val="24"/>
        </w:rPr>
        <w:t>2</w:t>
      </w:r>
      <w:r>
        <w:rPr>
          <w:rFonts w:ascii="Times New Roman" w:hAnsi="Times New Roman" w:cs="Times New Roman"/>
          <w:sz w:val="21"/>
          <w:szCs w:val="24"/>
        </w:rPr>
        <w:t>. 掌握科学技术问题中建立定积分表达式的元素法（微元法），会建立某些简单几何量和物理量的积分表达式。</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hint="eastAsia" w:ascii="Times New Roman" w:hAnsi="Times New Roman" w:cs="Times New Roman"/>
          <w:sz w:val="21"/>
          <w:szCs w:val="24"/>
        </w:rPr>
        <w:t>3</w:t>
      </w:r>
      <w:r>
        <w:rPr>
          <w:rFonts w:ascii="Times New Roman" w:hAnsi="Times New Roman" w:cs="Times New Roman"/>
          <w:sz w:val="21"/>
          <w:szCs w:val="24"/>
        </w:rPr>
        <w:t>.了解两类反常积分及其收敛性的概念，了解</w:t>
      </w:r>
      <w:r>
        <w:rPr>
          <w:rFonts w:ascii="Times New Roman" w:hAnsi="Times New Roman" w:cs="Times New Roman"/>
          <w:sz w:val="21"/>
          <w:szCs w:val="24"/>
          <w:vertAlign w:val="subscript"/>
        </w:rPr>
        <w:drawing>
          <wp:inline distT="0" distB="0" distL="0" distR="0">
            <wp:extent cx="182880" cy="151130"/>
            <wp:effectExtent l="0" t="0" r="762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182880" cy="151130"/>
                    </a:xfrm>
                    <a:prstGeom prst="rect">
                      <a:avLst/>
                    </a:prstGeom>
                    <a:noFill/>
                    <a:ln>
                      <a:noFill/>
                    </a:ln>
                  </pic:spPr>
                </pic:pic>
              </a:graphicData>
            </a:graphic>
          </wp:inline>
        </w:drawing>
      </w:r>
      <w:r>
        <w:rPr>
          <w:rFonts w:ascii="Times New Roman" w:hAnsi="Times New Roman" w:cs="Times New Roman"/>
          <w:sz w:val="21"/>
          <w:szCs w:val="24"/>
        </w:rPr>
        <w:t>函数的概念。</w:t>
      </w:r>
    </w:p>
    <w:p>
      <w:pPr>
        <w:pStyle w:val="68"/>
        <w:spacing w:before="0" w:beforeAutospacing="0" w:after="0" w:afterAutospacing="0" w:line="360" w:lineRule="auto"/>
        <w:ind w:left="420" w:leftChars="200" w:firstLine="0"/>
        <w:rPr>
          <w:rFonts w:ascii="Times New Roman" w:hAnsi="Times New Roman" w:cs="Times New Roman"/>
          <w:sz w:val="21"/>
          <w:szCs w:val="24"/>
        </w:rPr>
      </w:pPr>
      <w:r>
        <w:rPr>
          <w:rFonts w:hint="eastAsia" w:ascii="Times New Roman" w:hAnsi="Times New Roman" w:cs="Times New Roman"/>
          <w:sz w:val="21"/>
          <w:szCs w:val="24"/>
        </w:rPr>
        <w:t>4</w:t>
      </w:r>
      <w:r>
        <w:rPr>
          <w:rFonts w:ascii="Times New Roman" w:hAnsi="Times New Roman" w:cs="Times New Roman"/>
          <w:sz w:val="21"/>
          <w:szCs w:val="24"/>
        </w:rPr>
        <w:t>.了解定积分的近似计算法（梯形法和抛物线法）的思想。</w:t>
      </w:r>
    </w:p>
    <w:p>
      <w:pPr>
        <w:pStyle w:val="45"/>
        <w:spacing w:line="360" w:lineRule="auto"/>
        <w:ind w:firstLine="422"/>
        <w:rPr>
          <w:b/>
          <w:bCs/>
        </w:rPr>
      </w:pPr>
      <w:r>
        <w:rPr>
          <w:b/>
          <w:bCs/>
        </w:rPr>
        <w:t>【本章重点】</w:t>
      </w:r>
    </w:p>
    <w:p>
      <w:pPr>
        <w:pStyle w:val="45"/>
        <w:spacing w:line="360" w:lineRule="auto"/>
        <w:rPr>
          <w:szCs w:val="24"/>
        </w:rPr>
      </w:pPr>
      <w:r>
        <w:rPr>
          <w:rFonts w:hint="eastAsia"/>
          <w:szCs w:val="24"/>
        </w:rPr>
        <w:t>不定积分的计算方法，定积分的计算方法。</w:t>
      </w:r>
    </w:p>
    <w:p>
      <w:pPr>
        <w:pStyle w:val="45"/>
        <w:spacing w:line="360" w:lineRule="auto"/>
        <w:ind w:firstLine="422"/>
        <w:rPr>
          <w:b/>
          <w:bCs/>
        </w:rPr>
      </w:pPr>
      <w:r>
        <w:rPr>
          <w:b/>
          <w:bCs/>
        </w:rPr>
        <w:t>【本章难点】</w:t>
      </w:r>
    </w:p>
    <w:p>
      <w:pPr>
        <w:pStyle w:val="68"/>
        <w:spacing w:before="0" w:beforeAutospacing="0" w:after="0" w:afterAutospacing="0" w:line="360" w:lineRule="auto"/>
        <w:ind w:firstLine="420"/>
        <w:rPr>
          <w:rFonts w:ascii="Times New Roman" w:hAnsi="Times New Roman" w:cs="Times New Roman"/>
          <w:sz w:val="21"/>
          <w:szCs w:val="24"/>
        </w:rPr>
      </w:pPr>
      <w:r>
        <w:rPr>
          <w:rFonts w:hint="eastAsia" w:ascii="Times New Roman" w:hAnsi="Times New Roman" w:cs="Times New Roman"/>
          <w:sz w:val="21"/>
          <w:szCs w:val="24"/>
        </w:rPr>
        <w:t>积分法的应用</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eastAsia="黑体"/>
        </w:rPr>
      </w:pPr>
      <w:r>
        <w:rPr>
          <w:rFonts w:eastAsia="黑体"/>
        </w:rPr>
        <w:t xml:space="preserve">第七章 </w:t>
      </w:r>
      <w:r>
        <w:rPr>
          <w:rFonts w:hint="eastAsia" w:eastAsia="黑体"/>
        </w:rPr>
        <w:t xml:space="preserve"> </w:t>
      </w:r>
      <w:r>
        <w:rPr>
          <w:rFonts w:eastAsia="黑体"/>
        </w:rPr>
        <w:t>常微分方程</w:t>
      </w:r>
      <w:r>
        <w:rPr>
          <w:rFonts w:hint="eastAsia" w:eastAsia="黑体"/>
        </w:rPr>
        <w:t>（10学时）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1. 了解微分方程、解、通解、初始条件和特解等概念。</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2. 掌握变量可分离的方程及一阶线性微分方程的解法。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3. 会解齐次方程，并从中领会用变量代换求解微分方程的的思想。</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 xml:space="preserve">4. </w:t>
      </w:r>
      <w:r>
        <w:rPr>
          <w:rFonts w:ascii="Times New Roman" w:hAnsi="Times New Roman" w:cs="Times New Roman"/>
          <w:b/>
          <w:sz w:val="21"/>
          <w:szCs w:val="24"/>
          <w:vertAlign w:val="superscript"/>
        </w:rPr>
        <w:t>*</w:t>
      </w:r>
      <w:r>
        <w:rPr>
          <w:rFonts w:ascii="Times New Roman" w:hAnsi="Times New Roman" w:cs="Times New Roman"/>
          <w:sz w:val="21"/>
          <w:szCs w:val="24"/>
        </w:rPr>
        <w:t>会用降阶法求下列三种类型的高阶方程：</w:t>
      </w:r>
      <w:r>
        <w:rPr>
          <w:rFonts w:ascii="Times New Roman" w:hAnsi="Times New Roman" w:cs="Times New Roman"/>
          <w:position w:val="-10"/>
          <w:sz w:val="21"/>
          <w:szCs w:val="24"/>
        </w:rPr>
        <w:object>
          <v:shape id="_x0000_i1030" o:spt="75" type="#_x0000_t75" style="height:18pt;width:184.55pt;" o:ole="t" filled="f" o:preferrelative="t" stroked="f" coordsize="21600,21600">
            <v:path/>
            <v:fill on="f" focussize="0,0"/>
            <v:stroke on="f" joinstyle="miter"/>
            <v:imagedata r:id="rId166" o:title=""/>
            <o:lock v:ext="edit" aspectratio="t"/>
            <w10:wrap type="none"/>
            <w10:anchorlock/>
          </v:shape>
          <o:OLEObject Type="Embed" ProgID="Equation.DSMT4" ShapeID="_x0000_i1030" DrawAspect="Content" ObjectID="_1468075730" r:id="rId165">
            <o:LockedField>false</o:LockedField>
          </o:OLEObject>
        </w:object>
      </w:r>
      <w:r>
        <w:rPr>
          <w:rFonts w:ascii="Times New Roman" w:hAnsi="Times New Roman" w:cs="Times New Roman"/>
          <w:sz w:val="21"/>
          <w:szCs w:val="24"/>
        </w:rPr>
        <w:t>。</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5. 理解二阶线性微分方程解的结构。</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6. 掌握二阶常系数齐次线性微分方程的解法，了解高阶常系数齐次线性微分方程的解法。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7. 会求自由项形如</w:t>
      </w:r>
      <w:r>
        <w:rPr>
          <w:rFonts w:ascii="Times New Roman" w:hAnsi="Times New Roman" w:cs="Times New Roman"/>
          <w:position w:val="-12"/>
          <w:sz w:val="21"/>
          <w:szCs w:val="24"/>
        </w:rPr>
        <w:object>
          <v:shape id="_x0000_i1031" o:spt="75" type="#_x0000_t75" style="height:19.5pt;width:199.6pt;" o:ole="t" filled="f" o:preferrelative="t" stroked="f" coordsize="21600,21600">
            <v:path/>
            <v:fill on="f" focussize="0,0"/>
            <v:stroke on="f" joinstyle="miter"/>
            <v:imagedata r:id="rId168" o:title=""/>
            <o:lock v:ext="edit" aspectratio="t"/>
            <w10:wrap type="none"/>
            <w10:anchorlock/>
          </v:shape>
          <o:OLEObject Type="Embed" ProgID="Equation.DSMT4" ShapeID="_x0000_i1031" DrawAspect="Content" ObjectID="_1468075731" r:id="rId167">
            <o:LockedField>false</o:LockedField>
          </o:OLEObject>
        </w:object>
      </w:r>
      <w:r>
        <w:rPr>
          <w:rFonts w:ascii="Times New Roman" w:hAnsi="Times New Roman" w:cs="Times New Roman"/>
          <w:sz w:val="21"/>
          <w:szCs w:val="24"/>
        </w:rPr>
        <w:t>的二阶常系数非齐次线性微分方程的特解。</w:t>
      </w:r>
    </w:p>
    <w:p>
      <w:pPr>
        <w:pStyle w:val="68"/>
        <w:spacing w:before="0" w:beforeAutospacing="0" w:after="0" w:afterAutospacing="0" w:line="360" w:lineRule="auto"/>
        <w:ind w:left="210" w:leftChars="100" w:firstLine="214" w:firstLineChars="102"/>
        <w:rPr>
          <w:rFonts w:ascii="Times New Roman" w:hAnsi="Times New Roman" w:cs="Times New Roman"/>
          <w:sz w:val="21"/>
          <w:szCs w:val="24"/>
        </w:rPr>
      </w:pPr>
      <w:r>
        <w:rPr>
          <w:rFonts w:ascii="Times New Roman" w:hAnsi="Times New Roman" w:cs="Times New Roman"/>
          <w:sz w:val="21"/>
          <w:szCs w:val="24"/>
        </w:rPr>
        <w:t>8. 会通过建立微分方程模型，解决一些简单的实际问题。</w:t>
      </w:r>
    </w:p>
    <w:p>
      <w:pPr>
        <w:pStyle w:val="45"/>
        <w:spacing w:line="360" w:lineRule="auto"/>
        <w:ind w:firstLine="422"/>
        <w:rPr>
          <w:b/>
          <w:bCs/>
        </w:rPr>
      </w:pPr>
      <w:r>
        <w:rPr>
          <w:b/>
          <w:bCs/>
        </w:rPr>
        <w:t>【本章重点】</w:t>
      </w:r>
    </w:p>
    <w:p>
      <w:pPr>
        <w:pStyle w:val="45"/>
        <w:spacing w:line="360" w:lineRule="auto"/>
        <w:rPr>
          <w:szCs w:val="24"/>
        </w:rPr>
      </w:pPr>
      <w:r>
        <w:rPr>
          <w:rFonts w:hint="eastAsia"/>
          <w:szCs w:val="24"/>
        </w:rPr>
        <w:t>变量可分离的微分方程及一阶线性方程的解法，二阶常系数齐次线性微分方程的解法以及二阶常系数非齐次线性微分方程的解法。</w:t>
      </w:r>
    </w:p>
    <w:p>
      <w:pPr>
        <w:pStyle w:val="45"/>
        <w:spacing w:line="360" w:lineRule="auto"/>
        <w:ind w:firstLine="451" w:firstLineChars="214"/>
        <w:rPr>
          <w:b/>
          <w:bCs/>
        </w:rPr>
      </w:pPr>
      <w:r>
        <w:rPr>
          <w:b/>
          <w:bCs/>
        </w:rPr>
        <w:t>【本章难点】</w:t>
      </w:r>
    </w:p>
    <w:p>
      <w:pPr>
        <w:pStyle w:val="68"/>
        <w:spacing w:before="0" w:beforeAutospacing="0" w:after="0" w:afterAutospacing="0" w:line="360" w:lineRule="auto"/>
        <w:ind w:firstLine="420"/>
        <w:rPr>
          <w:rFonts w:ascii="Times New Roman" w:hAnsi="Times New Roman" w:cs="Times New Roman"/>
          <w:sz w:val="21"/>
          <w:szCs w:val="24"/>
        </w:rPr>
      </w:pPr>
      <w:r>
        <w:rPr>
          <w:rFonts w:hint="eastAsia" w:ascii="Times New Roman" w:hAnsi="Times New Roman" w:cs="Times New Roman"/>
          <w:sz w:val="21"/>
          <w:szCs w:val="24"/>
        </w:rPr>
        <w:t>自由项为多项式、指数函数、正弦函数、余弦函数以及它们的和与乘积的二阶常系数非齐次线性微分方程特解的求法。</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rPr>
      </w:pPr>
      <w:r>
        <w:rPr>
          <w:rFonts w:ascii="黑体" w:hAnsi="黑体" w:eastAsia="黑体"/>
        </w:rPr>
        <w:t xml:space="preserve">第八章 </w:t>
      </w:r>
      <w:r>
        <w:rPr>
          <w:rFonts w:hint="eastAsia" w:ascii="黑体" w:hAnsi="黑体" w:eastAsia="黑体"/>
        </w:rPr>
        <w:t xml:space="preserve"> </w:t>
      </w:r>
      <w:r>
        <w:rPr>
          <w:rFonts w:ascii="黑体" w:hAnsi="黑体" w:eastAsia="黑体"/>
        </w:rPr>
        <w:t>向量代数与空间解析几何</w:t>
      </w:r>
      <w:r>
        <w:rPr>
          <w:rFonts w:hint="eastAsia" w:ascii="黑体" w:hAnsi="黑体" w:eastAsia="黑体"/>
        </w:rPr>
        <w:t>（16学时）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1. 理解空间直角坐标系，理解向量的概念及其表示。</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2. 掌握向量的运算（线性运算、数量积、向量积），了解两个向量垂直、平行的条件。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3. 掌握单位向量、方向余弦、向量的坐标表达式以及用坐标表达式进行向量运算的方法。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4. 掌握平面的方程和直线的方程及其求法，会利用平面、直线的相互关系解决有关问题。</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5. 理解二次曲面方程的概念，了解空间曲线方程的概念。</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6. 了解常用二次曲面的方程及其图形，了解以坐标轴为旋转轴的旋转曲面及母线平行于坐标轴的柱面方程。</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7. 了解空间曲线的参数方程和一般方程。</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8. 了解曲面的交线在坐标平面上的投影。</w:t>
      </w:r>
    </w:p>
    <w:p>
      <w:pPr>
        <w:pStyle w:val="45"/>
        <w:spacing w:line="360" w:lineRule="auto"/>
        <w:ind w:firstLine="424" w:firstLineChars="202"/>
        <w:rPr>
          <w:szCs w:val="24"/>
        </w:rPr>
      </w:pPr>
      <w:r>
        <w:rPr>
          <w:szCs w:val="24"/>
        </w:rPr>
        <w:t xml:space="preserve">9. </w:t>
      </w:r>
      <w:r>
        <w:rPr>
          <w:b/>
          <w:szCs w:val="24"/>
          <w:vertAlign w:val="superscript"/>
        </w:rPr>
        <w:t>*</w:t>
      </w:r>
      <w:r>
        <w:rPr>
          <w:szCs w:val="24"/>
        </w:rPr>
        <w:t>了解二次曲面的分类。</w:t>
      </w:r>
    </w:p>
    <w:p>
      <w:pPr>
        <w:pStyle w:val="45"/>
        <w:spacing w:line="360" w:lineRule="auto"/>
        <w:ind w:firstLine="422"/>
        <w:rPr>
          <w:b/>
          <w:bCs/>
        </w:rPr>
      </w:pPr>
      <w:r>
        <w:rPr>
          <w:b/>
          <w:bCs/>
        </w:rPr>
        <w:t>【本章重点】</w:t>
      </w:r>
    </w:p>
    <w:p>
      <w:pPr>
        <w:pStyle w:val="45"/>
        <w:spacing w:line="360" w:lineRule="auto"/>
        <w:rPr>
          <w:szCs w:val="24"/>
        </w:rPr>
      </w:pPr>
      <w:r>
        <w:rPr>
          <w:rFonts w:hint="eastAsia"/>
          <w:szCs w:val="24"/>
        </w:rPr>
        <w:t>向量的运算（线性运算、点乘法、叉乘法），用坐标表达式进行向量运算，对曲面方程及其图形的理解，对以坐标轴为旋转轴的旋转曲面及母线平行于坐标轴的柱面方程的理解。</w:t>
      </w:r>
    </w:p>
    <w:p>
      <w:pPr>
        <w:pStyle w:val="45"/>
        <w:spacing w:line="360" w:lineRule="auto"/>
        <w:ind w:firstLine="422"/>
        <w:rPr>
          <w:b/>
          <w:bCs/>
        </w:rPr>
      </w:pPr>
      <w:r>
        <w:rPr>
          <w:b/>
          <w:bCs/>
        </w:rPr>
        <w:t>【本章难点】</w:t>
      </w:r>
    </w:p>
    <w:p>
      <w:pPr>
        <w:pStyle w:val="45"/>
        <w:spacing w:line="360" w:lineRule="auto"/>
        <w:rPr>
          <w:szCs w:val="24"/>
        </w:rPr>
      </w:pPr>
      <w:r>
        <w:rPr>
          <w:rFonts w:hint="eastAsia"/>
          <w:szCs w:val="24"/>
        </w:rPr>
        <w:t>对旋转曲面及母线平行于坐标轴的柱面的理解及其方程的求法。</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rPr>
      </w:pPr>
      <w:r>
        <w:rPr>
          <w:rFonts w:ascii="黑体" w:hAnsi="黑体" w:eastAsia="黑体"/>
        </w:rPr>
        <w:t xml:space="preserve">第九章 </w:t>
      </w:r>
      <w:r>
        <w:rPr>
          <w:rFonts w:hint="eastAsia" w:ascii="黑体" w:hAnsi="黑体" w:eastAsia="黑体"/>
        </w:rPr>
        <w:t xml:space="preserve"> </w:t>
      </w:r>
      <w:r>
        <w:rPr>
          <w:rFonts w:ascii="黑体" w:hAnsi="黑体" w:eastAsia="黑体"/>
        </w:rPr>
        <w:t>多元函数微分法及其应用</w:t>
      </w:r>
      <w:r>
        <w:rPr>
          <w:rFonts w:hint="eastAsia" w:ascii="黑体" w:hAnsi="黑体" w:eastAsia="黑体"/>
        </w:rPr>
        <w:t>（24学时）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1. 理解二元函数的概念，了解多元函数的概念</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2. 了解二元函数的极限与连续性的概念，了解有界闭区域上连续函数的性质。</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3. 理解二元函数偏导数与全微分的概念，了解全微分存在的必要条件与充分条件。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4. 了解一元向量值函数及其导数的概念与计算方法。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5. 了解方向导数与梯度的概念及其计算方法。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6. 掌握复合函数一阶偏导数的求法，会求复合函数的二阶偏导数（对于求抽象复合函数的二阶导数，只要求作简单训练）。</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7. 会求隐函数（包括由两个方程构成的方程组确定的隐函数）的一阶偏导数（对求二阶偏导数不作要求）。</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8. 了解曲线的切线和法平面以及曲面的切平面与法线，并会求出它们的方程。</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9. 理解二元函数极值与条件极值的概念，会求二元函数的极值，了解求条件极值的拉格朗日乘数法，会求解一些比较简单的最大值与最小值的应用问题。</w:t>
      </w:r>
    </w:p>
    <w:p>
      <w:pPr>
        <w:pStyle w:val="45"/>
        <w:spacing w:line="360" w:lineRule="auto"/>
        <w:ind w:firstLine="451" w:firstLineChars="214"/>
        <w:rPr>
          <w:b/>
          <w:bCs/>
        </w:rPr>
      </w:pPr>
      <w:r>
        <w:rPr>
          <w:b/>
          <w:bCs/>
        </w:rPr>
        <w:t>【本章重点】</w:t>
      </w:r>
    </w:p>
    <w:p>
      <w:pPr>
        <w:pStyle w:val="45"/>
        <w:spacing w:line="360" w:lineRule="auto"/>
        <w:rPr>
          <w:szCs w:val="24"/>
        </w:rPr>
      </w:pPr>
      <w:r>
        <w:rPr>
          <w:rFonts w:hint="eastAsia"/>
          <w:szCs w:val="24"/>
        </w:rPr>
        <w:t>偏导数和全微分的概念，隐函数(包括由方程组确定的隐函数)的偏导数，复合函数的求导法，多元函数微分法的几何意义及多元函数极值。</w:t>
      </w:r>
    </w:p>
    <w:p>
      <w:pPr>
        <w:pStyle w:val="45"/>
        <w:spacing w:line="360" w:lineRule="auto"/>
        <w:ind w:firstLine="417" w:firstLineChars="198"/>
        <w:rPr>
          <w:b/>
          <w:bCs/>
        </w:rPr>
      </w:pPr>
      <w:r>
        <w:rPr>
          <w:b/>
          <w:bCs/>
        </w:rPr>
        <w:t>【本章难点】</w:t>
      </w:r>
    </w:p>
    <w:p>
      <w:pPr>
        <w:spacing w:line="360" w:lineRule="auto"/>
        <w:ind w:firstLine="420"/>
        <w:rPr>
          <w:kern w:val="0"/>
        </w:rPr>
      </w:pPr>
      <w:r>
        <w:rPr>
          <w:rFonts w:hint="eastAsia"/>
          <w:kern w:val="0"/>
        </w:rPr>
        <w:t>复合函数的求导法，多元函数极值的求法，条件极值与无条件极值。</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rPr>
      </w:pPr>
      <w:r>
        <w:rPr>
          <w:rFonts w:ascii="黑体" w:hAnsi="黑体" w:eastAsia="黑体"/>
        </w:rPr>
        <w:t>第十章</w:t>
      </w:r>
      <w:r>
        <w:rPr>
          <w:rFonts w:hint="eastAsia" w:ascii="黑体" w:hAnsi="黑体" w:eastAsia="黑体"/>
        </w:rPr>
        <w:t xml:space="preserve"> </w:t>
      </w:r>
      <w:r>
        <w:rPr>
          <w:rFonts w:ascii="黑体" w:hAnsi="黑体" w:eastAsia="黑体"/>
        </w:rPr>
        <w:t xml:space="preserve"> 重积分</w:t>
      </w:r>
      <w:r>
        <w:rPr>
          <w:rFonts w:hint="eastAsia" w:ascii="黑体" w:hAnsi="黑体" w:eastAsia="黑体"/>
        </w:rPr>
        <w:t>（14学时）</w:t>
      </w:r>
    </w:p>
    <w:p>
      <w:pPr>
        <w:spacing w:line="360" w:lineRule="auto"/>
        <w:ind w:firstLine="420"/>
        <w:rPr>
          <w:rFonts w:ascii="黑体" w:hAnsi="黑体"/>
        </w:rPr>
      </w:pPr>
      <w:r>
        <w:rPr>
          <w:rFonts w:hint="eastAsia" w:ascii="黑体" w:hAnsi="黑体"/>
        </w:rPr>
        <w:t>1. 理解二重积分、三重积分的概念；</w:t>
      </w:r>
    </w:p>
    <w:p>
      <w:pPr>
        <w:spacing w:line="360" w:lineRule="auto"/>
        <w:ind w:firstLine="420"/>
        <w:rPr>
          <w:rFonts w:ascii="黑体" w:hAnsi="黑体"/>
        </w:rPr>
      </w:pPr>
      <w:r>
        <w:rPr>
          <w:rFonts w:hint="eastAsia" w:ascii="黑体" w:hAnsi="黑体"/>
        </w:rPr>
        <w:t>2. 了解重积分的性质；</w:t>
      </w:r>
    </w:p>
    <w:p>
      <w:pPr>
        <w:spacing w:line="360" w:lineRule="auto"/>
        <w:ind w:firstLine="420"/>
        <w:rPr>
          <w:rFonts w:ascii="黑体" w:hAnsi="黑体"/>
        </w:rPr>
      </w:pPr>
      <w:r>
        <w:rPr>
          <w:rFonts w:hint="eastAsia" w:ascii="黑体" w:hAnsi="黑体"/>
        </w:rPr>
        <w:t>3. 了解二重积分的中值定理；</w:t>
      </w:r>
    </w:p>
    <w:p>
      <w:pPr>
        <w:spacing w:line="360" w:lineRule="auto"/>
        <w:ind w:firstLine="420"/>
        <w:rPr>
          <w:rFonts w:ascii="黑体" w:hAnsi="黑体"/>
        </w:rPr>
      </w:pPr>
      <w:r>
        <w:rPr>
          <w:rFonts w:hint="eastAsia" w:ascii="黑体" w:hAnsi="黑体"/>
        </w:rPr>
        <w:t>4.掌握二重积分（直角坐标、极坐标）的计算方法；</w:t>
      </w:r>
    </w:p>
    <w:p>
      <w:pPr>
        <w:spacing w:line="360" w:lineRule="auto"/>
        <w:ind w:firstLine="420"/>
        <w:rPr>
          <w:rFonts w:ascii="黑体" w:hAnsi="黑体"/>
        </w:rPr>
      </w:pPr>
      <w:r>
        <w:rPr>
          <w:rFonts w:hint="eastAsia" w:ascii="黑体" w:hAnsi="黑体"/>
        </w:rPr>
        <w:t>5. 能够计算三重积分（直角坐标、柱面坐标、球面坐标）</w:t>
      </w:r>
    </w:p>
    <w:p>
      <w:pPr>
        <w:spacing w:line="360" w:lineRule="auto"/>
        <w:ind w:firstLine="420"/>
        <w:rPr>
          <w:rFonts w:ascii="黑体" w:hAnsi="黑体"/>
        </w:rPr>
      </w:pPr>
      <w:r>
        <w:rPr>
          <w:rFonts w:hint="eastAsia" w:ascii="黑体" w:hAnsi="黑体"/>
        </w:rPr>
        <w:t>6.熟练重积分求一些几何量与物理量（平面图形的面积、体积、曲面面积、质量、重心、转动惯量等）。</w:t>
      </w:r>
    </w:p>
    <w:p>
      <w:pPr>
        <w:pStyle w:val="45"/>
        <w:spacing w:line="360" w:lineRule="auto"/>
        <w:ind w:firstLine="451" w:firstLineChars="214"/>
        <w:rPr>
          <w:b/>
          <w:bCs/>
        </w:rPr>
      </w:pPr>
      <w:r>
        <w:rPr>
          <w:b/>
          <w:bCs/>
        </w:rPr>
        <w:t>【本章重点】</w:t>
      </w:r>
    </w:p>
    <w:p>
      <w:pPr>
        <w:pStyle w:val="45"/>
        <w:spacing w:line="360" w:lineRule="auto"/>
        <w:ind w:firstLine="449" w:firstLineChars="214"/>
        <w:rPr>
          <w:bCs/>
          <w:szCs w:val="21"/>
        </w:rPr>
      </w:pPr>
      <w:r>
        <w:rPr>
          <w:rFonts w:hint="eastAsia"/>
          <w:bCs/>
          <w:szCs w:val="21"/>
        </w:rPr>
        <w:t>二重积分（直角坐标、极坐标）的计算方法，计算三重积分（直角坐标、柱面坐标和球面坐标）。</w:t>
      </w:r>
    </w:p>
    <w:p>
      <w:pPr>
        <w:pStyle w:val="45"/>
        <w:spacing w:line="360" w:lineRule="auto"/>
        <w:ind w:firstLine="451" w:firstLineChars="214"/>
        <w:rPr>
          <w:b/>
          <w:bCs/>
        </w:rPr>
      </w:pPr>
      <w:r>
        <w:rPr>
          <w:b/>
          <w:bCs/>
        </w:rPr>
        <w:t>【本章</w:t>
      </w:r>
      <w:r>
        <w:rPr>
          <w:rFonts w:hint="eastAsia"/>
          <w:b/>
          <w:bCs/>
        </w:rPr>
        <w:t>难</w:t>
      </w:r>
      <w:r>
        <w:rPr>
          <w:b/>
          <w:bCs/>
        </w:rPr>
        <w:t>点】</w:t>
      </w:r>
    </w:p>
    <w:p>
      <w:pPr>
        <w:spacing w:line="360" w:lineRule="auto"/>
        <w:ind w:firstLine="420"/>
        <w:rPr>
          <w:rFonts w:ascii="黑体" w:hAnsi="黑体"/>
        </w:rPr>
      </w:pPr>
      <w:r>
        <w:rPr>
          <w:rFonts w:hint="eastAsia" w:ascii="黑体" w:hAnsi="黑体"/>
        </w:rPr>
        <w:t>重积分求一些几何量与物理量。</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ascii="黑体" w:hAnsi="黑体" w:eastAsia="黑体"/>
        </w:rPr>
      </w:pPr>
      <w:r>
        <w:rPr>
          <w:rFonts w:ascii="黑体" w:hAnsi="黑体" w:eastAsia="黑体"/>
        </w:rPr>
        <w:t xml:space="preserve">第十一章 </w:t>
      </w:r>
      <w:r>
        <w:rPr>
          <w:rFonts w:hint="eastAsia" w:ascii="黑体" w:hAnsi="黑体" w:eastAsia="黑体"/>
        </w:rPr>
        <w:t xml:space="preserve"> </w:t>
      </w:r>
      <w:r>
        <w:rPr>
          <w:rFonts w:ascii="黑体" w:hAnsi="黑体" w:eastAsia="黑体"/>
        </w:rPr>
        <w:t>曲线积分与曲面积分</w:t>
      </w:r>
      <w:r>
        <w:rPr>
          <w:rFonts w:hint="eastAsia" w:ascii="黑体" w:hAnsi="黑体" w:eastAsia="黑体"/>
        </w:rPr>
        <w:t>（16学时）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1</w:t>
      </w:r>
      <w:r>
        <w:rPr>
          <w:rFonts w:ascii="Times New Roman" w:hAnsi="Times New Roman" w:cs="Times New Roman"/>
          <w:sz w:val="21"/>
          <w:szCs w:val="24"/>
        </w:rPr>
        <w:t>. 理解两类曲线积分的概念，了解两类曲线积分的性质及两类曲线积分的关系，会计算两类曲线积分（对于空间曲线积分的计算只作简单训练）。</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2</w:t>
      </w:r>
      <w:r>
        <w:rPr>
          <w:rFonts w:ascii="Times New Roman" w:hAnsi="Times New Roman" w:cs="Times New Roman"/>
          <w:sz w:val="21"/>
          <w:szCs w:val="24"/>
        </w:rPr>
        <w:t>. 掌握格林（Green）公式，会使用平面线积分与路径无关的条件，了解第二类平面线积分与路径无关的物理意义。</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3</w:t>
      </w:r>
      <w:r>
        <w:rPr>
          <w:rFonts w:ascii="Times New Roman" w:hAnsi="Times New Roman" w:cs="Times New Roman"/>
          <w:sz w:val="21"/>
          <w:szCs w:val="24"/>
        </w:rPr>
        <w:t>. 了解两类曲面积分的概念、相互联系及其计算方法。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4</w:t>
      </w:r>
      <w:r>
        <w:rPr>
          <w:rFonts w:ascii="Times New Roman" w:hAnsi="Times New Roman" w:cs="Times New Roman"/>
          <w:sz w:val="21"/>
          <w:szCs w:val="24"/>
        </w:rPr>
        <w:t>. 了解高斯（Gauss）公式，斯托克斯（Stokes）公式（斯托克斯公式的证明以及利用该公式计算空间曲线积分不作要求）。</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5</w:t>
      </w:r>
      <w:r>
        <w:rPr>
          <w:rFonts w:ascii="Times New Roman" w:hAnsi="Times New Roman" w:cs="Times New Roman"/>
          <w:sz w:val="21"/>
          <w:szCs w:val="24"/>
        </w:rPr>
        <w:t>.</w:t>
      </w:r>
      <w:r>
        <w:rPr>
          <w:rFonts w:ascii="Times New Roman" w:hAnsi="Times New Roman" w:cs="Times New Roman"/>
          <w:b/>
          <w:sz w:val="21"/>
          <w:szCs w:val="24"/>
        </w:rPr>
        <w:t xml:space="preserve"> </w:t>
      </w:r>
      <w:r>
        <w:rPr>
          <w:rFonts w:ascii="Times New Roman" w:hAnsi="Times New Roman" w:cs="Times New Roman"/>
          <w:b/>
          <w:sz w:val="21"/>
          <w:szCs w:val="24"/>
          <w:vertAlign w:val="superscript"/>
        </w:rPr>
        <w:t>*</w:t>
      </w:r>
      <w:r>
        <w:rPr>
          <w:rFonts w:ascii="Times New Roman" w:hAnsi="Times New Roman" w:cs="Times New Roman"/>
          <w:sz w:val="21"/>
          <w:szCs w:val="24"/>
        </w:rPr>
        <w:t>了解场的基本概念，了解散度、旋度的概念和某些特殊场（无源场、无旋场与调和场），会计算散度与旋度。</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hint="eastAsia" w:ascii="Times New Roman" w:hAnsi="Times New Roman" w:cs="Times New Roman"/>
          <w:sz w:val="21"/>
          <w:szCs w:val="24"/>
        </w:rPr>
        <w:t>6</w:t>
      </w:r>
      <w:r>
        <w:rPr>
          <w:rFonts w:ascii="Times New Roman" w:hAnsi="Times New Roman" w:cs="Times New Roman"/>
          <w:sz w:val="21"/>
          <w:szCs w:val="24"/>
        </w:rPr>
        <w:t>. 了解科学技术问题中建立重积分与曲线、曲面积分表达式的元素法（微元法），会建立某些简单的几何量和物理量的积分表达式。</w:t>
      </w:r>
    </w:p>
    <w:p>
      <w:pPr>
        <w:pStyle w:val="45"/>
        <w:spacing w:line="360" w:lineRule="auto"/>
        <w:ind w:left="210" w:leftChars="100" w:firstLine="207" w:firstLineChars="98"/>
        <w:rPr>
          <w:b/>
          <w:bCs/>
          <w:szCs w:val="21"/>
        </w:rPr>
      </w:pPr>
      <w:r>
        <w:rPr>
          <w:b/>
          <w:bCs/>
          <w:szCs w:val="21"/>
        </w:rPr>
        <w:t>【本章重点】</w:t>
      </w:r>
    </w:p>
    <w:p>
      <w:pPr>
        <w:pStyle w:val="45"/>
        <w:spacing w:line="360" w:lineRule="auto"/>
        <w:rPr>
          <w:szCs w:val="24"/>
        </w:rPr>
      </w:pPr>
      <w:r>
        <w:rPr>
          <w:rFonts w:hint="eastAsia"/>
          <w:szCs w:val="24"/>
        </w:rPr>
        <w:t>对二重积分及三重积分的概念理解，重积分的计算法，重积分的应用，两类曲线积分、曲面积分的计算方法，利用格林(Green)公式、曲线积分与路径无关的条件计算曲线积分，利用高斯(Gauss)公式、斯托克斯(Stokes)公式计算曲面积分。</w:t>
      </w:r>
    </w:p>
    <w:p>
      <w:pPr>
        <w:pStyle w:val="45"/>
        <w:spacing w:line="360" w:lineRule="auto"/>
        <w:ind w:firstLine="422"/>
        <w:rPr>
          <w:b/>
          <w:bCs/>
          <w:szCs w:val="21"/>
        </w:rPr>
      </w:pPr>
      <w:r>
        <w:rPr>
          <w:b/>
          <w:bCs/>
          <w:szCs w:val="21"/>
        </w:rPr>
        <w:t>【本章难点】</w:t>
      </w:r>
    </w:p>
    <w:p>
      <w:pPr>
        <w:spacing w:line="360" w:lineRule="auto"/>
        <w:ind w:firstLine="420"/>
        <w:rPr>
          <w:kern w:val="0"/>
        </w:rPr>
      </w:pPr>
      <w:r>
        <w:rPr>
          <w:rFonts w:hint="eastAsia"/>
          <w:kern w:val="0"/>
        </w:rPr>
        <w:t>三重积分在柱面坐标和球面坐标下的计算及重积分的应用，两类曲线积分、曲面积分之间的关系，曲面积分的计算，格林(Green)公式、高斯公式、斯托克斯(Stokes)公式的应用。</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ascii="黑体" w:hAnsi="黑体" w:eastAsia="黑体"/>
        </w:rPr>
      </w:pPr>
      <w:r>
        <w:rPr>
          <w:rFonts w:ascii="黑体" w:hAnsi="黑体" w:eastAsia="黑体"/>
        </w:rPr>
        <w:t xml:space="preserve">第十二章 </w:t>
      </w:r>
      <w:r>
        <w:rPr>
          <w:rFonts w:hint="eastAsia" w:ascii="黑体" w:hAnsi="黑体" w:eastAsia="黑体"/>
        </w:rPr>
        <w:t xml:space="preserve"> </w:t>
      </w:r>
      <w:r>
        <w:rPr>
          <w:rFonts w:ascii="黑体" w:hAnsi="黑体" w:eastAsia="黑体"/>
        </w:rPr>
        <w:t>无穷级数</w:t>
      </w:r>
      <w:r>
        <w:rPr>
          <w:rFonts w:hint="eastAsia" w:ascii="黑体" w:hAnsi="黑体" w:eastAsia="黑体"/>
        </w:rPr>
        <w:t>（18学时）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1. 理解无穷级数收敛、发散以及和的概念，了解无穷级数的基本性质及收敛的必要条件。</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2. 了解正项级数的比较审敛法以及几何级数与</w:t>
      </w:r>
      <w:r>
        <w:rPr>
          <w:rFonts w:ascii="Times New Roman" w:hAnsi="Times New Roman" w:cs="Times New Roman"/>
          <w:i/>
          <w:sz w:val="21"/>
          <w:szCs w:val="21"/>
        </w:rPr>
        <w:t>p</w:t>
      </w:r>
      <w:r>
        <w:rPr>
          <w:rFonts w:ascii="Times New Roman" w:hAnsi="Times New Roman" w:cs="Times New Roman"/>
          <w:sz w:val="21"/>
          <w:szCs w:val="24"/>
        </w:rPr>
        <w:t>-级数的敛散性，掌握正项级数的比值审敛法。</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3. 了解交错级数的莱布尼茨定理，会估计交错级数的截断误差。了解绝对收敛与条件收敛的概念及二者的关系。</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4. 了解函数项级数的收敛域与和函数的概念，掌握简单幂级数收敛区间的求法（区间端点的收敛性不作要求）。了解幂级数在其收敛区间内的一些基本性质（对求幂级数的和函数只要求作简单训练）。</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5. 会利用</w:t>
      </w:r>
      <w:r>
        <w:rPr>
          <w:rFonts w:ascii="Times New Roman" w:hAnsi="Times New Roman" w:cs="Times New Roman"/>
          <w:position w:val="-10"/>
          <w:sz w:val="21"/>
          <w:szCs w:val="24"/>
        </w:rPr>
        <w:object>
          <v:shape id="_x0000_i1032" o:spt="75" type="#_x0000_t75" style="height:18pt;width:148.55pt;" o:ole="t" filled="f" o:preferrelative="t" stroked="f" coordsize="21600,21600">
            <v:path/>
            <v:fill on="f" focussize="0,0"/>
            <v:stroke on="f" joinstyle="miter"/>
            <v:imagedata r:id="rId170" o:title=""/>
            <o:lock v:ext="edit" aspectratio="t"/>
            <w10:wrap type="none"/>
            <w10:anchorlock/>
          </v:shape>
          <o:OLEObject Type="Embed" ProgID="Equation.DSMT4" ShapeID="_x0000_i1032" DrawAspect="Content" ObjectID="_1468075732" r:id="rId169">
            <o:LockedField>false</o:LockedField>
          </o:OLEObject>
        </w:object>
      </w:r>
      <w:r>
        <w:rPr>
          <w:rFonts w:ascii="Times New Roman" w:hAnsi="Times New Roman" w:cs="Times New Roman"/>
          <w:sz w:val="21"/>
          <w:szCs w:val="24"/>
        </w:rPr>
        <w:t>的麦克劳林（Maclaurin）展开式将一些简单的函数展开成幂级数。</w:t>
      </w:r>
    </w:p>
    <w:p>
      <w:pPr>
        <w:pStyle w:val="68"/>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6. 了解利用将函数展开为幂级数进行近似计算的思想。</w:t>
      </w:r>
    </w:p>
    <w:p>
      <w:pPr>
        <w:pStyle w:val="68"/>
        <w:tabs>
          <w:tab w:val="left" w:pos="851"/>
        </w:tabs>
        <w:spacing w:before="0" w:beforeAutospacing="0" w:after="0" w:afterAutospacing="0" w:line="360" w:lineRule="auto"/>
        <w:ind w:firstLine="424" w:firstLineChars="202"/>
        <w:rPr>
          <w:rFonts w:ascii="Times New Roman" w:hAnsi="Times New Roman" w:cs="Times New Roman"/>
          <w:sz w:val="21"/>
          <w:szCs w:val="24"/>
        </w:rPr>
      </w:pPr>
      <w:r>
        <w:rPr>
          <w:rFonts w:ascii="Times New Roman" w:hAnsi="Times New Roman" w:cs="Times New Roman"/>
          <w:sz w:val="21"/>
          <w:szCs w:val="24"/>
        </w:rPr>
        <w:t xml:space="preserve">7. </w:t>
      </w:r>
      <w:r>
        <w:rPr>
          <w:rFonts w:ascii="Times New Roman" w:hAnsi="Times New Roman" w:cs="Times New Roman"/>
          <w:b/>
          <w:sz w:val="21"/>
          <w:szCs w:val="24"/>
          <w:vertAlign w:val="superscript"/>
        </w:rPr>
        <w:t>*</w:t>
      </w:r>
      <w:r>
        <w:rPr>
          <w:rFonts w:ascii="Times New Roman" w:hAnsi="Times New Roman" w:cs="Times New Roman"/>
          <w:sz w:val="21"/>
          <w:szCs w:val="24"/>
        </w:rPr>
        <w:t>了解用三角函数逼近周期函数的思想，了解函数展开为傅里叶（Fourier）级数的狄利克雷（Dirichlet）条件，会将定义在</w:t>
      </w:r>
      <w:r>
        <w:rPr>
          <w:rFonts w:ascii="Times New Roman" w:hAnsi="Times New Roman" w:cs="Times New Roman"/>
          <w:position w:val="-10"/>
          <w:sz w:val="21"/>
          <w:szCs w:val="24"/>
        </w:rPr>
        <w:object>
          <v:shape id="_x0000_i1033" o:spt="75" type="#_x0000_t75" style="height:16.5pt;width:39pt;" o:ole="t" filled="f" o:preferrelative="t" stroked="f" coordsize="21600,21600">
            <v:path/>
            <v:fill on="f" focussize="0,0"/>
            <v:stroke on="f" joinstyle="miter"/>
            <v:imagedata r:id="rId172" o:title=""/>
            <o:lock v:ext="edit" aspectratio="t"/>
            <w10:wrap type="none"/>
            <w10:anchorlock/>
          </v:shape>
          <o:OLEObject Type="Embed" ProgID="Equation.DSMT4" ShapeID="_x0000_i1033" DrawAspect="Content" ObjectID="_1468075733" r:id="rId171">
            <o:LockedField>false</o:LockedField>
          </o:OLEObject>
        </w:object>
      </w:r>
      <w:r>
        <w:rPr>
          <w:rFonts w:ascii="Times New Roman" w:hAnsi="Times New Roman" w:cs="Times New Roman"/>
          <w:sz w:val="21"/>
          <w:szCs w:val="24"/>
        </w:rPr>
        <w:t>和</w:t>
      </w:r>
      <w:r>
        <w:rPr>
          <w:rFonts w:ascii="Times New Roman" w:hAnsi="Times New Roman" w:cs="Times New Roman"/>
          <w:position w:val="-10"/>
          <w:sz w:val="21"/>
          <w:szCs w:val="24"/>
        </w:rPr>
        <w:object>
          <v:shape id="_x0000_i1034" o:spt="75" type="#_x0000_t75" style="height:16.5pt;width:31.5pt;" o:ole="t" filled="f" o:preferrelative="t" stroked="f" coordsize="21600,21600">
            <v:path/>
            <v:fill on="f" focussize="0,0"/>
            <v:stroke on="f" joinstyle="miter"/>
            <v:imagedata r:id="rId174" o:title=""/>
            <o:lock v:ext="edit" aspectratio="t"/>
            <w10:wrap type="none"/>
            <w10:anchorlock/>
          </v:shape>
          <o:OLEObject Type="Embed" ProgID="Equation.DSMT4" ShapeID="_x0000_i1034" DrawAspect="Content" ObjectID="_1468075734" r:id="rId173">
            <o:LockedField>false</o:LockedField>
          </o:OLEObject>
        </w:object>
      </w:r>
      <w:r>
        <w:rPr>
          <w:rFonts w:ascii="Times New Roman" w:hAnsi="Times New Roman" w:cs="Times New Roman"/>
          <w:sz w:val="21"/>
          <w:szCs w:val="24"/>
        </w:rPr>
        <w:t>上的函数展开为傅里叶级数，会将定义在</w:t>
      </w:r>
      <w:r>
        <w:rPr>
          <w:rFonts w:ascii="Times New Roman" w:hAnsi="Times New Roman" w:cs="Times New Roman"/>
          <w:position w:val="-10"/>
          <w:sz w:val="21"/>
          <w:szCs w:val="24"/>
        </w:rPr>
        <w:object>
          <v:shape id="_x0000_i1035" o:spt="75" type="#_x0000_t75" style="height:16.5pt;width:25.5pt;" o:ole="t" filled="f" o:preferrelative="t" stroked="f" coordsize="21600,21600">
            <v:path/>
            <v:fill on="f" focussize="0,0"/>
            <v:stroke on="f" joinstyle="miter"/>
            <v:imagedata r:id="rId176" o:title=""/>
            <o:lock v:ext="edit" aspectratio="t"/>
            <w10:wrap type="none"/>
            <w10:anchorlock/>
          </v:shape>
          <o:OLEObject Type="Embed" ProgID="Equation.DSMT4" ShapeID="_x0000_i1035" DrawAspect="Content" ObjectID="_1468075735" r:id="rId175">
            <o:LockedField>false</o:LockedField>
          </o:OLEObject>
        </w:object>
      </w:r>
      <w:r>
        <w:rPr>
          <w:rFonts w:ascii="Times New Roman" w:hAnsi="Times New Roman" w:cs="Times New Roman"/>
          <w:sz w:val="21"/>
          <w:szCs w:val="24"/>
        </w:rPr>
        <w:t>上的函数展开为傅里叶正弦或余弦级数。</w:t>
      </w:r>
    </w:p>
    <w:p>
      <w:pPr>
        <w:pStyle w:val="45"/>
        <w:spacing w:line="360" w:lineRule="auto"/>
        <w:ind w:left="210" w:leftChars="100" w:firstLine="103" w:firstLineChars="49"/>
        <w:rPr>
          <w:b/>
          <w:bCs/>
          <w:szCs w:val="21"/>
        </w:rPr>
      </w:pPr>
      <w:r>
        <w:rPr>
          <w:b/>
          <w:bCs/>
          <w:szCs w:val="21"/>
        </w:rPr>
        <w:t>【本章重点】</w:t>
      </w:r>
    </w:p>
    <w:p>
      <w:pPr>
        <w:pStyle w:val="45"/>
        <w:spacing w:line="360" w:lineRule="auto"/>
        <w:rPr>
          <w:szCs w:val="24"/>
        </w:rPr>
      </w:pPr>
      <w:r>
        <w:rPr>
          <w:rFonts w:hint="eastAsia"/>
          <w:szCs w:val="24"/>
        </w:rPr>
        <w:t>正项级数的比值审敛法、交错级数的莱布尼兹审敛法及无穷级数绝对收敛与条件收敛，幂级数的收敛半径及收敛域的求法及利用幂级数在收敛区间内的基本性质求幂级数的和函数，函数展开为傅里叶级数的充分条件以及将定义在</w:t>
      </w:r>
      <w:r>
        <w:rPr>
          <w:position w:val="-10"/>
          <w:sz w:val="24"/>
        </w:rPr>
        <w:object>
          <v:shape id="_x0000_i1036" o:spt="75" type="#_x0000_t75" style="height:16.5pt;width:39pt;" o:ole="t" filled="f" o:preferrelative="t" stroked="f" coordsize="21600,21600">
            <v:path/>
            <v:fill on="f" focussize="0,0"/>
            <v:stroke on="f" joinstyle="miter"/>
            <v:imagedata r:id="rId178" o:title=""/>
            <o:lock v:ext="edit" aspectratio="t"/>
            <w10:wrap type="none"/>
            <w10:anchorlock/>
          </v:shape>
          <o:OLEObject Type="Embed" ProgID="Equation.DSMT4" ShapeID="_x0000_i1036" DrawAspect="Content" ObjectID="_1468075736" r:id="rId177">
            <o:LockedField>false</o:LockedField>
          </o:OLEObject>
        </w:object>
      </w:r>
      <w:r>
        <w:rPr>
          <w:rFonts w:hint="eastAsia"/>
          <w:szCs w:val="24"/>
        </w:rPr>
        <w:t>和</w:t>
      </w:r>
      <w:r>
        <w:rPr>
          <w:position w:val="-10"/>
          <w:sz w:val="24"/>
        </w:rPr>
        <w:object>
          <v:shape id="_x0000_i1037" o:spt="75" type="#_x0000_t75" style="height:16.5pt;width:30pt;" o:ole="t" filled="f" o:preferrelative="t" stroked="f" coordsize="21600,21600">
            <v:path/>
            <v:fill on="f" focussize="0,0"/>
            <v:stroke on="f" joinstyle="miter"/>
            <v:imagedata r:id="rId180" o:title=""/>
            <o:lock v:ext="edit" aspectratio="t"/>
            <w10:wrap type="none"/>
            <w10:anchorlock/>
          </v:shape>
          <o:OLEObject Type="Embed" ProgID="Equation.DSMT4" ShapeID="_x0000_i1037" DrawAspect="Content" ObjectID="_1468075737" r:id="rId179">
            <o:LockedField>false</o:LockedField>
          </o:OLEObject>
        </w:object>
      </w:r>
      <w:r>
        <w:rPr>
          <w:rFonts w:hint="eastAsia"/>
          <w:szCs w:val="24"/>
        </w:rPr>
        <w:t>上的函数展开为傅里叶级数。</w:t>
      </w:r>
    </w:p>
    <w:p>
      <w:pPr>
        <w:pStyle w:val="45"/>
        <w:spacing w:line="360" w:lineRule="auto"/>
        <w:ind w:firstLine="314" w:firstLineChars="149"/>
        <w:rPr>
          <w:b/>
          <w:bCs/>
          <w:szCs w:val="21"/>
        </w:rPr>
      </w:pPr>
      <w:r>
        <w:rPr>
          <w:b/>
          <w:bCs/>
          <w:szCs w:val="21"/>
        </w:rPr>
        <w:t>【本章难点】</w:t>
      </w:r>
    </w:p>
    <w:p>
      <w:pPr>
        <w:spacing w:line="360" w:lineRule="auto"/>
        <w:ind w:firstLine="420"/>
        <w:rPr>
          <w:rFonts w:hAnsi="宋体"/>
          <w:szCs w:val="21"/>
        </w:rPr>
      </w:pPr>
      <w:r>
        <w:rPr>
          <w:rFonts w:hint="eastAsia"/>
          <w:kern w:val="0"/>
        </w:rPr>
        <w:t>一般项级数的绝对收敛与条件收敛判敛法，求幂级数在收敛区间内的和函数以及将函数展开为傅里叶级数。</w:t>
      </w:r>
    </w:p>
    <w:p>
      <w:pPr>
        <w:adjustRightInd w:val="0"/>
        <w:spacing w:line="360" w:lineRule="auto"/>
        <w:ind w:firstLine="420" w:firstLineChars="200"/>
        <w:rPr>
          <w:szCs w:val="21"/>
        </w:rPr>
      </w:pPr>
      <w:r>
        <w:rPr>
          <w:rFonts w:hint="eastAsia"/>
          <w:szCs w:val="21"/>
        </w:rPr>
        <w:t>本章节内容支撑课程目标1、2。</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四、实验教学内容</w:t>
      </w:r>
    </w:p>
    <w:p>
      <w:pPr>
        <w:spacing w:line="360" w:lineRule="auto"/>
        <w:ind w:firstLine="420" w:firstLineChars="200"/>
        <w:rPr>
          <w:rFonts w:ascii="宋体" w:hAnsi="宋体" w:cs="Arial"/>
          <w:kern w:val="0"/>
          <w:szCs w:val="21"/>
        </w:rPr>
      </w:pPr>
      <w:r>
        <w:rPr>
          <w:rFonts w:hint="eastAsia" w:ascii="宋体" w:hAnsi="宋体" w:cs="宋体"/>
          <w:kern w:val="0"/>
          <w:szCs w:val="21"/>
        </w:rPr>
        <w:t>无。</w:t>
      </w:r>
    </w:p>
    <w:p>
      <w:pPr>
        <w:spacing w:line="360" w:lineRule="auto"/>
        <w:rPr>
          <w:rFonts w:eastAsia="黑体"/>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87"/>
        <w:gridCol w:w="1813"/>
        <w:gridCol w:w="1813"/>
        <w:gridCol w:w="8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99" w:type="pct"/>
            <w:vAlign w:val="center"/>
          </w:tcPr>
          <w:p>
            <w:pPr>
              <w:adjustRightInd w:val="0"/>
              <w:snapToGrid w:val="0"/>
              <w:ind w:firstLine="282" w:firstLineChars="157"/>
              <w:jc w:val="left"/>
              <w:rPr>
                <w:sz w:val="18"/>
                <w:szCs w:val="18"/>
              </w:rPr>
            </w:pPr>
            <w:r>
              <w:rPr>
                <w:rFonts w:hint="eastAsia" w:ascii="宋体" w:hAnsi="宋体"/>
                <w:sz w:val="18"/>
                <w:szCs w:val="18"/>
              </w:rPr>
              <w:t>章节名称</w:t>
            </w:r>
          </w:p>
        </w:tc>
        <w:tc>
          <w:tcPr>
            <w:tcW w:w="1064" w:type="pct"/>
            <w:vAlign w:val="center"/>
          </w:tcPr>
          <w:p>
            <w:pPr>
              <w:adjustRightInd w:val="0"/>
              <w:snapToGrid w:val="0"/>
              <w:jc w:val="center"/>
              <w:rPr>
                <w:sz w:val="18"/>
                <w:szCs w:val="18"/>
              </w:rPr>
            </w:pPr>
            <w:r>
              <w:rPr>
                <w:sz w:val="18"/>
                <w:szCs w:val="18"/>
              </w:rPr>
              <w:t>讲授（学时）</w:t>
            </w:r>
          </w:p>
        </w:tc>
        <w:tc>
          <w:tcPr>
            <w:tcW w:w="1064" w:type="pct"/>
            <w:vAlign w:val="center"/>
          </w:tcPr>
          <w:p>
            <w:pPr>
              <w:adjustRightInd w:val="0"/>
              <w:snapToGrid w:val="0"/>
              <w:jc w:val="center"/>
              <w:rPr>
                <w:sz w:val="18"/>
                <w:szCs w:val="18"/>
              </w:rPr>
            </w:pPr>
            <w:r>
              <w:rPr>
                <w:sz w:val="18"/>
                <w:szCs w:val="18"/>
              </w:rPr>
              <w:t>实验（学时）</w:t>
            </w:r>
          </w:p>
        </w:tc>
        <w:tc>
          <w:tcPr>
            <w:tcW w:w="473"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第一章  函数与极限</w:t>
            </w:r>
          </w:p>
        </w:tc>
        <w:tc>
          <w:tcPr>
            <w:tcW w:w="1064" w:type="pct"/>
            <w:vAlign w:val="center"/>
          </w:tcPr>
          <w:p>
            <w:pPr>
              <w:adjustRightInd w:val="0"/>
              <w:snapToGrid w:val="0"/>
              <w:jc w:val="center"/>
              <w:rPr>
                <w:bCs/>
                <w:sz w:val="18"/>
                <w:szCs w:val="18"/>
              </w:rPr>
            </w:pPr>
            <w:r>
              <w:rPr>
                <w:rFonts w:hint="eastAsia"/>
                <w:sz w:val="18"/>
                <w:szCs w:val="18"/>
              </w:rPr>
              <w:t>20</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第二章  导数与微分</w:t>
            </w:r>
          </w:p>
        </w:tc>
        <w:tc>
          <w:tcPr>
            <w:tcW w:w="1064" w:type="pct"/>
            <w:vAlign w:val="center"/>
          </w:tcPr>
          <w:p>
            <w:pPr>
              <w:adjustRightInd w:val="0"/>
              <w:snapToGrid w:val="0"/>
              <w:jc w:val="center"/>
              <w:rPr>
                <w:bCs/>
                <w:sz w:val="18"/>
                <w:szCs w:val="18"/>
              </w:rPr>
            </w:pPr>
            <w:r>
              <w:rPr>
                <w:rFonts w:hint="eastAsia"/>
                <w:sz w:val="18"/>
                <w:szCs w:val="18"/>
              </w:rPr>
              <w:t>12</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第三章  中值定理与导数的应用</w:t>
            </w:r>
          </w:p>
        </w:tc>
        <w:tc>
          <w:tcPr>
            <w:tcW w:w="1064" w:type="pct"/>
            <w:vAlign w:val="center"/>
          </w:tcPr>
          <w:p>
            <w:pPr>
              <w:adjustRightInd w:val="0"/>
              <w:snapToGrid w:val="0"/>
              <w:jc w:val="center"/>
              <w:rPr>
                <w:bCs/>
                <w:sz w:val="18"/>
                <w:szCs w:val="18"/>
              </w:rPr>
            </w:pPr>
            <w:r>
              <w:rPr>
                <w:rFonts w:hint="eastAsia"/>
                <w:sz w:val="18"/>
                <w:szCs w:val="18"/>
              </w:rPr>
              <w:t>16</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第四章  不定积分</w:t>
            </w:r>
          </w:p>
        </w:tc>
        <w:tc>
          <w:tcPr>
            <w:tcW w:w="1064" w:type="pct"/>
            <w:vAlign w:val="center"/>
          </w:tcPr>
          <w:p>
            <w:pPr>
              <w:adjustRightInd w:val="0"/>
              <w:snapToGrid w:val="0"/>
              <w:jc w:val="center"/>
              <w:rPr>
                <w:bCs/>
                <w:sz w:val="18"/>
                <w:szCs w:val="18"/>
              </w:rPr>
            </w:pPr>
            <w:r>
              <w:rPr>
                <w:rFonts w:hint="eastAsia"/>
                <w:sz w:val="18"/>
                <w:szCs w:val="18"/>
              </w:rPr>
              <w:t>12</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第五章  定积分</w:t>
            </w:r>
          </w:p>
        </w:tc>
        <w:tc>
          <w:tcPr>
            <w:tcW w:w="1064" w:type="pct"/>
            <w:vAlign w:val="center"/>
          </w:tcPr>
          <w:p>
            <w:pPr>
              <w:adjustRightInd w:val="0"/>
              <w:snapToGrid w:val="0"/>
              <w:jc w:val="center"/>
              <w:rPr>
                <w:bCs/>
                <w:sz w:val="18"/>
                <w:szCs w:val="18"/>
              </w:rPr>
            </w:pPr>
            <w:r>
              <w:rPr>
                <w:rFonts w:hint="eastAsia"/>
                <w:sz w:val="18"/>
                <w:szCs w:val="18"/>
              </w:rPr>
              <w:t>12</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第六章  定积分的应用</w:t>
            </w:r>
          </w:p>
        </w:tc>
        <w:tc>
          <w:tcPr>
            <w:tcW w:w="1064" w:type="pct"/>
            <w:vAlign w:val="center"/>
          </w:tcPr>
          <w:p>
            <w:pPr>
              <w:adjustRightInd w:val="0"/>
              <w:snapToGrid w:val="0"/>
              <w:jc w:val="center"/>
              <w:rPr>
                <w:bCs/>
                <w:sz w:val="18"/>
                <w:szCs w:val="18"/>
              </w:rPr>
            </w:pPr>
            <w:r>
              <w:rPr>
                <w:rFonts w:hint="eastAsia"/>
                <w:sz w:val="18"/>
                <w:szCs w:val="18"/>
              </w:rPr>
              <w:t>6</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rFonts w:hint="eastAsia"/>
                <w:sz w:val="18"/>
                <w:szCs w:val="18"/>
              </w:rPr>
              <w:t>第七章  微分方程</w:t>
            </w:r>
          </w:p>
        </w:tc>
        <w:tc>
          <w:tcPr>
            <w:tcW w:w="1064" w:type="pct"/>
            <w:vAlign w:val="center"/>
          </w:tcPr>
          <w:p>
            <w:pPr>
              <w:adjustRightInd w:val="0"/>
              <w:snapToGrid w:val="0"/>
              <w:jc w:val="center"/>
              <w:rPr>
                <w:bCs/>
                <w:sz w:val="18"/>
                <w:szCs w:val="18"/>
              </w:rPr>
            </w:pPr>
            <w:r>
              <w:rPr>
                <w:rFonts w:hint="eastAsia"/>
                <w:sz w:val="18"/>
                <w:szCs w:val="18"/>
              </w:rPr>
              <w:t>10</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rFonts w:hint="eastAsia"/>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kern w:val="0"/>
                <w:sz w:val="18"/>
                <w:szCs w:val="18"/>
              </w:rPr>
              <w:t xml:space="preserve">第八章  </w:t>
            </w:r>
            <w:r>
              <w:rPr>
                <w:sz w:val="18"/>
                <w:szCs w:val="18"/>
              </w:rPr>
              <w:t>向量代数与空间解析几何</w:t>
            </w:r>
          </w:p>
        </w:tc>
        <w:tc>
          <w:tcPr>
            <w:tcW w:w="1064" w:type="pct"/>
            <w:vAlign w:val="center"/>
          </w:tcPr>
          <w:p>
            <w:pPr>
              <w:adjustRightInd w:val="0"/>
              <w:snapToGrid w:val="0"/>
              <w:jc w:val="center"/>
              <w:rPr>
                <w:bCs/>
                <w:sz w:val="18"/>
                <w:szCs w:val="18"/>
              </w:rPr>
            </w:pPr>
            <w:r>
              <w:rPr>
                <w:kern w:val="0"/>
                <w:sz w:val="18"/>
                <w:szCs w:val="18"/>
              </w:rPr>
              <w:t>16</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kern w:val="0"/>
                <w:sz w:val="18"/>
                <w:szCs w:val="18"/>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kern w:val="0"/>
                <w:sz w:val="18"/>
                <w:szCs w:val="18"/>
              </w:rPr>
              <w:t xml:space="preserve">第九章 </w:t>
            </w:r>
            <w:r>
              <w:rPr>
                <w:rFonts w:hint="eastAsia"/>
                <w:kern w:val="0"/>
                <w:sz w:val="18"/>
                <w:szCs w:val="18"/>
              </w:rPr>
              <w:t xml:space="preserve"> </w:t>
            </w:r>
            <w:r>
              <w:rPr>
                <w:kern w:val="0"/>
                <w:sz w:val="18"/>
                <w:szCs w:val="18"/>
              </w:rPr>
              <w:t>多元函数微分法及其应用</w:t>
            </w:r>
          </w:p>
        </w:tc>
        <w:tc>
          <w:tcPr>
            <w:tcW w:w="1064" w:type="pct"/>
            <w:vAlign w:val="center"/>
          </w:tcPr>
          <w:p>
            <w:pPr>
              <w:adjustRightInd w:val="0"/>
              <w:snapToGrid w:val="0"/>
              <w:jc w:val="center"/>
              <w:rPr>
                <w:bCs/>
                <w:sz w:val="18"/>
                <w:szCs w:val="18"/>
              </w:rPr>
            </w:pPr>
            <w:r>
              <w:rPr>
                <w:kern w:val="0"/>
                <w:sz w:val="18"/>
                <w:szCs w:val="18"/>
              </w:rPr>
              <w:t>24</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kern w:val="0"/>
                <w:sz w:val="18"/>
                <w:szCs w:val="18"/>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kern w:val="0"/>
                <w:sz w:val="18"/>
                <w:szCs w:val="18"/>
              </w:rPr>
              <w:t>第十章  重积分</w:t>
            </w:r>
          </w:p>
        </w:tc>
        <w:tc>
          <w:tcPr>
            <w:tcW w:w="1064" w:type="pct"/>
            <w:vAlign w:val="center"/>
          </w:tcPr>
          <w:p>
            <w:pPr>
              <w:adjustRightInd w:val="0"/>
              <w:snapToGrid w:val="0"/>
              <w:jc w:val="center"/>
              <w:rPr>
                <w:bCs/>
                <w:sz w:val="18"/>
                <w:szCs w:val="18"/>
              </w:rPr>
            </w:pPr>
            <w:r>
              <w:rPr>
                <w:kern w:val="0"/>
                <w:sz w:val="18"/>
                <w:szCs w:val="18"/>
              </w:rPr>
              <w:t>14</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kern w:val="0"/>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kern w:val="0"/>
                <w:sz w:val="18"/>
                <w:szCs w:val="18"/>
              </w:rPr>
              <w:t>第十一章  曲线积分与曲面积分</w:t>
            </w:r>
          </w:p>
        </w:tc>
        <w:tc>
          <w:tcPr>
            <w:tcW w:w="1064" w:type="pct"/>
            <w:vAlign w:val="center"/>
          </w:tcPr>
          <w:p>
            <w:pPr>
              <w:adjustRightInd w:val="0"/>
              <w:snapToGrid w:val="0"/>
              <w:jc w:val="center"/>
              <w:rPr>
                <w:bCs/>
                <w:sz w:val="18"/>
                <w:szCs w:val="18"/>
              </w:rPr>
            </w:pPr>
            <w:r>
              <w:rPr>
                <w:kern w:val="0"/>
                <w:sz w:val="18"/>
                <w:szCs w:val="18"/>
              </w:rPr>
              <w:t>16</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kern w:val="0"/>
                <w:sz w:val="18"/>
                <w:szCs w:val="18"/>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adjustRightInd w:val="0"/>
              <w:snapToGrid w:val="0"/>
              <w:ind w:firstLine="282" w:firstLineChars="157"/>
              <w:jc w:val="left"/>
              <w:rPr>
                <w:bCs/>
                <w:sz w:val="18"/>
                <w:szCs w:val="18"/>
              </w:rPr>
            </w:pPr>
            <w:r>
              <w:rPr>
                <w:kern w:val="0"/>
                <w:sz w:val="18"/>
                <w:szCs w:val="18"/>
              </w:rPr>
              <w:t xml:space="preserve">第十二章  </w:t>
            </w:r>
            <w:r>
              <w:rPr>
                <w:sz w:val="18"/>
                <w:szCs w:val="18"/>
              </w:rPr>
              <w:t>无穷</w:t>
            </w:r>
            <w:r>
              <w:rPr>
                <w:kern w:val="0"/>
                <w:sz w:val="18"/>
                <w:szCs w:val="18"/>
              </w:rPr>
              <w:t>级数</w:t>
            </w:r>
          </w:p>
        </w:tc>
        <w:tc>
          <w:tcPr>
            <w:tcW w:w="1064" w:type="pct"/>
            <w:vAlign w:val="center"/>
          </w:tcPr>
          <w:p>
            <w:pPr>
              <w:adjustRightInd w:val="0"/>
              <w:snapToGrid w:val="0"/>
              <w:jc w:val="center"/>
              <w:rPr>
                <w:bCs/>
                <w:sz w:val="18"/>
                <w:szCs w:val="18"/>
              </w:rPr>
            </w:pPr>
            <w:r>
              <w:rPr>
                <w:kern w:val="0"/>
                <w:sz w:val="18"/>
                <w:szCs w:val="18"/>
              </w:rPr>
              <w:t>18</w:t>
            </w:r>
          </w:p>
        </w:tc>
        <w:tc>
          <w:tcPr>
            <w:tcW w:w="1064" w:type="pct"/>
            <w:vAlign w:val="center"/>
          </w:tcPr>
          <w:p>
            <w:pPr>
              <w:adjustRightInd w:val="0"/>
              <w:snapToGrid w:val="0"/>
              <w:jc w:val="center"/>
              <w:rPr>
                <w:bCs/>
                <w:sz w:val="18"/>
                <w:szCs w:val="18"/>
              </w:rPr>
            </w:pPr>
            <w:r>
              <w:rPr>
                <w:rFonts w:hint="eastAsia"/>
                <w:bCs/>
                <w:sz w:val="18"/>
                <w:szCs w:val="18"/>
              </w:rPr>
              <w:t>0</w:t>
            </w:r>
          </w:p>
        </w:tc>
        <w:tc>
          <w:tcPr>
            <w:tcW w:w="473" w:type="pct"/>
            <w:vAlign w:val="center"/>
          </w:tcPr>
          <w:p>
            <w:pPr>
              <w:adjustRightInd w:val="0"/>
              <w:snapToGrid w:val="0"/>
              <w:jc w:val="center"/>
              <w:rPr>
                <w:bCs/>
                <w:sz w:val="18"/>
                <w:szCs w:val="18"/>
              </w:rPr>
            </w:pPr>
            <w:r>
              <w:rPr>
                <w:kern w:val="0"/>
                <w:sz w:val="18"/>
                <w:szCs w:val="18"/>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399" w:type="pct"/>
            <w:vAlign w:val="center"/>
          </w:tcPr>
          <w:p>
            <w:pPr>
              <w:adjustRightInd w:val="0"/>
              <w:snapToGrid w:val="0"/>
              <w:ind w:firstLine="282" w:firstLineChars="157"/>
              <w:jc w:val="center"/>
              <w:rPr>
                <w:sz w:val="18"/>
                <w:szCs w:val="18"/>
              </w:rPr>
            </w:pPr>
            <w:r>
              <w:rPr>
                <w:sz w:val="18"/>
                <w:szCs w:val="18"/>
              </w:rPr>
              <w:t>合计</w:t>
            </w:r>
          </w:p>
        </w:tc>
        <w:tc>
          <w:tcPr>
            <w:tcW w:w="1064" w:type="pct"/>
            <w:vAlign w:val="center"/>
          </w:tcPr>
          <w:p>
            <w:pPr>
              <w:adjustRightInd w:val="0"/>
              <w:snapToGrid w:val="0"/>
              <w:jc w:val="center"/>
              <w:rPr>
                <w:sz w:val="18"/>
                <w:szCs w:val="18"/>
              </w:rPr>
            </w:pPr>
            <w:r>
              <w:rPr>
                <w:rFonts w:hint="eastAsia"/>
                <w:sz w:val="18"/>
                <w:szCs w:val="18"/>
              </w:rPr>
              <w:t>1</w:t>
            </w:r>
            <w:r>
              <w:rPr>
                <w:sz w:val="18"/>
                <w:szCs w:val="18"/>
              </w:rPr>
              <w:t>76</w:t>
            </w:r>
          </w:p>
        </w:tc>
        <w:tc>
          <w:tcPr>
            <w:tcW w:w="1064" w:type="pct"/>
            <w:vAlign w:val="center"/>
          </w:tcPr>
          <w:p>
            <w:pPr>
              <w:adjustRightInd w:val="0"/>
              <w:snapToGrid w:val="0"/>
              <w:jc w:val="center"/>
              <w:rPr>
                <w:sz w:val="18"/>
                <w:szCs w:val="18"/>
              </w:rPr>
            </w:pPr>
            <w:r>
              <w:rPr>
                <w:sz w:val="18"/>
                <w:szCs w:val="18"/>
              </w:rPr>
              <w:t>0</w:t>
            </w:r>
          </w:p>
        </w:tc>
        <w:tc>
          <w:tcPr>
            <w:tcW w:w="473" w:type="pct"/>
            <w:vAlign w:val="center"/>
          </w:tcPr>
          <w:p>
            <w:pPr>
              <w:adjustRightInd w:val="0"/>
              <w:snapToGrid w:val="0"/>
              <w:jc w:val="center"/>
              <w:rPr>
                <w:sz w:val="18"/>
                <w:szCs w:val="18"/>
              </w:rPr>
            </w:pPr>
            <w:r>
              <w:rPr>
                <w:rFonts w:hint="eastAsia"/>
                <w:sz w:val="18"/>
                <w:szCs w:val="18"/>
              </w:rPr>
              <w:t>1</w:t>
            </w:r>
            <w:r>
              <w:rPr>
                <w:sz w:val="18"/>
                <w:szCs w:val="18"/>
              </w:rPr>
              <w:t>76</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spacing w:line="360" w:lineRule="auto"/>
        <w:ind w:firstLine="420" w:firstLineChars="200"/>
      </w:pPr>
      <w:r>
        <w:rPr>
          <w:rFonts w:hint="eastAsia"/>
        </w:rPr>
        <w:t>1</w:t>
      </w:r>
      <w:r>
        <w:t>.《高等数学》（同济大学数学系编，高等教育出版社）</w:t>
      </w:r>
      <w:r>
        <w:rPr>
          <w:rFonts w:hint="eastAsia"/>
        </w:rPr>
        <w:t>。</w:t>
      </w:r>
    </w:p>
    <w:p>
      <w:pPr>
        <w:spacing w:line="360" w:lineRule="auto"/>
        <w:ind w:firstLine="420" w:firstLineChars="200"/>
      </w:pPr>
      <w:r>
        <w:t>2.《高等数学》（吴赣昌编，中国人民大学出版社）</w:t>
      </w:r>
      <w:r>
        <w:rPr>
          <w:rFonts w:hint="eastAsia"/>
        </w:rPr>
        <w:t>。</w:t>
      </w:r>
    </w:p>
    <w:p>
      <w:pPr>
        <w:spacing w:line="360" w:lineRule="auto"/>
        <w:ind w:firstLine="420" w:firstLineChars="200"/>
      </w:pPr>
      <w:r>
        <w:t>3.《高等数学附册——学习辅导与习题选解》（同济大学数学系编，高等教育出版社）</w:t>
      </w:r>
      <w:r>
        <w:rPr>
          <w:rFonts w:hint="eastAsia"/>
        </w:rPr>
        <w:t>。</w:t>
      </w:r>
    </w:p>
    <w:p>
      <w:pPr>
        <w:spacing w:line="360" w:lineRule="auto"/>
        <w:ind w:firstLine="420" w:firstLineChars="200"/>
      </w:pPr>
      <w:r>
        <w:rPr>
          <w:rFonts w:hint="eastAsia"/>
        </w:rPr>
        <w:t>4</w:t>
      </w:r>
      <w:r>
        <w:t>.《高等数学电子教案》（中国矿业大学编，高等教育出版社）</w:t>
      </w:r>
      <w:r>
        <w:rPr>
          <w:rFonts w:hint="eastAsia"/>
        </w:rPr>
        <w:t>。</w:t>
      </w:r>
    </w:p>
    <w:p>
      <w:pPr>
        <w:spacing w:line="360" w:lineRule="auto"/>
        <w:ind w:firstLine="420" w:firstLineChars="200"/>
      </w:pPr>
      <w:r>
        <w:rPr>
          <w:rFonts w:hint="eastAsia"/>
        </w:rPr>
        <w:t>5</w:t>
      </w:r>
      <w:r>
        <w:t>.《高等数学电子教案》（刘慧瑾编，高等教育出版社）。</w:t>
      </w:r>
    </w:p>
    <w:p>
      <w:pPr>
        <w:spacing w:line="360" w:lineRule="auto"/>
        <w:ind w:firstLine="420" w:firstLineChars="200"/>
        <w:rPr>
          <w:szCs w:val="21"/>
        </w:rPr>
      </w:pP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w:t>
      </w:r>
      <w:r>
        <w:rPr>
          <w:rFonts w:hint="eastAsia"/>
        </w:rPr>
        <w:t>平时成绩</w:t>
      </w:r>
      <w:r>
        <w:rPr>
          <w:rFonts w:hint="eastAsia"/>
          <w:color w:val="000000"/>
          <w:szCs w:val="21"/>
        </w:rPr>
        <w:t>、</w:t>
      </w:r>
      <w:r>
        <w:rPr>
          <w:rFonts w:hint="eastAsia"/>
        </w:rPr>
        <w:t>期中考试成绩、在线测试成绩、期末考试成绩</w:t>
      </w:r>
      <w:r>
        <w:rPr>
          <w:rFonts w:hint="eastAsia"/>
          <w:szCs w:val="21"/>
        </w:rPr>
        <w:t>。</w:t>
      </w:r>
    </w:p>
    <w:p>
      <w:pPr>
        <w:spacing w:line="360" w:lineRule="auto"/>
        <w:ind w:firstLine="420" w:firstLineChars="200"/>
        <w:rPr>
          <w:szCs w:val="21"/>
        </w:rPr>
      </w:pPr>
      <w:r>
        <w:rPr>
          <w:rFonts w:hint="eastAsia"/>
          <w:szCs w:val="21"/>
        </w:rPr>
        <w:t>2、考核目标：通过各主要工种的的操作练习，了解冷、热加工的有关设备、附件、刀具、工具、量具的结构性、用途机器使用方法，并具有操作主要设备和加工一般零件的实践能力，熟悉有关设备、工具的安全操作技术。</w:t>
      </w:r>
    </w:p>
    <w:p>
      <w:pPr>
        <w:spacing w:line="360" w:lineRule="auto"/>
        <w:ind w:firstLine="420" w:firstLineChars="200"/>
        <w:rPr>
          <w:szCs w:val="21"/>
        </w:rPr>
      </w:pPr>
      <w:r>
        <w:rPr>
          <w:rFonts w:hint="eastAsia"/>
          <w:szCs w:val="21"/>
        </w:rPr>
        <w:t>3、成绩构成：</w:t>
      </w:r>
    </w:p>
    <w:p>
      <w:pPr>
        <w:spacing w:line="360" w:lineRule="auto"/>
        <w:ind w:firstLine="420" w:firstLineChars="200"/>
        <w:rPr>
          <w:szCs w:val="21"/>
        </w:rPr>
      </w:pPr>
      <w:r>
        <w:rPr>
          <w:rFonts w:hint="eastAsia"/>
          <w:szCs w:val="21"/>
        </w:rPr>
        <w:t>本课程通过“平时成绩”、“期中考试”、“在线测试”和“期末考试”四种方式对课程目标达成进行评价，考核成绩计算公式如下（本大纲中成绩均采用百分制）：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7"/>
        <w:gridCol w:w="1931"/>
        <w:gridCol w:w="2204"/>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83"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平时成绩</w:t>
            </w:r>
          </w:p>
        </w:tc>
        <w:tc>
          <w:tcPr>
            <w:tcW w:w="1133"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期中考试</w:t>
            </w:r>
          </w:p>
        </w:tc>
        <w:tc>
          <w:tcPr>
            <w:tcW w:w="1293"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在线测试</w:t>
            </w:r>
          </w:p>
        </w:tc>
        <w:tc>
          <w:tcPr>
            <w:tcW w:w="1291"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83"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15</w:t>
            </w:r>
          </w:p>
        </w:tc>
        <w:tc>
          <w:tcPr>
            <w:tcW w:w="1133"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 xml:space="preserve"> 15</w:t>
            </w:r>
          </w:p>
        </w:tc>
        <w:tc>
          <w:tcPr>
            <w:tcW w:w="1293"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10</w:t>
            </w:r>
          </w:p>
        </w:tc>
        <w:tc>
          <w:tcPr>
            <w:tcW w:w="1291" w:type="pct"/>
            <w:tcBorders>
              <w:top w:val="single" w:color="auto" w:sz="4" w:space="0"/>
              <w:left w:val="single" w:color="auto" w:sz="4" w:space="0"/>
              <w:bottom w:val="single" w:color="auto" w:sz="4" w:space="0"/>
              <w:right w:val="nil"/>
            </w:tcBorders>
            <w:vAlign w:val="center"/>
          </w:tcPr>
          <w:p>
            <w:pPr>
              <w:jc w:val="center"/>
              <w:rPr>
                <w:b/>
                <w:sz w:val="18"/>
                <w:szCs w:val="18"/>
              </w:rPr>
            </w:pPr>
            <w:r>
              <w:rPr>
                <w:rFonts w:hint="eastAsia"/>
                <w:b/>
                <w:sz w:val="18"/>
                <w:szCs w:val="18"/>
              </w:rPr>
              <w:t>60</w:t>
            </w:r>
          </w:p>
        </w:tc>
      </w:tr>
    </w:tbl>
    <w:p>
      <w:pPr>
        <w:widowControl/>
        <w:spacing w:line="360" w:lineRule="auto"/>
        <w:ind w:firstLine="1890" w:firstLineChars="900"/>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465"/>
        <w:gridCol w:w="1706"/>
        <w:gridCol w:w="1587"/>
        <w:gridCol w:w="1882"/>
        <w:gridCol w:w="1882"/>
      </w:tblGrid>
      <w:tr>
        <w:trPr>
          <w:trHeight w:val="986" w:hRule="atLeast"/>
          <w:jc w:val="center"/>
        </w:trPr>
        <w:tc>
          <w:tcPr>
            <w:tcW w:w="86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00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平时成绩</w:t>
            </w:r>
          </w:p>
          <w:p>
            <w:pPr>
              <w:jc w:val="center"/>
              <w:rPr>
                <w:sz w:val="18"/>
                <w:szCs w:val="18"/>
              </w:rPr>
            </w:pPr>
            <w:r>
              <w:rPr>
                <w:rFonts w:hint="eastAsia"/>
                <w:sz w:val="18"/>
                <w:szCs w:val="18"/>
              </w:rPr>
              <w:t>W1</w:t>
            </w:r>
            <w:r>
              <w:rPr>
                <w:rFonts w:hint="eastAsia"/>
                <w:sz w:val="18"/>
                <w:szCs w:val="18"/>
                <w:vertAlign w:val="subscript"/>
              </w:rPr>
              <w:t>i</w:t>
            </w:r>
          </w:p>
        </w:tc>
        <w:tc>
          <w:tcPr>
            <w:tcW w:w="93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期中考试成绩</w:t>
            </w:r>
          </w:p>
          <w:p>
            <w:pPr>
              <w:jc w:val="center"/>
              <w:rPr>
                <w:sz w:val="18"/>
                <w:szCs w:val="18"/>
              </w:rPr>
            </w:pPr>
            <w:r>
              <w:rPr>
                <w:rFonts w:hint="eastAsia"/>
                <w:sz w:val="18"/>
                <w:szCs w:val="18"/>
              </w:rPr>
              <w:t>W2</w:t>
            </w:r>
            <w:r>
              <w:rPr>
                <w:rFonts w:hint="eastAsia"/>
                <w:sz w:val="18"/>
                <w:szCs w:val="18"/>
                <w:vertAlign w:val="subscript"/>
              </w:rPr>
              <w:t>i</w:t>
            </w:r>
          </w:p>
        </w:tc>
        <w:tc>
          <w:tcPr>
            <w:tcW w:w="1104"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在线测试成绩</w:t>
            </w:r>
          </w:p>
          <w:p>
            <w:pPr>
              <w:jc w:val="center"/>
              <w:rPr>
                <w:sz w:val="18"/>
                <w:szCs w:val="18"/>
              </w:rPr>
            </w:pPr>
            <w:r>
              <w:rPr>
                <w:rFonts w:hint="eastAsia"/>
                <w:sz w:val="18"/>
                <w:szCs w:val="18"/>
              </w:rPr>
              <w:t>W3</w:t>
            </w:r>
            <w:r>
              <w:rPr>
                <w:rFonts w:hint="eastAsia"/>
                <w:sz w:val="18"/>
                <w:szCs w:val="18"/>
                <w:vertAlign w:val="subscript"/>
              </w:rPr>
              <w:t>i</w:t>
            </w:r>
          </w:p>
        </w:tc>
        <w:tc>
          <w:tcPr>
            <w:tcW w:w="1104"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期末考试成绩</w:t>
            </w:r>
          </w:p>
          <w:p>
            <w:pPr>
              <w:jc w:val="center"/>
              <w:rPr>
                <w:sz w:val="18"/>
                <w:szCs w:val="18"/>
              </w:rPr>
            </w:pPr>
            <w:r>
              <w:rPr>
                <w:rFonts w:hint="eastAsia"/>
                <w:sz w:val="18"/>
                <w:szCs w:val="18"/>
              </w:rPr>
              <w:t>W</w:t>
            </w:r>
            <w:r>
              <w:rPr>
                <w:sz w:val="18"/>
                <w:szCs w:val="18"/>
              </w:rPr>
              <w:t>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860" w:type="pct"/>
            <w:tcBorders>
              <w:top w:val="nil"/>
              <w:left w:val="nil"/>
              <w:bottom w:val="single" w:color="auto" w:sz="4" w:space="0"/>
              <w:right w:val="single" w:color="auto" w:sz="4" w:space="0"/>
            </w:tcBorders>
            <w:vAlign w:val="center"/>
          </w:tcPr>
          <w:p>
            <w:pPr>
              <w:jc w:val="center"/>
              <w:rPr>
                <w:b/>
                <w:sz w:val="18"/>
                <w:szCs w:val="18"/>
              </w:rPr>
            </w:pPr>
            <w:r>
              <w:rPr>
                <w:rFonts w:hint="eastAsia"/>
                <w:b/>
                <w:sz w:val="18"/>
                <w:szCs w:val="18"/>
              </w:rPr>
              <w:t>1</w:t>
            </w:r>
          </w:p>
        </w:tc>
        <w:tc>
          <w:tcPr>
            <w:tcW w:w="1001"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50-60</w:t>
            </w:r>
          </w:p>
        </w:tc>
        <w:tc>
          <w:tcPr>
            <w:tcW w:w="931"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60-70</w:t>
            </w:r>
          </w:p>
        </w:tc>
        <w:tc>
          <w:tcPr>
            <w:tcW w:w="11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50-60</w:t>
            </w:r>
          </w:p>
        </w:tc>
        <w:tc>
          <w:tcPr>
            <w:tcW w:w="11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50-60</w:t>
            </w:r>
          </w:p>
        </w:tc>
      </w:tr>
      <w:tr>
        <w:tblPrEx>
          <w:tblCellMar>
            <w:top w:w="0" w:type="dxa"/>
            <w:left w:w="108" w:type="dxa"/>
            <w:bottom w:w="0" w:type="dxa"/>
            <w:right w:w="108" w:type="dxa"/>
          </w:tblCellMar>
        </w:tblPrEx>
        <w:trPr>
          <w:jc w:val="center"/>
        </w:trPr>
        <w:tc>
          <w:tcPr>
            <w:tcW w:w="860"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2</w:t>
            </w:r>
          </w:p>
        </w:tc>
        <w:tc>
          <w:tcPr>
            <w:tcW w:w="1001"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40-50</w:t>
            </w:r>
          </w:p>
        </w:tc>
        <w:tc>
          <w:tcPr>
            <w:tcW w:w="931"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30-40</w:t>
            </w:r>
          </w:p>
        </w:tc>
        <w:tc>
          <w:tcPr>
            <w:tcW w:w="11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30-40</w:t>
            </w:r>
          </w:p>
        </w:tc>
        <w:tc>
          <w:tcPr>
            <w:tcW w:w="11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40-50</w:t>
            </w:r>
          </w:p>
        </w:tc>
      </w:tr>
    </w:tbl>
    <w:p>
      <w:pPr>
        <w:spacing w:line="360" w:lineRule="auto"/>
        <w:rPr>
          <w:szCs w:val="21"/>
        </w:rPr>
      </w:pPr>
    </w:p>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spacing w:line="360" w:lineRule="auto"/>
        <w:ind w:firstLine="420" w:firstLineChars="200"/>
        <w:rPr>
          <w:szCs w:val="21"/>
        </w:rPr>
      </w:pPr>
    </w:p>
    <w:p>
      <w:pPr>
        <w:widowControl/>
        <w:spacing w:line="360" w:lineRule="auto"/>
        <w:jc w:val="left"/>
        <w:rPr>
          <w:rFonts w:eastAsia="黑体"/>
        </w:rPr>
      </w:pPr>
      <w:r>
        <w:rPr>
          <w:rFonts w:hint="eastAsia" w:eastAsia="黑体"/>
        </w:rPr>
        <w:t>八、评价标准</w:t>
      </w:r>
    </w:p>
    <w:p>
      <w:pPr>
        <w:spacing w:line="360" w:lineRule="auto"/>
        <w:ind w:firstLine="420" w:firstLineChars="200"/>
        <w:rPr>
          <w:szCs w:val="21"/>
        </w:rPr>
      </w:pPr>
      <w:r>
        <w:rPr>
          <w:rFonts w:hint="eastAsia"/>
          <w:szCs w:val="21"/>
        </w:rPr>
        <w:t>1.</w:t>
      </w:r>
      <w:r>
        <w:rPr>
          <w:szCs w:val="21"/>
        </w:rPr>
        <w:t xml:space="preserve"> </w:t>
      </w:r>
      <w:r>
        <w:rPr>
          <w:rFonts w:hint="eastAsia"/>
          <w:szCs w:val="21"/>
        </w:rPr>
        <w:t>平时成绩：对学生的作业完成情况、知识点的掌握情况、课堂表现以及出勤率等等，做好详细记录，并以百分制进行评定，此部分占到学生总评的15%，具体评价标准如下：</w:t>
      </w:r>
    </w:p>
    <w:tbl>
      <w:tblPr>
        <w:tblStyle w:val="22"/>
        <w:tblpPr w:leftFromText="180" w:rightFromText="180" w:vertAnchor="text" w:horzAnchor="page" w:tblpXSpec="center" w:tblpY="92"/>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3253"/>
        <w:gridCol w:w="3382"/>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widowControl/>
              <w:jc w:val="center"/>
              <w:rPr>
                <w:sz w:val="18"/>
                <w:szCs w:val="18"/>
              </w:rPr>
            </w:pPr>
            <w:r>
              <w:rPr>
                <w:sz w:val="18"/>
                <w:szCs w:val="18"/>
              </w:rPr>
              <w:t>序号</w:t>
            </w:r>
          </w:p>
        </w:tc>
        <w:tc>
          <w:tcPr>
            <w:tcW w:w="1909" w:type="pct"/>
            <w:vAlign w:val="center"/>
          </w:tcPr>
          <w:p>
            <w:pPr>
              <w:widowControl/>
              <w:jc w:val="center"/>
              <w:rPr>
                <w:sz w:val="18"/>
                <w:szCs w:val="18"/>
              </w:rPr>
            </w:pPr>
            <w:r>
              <w:rPr>
                <w:sz w:val="18"/>
                <w:szCs w:val="18"/>
              </w:rPr>
              <w:t>课程作业完成情况</w:t>
            </w:r>
          </w:p>
        </w:tc>
        <w:tc>
          <w:tcPr>
            <w:tcW w:w="1985" w:type="pct"/>
            <w:vAlign w:val="center"/>
          </w:tcPr>
          <w:p>
            <w:pPr>
              <w:widowControl/>
              <w:jc w:val="center"/>
              <w:rPr>
                <w:sz w:val="18"/>
                <w:szCs w:val="18"/>
              </w:rPr>
            </w:pPr>
            <w:r>
              <w:rPr>
                <w:sz w:val="18"/>
                <w:szCs w:val="18"/>
              </w:rPr>
              <w:t>课程目标达成度</w:t>
            </w:r>
          </w:p>
        </w:tc>
        <w:tc>
          <w:tcPr>
            <w:tcW w:w="742" w:type="pct"/>
            <w:vAlign w:val="center"/>
          </w:tcPr>
          <w:p>
            <w:pPr>
              <w:widowControl/>
              <w:jc w:val="center"/>
              <w:rPr>
                <w:sz w:val="18"/>
                <w:szCs w:val="18"/>
              </w:rPr>
            </w:pPr>
            <w:r>
              <w:rPr>
                <w:sz w:val="18"/>
                <w:szCs w:val="18"/>
              </w:rPr>
              <w:t>成绩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364" w:type="pct"/>
            <w:vAlign w:val="center"/>
          </w:tcPr>
          <w:p>
            <w:pPr>
              <w:widowControl/>
              <w:jc w:val="center"/>
              <w:rPr>
                <w:sz w:val="18"/>
                <w:szCs w:val="18"/>
              </w:rPr>
            </w:pPr>
            <w:r>
              <w:rPr>
                <w:sz w:val="18"/>
                <w:szCs w:val="18"/>
              </w:rPr>
              <w:t>1</w:t>
            </w:r>
          </w:p>
        </w:tc>
        <w:tc>
          <w:tcPr>
            <w:tcW w:w="1909" w:type="pct"/>
            <w:vAlign w:val="center"/>
          </w:tcPr>
          <w:p>
            <w:pPr>
              <w:widowControl/>
              <w:jc w:val="center"/>
              <w:rPr>
                <w:sz w:val="18"/>
                <w:szCs w:val="18"/>
              </w:rPr>
            </w:pPr>
            <w:r>
              <w:rPr>
                <w:rFonts w:hint="eastAsia"/>
                <w:sz w:val="18"/>
                <w:szCs w:val="18"/>
              </w:rPr>
              <w:t>作业全部完成，根据完成质量分为A+，A</w:t>
            </w:r>
          </w:p>
        </w:tc>
        <w:tc>
          <w:tcPr>
            <w:tcW w:w="1985" w:type="pct"/>
            <w:vAlign w:val="center"/>
          </w:tcPr>
          <w:p>
            <w:pPr>
              <w:widowControl/>
              <w:jc w:val="center"/>
              <w:rPr>
                <w:sz w:val="18"/>
                <w:szCs w:val="18"/>
              </w:rPr>
            </w:pPr>
            <w:r>
              <w:rPr>
                <w:sz w:val="18"/>
                <w:szCs w:val="18"/>
              </w:rPr>
              <w:t>表明熟练掌握了课程知识点</w:t>
            </w:r>
          </w:p>
        </w:tc>
        <w:tc>
          <w:tcPr>
            <w:tcW w:w="742" w:type="pct"/>
            <w:vAlign w:val="center"/>
          </w:tcPr>
          <w:p>
            <w:pPr>
              <w:widowControl/>
              <w:jc w:val="center"/>
              <w:rPr>
                <w:sz w:val="18"/>
                <w:szCs w:val="18"/>
              </w:rPr>
            </w:pPr>
            <w:r>
              <w:rPr>
                <w:rFonts w:hint="eastAsia"/>
                <w:sz w:val="18"/>
                <w:szCs w:val="18"/>
              </w:rPr>
              <w:t>A+（96~100）</w:t>
            </w:r>
          </w:p>
          <w:p>
            <w:pPr>
              <w:widowControl/>
              <w:jc w:val="center"/>
              <w:rPr>
                <w:sz w:val="18"/>
                <w:szCs w:val="18"/>
              </w:rPr>
            </w:pPr>
            <w:r>
              <w:rPr>
                <w:rFonts w:hint="eastAsia"/>
                <w:sz w:val="18"/>
                <w:szCs w:val="18"/>
              </w:rPr>
              <w:t>A（91~95）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64" w:type="pct"/>
            <w:vAlign w:val="center"/>
          </w:tcPr>
          <w:p>
            <w:pPr>
              <w:widowControl/>
              <w:jc w:val="center"/>
              <w:rPr>
                <w:sz w:val="18"/>
                <w:szCs w:val="18"/>
              </w:rPr>
            </w:pPr>
            <w:r>
              <w:rPr>
                <w:sz w:val="18"/>
                <w:szCs w:val="18"/>
              </w:rPr>
              <w:t>2</w:t>
            </w:r>
          </w:p>
        </w:tc>
        <w:tc>
          <w:tcPr>
            <w:tcW w:w="1909" w:type="pct"/>
            <w:vAlign w:val="center"/>
          </w:tcPr>
          <w:p>
            <w:pPr>
              <w:widowControl/>
              <w:jc w:val="center"/>
              <w:rPr>
                <w:sz w:val="18"/>
                <w:szCs w:val="18"/>
              </w:rPr>
            </w:pPr>
            <w:r>
              <w:rPr>
                <w:rFonts w:hint="eastAsia"/>
                <w:sz w:val="18"/>
                <w:szCs w:val="18"/>
              </w:rPr>
              <w:t>作业完成量大于80%，根据完成质量分为B+，B</w:t>
            </w:r>
          </w:p>
        </w:tc>
        <w:tc>
          <w:tcPr>
            <w:tcW w:w="1985" w:type="pct"/>
            <w:vAlign w:val="center"/>
          </w:tcPr>
          <w:p>
            <w:pPr>
              <w:widowControl/>
              <w:jc w:val="center"/>
              <w:rPr>
                <w:sz w:val="18"/>
                <w:szCs w:val="18"/>
              </w:rPr>
            </w:pPr>
            <w:r>
              <w:rPr>
                <w:sz w:val="18"/>
                <w:szCs w:val="21"/>
              </w:rPr>
              <w:t>表明掌握了课程基本知识点，但不够熟练</w:t>
            </w:r>
          </w:p>
        </w:tc>
        <w:tc>
          <w:tcPr>
            <w:tcW w:w="742" w:type="pct"/>
            <w:vAlign w:val="center"/>
          </w:tcPr>
          <w:p>
            <w:pPr>
              <w:widowControl/>
              <w:jc w:val="center"/>
              <w:rPr>
                <w:sz w:val="18"/>
                <w:szCs w:val="18"/>
              </w:rPr>
            </w:pPr>
            <w:r>
              <w:rPr>
                <w:rFonts w:hint="eastAsia"/>
                <w:sz w:val="18"/>
                <w:szCs w:val="18"/>
              </w:rPr>
              <w:t>B+（86~90）</w:t>
            </w:r>
          </w:p>
          <w:p>
            <w:pPr>
              <w:widowControl/>
              <w:jc w:val="center"/>
              <w:rPr>
                <w:sz w:val="18"/>
                <w:szCs w:val="18"/>
              </w:rPr>
            </w:pPr>
            <w:r>
              <w:rPr>
                <w:rFonts w:hint="eastAsia"/>
                <w:sz w:val="18"/>
                <w:szCs w:val="18"/>
              </w:rPr>
              <w:t>B（80~85）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364" w:type="pct"/>
            <w:vAlign w:val="center"/>
          </w:tcPr>
          <w:p>
            <w:pPr>
              <w:widowControl/>
              <w:jc w:val="center"/>
              <w:rPr>
                <w:sz w:val="18"/>
                <w:szCs w:val="18"/>
              </w:rPr>
            </w:pPr>
            <w:r>
              <w:rPr>
                <w:sz w:val="18"/>
                <w:szCs w:val="18"/>
              </w:rPr>
              <w:t>3</w:t>
            </w:r>
          </w:p>
        </w:tc>
        <w:tc>
          <w:tcPr>
            <w:tcW w:w="1909" w:type="pct"/>
            <w:vAlign w:val="center"/>
          </w:tcPr>
          <w:p>
            <w:pPr>
              <w:widowControl/>
              <w:jc w:val="center"/>
              <w:rPr>
                <w:sz w:val="18"/>
                <w:szCs w:val="18"/>
              </w:rPr>
            </w:pPr>
            <w:r>
              <w:rPr>
                <w:rFonts w:hint="eastAsia"/>
                <w:sz w:val="18"/>
                <w:szCs w:val="18"/>
              </w:rPr>
              <w:t>作业完成量大于70%</w:t>
            </w:r>
          </w:p>
        </w:tc>
        <w:tc>
          <w:tcPr>
            <w:tcW w:w="1985" w:type="pct"/>
            <w:vAlign w:val="center"/>
          </w:tcPr>
          <w:p>
            <w:pPr>
              <w:widowControl/>
              <w:jc w:val="center"/>
              <w:rPr>
                <w:sz w:val="18"/>
                <w:szCs w:val="18"/>
              </w:rPr>
            </w:pPr>
            <w:r>
              <w:rPr>
                <w:sz w:val="18"/>
                <w:szCs w:val="21"/>
              </w:rPr>
              <w:t>表明掌握了课程的大部分知识点，但对较难或易混和知识点掌握存在不足</w:t>
            </w:r>
          </w:p>
        </w:tc>
        <w:tc>
          <w:tcPr>
            <w:tcW w:w="742" w:type="pct"/>
            <w:vAlign w:val="center"/>
          </w:tcPr>
          <w:p>
            <w:pPr>
              <w:widowControl/>
              <w:jc w:val="center"/>
              <w:rPr>
                <w:sz w:val="18"/>
                <w:szCs w:val="18"/>
              </w:rPr>
            </w:pPr>
            <w:bookmarkStart w:id="90" w:name="OLE_LINK107"/>
            <w:bookmarkStart w:id="91" w:name="OLE_LINK109"/>
            <w:bookmarkStart w:id="92" w:name="OLE_LINK110"/>
            <w:bookmarkStart w:id="93" w:name="OLE_LINK108"/>
            <w:bookmarkStart w:id="94" w:name="OLE_LINK106"/>
            <w:r>
              <w:rPr>
                <w:sz w:val="18"/>
                <w:szCs w:val="21"/>
              </w:rPr>
              <w:t>C</w:t>
            </w:r>
            <w:r>
              <w:rPr>
                <w:rFonts w:hint="eastAsia"/>
                <w:sz w:val="18"/>
                <w:szCs w:val="21"/>
              </w:rPr>
              <w:t>（70</w:t>
            </w:r>
            <w:r>
              <w:rPr>
                <w:sz w:val="18"/>
                <w:szCs w:val="21"/>
              </w:rPr>
              <w:t>~79</w:t>
            </w:r>
            <w:r>
              <w:rPr>
                <w:rFonts w:hint="eastAsia"/>
                <w:sz w:val="18"/>
                <w:szCs w:val="21"/>
              </w:rPr>
              <w:t>）</w:t>
            </w:r>
            <w:bookmarkEnd w:id="90"/>
            <w:bookmarkEnd w:id="91"/>
            <w:bookmarkEnd w:id="92"/>
            <w:bookmarkEnd w:id="93"/>
            <w:bookmarkEnd w:id="94"/>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64" w:type="pct"/>
            <w:vAlign w:val="center"/>
          </w:tcPr>
          <w:p>
            <w:pPr>
              <w:widowControl/>
              <w:jc w:val="center"/>
              <w:rPr>
                <w:sz w:val="18"/>
                <w:szCs w:val="18"/>
              </w:rPr>
            </w:pPr>
            <w:r>
              <w:rPr>
                <w:sz w:val="18"/>
                <w:szCs w:val="18"/>
              </w:rPr>
              <w:t>4</w:t>
            </w:r>
          </w:p>
        </w:tc>
        <w:tc>
          <w:tcPr>
            <w:tcW w:w="1909" w:type="pct"/>
            <w:vAlign w:val="center"/>
          </w:tcPr>
          <w:p>
            <w:pPr>
              <w:widowControl/>
              <w:jc w:val="center"/>
              <w:rPr>
                <w:sz w:val="18"/>
                <w:szCs w:val="18"/>
              </w:rPr>
            </w:pPr>
            <w:bookmarkStart w:id="95" w:name="OLE_LINK8"/>
            <w:bookmarkStart w:id="96" w:name="OLE_LINK10"/>
            <w:bookmarkStart w:id="97" w:name="OLE_LINK9"/>
            <w:r>
              <w:rPr>
                <w:sz w:val="18"/>
                <w:szCs w:val="21"/>
              </w:rPr>
              <w:t>作业</w:t>
            </w:r>
            <w:bookmarkStart w:id="98" w:name="OLE_LINK64"/>
            <w:bookmarkStart w:id="99" w:name="OLE_LINK67"/>
            <w:bookmarkStart w:id="100" w:name="OLE_LINK63"/>
            <w:bookmarkStart w:id="101" w:name="OLE_LINK75"/>
            <w:bookmarkStart w:id="102" w:name="OLE_LINK74"/>
            <w:bookmarkStart w:id="103" w:name="OLE_LINK65"/>
            <w:bookmarkStart w:id="104" w:name="OLE_LINK66"/>
            <w:r>
              <w:rPr>
                <w:sz w:val="18"/>
                <w:szCs w:val="21"/>
              </w:rPr>
              <w:t>完成量大于</w:t>
            </w:r>
            <w:bookmarkEnd w:id="95"/>
            <w:bookmarkEnd w:id="96"/>
            <w:bookmarkEnd w:id="97"/>
            <w:r>
              <w:rPr>
                <w:rFonts w:hint="eastAsia"/>
                <w:sz w:val="18"/>
                <w:szCs w:val="21"/>
              </w:rPr>
              <w:t>5</w:t>
            </w:r>
            <w:r>
              <w:rPr>
                <w:sz w:val="18"/>
                <w:szCs w:val="21"/>
              </w:rPr>
              <w:t>0%</w:t>
            </w:r>
            <w:bookmarkEnd w:id="98"/>
            <w:bookmarkEnd w:id="99"/>
            <w:bookmarkEnd w:id="100"/>
            <w:bookmarkEnd w:id="101"/>
            <w:bookmarkEnd w:id="102"/>
            <w:bookmarkEnd w:id="103"/>
            <w:bookmarkEnd w:id="104"/>
          </w:p>
        </w:tc>
        <w:tc>
          <w:tcPr>
            <w:tcW w:w="1985" w:type="pct"/>
            <w:vAlign w:val="center"/>
          </w:tcPr>
          <w:p>
            <w:pPr>
              <w:widowControl/>
              <w:jc w:val="center"/>
              <w:rPr>
                <w:sz w:val="18"/>
                <w:szCs w:val="18"/>
              </w:rPr>
            </w:pPr>
            <w:r>
              <w:rPr>
                <w:sz w:val="18"/>
                <w:szCs w:val="18"/>
              </w:rPr>
              <w:t>表明掌握了课程部分知识点，对相当一部分理论、知识点掌握不够</w:t>
            </w:r>
          </w:p>
        </w:tc>
        <w:tc>
          <w:tcPr>
            <w:tcW w:w="742" w:type="pct"/>
            <w:vAlign w:val="center"/>
          </w:tcPr>
          <w:p>
            <w:pPr>
              <w:widowControl/>
              <w:jc w:val="center"/>
              <w:rPr>
                <w:sz w:val="18"/>
                <w:szCs w:val="18"/>
              </w:rPr>
            </w:pPr>
            <w:bookmarkStart w:id="105" w:name="OLE_LINK100"/>
            <w:bookmarkStart w:id="106" w:name="OLE_LINK101"/>
            <w:bookmarkStart w:id="107" w:name="OLE_LINK99"/>
            <w:r>
              <w:rPr>
                <w:rFonts w:hint="eastAsia"/>
                <w:sz w:val="18"/>
                <w:szCs w:val="21"/>
              </w:rPr>
              <w:t>D（60</w:t>
            </w:r>
            <w:r>
              <w:rPr>
                <w:sz w:val="18"/>
                <w:szCs w:val="21"/>
              </w:rPr>
              <w:t>~69</w:t>
            </w:r>
            <w:r>
              <w:rPr>
                <w:rFonts w:hint="eastAsia"/>
                <w:sz w:val="18"/>
                <w:szCs w:val="21"/>
              </w:rPr>
              <w:t>）</w:t>
            </w:r>
            <w:bookmarkEnd w:id="105"/>
            <w:bookmarkEnd w:id="106"/>
            <w:bookmarkEnd w:id="107"/>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64" w:type="pct"/>
            <w:vAlign w:val="center"/>
          </w:tcPr>
          <w:p>
            <w:pPr>
              <w:widowControl/>
              <w:jc w:val="center"/>
              <w:rPr>
                <w:sz w:val="18"/>
                <w:szCs w:val="18"/>
              </w:rPr>
            </w:pPr>
            <w:r>
              <w:rPr>
                <w:sz w:val="18"/>
                <w:szCs w:val="18"/>
              </w:rPr>
              <w:t>5</w:t>
            </w:r>
          </w:p>
        </w:tc>
        <w:tc>
          <w:tcPr>
            <w:tcW w:w="1909" w:type="pct"/>
            <w:vAlign w:val="center"/>
          </w:tcPr>
          <w:p>
            <w:pPr>
              <w:widowControl/>
              <w:jc w:val="center"/>
              <w:rPr>
                <w:sz w:val="18"/>
                <w:szCs w:val="18"/>
              </w:rPr>
            </w:pPr>
            <w:bookmarkStart w:id="108" w:name="OLE_LINK7"/>
            <w:bookmarkStart w:id="109" w:name="OLE_LINK6"/>
            <w:bookmarkStart w:id="110" w:name="OLE_LINK5"/>
            <w:r>
              <w:rPr>
                <w:sz w:val="18"/>
                <w:szCs w:val="21"/>
              </w:rPr>
              <w:t>作业完成量</w:t>
            </w:r>
            <w:r>
              <w:rPr>
                <w:rFonts w:hint="eastAsia"/>
                <w:sz w:val="18"/>
                <w:szCs w:val="21"/>
              </w:rPr>
              <w:t>小于</w:t>
            </w:r>
            <w:bookmarkEnd w:id="108"/>
            <w:bookmarkEnd w:id="109"/>
            <w:bookmarkEnd w:id="110"/>
            <w:r>
              <w:rPr>
                <w:sz w:val="18"/>
                <w:szCs w:val="21"/>
              </w:rPr>
              <w:t>50%</w:t>
            </w:r>
          </w:p>
        </w:tc>
        <w:tc>
          <w:tcPr>
            <w:tcW w:w="1985" w:type="pct"/>
            <w:vAlign w:val="center"/>
          </w:tcPr>
          <w:p>
            <w:pPr>
              <w:widowControl/>
              <w:jc w:val="center"/>
              <w:rPr>
                <w:sz w:val="18"/>
                <w:szCs w:val="18"/>
              </w:rPr>
            </w:pPr>
            <w:r>
              <w:rPr>
                <w:sz w:val="18"/>
                <w:szCs w:val="21"/>
              </w:rPr>
              <w:t>表明没有掌握课程大部分知识点</w:t>
            </w:r>
          </w:p>
        </w:tc>
        <w:tc>
          <w:tcPr>
            <w:tcW w:w="742" w:type="pct"/>
            <w:vAlign w:val="center"/>
          </w:tcPr>
          <w:p>
            <w:pPr>
              <w:widowControl/>
              <w:jc w:val="center"/>
              <w:rPr>
                <w:sz w:val="18"/>
                <w:szCs w:val="18"/>
              </w:rPr>
            </w:pPr>
            <w:r>
              <w:rPr>
                <w:rFonts w:hint="eastAsia"/>
                <w:sz w:val="18"/>
                <w:szCs w:val="18"/>
              </w:rPr>
              <w:t>E（40~59）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64" w:type="pct"/>
            <w:vAlign w:val="center"/>
          </w:tcPr>
          <w:p>
            <w:pPr>
              <w:widowControl/>
              <w:jc w:val="center"/>
              <w:rPr>
                <w:sz w:val="18"/>
                <w:szCs w:val="18"/>
              </w:rPr>
            </w:pPr>
            <w:r>
              <w:rPr>
                <w:sz w:val="18"/>
                <w:szCs w:val="18"/>
              </w:rPr>
              <w:t>6</w:t>
            </w:r>
          </w:p>
        </w:tc>
        <w:tc>
          <w:tcPr>
            <w:tcW w:w="1909" w:type="pct"/>
            <w:vAlign w:val="center"/>
          </w:tcPr>
          <w:p>
            <w:pPr>
              <w:widowControl/>
              <w:jc w:val="center"/>
              <w:rPr>
                <w:sz w:val="18"/>
                <w:szCs w:val="18"/>
              </w:rPr>
            </w:pPr>
            <w:r>
              <w:rPr>
                <w:sz w:val="18"/>
                <w:szCs w:val="21"/>
              </w:rPr>
              <w:t>作业未完成，或有明显抄袭现象</w:t>
            </w:r>
          </w:p>
        </w:tc>
        <w:tc>
          <w:tcPr>
            <w:tcW w:w="1985" w:type="pct"/>
            <w:vAlign w:val="center"/>
          </w:tcPr>
          <w:p>
            <w:pPr>
              <w:widowControl/>
              <w:jc w:val="center"/>
              <w:rPr>
                <w:sz w:val="18"/>
                <w:szCs w:val="18"/>
              </w:rPr>
            </w:pPr>
            <w:r>
              <w:rPr>
                <w:sz w:val="18"/>
                <w:szCs w:val="18"/>
              </w:rPr>
              <w:t>课程学习态度</w:t>
            </w:r>
            <w:r>
              <w:rPr>
                <w:rFonts w:hint="eastAsia"/>
                <w:sz w:val="18"/>
                <w:szCs w:val="18"/>
              </w:rPr>
              <w:t>不</w:t>
            </w:r>
            <w:r>
              <w:rPr>
                <w:sz w:val="18"/>
                <w:szCs w:val="18"/>
              </w:rPr>
              <w:t>端正</w:t>
            </w:r>
          </w:p>
        </w:tc>
        <w:tc>
          <w:tcPr>
            <w:tcW w:w="742" w:type="pct"/>
            <w:vAlign w:val="center"/>
          </w:tcPr>
          <w:p>
            <w:pPr>
              <w:widowControl/>
              <w:jc w:val="center"/>
              <w:rPr>
                <w:sz w:val="18"/>
                <w:szCs w:val="18"/>
              </w:rPr>
            </w:pPr>
            <w:bookmarkStart w:id="111" w:name="OLE_LINK94"/>
            <w:bookmarkStart w:id="112" w:name="OLE_LINK95"/>
            <w:bookmarkStart w:id="113" w:name="OLE_LINK93"/>
            <w:r>
              <w:rPr>
                <w:rFonts w:hint="eastAsia"/>
                <w:sz w:val="18"/>
                <w:szCs w:val="21"/>
              </w:rPr>
              <w:t>F（0</w:t>
            </w:r>
            <w:r>
              <w:rPr>
                <w:sz w:val="18"/>
                <w:szCs w:val="21"/>
              </w:rPr>
              <w:t>~39</w:t>
            </w:r>
            <w:r>
              <w:rPr>
                <w:rFonts w:hint="eastAsia"/>
                <w:sz w:val="18"/>
                <w:szCs w:val="21"/>
              </w:rPr>
              <w:t>）</w:t>
            </w:r>
            <w:bookmarkEnd w:id="111"/>
            <w:bookmarkEnd w:id="112"/>
            <w:bookmarkEnd w:id="113"/>
          </w:p>
        </w:tc>
      </w:tr>
    </w:tbl>
    <w:p>
      <w:pPr>
        <w:spacing w:line="360" w:lineRule="auto"/>
        <w:ind w:firstLine="420" w:firstLineChars="200"/>
        <w:rPr>
          <w:szCs w:val="21"/>
        </w:rPr>
      </w:pPr>
      <w:r>
        <w:rPr>
          <w:rFonts w:hint="eastAsia"/>
          <w:szCs w:val="21"/>
        </w:rPr>
        <w:t>2、期中考试成绩：结合课程教学进度，在全校范围内组织统一考试（或者以院为单位组织），考试成绩以百分制计，此部分占到学生总评的15%；</w:t>
      </w:r>
    </w:p>
    <w:p>
      <w:pPr>
        <w:spacing w:line="360" w:lineRule="auto"/>
        <w:ind w:firstLine="420" w:firstLineChars="200"/>
        <w:rPr>
          <w:szCs w:val="21"/>
        </w:rPr>
      </w:pPr>
      <w:r>
        <w:rPr>
          <w:rFonts w:hint="eastAsia"/>
          <w:szCs w:val="21"/>
        </w:rPr>
        <w:t>3、在线测试成绩：教师可根据教学需要，通过高等数学网络教学平台（http://222.31.38.3），为学生布置在线作业或在线测试，加强学生的自主训练，并进行百分制成绩评定，此部分占到学生总评的10%；</w:t>
      </w:r>
    </w:p>
    <w:p>
      <w:pPr>
        <w:spacing w:line="360" w:lineRule="auto"/>
        <w:ind w:firstLine="420" w:firstLineChars="200"/>
        <w:rPr>
          <w:szCs w:val="21"/>
        </w:rPr>
      </w:pPr>
      <w:r>
        <w:rPr>
          <w:rFonts w:hint="eastAsia"/>
          <w:szCs w:val="21"/>
        </w:rPr>
        <w:t>4、期末考试成绩：组织进行全校性的期末闭卷考试，统计学生卷面成绩，此部分占到学生总评的60%。</w:t>
      </w:r>
    </w:p>
    <w:p/>
    <w:p/>
    <w:p>
      <w:pPr>
        <w:widowControl/>
        <w:jc w:val="left"/>
      </w:pPr>
      <w:r>
        <w:br w:type="page"/>
      </w:r>
    </w:p>
    <w:p>
      <w:pPr>
        <w:spacing w:before="312" w:beforeLines="100" w:after="468" w:afterLines="150" w:line="360" w:lineRule="auto"/>
        <w:jc w:val="center"/>
        <w:outlineLvl w:val="2"/>
        <w:rPr>
          <w:rFonts w:eastAsia="黑体"/>
          <w:szCs w:val="21"/>
          <w:highlight w:val="yellow"/>
        </w:rPr>
      </w:pPr>
      <w:bookmarkStart w:id="114" w:name="_Toc26701"/>
      <w:r>
        <w:rPr>
          <w:rFonts w:hint="eastAsia" w:ascii="黑体" w:hAnsi="黑体" w:eastAsia="黑体"/>
          <w:sz w:val="28"/>
          <w:szCs w:val="28"/>
        </w:rPr>
        <w:t>《</w:t>
      </w:r>
      <w:r>
        <w:rPr>
          <w:color w:val="000000"/>
          <w:sz w:val="28"/>
          <w:szCs w:val="28"/>
        </w:rPr>
        <w:t>X02080010</w:t>
      </w:r>
      <w:r>
        <w:rPr>
          <w:rFonts w:hint="eastAsia" w:eastAsia="黑体"/>
          <w:szCs w:val="21"/>
        </w:rPr>
        <w:t>-</w:t>
      </w:r>
      <w:r>
        <w:rPr>
          <w:rFonts w:hint="eastAsia" w:ascii="黑体" w:hAnsi="黑体" w:eastAsia="黑体"/>
          <w:sz w:val="28"/>
        </w:rPr>
        <w:t>线性代数</w:t>
      </w:r>
      <w:r>
        <w:rPr>
          <w:rFonts w:ascii="黑体" w:hAnsi="黑体" w:eastAsia="黑体"/>
          <w:sz w:val="28"/>
        </w:rPr>
        <w:t>A</w:t>
      </w:r>
      <w:r>
        <w:rPr>
          <w:rFonts w:hint="eastAsia" w:ascii="黑体" w:hAnsi="黑体" w:eastAsia="黑体"/>
          <w:sz w:val="28"/>
          <w:szCs w:val="28"/>
        </w:rPr>
        <w:t>》</w:t>
      </w:r>
      <w:r>
        <w:rPr>
          <w:rFonts w:ascii="黑体" w:hAnsi="黑体" w:eastAsia="黑体"/>
          <w:sz w:val="28"/>
          <w:szCs w:val="28"/>
        </w:rPr>
        <w:t>教学大纲</w:t>
      </w:r>
      <w:bookmarkEnd w:id="114"/>
    </w:p>
    <w:p>
      <w:pPr>
        <w:spacing w:line="360" w:lineRule="auto"/>
        <w:rPr>
          <w:rFonts w:eastAsia="黑体"/>
          <w:szCs w:val="21"/>
        </w:rPr>
      </w:pPr>
      <w:r>
        <w:rPr>
          <w:rFonts w:hint="eastAsia" w:eastAsia="黑体"/>
          <w:szCs w:val="21"/>
        </w:rPr>
        <w:t xml:space="preserve">   </w:t>
      </w:r>
      <w:r>
        <w:rPr>
          <w:rFonts w:eastAsia="黑体"/>
          <w:szCs w:val="21"/>
        </w:rPr>
        <w:t>课程编号：</w:t>
      </w:r>
      <w:r>
        <w:rPr>
          <w:rFonts w:hint="eastAsia"/>
          <w:color w:val="000000"/>
          <w:szCs w:val="21"/>
        </w:rPr>
        <w:t>X02080010</w:t>
      </w:r>
    </w:p>
    <w:p>
      <w:pPr>
        <w:spacing w:line="360" w:lineRule="auto"/>
        <w:rPr>
          <w:rFonts w:eastAsia="黑体"/>
          <w:szCs w:val="21"/>
          <w:highlight w:val="yellow"/>
        </w:rPr>
      </w:pPr>
      <w:r>
        <w:rPr>
          <w:rFonts w:eastAsia="黑体"/>
          <w:szCs w:val="21"/>
        </w:rPr>
        <w:t xml:space="preserve">   课程名称：</w:t>
      </w:r>
      <w:r>
        <w:rPr>
          <w:rFonts w:hint="eastAsia" w:ascii="宋体" w:hAnsi="宋体"/>
        </w:rPr>
        <w:t>线性代数</w:t>
      </w:r>
      <w:r>
        <w:t>A</w:t>
      </w:r>
      <w:r>
        <w:rPr>
          <w:rFonts w:eastAsia="黑体"/>
          <w:szCs w:val="21"/>
        </w:rPr>
        <w:t xml:space="preserve">   </w:t>
      </w:r>
      <w:r>
        <w:rPr>
          <w:rFonts w:hint="eastAsia" w:eastAsia="黑体"/>
          <w:szCs w:val="21"/>
        </w:rPr>
        <w:t xml:space="preserve">                     </w:t>
      </w:r>
      <w:r>
        <w:rPr>
          <w:rFonts w:eastAsia="黑体"/>
          <w:szCs w:val="21"/>
        </w:rPr>
        <w:t>开课单位：</w:t>
      </w:r>
      <w:r>
        <w:rPr>
          <w:rFonts w:hAnsi="宋体"/>
          <w:szCs w:val="21"/>
        </w:rPr>
        <w:t>理学院</w:t>
      </w:r>
      <w:r>
        <w:rPr>
          <w:rFonts w:hint="eastAsia" w:hAnsi="宋体"/>
          <w:szCs w:val="21"/>
        </w:rPr>
        <w:t>数学</w:t>
      </w:r>
      <w:r>
        <w:rPr>
          <w:rFonts w:hAnsi="宋体"/>
          <w:szCs w:val="21"/>
        </w:rPr>
        <w:t>学科部</w:t>
      </w:r>
      <w:r>
        <w:rPr>
          <w:rFonts w:eastAsia="黑体"/>
          <w:szCs w:val="21"/>
        </w:rPr>
        <w:t xml:space="preserve">   </w:t>
      </w:r>
    </w:p>
    <w:p>
      <w:pPr>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 xml:space="preserve">时：48                            </w:t>
      </w:r>
      <w:r>
        <w:rPr>
          <w:rFonts w:hint="eastAsia" w:eastAsia="黑体"/>
          <w:szCs w:val="21"/>
        </w:rPr>
        <w:t xml:space="preserve"> </w:t>
      </w:r>
      <w:r>
        <w:rPr>
          <w:rFonts w:eastAsia="黑体"/>
          <w:szCs w:val="21"/>
        </w:rPr>
        <w:t xml:space="preserve">  学    分：3</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int="eastAsia" w:hAnsi="宋体"/>
          <w:szCs w:val="21"/>
        </w:rPr>
        <w:t>无</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spacing w:line="360" w:lineRule="auto"/>
        <w:rPr>
          <w:rFonts w:eastAsia="黑体"/>
          <w:szCs w:val="21"/>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420" w:firstLineChars="200"/>
        <w:rPr>
          <w:rFonts w:hAnsi="宋体"/>
          <w:szCs w:val="21"/>
        </w:rPr>
      </w:pPr>
      <w:r>
        <w:rPr>
          <w:rFonts w:hAnsi="宋体"/>
          <w:szCs w:val="21"/>
        </w:rPr>
        <w:t>《线性代数》</w:t>
      </w:r>
      <w:r>
        <w:rPr>
          <w:rFonts w:hint="eastAsia" w:hAnsi="宋体"/>
          <w:szCs w:val="21"/>
        </w:rPr>
        <w:t>课程在</w:t>
      </w:r>
      <w:r>
        <w:rPr>
          <w:rFonts w:hAnsi="宋体"/>
          <w:szCs w:val="21"/>
        </w:rPr>
        <w:t>高等学校理、工科各专业的</w:t>
      </w:r>
      <w:r>
        <w:rPr>
          <w:rFonts w:hint="eastAsia" w:hAnsi="宋体"/>
          <w:szCs w:val="21"/>
        </w:rPr>
        <w:t>教学计划中是一门基础理论</w:t>
      </w:r>
      <w:r>
        <w:rPr>
          <w:rFonts w:hAnsi="宋体"/>
          <w:szCs w:val="21"/>
        </w:rPr>
        <w:t>课</w:t>
      </w:r>
      <w:r>
        <w:rPr>
          <w:rFonts w:hint="eastAsia" w:hAnsi="宋体"/>
          <w:szCs w:val="21"/>
        </w:rPr>
        <w:t>，是后继课程的工具，也是研究生入学考试必考的一门课程</w:t>
      </w:r>
      <w:r>
        <w:rPr>
          <w:rFonts w:hAnsi="宋体"/>
          <w:szCs w:val="21"/>
        </w:rPr>
        <w:t>。由于线性问题广泛存在于科学技术的各个领域，“以直代曲”是人们处理很多数学问题时一个很自然的思想</w:t>
      </w:r>
      <w:r>
        <w:rPr>
          <w:rFonts w:hint="eastAsia" w:hAnsi="宋体"/>
          <w:szCs w:val="21"/>
        </w:rPr>
        <w:t>，对于某些</w:t>
      </w:r>
      <w:r>
        <w:rPr>
          <w:rFonts w:hAnsi="宋体"/>
          <w:szCs w:val="21"/>
        </w:rPr>
        <w:t>非线性问题的处理，在一定条件下可以转化为线性问题，最后往往归结为线性问题，比较容易处理。尤其是在计算机日益普及的今天，解大型线性方程组、求矩阵的特征值与特征向量等已成为科学技术人员经常遇到的课题</w:t>
      </w:r>
      <w:r>
        <w:rPr>
          <w:rFonts w:hint="eastAsia" w:hAnsi="宋体"/>
          <w:szCs w:val="21"/>
        </w:rPr>
        <w:t>，</w:t>
      </w:r>
      <w:r>
        <w:rPr>
          <w:rFonts w:hAnsi="宋体"/>
          <w:szCs w:val="21"/>
        </w:rPr>
        <w:t>因此学习和掌握线性代数的理论和方法是掌握现代科学技术以及从事科学研究的重要基础和手段，同时也是实现我</w:t>
      </w:r>
      <w:r>
        <w:rPr>
          <w:rFonts w:hint="eastAsia" w:hAnsi="宋体"/>
          <w:szCs w:val="21"/>
        </w:rPr>
        <w:t>校</w:t>
      </w:r>
      <w:r>
        <w:rPr>
          <w:rFonts w:hAnsi="宋体"/>
          <w:szCs w:val="21"/>
        </w:rPr>
        <w:t>各专业培养目标的必备前提。</w:t>
      </w:r>
      <w:r>
        <w:rPr>
          <w:rFonts w:hint="eastAsia" w:hAnsi="宋体"/>
          <w:szCs w:val="21"/>
        </w:rPr>
        <w:t>通过本课程的学习，使学生掌握线性代数的基本概念、基本原理与基本计算方法，培养学生分析问题、解决问题的能力和运用计算机解决与线性代数相关的实际问题的能力，为学习后继课程，从事工程技术、经济管理工作、科学研究以及开拓新技术领域，打下坚实的基础。</w:t>
      </w:r>
    </w:p>
    <w:p>
      <w:pPr>
        <w:adjustRightInd w:val="0"/>
        <w:snapToGrid w:val="0"/>
        <w:spacing w:line="360" w:lineRule="auto"/>
        <w:rPr>
          <w:rFonts w:eastAsia="黑体"/>
          <w:szCs w:val="21"/>
        </w:rPr>
      </w:pPr>
    </w:p>
    <w:p>
      <w:pPr>
        <w:adjustRightInd w:val="0"/>
        <w:snapToGrid w:val="0"/>
        <w:spacing w:line="360" w:lineRule="auto"/>
        <w:rPr>
          <w:rFonts w:eastAsia="黑体"/>
          <w:szCs w:val="21"/>
        </w:rPr>
      </w:pPr>
      <w:r>
        <w:rPr>
          <w:rFonts w:eastAsia="黑体"/>
          <w:szCs w:val="21"/>
        </w:rPr>
        <w:t>二、课程目标</w:t>
      </w:r>
    </w:p>
    <w:p>
      <w:pPr>
        <w:adjustRightInd w:val="0"/>
        <w:snapToGrid w:val="0"/>
        <w:spacing w:line="360" w:lineRule="auto"/>
        <w:ind w:firstLine="420" w:firstLineChars="200"/>
        <w:rPr>
          <w:b/>
          <w:bCs/>
          <w:color w:val="000000"/>
          <w:szCs w:val="21"/>
        </w:rPr>
      </w:pPr>
      <w:r>
        <w:rPr>
          <w:rFonts w:hint="eastAsia"/>
          <w:color w:val="000000"/>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4195"/>
        <w:gridCol w:w="37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461" w:type="pct"/>
            <w:shd w:val="clear" w:color="auto" w:fill="auto"/>
          </w:tcPr>
          <w:p>
            <w:pPr>
              <w:spacing w:line="360" w:lineRule="auto"/>
              <w:jc w:val="center"/>
              <w:rPr>
                <w:sz w:val="18"/>
                <w:szCs w:val="18"/>
              </w:rPr>
            </w:pPr>
            <w:r>
              <w:rPr>
                <w:rFonts w:hint="eastAsia"/>
                <w:sz w:val="18"/>
                <w:szCs w:val="18"/>
              </w:rPr>
              <w:t>课程目标</w:t>
            </w:r>
          </w:p>
        </w:tc>
        <w:tc>
          <w:tcPr>
            <w:tcW w:w="2195"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461" w:type="pct"/>
            <w:shd w:val="clear" w:color="auto" w:fill="auto"/>
          </w:tcPr>
          <w:p>
            <w:pPr>
              <w:adjustRightInd w:val="0"/>
              <w:snapToGrid w:val="0"/>
              <w:spacing w:line="360" w:lineRule="auto"/>
              <w:rPr>
                <w:sz w:val="18"/>
                <w:szCs w:val="18"/>
              </w:rPr>
            </w:pPr>
            <w:r>
              <w:rPr>
                <w:rFonts w:hint="eastAsia" w:hAnsi="宋体"/>
                <w:bCs/>
                <w:sz w:val="18"/>
                <w:szCs w:val="18"/>
              </w:rPr>
              <w:t>能够准确识记</w:t>
            </w:r>
            <w:r>
              <w:rPr>
                <w:rFonts w:hAnsi="宋体"/>
                <w:bCs/>
                <w:sz w:val="18"/>
                <w:szCs w:val="18"/>
              </w:rPr>
              <w:t>行列式</w:t>
            </w:r>
            <w:r>
              <w:rPr>
                <w:rFonts w:hint="eastAsia" w:hAnsi="宋体"/>
                <w:bCs/>
                <w:sz w:val="18"/>
                <w:szCs w:val="18"/>
              </w:rPr>
              <w:t>、</w:t>
            </w:r>
            <w:r>
              <w:rPr>
                <w:rFonts w:hAnsi="宋体"/>
                <w:bCs/>
                <w:sz w:val="18"/>
                <w:szCs w:val="18"/>
              </w:rPr>
              <w:t>矩阵</w:t>
            </w:r>
            <w:r>
              <w:rPr>
                <w:rFonts w:hint="eastAsia" w:hAnsi="宋体"/>
                <w:bCs/>
                <w:sz w:val="18"/>
                <w:szCs w:val="18"/>
              </w:rPr>
              <w:t>、向量理论中的</w:t>
            </w:r>
            <w:r>
              <w:rPr>
                <w:rFonts w:hAnsi="宋体"/>
                <w:bCs/>
                <w:sz w:val="18"/>
                <w:szCs w:val="18"/>
              </w:rPr>
              <w:t>基</w:t>
            </w:r>
            <w:r>
              <w:rPr>
                <w:rFonts w:hint="eastAsia" w:hAnsi="宋体"/>
                <w:bCs/>
                <w:sz w:val="18"/>
                <w:szCs w:val="18"/>
              </w:rPr>
              <w:t>本概念、性质及结论</w:t>
            </w:r>
            <w:r>
              <w:rPr>
                <w:rFonts w:hAnsi="宋体"/>
                <w:bCs/>
                <w:sz w:val="18"/>
                <w:szCs w:val="18"/>
              </w:rPr>
              <w:t>，</w:t>
            </w:r>
            <w:r>
              <w:rPr>
                <w:rFonts w:hint="eastAsia" w:hAnsi="宋体"/>
                <w:bCs/>
                <w:sz w:val="18"/>
                <w:szCs w:val="18"/>
              </w:rPr>
              <w:t>以及</w:t>
            </w:r>
            <w:r>
              <w:rPr>
                <w:rFonts w:hAnsi="宋体"/>
                <w:bCs/>
                <w:sz w:val="18"/>
                <w:szCs w:val="18"/>
              </w:rPr>
              <w:t>向量空间的结构</w:t>
            </w:r>
            <w:r>
              <w:rPr>
                <w:rFonts w:hint="eastAsia" w:hAnsi="宋体"/>
                <w:bCs/>
                <w:sz w:val="18"/>
                <w:szCs w:val="18"/>
              </w:rPr>
              <w:t>；并能</w:t>
            </w:r>
            <w:r>
              <w:rPr>
                <w:rFonts w:hAnsi="宋体"/>
                <w:bCs/>
                <w:sz w:val="18"/>
                <w:szCs w:val="18"/>
              </w:rPr>
              <w:t>熟练</w:t>
            </w:r>
            <w:r>
              <w:rPr>
                <w:rFonts w:hint="eastAsia" w:hAnsi="宋体"/>
                <w:bCs/>
                <w:sz w:val="18"/>
                <w:szCs w:val="18"/>
              </w:rPr>
              <w:t>进行</w:t>
            </w:r>
            <w:r>
              <w:rPr>
                <w:rFonts w:hAnsi="宋体"/>
                <w:bCs/>
                <w:sz w:val="18"/>
                <w:szCs w:val="18"/>
              </w:rPr>
              <w:t>行列式、矩阵的基本计算</w:t>
            </w:r>
            <w:r>
              <w:rPr>
                <w:rFonts w:hint="eastAsia" w:hAnsi="宋体"/>
                <w:bCs/>
                <w:sz w:val="18"/>
                <w:szCs w:val="18"/>
              </w:rPr>
              <w:t>，以及会运用基本结论对命题进行证明。</w:t>
            </w:r>
          </w:p>
        </w:tc>
        <w:tc>
          <w:tcPr>
            <w:tcW w:w="2195" w:type="pct"/>
            <w:shd w:val="clear" w:color="auto" w:fill="auto"/>
          </w:tcPr>
          <w:p>
            <w:pPr>
              <w:pStyle w:val="19"/>
              <w:shd w:val="clear" w:color="auto" w:fill="FFFFFF"/>
              <w:autoSpaceDE w:val="0"/>
              <w:adjustRightInd w:val="0"/>
              <w:snapToGrid w:val="0"/>
              <w:spacing w:before="0" w:beforeAutospacing="0" w:after="0" w:afterAutospacing="0" w:line="360" w:lineRule="auto"/>
              <w:rPr>
                <w:sz w:val="18"/>
                <w:szCs w:val="18"/>
              </w:rPr>
            </w:pPr>
            <w:r>
              <w:rPr>
                <w:b/>
                <w:sz w:val="18"/>
                <w:szCs w:val="18"/>
              </w:rPr>
              <w:t>毕业要求1工程知识</w:t>
            </w:r>
            <w:r>
              <w:rPr>
                <w:sz w:val="18"/>
                <w:szCs w:val="18"/>
              </w:rPr>
              <w:t>：能够将数学、自然科学、工程基础和专业知识用于解决复杂工程问题。</w:t>
            </w:r>
          </w:p>
          <w:p>
            <w:pPr>
              <w:adjustRightInd w:val="0"/>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461" w:type="pct"/>
            <w:shd w:val="clear" w:color="auto" w:fill="auto"/>
          </w:tcPr>
          <w:p>
            <w:pPr>
              <w:adjustRightInd w:val="0"/>
              <w:snapToGrid w:val="0"/>
              <w:spacing w:line="360" w:lineRule="auto"/>
              <w:rPr>
                <w:sz w:val="18"/>
                <w:szCs w:val="18"/>
              </w:rPr>
            </w:pPr>
            <w:r>
              <w:rPr>
                <w:rFonts w:hint="eastAsia" w:ascii="宋体" w:hAnsi="宋体"/>
                <w:sz w:val="18"/>
                <w:szCs w:val="18"/>
              </w:rPr>
              <w:t>能够</w:t>
            </w:r>
            <w:r>
              <w:rPr>
                <w:rFonts w:ascii="宋体" w:hAnsi="宋体"/>
                <w:sz w:val="18"/>
                <w:szCs w:val="18"/>
              </w:rPr>
              <w:t>系统地</w:t>
            </w:r>
            <w:r>
              <w:rPr>
                <w:rFonts w:hint="eastAsia" w:ascii="宋体" w:hAnsi="宋体"/>
                <w:sz w:val="18"/>
                <w:szCs w:val="18"/>
              </w:rPr>
              <w:t>识记线性</w:t>
            </w:r>
            <w:r>
              <w:rPr>
                <w:rFonts w:ascii="宋体" w:hAnsi="宋体"/>
                <w:sz w:val="18"/>
                <w:szCs w:val="18"/>
              </w:rPr>
              <w:t>方程组的解</w:t>
            </w:r>
            <w:r>
              <w:rPr>
                <w:rFonts w:hint="eastAsia" w:ascii="宋体" w:hAnsi="宋体"/>
                <w:sz w:val="18"/>
                <w:szCs w:val="18"/>
              </w:rPr>
              <w:t>的判定方法</w:t>
            </w:r>
            <w:r>
              <w:rPr>
                <w:rFonts w:ascii="宋体" w:hAnsi="宋体"/>
                <w:sz w:val="18"/>
                <w:szCs w:val="18"/>
              </w:rPr>
              <w:t>及解空间的结构，</w:t>
            </w:r>
            <w:r>
              <w:rPr>
                <w:rFonts w:hint="eastAsia" w:ascii="宋体" w:hAnsi="宋体"/>
                <w:sz w:val="18"/>
                <w:szCs w:val="18"/>
              </w:rPr>
              <w:t>并能熟练应用行列式、矩阵、向量理论中的基本结论和方法判定线性方程组的解的情况，以及能进行线性方程组的通解的计算。</w:t>
            </w:r>
          </w:p>
        </w:tc>
        <w:tc>
          <w:tcPr>
            <w:tcW w:w="2195" w:type="pct"/>
            <w:shd w:val="clear" w:color="auto" w:fill="auto"/>
          </w:tcPr>
          <w:p>
            <w:pPr>
              <w:pStyle w:val="19"/>
              <w:shd w:val="clear" w:color="auto" w:fill="FFFFFF"/>
              <w:autoSpaceDE w:val="0"/>
              <w:adjustRightInd w:val="0"/>
              <w:snapToGrid w:val="0"/>
              <w:spacing w:before="0" w:beforeAutospacing="0" w:after="0" w:afterAutospacing="0" w:line="360" w:lineRule="auto"/>
              <w:rPr>
                <w:rFonts w:ascii="微软雅黑" w:hAnsi="微软雅黑" w:eastAsia="微软雅黑"/>
                <w:color w:val="333333"/>
                <w:sz w:val="19"/>
                <w:szCs w:val="19"/>
              </w:rPr>
            </w:pPr>
            <w:r>
              <w:rPr>
                <w:b/>
                <w:sz w:val="18"/>
                <w:szCs w:val="18"/>
              </w:rPr>
              <w:t>毕业要求1工程知识：</w:t>
            </w:r>
            <w:r>
              <w:rPr>
                <w:sz w:val="18"/>
                <w:szCs w:val="18"/>
              </w:rPr>
              <w:t>能够将数学、自然科学、工程基础和专业知识用于解决复杂工程问题。</w:t>
            </w:r>
          </w:p>
          <w:p>
            <w:pPr>
              <w:adjustRightInd w:val="0"/>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461" w:type="pct"/>
            <w:shd w:val="clear" w:color="auto" w:fill="auto"/>
          </w:tcPr>
          <w:p>
            <w:pPr>
              <w:adjustRightInd w:val="0"/>
              <w:snapToGrid w:val="0"/>
              <w:spacing w:line="360" w:lineRule="auto"/>
              <w:rPr>
                <w:sz w:val="18"/>
                <w:szCs w:val="18"/>
              </w:rPr>
            </w:pPr>
            <w:r>
              <w:rPr>
                <w:rFonts w:hint="eastAsia" w:ascii="宋体" w:hAnsi="宋体"/>
                <w:sz w:val="18"/>
                <w:szCs w:val="18"/>
              </w:rPr>
              <w:t>能识记</w:t>
            </w:r>
            <w:r>
              <w:rPr>
                <w:rFonts w:ascii="宋体" w:hAnsi="宋体"/>
                <w:sz w:val="18"/>
                <w:szCs w:val="18"/>
              </w:rPr>
              <w:t>矩阵的特征值</w:t>
            </w:r>
            <w:r>
              <w:rPr>
                <w:rFonts w:hint="eastAsia" w:ascii="宋体" w:hAnsi="宋体"/>
                <w:sz w:val="18"/>
                <w:szCs w:val="18"/>
              </w:rPr>
              <w:t>与特征向量、二次型理论中的基本性质及结论，能综合应用行列式、矩阵、向量及线性方程组理论中的结论及方法进行</w:t>
            </w:r>
            <w:r>
              <w:rPr>
                <w:rFonts w:ascii="宋体" w:hAnsi="宋体"/>
                <w:sz w:val="18"/>
                <w:szCs w:val="18"/>
              </w:rPr>
              <w:t>矩阵的对角化</w:t>
            </w:r>
            <w:r>
              <w:rPr>
                <w:rFonts w:hint="eastAsia" w:ascii="宋体" w:hAnsi="宋体"/>
                <w:sz w:val="18"/>
                <w:szCs w:val="18"/>
              </w:rPr>
              <w:t>、二次型化为标准形和规范形。</w:t>
            </w:r>
          </w:p>
        </w:tc>
        <w:tc>
          <w:tcPr>
            <w:tcW w:w="2195" w:type="pct"/>
            <w:shd w:val="clear" w:color="auto" w:fill="auto"/>
          </w:tcPr>
          <w:p>
            <w:pPr>
              <w:pStyle w:val="19"/>
              <w:shd w:val="clear" w:color="auto" w:fill="FFFFFF"/>
              <w:autoSpaceDE w:val="0"/>
              <w:adjustRightInd w:val="0"/>
              <w:snapToGrid w:val="0"/>
              <w:spacing w:before="0" w:beforeAutospacing="0" w:after="0" w:afterAutospacing="0" w:line="360" w:lineRule="auto"/>
              <w:rPr>
                <w:sz w:val="18"/>
                <w:szCs w:val="18"/>
              </w:rPr>
            </w:pPr>
            <w:r>
              <w:rPr>
                <w:b/>
                <w:sz w:val="18"/>
                <w:szCs w:val="18"/>
              </w:rPr>
              <w:t>毕业要求1工程知识：</w:t>
            </w:r>
            <w:r>
              <w:rPr>
                <w:sz w:val="18"/>
                <w:szCs w:val="18"/>
              </w:rPr>
              <w:t>能够将数学、自然科学、工程基础和专业知识用于解决复杂工程问题。</w:t>
            </w:r>
          </w:p>
          <w:p>
            <w:pPr>
              <w:adjustRightInd w:val="0"/>
              <w:snapToGrid w:val="0"/>
              <w:spacing w:line="360" w:lineRule="auto"/>
              <w:rPr>
                <w:rFonts w:ascii="宋体" w:hAnsi="宋体"/>
                <w:kern w:val="0"/>
                <w:sz w:val="18"/>
                <w:szCs w:val="18"/>
              </w:rPr>
            </w:pPr>
          </w:p>
        </w:tc>
      </w:tr>
    </w:tbl>
    <w:p>
      <w:pPr>
        <w:spacing w:line="360" w:lineRule="auto"/>
        <w:rPr>
          <w:szCs w:val="21"/>
        </w:rPr>
      </w:pPr>
    </w:p>
    <w:p>
      <w:pPr>
        <w:adjustRightInd w:val="0"/>
        <w:snapToGrid w:val="0"/>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第一章 </w:t>
      </w:r>
      <w:r>
        <w:rPr>
          <w:rFonts w:hint="eastAsia" w:ascii="Calibri" w:hAnsi="Calibri" w:eastAsia="黑体"/>
          <w:szCs w:val="21"/>
        </w:rPr>
        <w:t xml:space="preserve"> </w:t>
      </w:r>
      <w:r>
        <w:rPr>
          <w:rFonts w:ascii="Calibri" w:hAnsi="Calibri" w:eastAsia="黑体"/>
          <w:szCs w:val="21"/>
        </w:rPr>
        <w:t>行列式</w:t>
      </w:r>
      <w:r>
        <w:rPr>
          <w:rFonts w:hint="eastAsia" w:ascii="Calibri" w:hAnsi="Calibri" w:eastAsia="黑体"/>
          <w:szCs w:val="21"/>
        </w:rPr>
        <w:t>（6学时）</w:t>
      </w:r>
    </w:p>
    <w:p>
      <w:pPr>
        <w:adjustRightInd w:val="0"/>
        <w:snapToGrid w:val="0"/>
        <w:spacing w:line="360" w:lineRule="auto"/>
        <w:ind w:firstLine="420" w:firstLineChars="200"/>
        <w:rPr>
          <w:rFonts w:ascii="Calibri" w:hAnsi="Calibri"/>
          <w:szCs w:val="21"/>
        </w:rPr>
      </w:pPr>
      <w:r>
        <w:rPr>
          <w:rFonts w:ascii="宋体" w:hAnsi="宋体"/>
          <w:szCs w:val="21"/>
        </w:rPr>
        <w:t>1．</w:t>
      </w:r>
      <w:r>
        <w:rPr>
          <w:rFonts w:hint="eastAsia" w:ascii="宋体" w:hAnsi="宋体"/>
          <w:szCs w:val="21"/>
        </w:rPr>
        <w:t xml:space="preserve"> 通过二元、三元方程组的求解引进二阶、三阶行列式，并观察其规律引出</w:t>
      </w:r>
      <w:r>
        <w:rPr>
          <w:i/>
          <w:szCs w:val="21"/>
        </w:rPr>
        <w:t xml:space="preserve"> n</w:t>
      </w:r>
      <w:r>
        <w:rPr>
          <w:rFonts w:ascii="Calibri" w:hAnsi="Calibri"/>
          <w:szCs w:val="21"/>
        </w:rPr>
        <w:t>阶行列式</w:t>
      </w:r>
      <w:r>
        <w:rPr>
          <w:rFonts w:hint="eastAsia"/>
          <w:szCs w:val="21"/>
        </w:rPr>
        <w:t>的</w:t>
      </w:r>
      <w:r>
        <w:rPr>
          <w:rFonts w:ascii="Calibri" w:hAnsi="Calibri"/>
          <w:szCs w:val="21"/>
        </w:rPr>
        <w:t>定义</w:t>
      </w:r>
      <w:r>
        <w:rPr>
          <w:rFonts w:hint="eastAsia"/>
          <w:szCs w:val="21"/>
        </w:rPr>
        <w:t>方法</w:t>
      </w:r>
      <w:r>
        <w:rPr>
          <w:rFonts w:hint="eastAsia" w:ascii="宋体" w:hAnsi="宋体"/>
          <w:szCs w:val="21"/>
        </w:rPr>
        <w:t>(数学归纳法</w:t>
      </w:r>
      <w:r>
        <w:rPr>
          <w:rFonts w:ascii="宋体" w:hAnsi="宋体"/>
          <w:szCs w:val="21"/>
        </w:rPr>
        <w:t>、</w:t>
      </w:r>
      <w:r>
        <w:rPr>
          <w:rFonts w:hint="eastAsia" w:ascii="宋体" w:hAnsi="宋体"/>
          <w:szCs w:val="21"/>
        </w:rPr>
        <w:t>逆序法)</w:t>
      </w:r>
      <w:r>
        <w:rPr>
          <w:rFonts w:ascii="Calibri" w:hAnsi="Calibri"/>
          <w:szCs w:val="21"/>
        </w:rPr>
        <w:t xml:space="preserve">。                                  </w:t>
      </w:r>
    </w:p>
    <w:p>
      <w:pPr>
        <w:adjustRightInd w:val="0"/>
        <w:snapToGrid w:val="0"/>
        <w:spacing w:line="360" w:lineRule="auto"/>
        <w:ind w:firstLine="420" w:firstLineChars="200"/>
        <w:rPr>
          <w:rFonts w:ascii="Calibri" w:hAnsi="Calibri"/>
          <w:szCs w:val="21"/>
        </w:rPr>
      </w:pPr>
      <w:r>
        <w:rPr>
          <w:rFonts w:ascii="宋体" w:hAnsi="宋体"/>
          <w:szCs w:val="21"/>
        </w:rPr>
        <w:t>2．</w:t>
      </w:r>
      <w:r>
        <w:rPr>
          <w:rFonts w:hint="eastAsia" w:ascii="宋体" w:hAnsi="宋体"/>
          <w:szCs w:val="21"/>
        </w:rPr>
        <w:t xml:space="preserve"> </w:t>
      </w:r>
      <w:r>
        <w:rPr>
          <w:rFonts w:ascii="Calibri" w:hAnsi="Calibri"/>
          <w:szCs w:val="21"/>
        </w:rPr>
        <w:t>行列式的</w:t>
      </w:r>
      <w:r>
        <w:rPr>
          <w:rFonts w:hint="eastAsia"/>
          <w:szCs w:val="21"/>
        </w:rPr>
        <w:t>8条</w:t>
      </w:r>
      <w:r>
        <w:rPr>
          <w:rFonts w:ascii="Calibri" w:hAnsi="Calibri"/>
          <w:szCs w:val="21"/>
        </w:rPr>
        <w:t>性质，行列式的</w:t>
      </w:r>
      <w:r>
        <w:rPr>
          <w:rFonts w:hint="eastAsia"/>
          <w:szCs w:val="21"/>
        </w:rPr>
        <w:t>基本</w:t>
      </w:r>
      <w:r>
        <w:rPr>
          <w:rFonts w:ascii="Calibri" w:hAnsi="Calibri"/>
          <w:szCs w:val="21"/>
        </w:rPr>
        <w:t>计算</w:t>
      </w:r>
      <w:r>
        <w:rPr>
          <w:rFonts w:hint="eastAsia"/>
          <w:szCs w:val="21"/>
        </w:rPr>
        <w:t>方法</w:t>
      </w:r>
      <w:r>
        <w:rPr>
          <w:rFonts w:hint="eastAsia" w:ascii="宋体" w:hAnsi="宋体"/>
          <w:szCs w:val="21"/>
        </w:rPr>
        <w:t>(化为三角形行列式法</w:t>
      </w:r>
      <w:r>
        <w:rPr>
          <w:szCs w:val="21"/>
        </w:rPr>
        <w:t>、</w:t>
      </w:r>
      <w:r>
        <w:rPr>
          <w:rFonts w:hint="eastAsia"/>
          <w:szCs w:val="21"/>
        </w:rPr>
        <w:t>化零降阶法</w:t>
      </w:r>
      <w:r>
        <w:rPr>
          <w:szCs w:val="21"/>
        </w:rPr>
        <w:t>、</w:t>
      </w:r>
      <w:r>
        <w:rPr>
          <w:rFonts w:hint="eastAsia"/>
          <w:szCs w:val="21"/>
        </w:rPr>
        <w:t>递推法</w:t>
      </w:r>
      <w:r>
        <w:rPr>
          <w:rFonts w:hint="eastAsia" w:ascii="宋体" w:hAnsi="宋体"/>
          <w:szCs w:val="21"/>
        </w:rPr>
        <w:t>)</w:t>
      </w:r>
      <w:r>
        <w:rPr>
          <w:szCs w:val="21"/>
        </w:rPr>
        <w:t xml:space="preserve"> </w:t>
      </w:r>
      <w:r>
        <w:rPr>
          <w:rFonts w:ascii="Calibri" w:hAnsi="Calibri"/>
          <w:szCs w:val="21"/>
        </w:rPr>
        <w:t>，</w:t>
      </w:r>
      <w:r>
        <w:rPr>
          <w:rFonts w:hint="eastAsia"/>
          <w:szCs w:val="21"/>
        </w:rPr>
        <w:t>一些特殊行列式（行（列）和相等形、箭形、范德蒙行列式）的计算方法</w:t>
      </w:r>
      <w:r>
        <w:rPr>
          <w:rFonts w:ascii="Calibri" w:hAnsi="Calibri"/>
          <w:szCs w:val="21"/>
        </w:rPr>
        <w:t>。</w:t>
      </w:r>
    </w:p>
    <w:p>
      <w:pPr>
        <w:adjustRightInd w:val="0"/>
        <w:snapToGrid w:val="0"/>
        <w:spacing w:line="360" w:lineRule="auto"/>
        <w:ind w:firstLine="420" w:firstLineChars="200"/>
        <w:rPr>
          <w:rFonts w:ascii="Calibri" w:hAnsi="Calibri"/>
          <w:szCs w:val="21"/>
        </w:rPr>
      </w:pPr>
      <w:r>
        <w:rPr>
          <w:rFonts w:ascii="宋体" w:hAnsi="宋体"/>
          <w:szCs w:val="21"/>
        </w:rPr>
        <w:t>3．</w:t>
      </w:r>
      <w:r>
        <w:rPr>
          <w:rFonts w:hint="eastAsia" w:ascii="宋体" w:hAnsi="宋体"/>
          <w:szCs w:val="21"/>
        </w:rPr>
        <w:t xml:space="preserve"> </w:t>
      </w:r>
      <w:r>
        <w:rPr>
          <w:rFonts w:ascii="Calibri" w:hAnsi="Calibri"/>
          <w:szCs w:val="21"/>
        </w:rPr>
        <w:t>克拉默</w:t>
      </w:r>
      <w:r>
        <w:rPr>
          <w:rFonts w:hint="eastAsia" w:ascii="Calibri" w:hAnsi="Calibri"/>
          <w:szCs w:val="21"/>
        </w:rPr>
        <w:t xml:space="preserve"> </w:t>
      </w:r>
      <w:r>
        <w:rPr>
          <w:szCs w:val="21"/>
        </w:rPr>
        <w:t>(Cramer)</w:t>
      </w:r>
      <w:r>
        <w:rPr>
          <w:rFonts w:hint="eastAsia"/>
          <w:szCs w:val="21"/>
        </w:rPr>
        <w:t xml:space="preserve"> </w:t>
      </w:r>
      <w:r>
        <w:rPr>
          <w:rFonts w:ascii="Calibri" w:hAnsi="Calibri"/>
          <w:szCs w:val="21"/>
        </w:rPr>
        <w:t>法则</w:t>
      </w:r>
      <w:r>
        <w:rPr>
          <w:rFonts w:hint="eastAsia"/>
          <w:szCs w:val="21"/>
        </w:rPr>
        <w:t>的使用条件及其结论</w:t>
      </w:r>
      <w:r>
        <w:rPr>
          <w:rFonts w:ascii="Calibri" w:hAnsi="Calibri"/>
          <w:szCs w:val="21"/>
        </w:rPr>
        <w:t xml:space="preserve">，以及方程个数等于未知量个数的齐次线性方程组的两个重要结论。  </w:t>
      </w:r>
    </w:p>
    <w:p>
      <w:pPr>
        <w:adjustRightInd w:val="0"/>
        <w:snapToGrid w:val="0"/>
        <w:spacing w:line="360" w:lineRule="auto"/>
        <w:ind w:firstLine="422" w:firstLineChars="200"/>
        <w:rPr>
          <w:rFonts w:hAnsi="宋体"/>
          <w:szCs w:val="21"/>
        </w:rPr>
      </w:pPr>
      <w:r>
        <w:rPr>
          <w:rFonts w:hint="eastAsia" w:hAnsi="宋体"/>
          <w:b/>
          <w:szCs w:val="21"/>
        </w:rPr>
        <w:t>重点：</w:t>
      </w:r>
      <w:r>
        <w:rPr>
          <w:rFonts w:hint="eastAsia" w:hAnsi="宋体"/>
          <w:szCs w:val="21"/>
        </w:rPr>
        <w:t>行列式的基本计算方</w:t>
      </w:r>
      <w:r>
        <w:rPr>
          <w:rFonts w:hAnsi="宋体"/>
          <w:szCs w:val="21"/>
        </w:rPr>
        <w:t>法</w:t>
      </w:r>
      <w:r>
        <w:rPr>
          <w:rFonts w:hint="eastAsia" w:hAnsi="宋体"/>
          <w:szCs w:val="21"/>
        </w:rPr>
        <w:t>——</w:t>
      </w:r>
      <w:r>
        <w:rPr>
          <w:rFonts w:hint="eastAsia" w:ascii="宋体" w:hAnsi="宋体"/>
          <w:szCs w:val="21"/>
        </w:rPr>
        <w:t>化为三角形行列式法</w:t>
      </w:r>
      <w:r>
        <w:rPr>
          <w:szCs w:val="21"/>
        </w:rPr>
        <w:t>、</w:t>
      </w:r>
      <w:r>
        <w:rPr>
          <w:rFonts w:hint="eastAsia"/>
          <w:szCs w:val="21"/>
        </w:rPr>
        <w:t>化零降阶法。</w:t>
      </w:r>
    </w:p>
    <w:p>
      <w:pPr>
        <w:adjustRightInd w:val="0"/>
        <w:snapToGrid w:val="0"/>
        <w:spacing w:line="360" w:lineRule="auto"/>
        <w:ind w:firstLine="422" w:firstLineChars="200"/>
        <w:rPr>
          <w:szCs w:val="21"/>
        </w:rPr>
      </w:pPr>
      <w:r>
        <w:rPr>
          <w:rFonts w:hint="eastAsia" w:hAnsi="宋体"/>
          <w:b/>
          <w:szCs w:val="21"/>
        </w:rPr>
        <w:t>难点：</w:t>
      </w:r>
      <w:r>
        <w:rPr>
          <w:rFonts w:hint="eastAsia" w:hAnsi="宋体"/>
          <w:szCs w:val="21"/>
        </w:rPr>
        <w:t>特殊行列式的计算方法（包括行（</w:t>
      </w:r>
      <w:r>
        <w:rPr>
          <w:rFonts w:hAnsi="宋体"/>
          <w:szCs w:val="21"/>
        </w:rPr>
        <w:t>列）</w:t>
      </w:r>
      <w:r>
        <w:rPr>
          <w:rFonts w:hint="eastAsia" w:hAnsi="宋体"/>
          <w:szCs w:val="21"/>
        </w:rPr>
        <w:t>和</w:t>
      </w:r>
      <w:r>
        <w:rPr>
          <w:rFonts w:hAnsi="宋体"/>
          <w:szCs w:val="21"/>
        </w:rPr>
        <w:t>相等的行列式</w:t>
      </w:r>
      <w:r>
        <w:rPr>
          <w:rFonts w:hint="eastAsia" w:hAnsi="宋体"/>
          <w:szCs w:val="21"/>
        </w:rPr>
        <w:t>、箭形行列式、范德蒙</w:t>
      </w:r>
      <w:r>
        <w:rPr>
          <w:rFonts w:hAnsi="宋体"/>
          <w:szCs w:val="21"/>
        </w:rPr>
        <w:t>行列式、</w:t>
      </w:r>
      <w:r>
        <w:rPr>
          <w:rFonts w:hint="eastAsia" w:hAnsi="宋体"/>
          <w:szCs w:val="21"/>
        </w:rPr>
        <w:t>加边法等）。</w:t>
      </w:r>
    </w:p>
    <w:p>
      <w:pPr>
        <w:adjustRightInd w:val="0"/>
        <w:snapToGrid w:val="0"/>
        <w:spacing w:line="360" w:lineRule="auto"/>
        <w:ind w:firstLine="420" w:firstLineChars="200"/>
        <w:rPr>
          <w:szCs w:val="21"/>
        </w:rPr>
      </w:pPr>
      <w:r>
        <w:rPr>
          <w:rFonts w:hint="eastAsia"/>
          <w:szCs w:val="21"/>
        </w:rPr>
        <w:t>本章节内容支撑课程目标 1。</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第二章 </w:t>
      </w:r>
      <w:r>
        <w:rPr>
          <w:rFonts w:hint="eastAsia" w:ascii="Calibri" w:hAnsi="Calibri" w:eastAsia="黑体"/>
          <w:szCs w:val="21"/>
        </w:rPr>
        <w:t xml:space="preserve"> </w:t>
      </w:r>
      <w:r>
        <w:rPr>
          <w:rFonts w:ascii="Calibri" w:hAnsi="Calibri" w:eastAsia="黑体"/>
          <w:szCs w:val="21"/>
        </w:rPr>
        <w:t>矩阵</w:t>
      </w:r>
      <w:r>
        <w:rPr>
          <w:rFonts w:hint="eastAsia" w:ascii="Calibri" w:hAnsi="Calibri" w:eastAsia="黑体"/>
          <w:szCs w:val="21"/>
        </w:rPr>
        <w:t>（10学时）</w:t>
      </w:r>
    </w:p>
    <w:p>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 xml:space="preserve"> 通过生活实例引进</w:t>
      </w:r>
      <w:r>
        <w:rPr>
          <w:rFonts w:ascii="宋体" w:hAnsi="宋体"/>
          <w:szCs w:val="21"/>
        </w:rPr>
        <w:t>矩阵的概念</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2.  </w:t>
      </w:r>
      <w:r>
        <w:rPr>
          <w:rFonts w:ascii="宋体" w:hAnsi="宋体"/>
          <w:szCs w:val="21"/>
        </w:rPr>
        <w:t>矩阵的线性运算、乘法运算、转置及其运算规律</w:t>
      </w:r>
      <w:r>
        <w:rPr>
          <w:rFonts w:hint="eastAsia" w:ascii="宋体" w:hAnsi="宋体"/>
          <w:szCs w:val="21"/>
        </w:rPr>
        <w:t>；</w:t>
      </w:r>
      <w:r>
        <w:rPr>
          <w:rFonts w:ascii="宋体" w:hAnsi="宋体"/>
          <w:szCs w:val="21"/>
        </w:rPr>
        <w:t>方阵的</w:t>
      </w:r>
      <w:r>
        <w:rPr>
          <w:rFonts w:hint="eastAsia" w:ascii="宋体" w:hAnsi="宋体"/>
          <w:szCs w:val="21"/>
        </w:rPr>
        <w:t>幂运算、</w:t>
      </w:r>
      <w:r>
        <w:rPr>
          <w:rFonts w:ascii="宋体" w:hAnsi="宋体"/>
          <w:szCs w:val="21"/>
        </w:rPr>
        <w:t>行列式运算，对角</w:t>
      </w:r>
      <w:r>
        <w:rPr>
          <w:rFonts w:hint="eastAsia" w:ascii="宋体" w:hAnsi="宋体"/>
          <w:szCs w:val="21"/>
        </w:rPr>
        <w:t>矩阵</w:t>
      </w:r>
      <w:r>
        <w:rPr>
          <w:rFonts w:ascii="宋体" w:hAnsi="宋体"/>
          <w:szCs w:val="21"/>
        </w:rPr>
        <w:t>的概念及其一些特殊性质；单位矩阵的作用。</w:t>
      </w:r>
    </w:p>
    <w:p>
      <w:pPr>
        <w:adjustRightInd w:val="0"/>
        <w:snapToGrid w:val="0"/>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 xml:space="preserve"> 通过与数的运算法则的比较引出</w:t>
      </w:r>
      <w:r>
        <w:rPr>
          <w:rFonts w:ascii="宋体" w:hAnsi="宋体"/>
          <w:szCs w:val="21"/>
        </w:rPr>
        <w:t>逆矩阵的概念</w:t>
      </w:r>
      <w:r>
        <w:rPr>
          <w:rFonts w:hint="eastAsia" w:ascii="宋体" w:hAnsi="宋体"/>
          <w:szCs w:val="21"/>
        </w:rPr>
        <w:t>；逆矩阵的</w:t>
      </w:r>
      <w:r>
        <w:rPr>
          <w:rFonts w:ascii="宋体" w:hAnsi="宋体"/>
          <w:szCs w:val="21"/>
        </w:rPr>
        <w:t>性质及其存在的充要条件；矩阵的伴随矩阵，利用伴随矩阵求矩阵的逆矩阵；利用逆矩阵求解矩阵方程</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4.  </w:t>
      </w:r>
      <w:r>
        <w:rPr>
          <w:rFonts w:ascii="宋体" w:hAnsi="宋体"/>
          <w:szCs w:val="21"/>
        </w:rPr>
        <w:t>正交矩阵的定义及其性质。</w:t>
      </w:r>
    </w:p>
    <w:p>
      <w:pPr>
        <w:adjustRightInd w:val="0"/>
        <w:snapToGrid w:val="0"/>
        <w:spacing w:line="360" w:lineRule="auto"/>
        <w:ind w:firstLine="420" w:firstLineChars="200"/>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 xml:space="preserve"> 通过方程组的加减消元法引出</w:t>
      </w:r>
      <w:r>
        <w:rPr>
          <w:rFonts w:ascii="宋体" w:hAnsi="宋体"/>
          <w:szCs w:val="21"/>
        </w:rPr>
        <w:t>矩阵的初等</w:t>
      </w:r>
      <w:r>
        <w:rPr>
          <w:rFonts w:hint="eastAsia" w:ascii="宋体" w:hAnsi="宋体"/>
          <w:szCs w:val="21"/>
        </w:rPr>
        <w:t>行</w:t>
      </w:r>
      <w:r>
        <w:rPr>
          <w:rFonts w:ascii="宋体" w:hAnsi="宋体"/>
          <w:szCs w:val="21"/>
        </w:rPr>
        <w:t>变换</w:t>
      </w:r>
      <w:r>
        <w:rPr>
          <w:rFonts w:hint="eastAsia" w:ascii="宋体" w:hAnsi="宋体"/>
          <w:szCs w:val="21"/>
        </w:rPr>
        <w:t>，初等变换的概念；</w:t>
      </w:r>
      <w:r>
        <w:rPr>
          <w:rFonts w:ascii="宋体" w:hAnsi="宋体"/>
          <w:szCs w:val="21"/>
        </w:rPr>
        <w:t>初等变换求逆矩阵的方法。</w:t>
      </w:r>
    </w:p>
    <w:p>
      <w:pPr>
        <w:adjustRightInd w:val="0"/>
        <w:snapToGrid w:val="0"/>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 xml:space="preserve"> </w:t>
      </w:r>
      <w:r>
        <w:rPr>
          <w:rFonts w:ascii="宋体" w:hAnsi="宋体"/>
          <w:szCs w:val="21"/>
        </w:rPr>
        <w:t>分块矩阵的</w:t>
      </w:r>
      <w:r>
        <w:rPr>
          <w:rFonts w:hint="eastAsia" w:ascii="宋体" w:hAnsi="宋体"/>
          <w:szCs w:val="21"/>
        </w:rPr>
        <w:t>概念</w:t>
      </w:r>
      <w:r>
        <w:rPr>
          <w:rFonts w:ascii="宋体" w:hAnsi="宋体"/>
          <w:szCs w:val="21"/>
        </w:rPr>
        <w:t>及其运算。</w:t>
      </w:r>
    </w:p>
    <w:p>
      <w:pPr>
        <w:adjustRightInd w:val="0"/>
        <w:snapToGrid w:val="0"/>
        <w:spacing w:line="360" w:lineRule="auto"/>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 xml:space="preserve"> </w:t>
      </w:r>
      <w:r>
        <w:rPr>
          <w:rFonts w:ascii="宋体" w:hAnsi="宋体"/>
          <w:szCs w:val="21"/>
        </w:rPr>
        <w:t>矩阵秩的概念，阶梯</w:t>
      </w:r>
      <w:r>
        <w:rPr>
          <w:rFonts w:hint="eastAsia" w:ascii="宋体" w:hAnsi="宋体"/>
          <w:szCs w:val="21"/>
        </w:rPr>
        <w:t>形</w:t>
      </w:r>
      <w:r>
        <w:rPr>
          <w:rFonts w:ascii="宋体" w:hAnsi="宋体"/>
          <w:szCs w:val="21"/>
        </w:rPr>
        <w:t>矩阵的特征，利用初等变换求矩阵的秩</w:t>
      </w:r>
      <w:r>
        <w:rPr>
          <w:rFonts w:hint="eastAsia" w:ascii="宋体" w:hAnsi="宋体"/>
          <w:szCs w:val="21"/>
        </w:rPr>
        <w:t>的方法</w:t>
      </w:r>
      <w:r>
        <w:rPr>
          <w:rFonts w:ascii="宋体" w:hAnsi="宋体"/>
          <w:szCs w:val="21"/>
        </w:rPr>
        <w:t>。</w:t>
      </w:r>
    </w:p>
    <w:p>
      <w:pPr>
        <w:adjustRightInd w:val="0"/>
        <w:snapToGrid w:val="0"/>
        <w:spacing w:line="360" w:lineRule="auto"/>
        <w:ind w:firstLine="422" w:firstLineChars="200"/>
        <w:rPr>
          <w:szCs w:val="21"/>
        </w:rPr>
      </w:pPr>
      <w:r>
        <w:rPr>
          <w:rFonts w:hint="eastAsia"/>
          <w:b/>
          <w:szCs w:val="21"/>
        </w:rPr>
        <w:t>重点：</w:t>
      </w:r>
      <w:r>
        <w:rPr>
          <w:rFonts w:hint="eastAsia"/>
          <w:szCs w:val="21"/>
        </w:rPr>
        <w:t>矩阵的各种运算条件及规则；矩阵的逆；矩阵的秩。</w:t>
      </w:r>
    </w:p>
    <w:p>
      <w:pPr>
        <w:adjustRightInd w:val="0"/>
        <w:snapToGrid w:val="0"/>
        <w:spacing w:line="360" w:lineRule="auto"/>
        <w:ind w:firstLine="422" w:firstLineChars="200"/>
        <w:rPr>
          <w:szCs w:val="21"/>
        </w:rPr>
      </w:pPr>
      <w:r>
        <w:rPr>
          <w:rFonts w:hint="eastAsia"/>
          <w:b/>
          <w:szCs w:val="21"/>
        </w:rPr>
        <w:t>难点：</w:t>
      </w:r>
      <w:r>
        <w:rPr>
          <w:rFonts w:hint="eastAsia"/>
          <w:szCs w:val="21"/>
        </w:rPr>
        <w:t>矩阵的乘法运算；初等变换与初等矩阵的关系；分块矩阵的运算法则。</w:t>
      </w:r>
    </w:p>
    <w:p>
      <w:pPr>
        <w:adjustRightInd w:val="0"/>
        <w:snapToGrid w:val="0"/>
        <w:spacing w:line="360" w:lineRule="auto"/>
        <w:ind w:firstLine="420" w:firstLineChars="200"/>
        <w:rPr>
          <w:szCs w:val="21"/>
        </w:rPr>
      </w:pPr>
      <w:r>
        <w:rPr>
          <w:rFonts w:hint="eastAsia"/>
          <w:szCs w:val="21"/>
        </w:rPr>
        <w:t>本章节内容支撑课程目标 1、2、3。</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第三章 </w:t>
      </w:r>
      <w:r>
        <w:rPr>
          <w:rFonts w:hint="eastAsia" w:ascii="Calibri" w:hAnsi="Calibri" w:eastAsia="黑体"/>
          <w:szCs w:val="21"/>
        </w:rPr>
        <w:t xml:space="preserve"> </w:t>
      </w:r>
      <w:r>
        <w:rPr>
          <w:rFonts w:ascii="Calibri" w:hAnsi="Calibri" w:eastAsia="黑体"/>
          <w:szCs w:val="21"/>
        </w:rPr>
        <w:t>向量</w:t>
      </w:r>
      <w:r>
        <w:rPr>
          <w:rFonts w:hint="eastAsia" w:ascii="Calibri" w:hAnsi="Calibri" w:eastAsia="黑体"/>
          <w:szCs w:val="21"/>
        </w:rPr>
        <w:t>（8学时）</w:t>
      </w:r>
    </w:p>
    <w:p>
      <w:pPr>
        <w:adjustRightInd w:val="0"/>
        <w:snapToGrid w:val="0"/>
        <w:spacing w:line="360" w:lineRule="auto"/>
        <w:ind w:firstLine="420" w:firstLineChars="200"/>
        <w:rPr>
          <w:rFonts w:ascii="宋体" w:hAnsi="宋体"/>
          <w:szCs w:val="21"/>
        </w:rPr>
      </w:pPr>
      <w:r>
        <w:rPr>
          <w:rFonts w:hint="eastAsia" w:ascii="宋体" w:hAnsi="宋体"/>
          <w:szCs w:val="21"/>
        </w:rPr>
        <w:t>1.  通过几何知识引出</w:t>
      </w:r>
      <w:r>
        <w:rPr>
          <w:i/>
          <w:szCs w:val="21"/>
        </w:rPr>
        <w:t>n</w:t>
      </w:r>
      <w:r>
        <w:rPr>
          <w:rFonts w:ascii="宋体" w:hAnsi="宋体"/>
          <w:szCs w:val="21"/>
        </w:rPr>
        <w:t>维向量的概念。</w:t>
      </w:r>
    </w:p>
    <w:p>
      <w:pPr>
        <w:adjustRightInd w:val="0"/>
        <w:snapToGrid w:val="0"/>
        <w:spacing w:line="360" w:lineRule="auto"/>
        <w:ind w:firstLine="420" w:firstLineChars="200"/>
        <w:rPr>
          <w:rFonts w:ascii="宋体" w:hAnsi="宋体"/>
          <w:szCs w:val="21"/>
        </w:rPr>
      </w:pPr>
      <w:r>
        <w:rPr>
          <w:rFonts w:hint="eastAsia" w:ascii="宋体" w:hAnsi="宋体"/>
          <w:szCs w:val="21"/>
        </w:rPr>
        <w:t>2.  利用二元齐次方程组的解的特点引出</w:t>
      </w:r>
      <w:r>
        <w:rPr>
          <w:rFonts w:ascii="宋体" w:hAnsi="宋体"/>
          <w:szCs w:val="21"/>
        </w:rPr>
        <w:t>向量组线性相关与线性无关的</w:t>
      </w:r>
      <w:r>
        <w:rPr>
          <w:rFonts w:hint="eastAsia" w:ascii="宋体" w:hAnsi="宋体"/>
          <w:szCs w:val="21"/>
        </w:rPr>
        <w:t>概念；线性</w:t>
      </w:r>
      <w:r>
        <w:rPr>
          <w:rFonts w:ascii="宋体" w:hAnsi="宋体"/>
          <w:szCs w:val="21"/>
        </w:rPr>
        <w:t>相关</w:t>
      </w:r>
      <w:r>
        <w:rPr>
          <w:rFonts w:hint="eastAsia" w:ascii="宋体" w:hAnsi="宋体"/>
          <w:szCs w:val="21"/>
        </w:rPr>
        <w:t>性</w:t>
      </w:r>
      <w:r>
        <w:rPr>
          <w:rFonts w:ascii="宋体" w:hAnsi="宋体"/>
          <w:szCs w:val="21"/>
        </w:rPr>
        <w:t>的重要结论</w:t>
      </w:r>
      <w:r>
        <w:rPr>
          <w:rFonts w:hint="eastAsia" w:ascii="宋体" w:hAnsi="宋体"/>
          <w:szCs w:val="21"/>
        </w:rPr>
        <w:t>及其证明思想</w:t>
      </w:r>
      <w:r>
        <w:rPr>
          <w:rFonts w:ascii="宋体" w:hAnsi="宋体"/>
          <w:szCs w:val="21"/>
        </w:rPr>
        <w:t>；根据定义和定理判断向量组的线性相关性</w:t>
      </w:r>
      <w:r>
        <w:rPr>
          <w:rFonts w:hint="eastAsia" w:ascii="宋体" w:hAnsi="宋体"/>
          <w:szCs w:val="21"/>
        </w:rPr>
        <w:t>的方法</w:t>
      </w:r>
      <w:r>
        <w:rPr>
          <w:rFonts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3.  </w:t>
      </w:r>
      <w:r>
        <w:rPr>
          <w:rFonts w:ascii="宋体" w:hAnsi="宋体"/>
          <w:szCs w:val="21"/>
        </w:rPr>
        <w:t>向量组等价、向量组的极大线性无关组以及向量组的秩的概念。</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4.  </w:t>
      </w:r>
      <w:r>
        <w:rPr>
          <w:rFonts w:ascii="宋体" w:hAnsi="宋体"/>
          <w:szCs w:val="21"/>
        </w:rPr>
        <w:t>矩阵的秩与向量组秩的关系，利用矩阵的初等变换求向量组的秩、向量组</w:t>
      </w:r>
      <w:r>
        <w:rPr>
          <w:rFonts w:hint="eastAsia" w:ascii="宋体" w:hAnsi="宋体"/>
          <w:szCs w:val="21"/>
        </w:rPr>
        <w:t>的</w:t>
      </w:r>
      <w:r>
        <w:rPr>
          <w:rFonts w:ascii="宋体" w:hAnsi="宋体"/>
          <w:szCs w:val="21"/>
        </w:rPr>
        <w:t>极大无关组</w:t>
      </w:r>
      <w:r>
        <w:rPr>
          <w:rFonts w:hint="eastAsia" w:ascii="宋体" w:hAnsi="宋体"/>
          <w:szCs w:val="21"/>
        </w:rPr>
        <w:t>的方法。</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5.  </w:t>
      </w:r>
      <w:r>
        <w:rPr>
          <w:rFonts w:ascii="宋体" w:hAnsi="宋体"/>
          <w:szCs w:val="21"/>
        </w:rPr>
        <w:t>向量空间、基与维数的定义，向量在某一组基下的坐标的定义</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6.  向量的</w:t>
      </w:r>
      <w:r>
        <w:rPr>
          <w:rFonts w:ascii="宋体" w:hAnsi="宋体"/>
          <w:szCs w:val="21"/>
        </w:rPr>
        <w:t>内积</w:t>
      </w:r>
      <w:r>
        <w:rPr>
          <w:rFonts w:hint="eastAsia" w:ascii="宋体" w:hAnsi="宋体"/>
          <w:szCs w:val="21"/>
        </w:rPr>
        <w:t>、</w:t>
      </w:r>
      <w:r>
        <w:rPr>
          <w:rFonts w:ascii="宋体" w:hAnsi="宋体"/>
          <w:szCs w:val="21"/>
        </w:rPr>
        <w:t>正交向量组和正交单位向量组的定义；正交矩阵和正交单位向量组之间的关系</w:t>
      </w:r>
      <w:r>
        <w:rPr>
          <w:rFonts w:hint="eastAsia" w:ascii="宋体" w:hAnsi="宋体"/>
          <w:szCs w:val="21"/>
        </w:rPr>
        <w:t>；</w:t>
      </w:r>
      <w:r>
        <w:rPr>
          <w:rFonts w:ascii="宋体" w:hAnsi="宋体"/>
          <w:szCs w:val="21"/>
        </w:rPr>
        <w:t>将线性无关的向量组化为正交向量组的施密特正交化方法。</w:t>
      </w:r>
    </w:p>
    <w:p>
      <w:pPr>
        <w:adjustRightInd w:val="0"/>
        <w:snapToGrid w:val="0"/>
        <w:spacing w:line="360" w:lineRule="auto"/>
        <w:ind w:firstLine="422" w:firstLineChars="200"/>
        <w:rPr>
          <w:szCs w:val="21"/>
        </w:rPr>
      </w:pPr>
      <w:r>
        <w:rPr>
          <w:rFonts w:hint="eastAsia"/>
          <w:b/>
          <w:szCs w:val="21"/>
        </w:rPr>
        <w:t>重点：</w:t>
      </w:r>
      <w:r>
        <w:rPr>
          <w:rFonts w:hint="eastAsia"/>
          <w:szCs w:val="21"/>
        </w:rPr>
        <w:t>线性相关和线性无关的定义与判定；极大线性无关组；</w:t>
      </w:r>
      <w:r>
        <w:rPr>
          <w:szCs w:val="21"/>
        </w:rPr>
        <w:t>施密特正交化方法</w:t>
      </w:r>
      <w:r>
        <w:rPr>
          <w:rFonts w:hint="eastAsia"/>
          <w:szCs w:val="21"/>
        </w:rPr>
        <w:t>。</w:t>
      </w:r>
    </w:p>
    <w:p>
      <w:pPr>
        <w:adjustRightInd w:val="0"/>
        <w:snapToGrid w:val="0"/>
        <w:spacing w:line="360" w:lineRule="auto"/>
        <w:ind w:firstLine="422" w:firstLineChars="200"/>
        <w:rPr>
          <w:szCs w:val="21"/>
        </w:rPr>
      </w:pPr>
      <w:r>
        <w:rPr>
          <w:rFonts w:hint="eastAsia"/>
          <w:b/>
          <w:szCs w:val="21"/>
        </w:rPr>
        <w:t>难点：</w:t>
      </w:r>
      <w:r>
        <w:rPr>
          <w:rFonts w:hint="eastAsia"/>
          <w:szCs w:val="21"/>
        </w:rPr>
        <w:t>线性相关和线性无关的判定；向量空间的判定</w:t>
      </w:r>
      <w:r>
        <w:rPr>
          <w:szCs w:val="21"/>
        </w:rPr>
        <w:t>。</w:t>
      </w:r>
    </w:p>
    <w:p>
      <w:pPr>
        <w:adjustRightInd w:val="0"/>
        <w:snapToGrid w:val="0"/>
        <w:spacing w:line="360" w:lineRule="auto"/>
        <w:ind w:firstLine="420" w:firstLineChars="200"/>
        <w:rPr>
          <w:szCs w:val="21"/>
        </w:rPr>
      </w:pPr>
      <w:r>
        <w:rPr>
          <w:rFonts w:hint="eastAsia"/>
          <w:szCs w:val="21"/>
        </w:rPr>
        <w:t>本章节内容支撑课程目标 1、2。</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第四章 </w:t>
      </w:r>
      <w:r>
        <w:rPr>
          <w:rFonts w:hint="eastAsia" w:ascii="Calibri" w:hAnsi="Calibri" w:eastAsia="黑体"/>
          <w:szCs w:val="21"/>
        </w:rPr>
        <w:t xml:space="preserve"> </w:t>
      </w:r>
      <w:r>
        <w:rPr>
          <w:rFonts w:ascii="Calibri" w:hAnsi="Calibri" w:eastAsia="黑体"/>
          <w:szCs w:val="21"/>
        </w:rPr>
        <w:t>线性方程组</w:t>
      </w:r>
      <w:r>
        <w:rPr>
          <w:rFonts w:hint="eastAsia" w:ascii="Calibri" w:hAnsi="Calibri" w:eastAsia="黑体"/>
          <w:szCs w:val="21"/>
        </w:rPr>
        <w:t>（6学时）</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  </w:t>
      </w:r>
      <w:r>
        <w:rPr>
          <w:rFonts w:ascii="宋体" w:hAnsi="宋体"/>
          <w:szCs w:val="21"/>
        </w:rPr>
        <w:t>齐次线性方程组</w:t>
      </w:r>
      <w:r>
        <w:rPr>
          <w:rFonts w:hint="eastAsia" w:ascii="宋体" w:hAnsi="宋体"/>
          <w:szCs w:val="21"/>
        </w:rPr>
        <w:t>只有零解、</w:t>
      </w:r>
      <w:r>
        <w:rPr>
          <w:rFonts w:ascii="宋体" w:hAnsi="宋体"/>
          <w:szCs w:val="21"/>
        </w:rPr>
        <w:t>有非零解的充要条件</w:t>
      </w:r>
      <w:r>
        <w:rPr>
          <w:rFonts w:hint="eastAsia" w:ascii="宋体" w:hAnsi="宋体"/>
          <w:szCs w:val="21"/>
        </w:rPr>
        <w:t>；</w:t>
      </w:r>
      <w:r>
        <w:rPr>
          <w:rFonts w:ascii="宋体" w:hAnsi="宋体"/>
          <w:szCs w:val="21"/>
        </w:rPr>
        <w:t>非齐次线性方程组有解</w:t>
      </w:r>
      <w:r>
        <w:rPr>
          <w:rFonts w:hint="eastAsia" w:ascii="宋体" w:hAnsi="宋体"/>
          <w:szCs w:val="21"/>
        </w:rPr>
        <w:t>、无解</w:t>
      </w:r>
      <w:r>
        <w:rPr>
          <w:rFonts w:ascii="宋体" w:hAnsi="宋体"/>
          <w:szCs w:val="21"/>
        </w:rPr>
        <w:t>的充要条件</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2.  线性方程组有解时解的个数的判定方法；</w:t>
      </w:r>
      <w:r>
        <w:rPr>
          <w:rFonts w:ascii="宋体" w:hAnsi="宋体"/>
          <w:szCs w:val="21"/>
        </w:rPr>
        <w:t>非齐次线性方程组</w:t>
      </w:r>
      <w:r>
        <w:rPr>
          <w:rFonts w:hint="eastAsia" w:ascii="宋体" w:hAnsi="宋体"/>
          <w:szCs w:val="21"/>
        </w:rPr>
        <w:t>的一般解的求法；</w:t>
      </w:r>
      <w:r>
        <w:rPr>
          <w:rFonts w:ascii="Calibri" w:hAnsi="Calibri"/>
          <w:szCs w:val="21"/>
        </w:rPr>
        <w:t>克拉默</w:t>
      </w:r>
      <w:r>
        <w:rPr>
          <w:szCs w:val="21"/>
        </w:rPr>
        <w:t>(Cramer)</w:t>
      </w:r>
      <w:r>
        <w:rPr>
          <w:rFonts w:ascii="Calibri" w:hAnsi="Calibri"/>
          <w:szCs w:val="21"/>
        </w:rPr>
        <w:t>法则</w:t>
      </w:r>
      <w:r>
        <w:rPr>
          <w:rFonts w:hint="eastAsia"/>
          <w:szCs w:val="21"/>
        </w:rPr>
        <w:t>的作用。</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3.  </w:t>
      </w:r>
      <w:r>
        <w:rPr>
          <w:rFonts w:ascii="宋体" w:hAnsi="宋体"/>
          <w:szCs w:val="21"/>
        </w:rPr>
        <w:t>齐次线性方程组的基础解系、通解等概念及</w:t>
      </w:r>
      <w:r>
        <w:rPr>
          <w:rFonts w:hint="eastAsia" w:ascii="宋体" w:hAnsi="宋体"/>
          <w:szCs w:val="21"/>
        </w:rPr>
        <w:t>求法、通</w:t>
      </w:r>
      <w:r>
        <w:rPr>
          <w:rFonts w:ascii="宋体" w:hAnsi="宋体"/>
          <w:szCs w:val="21"/>
        </w:rPr>
        <w:t>解的结构</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4.  </w:t>
      </w:r>
      <w:r>
        <w:rPr>
          <w:rFonts w:ascii="宋体" w:hAnsi="宋体"/>
          <w:szCs w:val="21"/>
        </w:rPr>
        <w:t>非齐次线性方程组与其对应齐次线性方程组解之间的关系</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5． </w:t>
      </w:r>
      <w:r>
        <w:rPr>
          <w:rFonts w:ascii="宋体" w:hAnsi="宋体"/>
          <w:szCs w:val="21"/>
        </w:rPr>
        <w:t>非齐次线性方程组的通解结构</w:t>
      </w:r>
      <w:r>
        <w:rPr>
          <w:rFonts w:hint="eastAsia" w:ascii="宋体" w:hAnsi="宋体"/>
          <w:szCs w:val="21"/>
        </w:rPr>
        <w:t>，利</w:t>
      </w:r>
      <w:r>
        <w:rPr>
          <w:rFonts w:ascii="宋体" w:hAnsi="宋体"/>
          <w:szCs w:val="21"/>
        </w:rPr>
        <w:t>用初等行变换求线性方程组通解的方法</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6.  含参数线性方程组的求解方法。</w:t>
      </w:r>
    </w:p>
    <w:p>
      <w:pPr>
        <w:adjustRightInd w:val="0"/>
        <w:snapToGrid w:val="0"/>
        <w:spacing w:line="360" w:lineRule="auto"/>
        <w:ind w:firstLine="422" w:firstLineChars="200"/>
        <w:rPr>
          <w:rFonts w:hAnsi="宋体"/>
          <w:szCs w:val="21"/>
        </w:rPr>
      </w:pPr>
      <w:r>
        <w:rPr>
          <w:rFonts w:hint="eastAsia" w:hAnsi="宋体"/>
          <w:b/>
          <w:szCs w:val="21"/>
        </w:rPr>
        <w:t>重点：</w:t>
      </w:r>
      <w:r>
        <w:rPr>
          <w:rFonts w:hint="eastAsia" w:hAnsi="宋体"/>
          <w:szCs w:val="21"/>
        </w:rPr>
        <w:t>线性方程组解的判定方法；解的结构；线性方程组求通解的方法。</w:t>
      </w:r>
    </w:p>
    <w:p>
      <w:pPr>
        <w:adjustRightInd w:val="0"/>
        <w:snapToGrid w:val="0"/>
        <w:spacing w:line="360" w:lineRule="auto"/>
        <w:ind w:firstLine="422" w:firstLineChars="200"/>
        <w:rPr>
          <w:rFonts w:hAnsi="宋体"/>
          <w:szCs w:val="21"/>
        </w:rPr>
      </w:pPr>
      <w:r>
        <w:rPr>
          <w:rFonts w:hint="eastAsia" w:hAnsi="宋体"/>
          <w:b/>
          <w:szCs w:val="21"/>
        </w:rPr>
        <w:t>难点：</w:t>
      </w:r>
      <w:r>
        <w:rPr>
          <w:rFonts w:hint="eastAsia" w:hAnsi="宋体"/>
          <w:szCs w:val="21"/>
        </w:rPr>
        <w:t>带参数方程组解的讨论；公共解问题。</w:t>
      </w:r>
    </w:p>
    <w:p>
      <w:pPr>
        <w:adjustRightInd w:val="0"/>
        <w:snapToGrid w:val="0"/>
        <w:spacing w:line="360" w:lineRule="auto"/>
        <w:ind w:firstLine="420" w:firstLineChars="200"/>
        <w:rPr>
          <w:szCs w:val="21"/>
        </w:rPr>
      </w:pPr>
      <w:r>
        <w:rPr>
          <w:rFonts w:hint="eastAsia"/>
          <w:szCs w:val="21"/>
        </w:rPr>
        <w:t xml:space="preserve">本章节内容支撑课程目标 </w:t>
      </w:r>
      <w:r>
        <w:rPr>
          <w:szCs w:val="21"/>
        </w:rPr>
        <w:t>2</w:t>
      </w:r>
      <w:r>
        <w:rPr>
          <w:rFonts w:hint="eastAsia"/>
          <w:szCs w:val="21"/>
        </w:rPr>
        <w:t>、3。</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第五章 </w:t>
      </w:r>
      <w:r>
        <w:rPr>
          <w:rFonts w:hint="eastAsia" w:ascii="Calibri" w:hAnsi="Calibri" w:eastAsia="黑体"/>
          <w:szCs w:val="21"/>
        </w:rPr>
        <w:t xml:space="preserve"> </w:t>
      </w:r>
      <w:r>
        <w:rPr>
          <w:rFonts w:ascii="Calibri" w:hAnsi="Calibri" w:eastAsia="黑体"/>
          <w:szCs w:val="21"/>
        </w:rPr>
        <w:t>矩阵的特征值与矩阵的对角化</w:t>
      </w:r>
      <w:r>
        <w:rPr>
          <w:rFonts w:hint="eastAsia" w:ascii="Calibri" w:hAnsi="Calibri" w:eastAsia="黑体"/>
          <w:szCs w:val="21"/>
        </w:rPr>
        <w:t>（6学时）</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1.  </w:t>
      </w:r>
      <w:r>
        <w:rPr>
          <w:rFonts w:ascii="宋体" w:hAnsi="宋体"/>
          <w:szCs w:val="21"/>
        </w:rPr>
        <w:t xml:space="preserve">矩阵的特征值与特征向量的概念, </w:t>
      </w:r>
      <w:r>
        <w:rPr>
          <w:rFonts w:hint="eastAsia" w:ascii="宋体" w:hAnsi="宋体"/>
          <w:szCs w:val="21"/>
        </w:rPr>
        <w:t>及其</w:t>
      </w:r>
      <w:r>
        <w:rPr>
          <w:rFonts w:ascii="宋体" w:hAnsi="宋体"/>
          <w:szCs w:val="21"/>
        </w:rPr>
        <w:t>求法</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2.  </w:t>
      </w:r>
      <w:r>
        <w:rPr>
          <w:rFonts w:ascii="宋体" w:hAnsi="宋体"/>
          <w:szCs w:val="21"/>
        </w:rPr>
        <w:t>相似矩阵的概念及性质</w:t>
      </w:r>
      <w:r>
        <w:rPr>
          <w:rFonts w:hint="eastAsia" w:ascii="宋体" w:hAnsi="宋体"/>
          <w:szCs w:val="21"/>
        </w:rPr>
        <w:t>，</w:t>
      </w:r>
      <w:r>
        <w:rPr>
          <w:rFonts w:ascii="宋体" w:hAnsi="宋体"/>
          <w:szCs w:val="21"/>
        </w:rPr>
        <w:t>矩阵对角化的充要条件</w:t>
      </w:r>
      <w:r>
        <w:rPr>
          <w:rFonts w:hint="eastAsia" w:ascii="宋体" w:hAnsi="宋体"/>
          <w:szCs w:val="21"/>
        </w:rPr>
        <w:t>；</w:t>
      </w:r>
      <w:r>
        <w:rPr>
          <w:rFonts w:ascii="宋体" w:hAnsi="宋体"/>
          <w:szCs w:val="21"/>
        </w:rPr>
        <w:t>求一般矩阵和实对称矩阵的相似对角形矩阵</w:t>
      </w:r>
      <w:r>
        <w:rPr>
          <w:rFonts w:hint="eastAsia" w:ascii="宋体" w:hAnsi="宋体"/>
          <w:szCs w:val="21"/>
        </w:rPr>
        <w:t>、</w:t>
      </w:r>
      <w:r>
        <w:rPr>
          <w:rFonts w:ascii="宋体" w:hAnsi="宋体"/>
          <w:szCs w:val="21"/>
        </w:rPr>
        <w:t>相似变换矩阵</w:t>
      </w:r>
      <w:r>
        <w:rPr>
          <w:rFonts w:hint="eastAsia" w:ascii="宋体" w:hAnsi="宋体"/>
          <w:szCs w:val="21"/>
        </w:rPr>
        <w:t>的方法</w:t>
      </w:r>
      <w:r>
        <w:rPr>
          <w:rFonts w:ascii="宋体" w:hAnsi="宋体"/>
          <w:szCs w:val="21"/>
        </w:rPr>
        <w:t>。</w:t>
      </w:r>
    </w:p>
    <w:p>
      <w:pPr>
        <w:adjustRightInd w:val="0"/>
        <w:snapToGrid w:val="0"/>
        <w:spacing w:line="360" w:lineRule="auto"/>
        <w:ind w:firstLine="422" w:firstLineChars="200"/>
        <w:rPr>
          <w:rFonts w:hAnsi="宋体"/>
          <w:szCs w:val="21"/>
        </w:rPr>
      </w:pPr>
      <w:r>
        <w:rPr>
          <w:rFonts w:hint="eastAsia" w:hAnsi="宋体"/>
          <w:b/>
          <w:szCs w:val="21"/>
        </w:rPr>
        <w:t>重点：</w:t>
      </w:r>
      <w:r>
        <w:rPr>
          <w:rFonts w:hint="eastAsia" w:hAnsi="宋体"/>
          <w:szCs w:val="21"/>
        </w:rPr>
        <w:t>特征值、特征向量的求法；相似矩阵的性质；矩阵的对角化问题。</w:t>
      </w:r>
    </w:p>
    <w:p>
      <w:pPr>
        <w:adjustRightInd w:val="0"/>
        <w:snapToGrid w:val="0"/>
        <w:spacing w:line="360" w:lineRule="auto"/>
        <w:ind w:firstLine="422" w:firstLineChars="200"/>
        <w:rPr>
          <w:szCs w:val="21"/>
        </w:rPr>
      </w:pPr>
      <w:r>
        <w:rPr>
          <w:rFonts w:hint="eastAsia" w:hAnsi="宋体"/>
          <w:b/>
          <w:szCs w:val="21"/>
        </w:rPr>
        <w:t>难点：</w:t>
      </w:r>
      <w:r>
        <w:rPr>
          <w:rFonts w:hint="eastAsia" w:hAnsi="宋体"/>
          <w:szCs w:val="21"/>
        </w:rPr>
        <w:t>实对称矩阵的对角化问题</w:t>
      </w:r>
      <w:r>
        <w:rPr>
          <w:szCs w:val="21"/>
        </w:rPr>
        <w:t>。</w:t>
      </w:r>
    </w:p>
    <w:p>
      <w:pPr>
        <w:adjustRightInd w:val="0"/>
        <w:snapToGrid w:val="0"/>
        <w:spacing w:line="360" w:lineRule="auto"/>
        <w:ind w:firstLine="420" w:firstLineChars="200"/>
        <w:rPr>
          <w:szCs w:val="21"/>
        </w:rPr>
      </w:pPr>
      <w:r>
        <w:rPr>
          <w:rFonts w:hint="eastAsia"/>
          <w:szCs w:val="21"/>
        </w:rPr>
        <w:t>本章节内容支撑课程目标1、2 。</w:t>
      </w:r>
    </w:p>
    <w:p>
      <w:pPr>
        <w:adjustRightInd w:val="0"/>
        <w:snapToGrid w:val="0"/>
        <w:spacing w:line="360" w:lineRule="auto"/>
        <w:ind w:firstLine="420" w:firstLineChars="200"/>
        <w:rPr>
          <w:rFonts w:ascii="Calibri" w:hAnsi="Calibri"/>
          <w:szCs w:val="21"/>
        </w:rPr>
      </w:pPr>
      <w:r>
        <w:rPr>
          <w:rFonts w:ascii="Calibri" w:hAnsi="Calibri" w:eastAsia="黑体"/>
          <w:szCs w:val="21"/>
        </w:rPr>
        <w:t xml:space="preserve">第六章 </w:t>
      </w:r>
      <w:r>
        <w:rPr>
          <w:rFonts w:hint="eastAsia" w:ascii="Calibri" w:hAnsi="Calibri" w:eastAsia="黑体"/>
          <w:szCs w:val="21"/>
        </w:rPr>
        <w:t xml:space="preserve"> </w:t>
      </w:r>
      <w:r>
        <w:rPr>
          <w:rFonts w:ascii="Calibri" w:hAnsi="Calibri" w:eastAsia="黑体"/>
          <w:szCs w:val="21"/>
        </w:rPr>
        <w:t>二次型</w:t>
      </w:r>
      <w:r>
        <w:rPr>
          <w:rFonts w:hint="eastAsia" w:ascii="Calibri" w:hAnsi="Calibri" w:eastAsia="黑体"/>
          <w:szCs w:val="21"/>
        </w:rPr>
        <w:t>（4学时）</w:t>
      </w:r>
    </w:p>
    <w:p>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  通过二次曲面引出</w:t>
      </w:r>
      <w:r>
        <w:rPr>
          <w:rFonts w:ascii="宋体" w:hAnsi="宋体"/>
          <w:szCs w:val="21"/>
        </w:rPr>
        <w:t>二次型的定义</w:t>
      </w:r>
      <w:r>
        <w:rPr>
          <w:rFonts w:hint="eastAsia" w:ascii="宋体" w:hAnsi="宋体"/>
          <w:szCs w:val="21"/>
        </w:rPr>
        <w:t>，二次型与矩阵的关系，写出二次型的</w:t>
      </w:r>
      <w:r>
        <w:rPr>
          <w:rFonts w:ascii="宋体" w:hAnsi="宋体"/>
          <w:szCs w:val="21"/>
        </w:rPr>
        <w:t>矩阵表达式</w:t>
      </w:r>
      <w:r>
        <w:rPr>
          <w:rFonts w:hint="eastAsia" w:ascii="宋体" w:hAnsi="宋体"/>
          <w:szCs w:val="21"/>
        </w:rPr>
        <w:t>及求</w:t>
      </w:r>
      <w:r>
        <w:rPr>
          <w:rFonts w:ascii="宋体" w:hAnsi="宋体"/>
          <w:szCs w:val="21"/>
        </w:rPr>
        <w:t>二次型的秩</w:t>
      </w:r>
      <w:r>
        <w:rPr>
          <w:rFonts w:hint="eastAsia" w:ascii="宋体" w:hAnsi="宋体"/>
          <w:szCs w:val="21"/>
        </w:rPr>
        <w:t>方法</w:t>
      </w:r>
      <w:r>
        <w:rPr>
          <w:rFonts w:ascii="宋体" w:hAnsi="宋体"/>
          <w:szCs w:val="21"/>
        </w:rPr>
        <w:t>。</w:t>
      </w:r>
    </w:p>
    <w:p>
      <w:pPr>
        <w:adjustRightInd w:val="0"/>
        <w:snapToGrid w:val="0"/>
        <w:spacing w:line="360" w:lineRule="auto"/>
        <w:ind w:firstLine="420" w:firstLineChars="200"/>
        <w:rPr>
          <w:rFonts w:ascii="宋体" w:hAnsi="宋体"/>
          <w:szCs w:val="21"/>
        </w:rPr>
      </w:pPr>
      <w:r>
        <w:rPr>
          <w:rFonts w:ascii="宋体" w:hAnsi="宋体"/>
          <w:szCs w:val="21"/>
        </w:rPr>
        <w:t xml:space="preserve">2. </w:t>
      </w:r>
      <w:r>
        <w:rPr>
          <w:rFonts w:hint="eastAsia" w:ascii="宋体" w:hAnsi="宋体"/>
          <w:szCs w:val="21"/>
        </w:rPr>
        <w:t xml:space="preserve"> </w:t>
      </w:r>
      <w:r>
        <w:rPr>
          <w:rFonts w:ascii="宋体" w:hAnsi="宋体"/>
          <w:szCs w:val="21"/>
        </w:rPr>
        <w:t>化二次型为标准形</w:t>
      </w:r>
      <w:r>
        <w:rPr>
          <w:rFonts w:hint="eastAsia" w:ascii="宋体" w:hAnsi="宋体"/>
          <w:szCs w:val="21"/>
        </w:rPr>
        <w:t>的基本方法（</w:t>
      </w:r>
      <w:r>
        <w:rPr>
          <w:rFonts w:ascii="宋体" w:hAnsi="宋体"/>
          <w:szCs w:val="21"/>
        </w:rPr>
        <w:t>正交变换法</w:t>
      </w:r>
      <w:r>
        <w:rPr>
          <w:rFonts w:hint="eastAsia" w:ascii="宋体" w:hAnsi="宋体"/>
          <w:szCs w:val="21"/>
        </w:rPr>
        <w:t>、</w:t>
      </w:r>
      <w:r>
        <w:rPr>
          <w:rFonts w:ascii="宋体" w:hAnsi="宋体"/>
          <w:szCs w:val="21"/>
        </w:rPr>
        <w:t>配方法</w:t>
      </w:r>
      <w:r>
        <w:rPr>
          <w:rFonts w:hint="eastAsia" w:ascii="宋体" w:hAnsi="宋体"/>
          <w:szCs w:val="21"/>
        </w:rPr>
        <w:t>）。</w:t>
      </w:r>
    </w:p>
    <w:p>
      <w:pPr>
        <w:adjustRightInd w:val="0"/>
        <w:snapToGrid w:val="0"/>
        <w:spacing w:line="360" w:lineRule="auto"/>
        <w:ind w:firstLine="420" w:firstLineChars="200"/>
        <w:rPr>
          <w:rFonts w:ascii="宋体" w:hAnsi="宋体"/>
          <w:szCs w:val="21"/>
        </w:rPr>
      </w:pPr>
      <w:r>
        <w:rPr>
          <w:rFonts w:ascii="宋体" w:hAnsi="宋体"/>
          <w:szCs w:val="21"/>
        </w:rPr>
        <w:t>3.</w:t>
      </w:r>
      <w:r>
        <w:rPr>
          <w:rFonts w:hint="eastAsia" w:ascii="宋体" w:hAnsi="宋体"/>
          <w:szCs w:val="21"/>
        </w:rPr>
        <w:t xml:space="preserve">  </w:t>
      </w:r>
      <w:r>
        <w:rPr>
          <w:rFonts w:ascii="宋体" w:hAnsi="宋体"/>
          <w:szCs w:val="21"/>
        </w:rPr>
        <w:t>惯性定律；判别给定二次型的正定性</w:t>
      </w:r>
      <w:r>
        <w:rPr>
          <w:rFonts w:hint="eastAsia" w:ascii="宋体" w:hAnsi="宋体"/>
          <w:szCs w:val="21"/>
        </w:rPr>
        <w:t>的方法</w:t>
      </w:r>
      <w:r>
        <w:rPr>
          <w:rFonts w:ascii="宋体" w:hAnsi="宋体"/>
          <w:szCs w:val="21"/>
        </w:rPr>
        <w:t>。</w:t>
      </w:r>
    </w:p>
    <w:p>
      <w:pPr>
        <w:adjustRightInd w:val="0"/>
        <w:snapToGrid w:val="0"/>
        <w:spacing w:line="360" w:lineRule="auto"/>
        <w:ind w:firstLine="422" w:firstLineChars="200"/>
        <w:rPr>
          <w:rFonts w:hAnsi="宋体"/>
          <w:szCs w:val="21"/>
        </w:rPr>
      </w:pPr>
      <w:r>
        <w:rPr>
          <w:rFonts w:hint="eastAsia" w:hAnsi="宋体"/>
          <w:b/>
          <w:szCs w:val="21"/>
        </w:rPr>
        <w:t>重点：</w:t>
      </w:r>
      <w:r>
        <w:rPr>
          <w:rFonts w:hint="eastAsia" w:hAnsi="宋体"/>
          <w:szCs w:val="21"/>
        </w:rPr>
        <w:t>二次型及其矩阵表示、化二次型为标准形和规范形的方法。</w:t>
      </w:r>
    </w:p>
    <w:p>
      <w:pPr>
        <w:adjustRightInd w:val="0"/>
        <w:snapToGrid w:val="0"/>
        <w:spacing w:line="360" w:lineRule="auto"/>
        <w:ind w:firstLine="422" w:firstLineChars="200"/>
        <w:rPr>
          <w:szCs w:val="21"/>
        </w:rPr>
      </w:pPr>
      <w:r>
        <w:rPr>
          <w:rFonts w:hint="eastAsia" w:hAnsi="宋体"/>
          <w:b/>
          <w:szCs w:val="21"/>
        </w:rPr>
        <w:t>难点：</w:t>
      </w:r>
      <w:r>
        <w:rPr>
          <w:rFonts w:hint="eastAsia" w:hAnsi="宋体"/>
          <w:szCs w:val="21"/>
        </w:rPr>
        <w:t>合同变换与合同矩阵</w:t>
      </w:r>
      <w:r>
        <w:rPr>
          <w:szCs w:val="21"/>
        </w:rPr>
        <w:t>。</w:t>
      </w:r>
    </w:p>
    <w:p>
      <w:pPr>
        <w:adjustRightInd w:val="0"/>
        <w:snapToGrid w:val="0"/>
        <w:spacing w:line="360" w:lineRule="auto"/>
        <w:ind w:firstLine="420" w:firstLineChars="200"/>
        <w:rPr>
          <w:szCs w:val="21"/>
        </w:rPr>
      </w:pPr>
      <w:r>
        <w:rPr>
          <w:rFonts w:hint="eastAsia"/>
          <w:szCs w:val="21"/>
        </w:rPr>
        <w:t>本章节内容支撑课程目标 1、2、3。</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四、实验教学内容</w:t>
      </w:r>
    </w:p>
    <w:p>
      <w:pPr>
        <w:adjustRightInd w:val="0"/>
        <w:snapToGrid w:val="0"/>
        <w:spacing w:line="360" w:lineRule="auto"/>
        <w:ind w:firstLine="424"/>
        <w:rPr>
          <w:rFonts w:ascii="宋体" w:hAnsi="宋体" w:cs="宋体"/>
          <w:kern w:val="0"/>
          <w:szCs w:val="21"/>
        </w:rPr>
      </w:pPr>
      <w:r>
        <w:rPr>
          <w:rFonts w:hint="eastAsia" w:ascii="宋体" w:hAnsi="宋体" w:cs="宋体"/>
          <w:kern w:val="0"/>
          <w:szCs w:val="21"/>
        </w:rPr>
        <w:t>无。</w:t>
      </w:r>
    </w:p>
    <w:p>
      <w:pPr>
        <w:spacing w:line="360" w:lineRule="auto"/>
        <w:ind w:firstLine="424"/>
        <w:rPr>
          <w:rFonts w:ascii="宋体" w:hAnsi="宋体" w:cs="宋体"/>
          <w:kern w:val="0"/>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61"/>
        <w:gridCol w:w="1621"/>
        <w:gridCol w:w="1621"/>
        <w:gridCol w:w="16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48" w:type="pct"/>
            <w:vAlign w:val="center"/>
          </w:tcPr>
          <w:p>
            <w:pPr>
              <w:adjustRightInd w:val="0"/>
              <w:snapToGrid w:val="0"/>
              <w:jc w:val="center"/>
              <w:rPr>
                <w:sz w:val="18"/>
                <w:szCs w:val="18"/>
              </w:rPr>
            </w:pPr>
            <w:r>
              <w:rPr>
                <w:sz w:val="18"/>
                <w:szCs w:val="18"/>
              </w:rPr>
              <w:t>章节名称</w:t>
            </w:r>
          </w:p>
        </w:tc>
        <w:tc>
          <w:tcPr>
            <w:tcW w:w="951" w:type="pct"/>
            <w:vAlign w:val="center"/>
          </w:tcPr>
          <w:p>
            <w:pPr>
              <w:adjustRightInd w:val="0"/>
              <w:snapToGrid w:val="0"/>
              <w:jc w:val="center"/>
              <w:rPr>
                <w:sz w:val="18"/>
                <w:szCs w:val="18"/>
              </w:rPr>
            </w:pPr>
            <w:r>
              <w:rPr>
                <w:sz w:val="18"/>
                <w:szCs w:val="18"/>
              </w:rPr>
              <w:t>讲授（学时）</w:t>
            </w:r>
          </w:p>
        </w:tc>
        <w:tc>
          <w:tcPr>
            <w:tcW w:w="951" w:type="pct"/>
            <w:vAlign w:val="center"/>
          </w:tcPr>
          <w:p>
            <w:pPr>
              <w:adjustRightInd w:val="0"/>
              <w:snapToGrid w:val="0"/>
              <w:jc w:val="center"/>
              <w:rPr>
                <w:sz w:val="18"/>
                <w:szCs w:val="18"/>
              </w:rPr>
            </w:pPr>
            <w:r>
              <w:rPr>
                <w:sz w:val="18"/>
                <w:szCs w:val="18"/>
              </w:rPr>
              <w:t>实验（学时）</w:t>
            </w:r>
          </w:p>
        </w:tc>
        <w:tc>
          <w:tcPr>
            <w:tcW w:w="951"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bookmarkStart w:id="115" w:name="_Hlk466554135"/>
            <w:r>
              <w:rPr>
                <w:sz w:val="18"/>
                <w:szCs w:val="18"/>
              </w:rPr>
              <w:t>第一章</w:t>
            </w:r>
            <w:r>
              <w:rPr>
                <w:rFonts w:hint="eastAsia"/>
                <w:sz w:val="18"/>
                <w:szCs w:val="18"/>
              </w:rPr>
              <w:t xml:space="preserve">  </w:t>
            </w:r>
            <w:r>
              <w:rPr>
                <w:sz w:val="18"/>
                <w:szCs w:val="18"/>
              </w:rPr>
              <w:t>行列式</w:t>
            </w:r>
          </w:p>
        </w:tc>
        <w:tc>
          <w:tcPr>
            <w:tcW w:w="951" w:type="pct"/>
            <w:vAlign w:val="center"/>
          </w:tcPr>
          <w:p>
            <w:pPr>
              <w:adjustRightInd w:val="0"/>
              <w:snapToGrid w:val="0"/>
              <w:jc w:val="center"/>
              <w:rPr>
                <w:sz w:val="18"/>
                <w:szCs w:val="18"/>
              </w:rPr>
            </w:pPr>
            <w:r>
              <w:rPr>
                <w:sz w:val="18"/>
                <w:szCs w:val="18"/>
              </w:rPr>
              <w:t>6</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第二章</w:t>
            </w:r>
            <w:r>
              <w:rPr>
                <w:rFonts w:hint="eastAsia"/>
                <w:sz w:val="18"/>
                <w:szCs w:val="18"/>
              </w:rPr>
              <w:t xml:space="preserve">  </w:t>
            </w:r>
            <w:r>
              <w:rPr>
                <w:sz w:val="18"/>
                <w:szCs w:val="18"/>
              </w:rPr>
              <w:t>矩阵</w:t>
            </w:r>
          </w:p>
        </w:tc>
        <w:tc>
          <w:tcPr>
            <w:tcW w:w="951" w:type="pct"/>
            <w:vAlign w:val="center"/>
          </w:tcPr>
          <w:p>
            <w:pPr>
              <w:adjustRightInd w:val="0"/>
              <w:snapToGrid w:val="0"/>
              <w:jc w:val="center"/>
              <w:rPr>
                <w:sz w:val="18"/>
                <w:szCs w:val="18"/>
              </w:rPr>
            </w:pPr>
            <w:r>
              <w:rPr>
                <w:sz w:val="18"/>
                <w:szCs w:val="18"/>
              </w:rPr>
              <w:t>10</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第三章</w:t>
            </w:r>
            <w:r>
              <w:rPr>
                <w:rFonts w:hint="eastAsia"/>
                <w:sz w:val="18"/>
                <w:szCs w:val="18"/>
              </w:rPr>
              <w:t xml:space="preserve">  </w:t>
            </w:r>
            <w:r>
              <w:rPr>
                <w:sz w:val="18"/>
                <w:szCs w:val="18"/>
              </w:rPr>
              <w:t>向量</w:t>
            </w:r>
          </w:p>
        </w:tc>
        <w:tc>
          <w:tcPr>
            <w:tcW w:w="951" w:type="pct"/>
            <w:vAlign w:val="center"/>
          </w:tcPr>
          <w:p>
            <w:pPr>
              <w:adjustRightInd w:val="0"/>
              <w:snapToGrid w:val="0"/>
              <w:jc w:val="center"/>
              <w:rPr>
                <w:sz w:val="18"/>
                <w:szCs w:val="18"/>
              </w:rPr>
            </w:pPr>
            <w:r>
              <w:rPr>
                <w:sz w:val="18"/>
                <w:szCs w:val="18"/>
              </w:rPr>
              <w:t>8</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第四章</w:t>
            </w:r>
            <w:r>
              <w:rPr>
                <w:rFonts w:hint="eastAsia"/>
                <w:sz w:val="18"/>
                <w:szCs w:val="18"/>
              </w:rPr>
              <w:t xml:space="preserve">  </w:t>
            </w:r>
            <w:r>
              <w:rPr>
                <w:sz w:val="18"/>
                <w:szCs w:val="18"/>
              </w:rPr>
              <w:t>线性方程组</w:t>
            </w:r>
          </w:p>
        </w:tc>
        <w:tc>
          <w:tcPr>
            <w:tcW w:w="951" w:type="pct"/>
            <w:vAlign w:val="center"/>
          </w:tcPr>
          <w:p>
            <w:pPr>
              <w:adjustRightInd w:val="0"/>
              <w:snapToGrid w:val="0"/>
              <w:jc w:val="center"/>
              <w:rPr>
                <w:sz w:val="18"/>
                <w:szCs w:val="18"/>
              </w:rPr>
            </w:pPr>
            <w:r>
              <w:rPr>
                <w:sz w:val="18"/>
                <w:szCs w:val="18"/>
              </w:rPr>
              <w:t>6</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第五章</w:t>
            </w:r>
            <w:r>
              <w:rPr>
                <w:rFonts w:hint="eastAsia"/>
                <w:sz w:val="18"/>
                <w:szCs w:val="18"/>
              </w:rPr>
              <w:t xml:space="preserve">  </w:t>
            </w:r>
            <w:r>
              <w:rPr>
                <w:sz w:val="18"/>
                <w:szCs w:val="18"/>
              </w:rPr>
              <w:t>矩阵的特征值与矩阵的对角化</w:t>
            </w:r>
          </w:p>
        </w:tc>
        <w:tc>
          <w:tcPr>
            <w:tcW w:w="951" w:type="pct"/>
            <w:vAlign w:val="center"/>
          </w:tcPr>
          <w:p>
            <w:pPr>
              <w:adjustRightInd w:val="0"/>
              <w:snapToGrid w:val="0"/>
              <w:jc w:val="center"/>
              <w:rPr>
                <w:sz w:val="18"/>
                <w:szCs w:val="18"/>
              </w:rPr>
            </w:pPr>
            <w:r>
              <w:rPr>
                <w:sz w:val="18"/>
                <w:szCs w:val="18"/>
              </w:rPr>
              <w:t>6</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第六章</w:t>
            </w:r>
            <w:r>
              <w:rPr>
                <w:rFonts w:hint="eastAsia"/>
                <w:sz w:val="18"/>
                <w:szCs w:val="18"/>
              </w:rPr>
              <w:t xml:space="preserve">  </w:t>
            </w:r>
            <w:r>
              <w:rPr>
                <w:sz w:val="18"/>
                <w:szCs w:val="18"/>
              </w:rPr>
              <w:t>二次型</w:t>
            </w:r>
          </w:p>
        </w:tc>
        <w:tc>
          <w:tcPr>
            <w:tcW w:w="951" w:type="pct"/>
            <w:vAlign w:val="center"/>
          </w:tcPr>
          <w:p>
            <w:pPr>
              <w:adjustRightInd w:val="0"/>
              <w:snapToGrid w:val="0"/>
              <w:jc w:val="center"/>
              <w:rPr>
                <w:sz w:val="18"/>
                <w:szCs w:val="18"/>
              </w:rPr>
            </w:pPr>
            <w:r>
              <w:rPr>
                <w:sz w:val="18"/>
                <w:szCs w:val="18"/>
              </w:rPr>
              <w:t>4</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48" w:type="pct"/>
            <w:vAlign w:val="center"/>
          </w:tcPr>
          <w:p>
            <w:pPr>
              <w:adjustRightInd w:val="0"/>
              <w:snapToGrid w:val="0"/>
              <w:ind w:firstLine="282" w:firstLineChars="157"/>
              <w:jc w:val="left"/>
              <w:rPr>
                <w:sz w:val="18"/>
                <w:szCs w:val="18"/>
              </w:rPr>
            </w:pPr>
            <w:r>
              <w:rPr>
                <w:sz w:val="18"/>
                <w:szCs w:val="18"/>
              </w:rPr>
              <w:t>习题课</w:t>
            </w:r>
          </w:p>
        </w:tc>
        <w:tc>
          <w:tcPr>
            <w:tcW w:w="951" w:type="pct"/>
            <w:vAlign w:val="center"/>
          </w:tcPr>
          <w:p>
            <w:pPr>
              <w:adjustRightInd w:val="0"/>
              <w:snapToGrid w:val="0"/>
              <w:jc w:val="center"/>
              <w:rPr>
                <w:sz w:val="18"/>
                <w:szCs w:val="18"/>
              </w:rPr>
            </w:pPr>
            <w:r>
              <w:rPr>
                <w:sz w:val="18"/>
                <w:szCs w:val="18"/>
              </w:rPr>
              <w:t>8</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48" w:type="pct"/>
            <w:vAlign w:val="center"/>
          </w:tcPr>
          <w:p>
            <w:pPr>
              <w:adjustRightInd w:val="0"/>
              <w:snapToGrid w:val="0"/>
              <w:jc w:val="center"/>
              <w:rPr>
                <w:sz w:val="18"/>
                <w:szCs w:val="18"/>
              </w:rPr>
            </w:pPr>
            <w:r>
              <w:rPr>
                <w:sz w:val="18"/>
                <w:szCs w:val="18"/>
              </w:rPr>
              <w:t>合计</w:t>
            </w:r>
          </w:p>
        </w:tc>
        <w:tc>
          <w:tcPr>
            <w:tcW w:w="951" w:type="pct"/>
            <w:vAlign w:val="center"/>
          </w:tcPr>
          <w:p>
            <w:pPr>
              <w:adjustRightInd w:val="0"/>
              <w:snapToGrid w:val="0"/>
              <w:jc w:val="center"/>
              <w:rPr>
                <w:sz w:val="18"/>
                <w:szCs w:val="18"/>
              </w:rPr>
            </w:pPr>
            <w:r>
              <w:rPr>
                <w:sz w:val="18"/>
                <w:szCs w:val="18"/>
              </w:rPr>
              <w:t>48</w:t>
            </w:r>
          </w:p>
        </w:tc>
        <w:tc>
          <w:tcPr>
            <w:tcW w:w="951" w:type="pct"/>
            <w:vAlign w:val="center"/>
          </w:tcPr>
          <w:p>
            <w:pPr>
              <w:adjustRightInd w:val="0"/>
              <w:snapToGrid w:val="0"/>
              <w:jc w:val="center"/>
              <w:rPr>
                <w:sz w:val="18"/>
                <w:szCs w:val="18"/>
              </w:rPr>
            </w:pPr>
            <w:r>
              <w:rPr>
                <w:rFonts w:hint="eastAsia"/>
                <w:sz w:val="18"/>
                <w:szCs w:val="18"/>
              </w:rPr>
              <w:t>0</w:t>
            </w:r>
          </w:p>
        </w:tc>
        <w:tc>
          <w:tcPr>
            <w:tcW w:w="951" w:type="pct"/>
            <w:vAlign w:val="center"/>
          </w:tcPr>
          <w:p>
            <w:pPr>
              <w:adjustRightInd w:val="0"/>
              <w:snapToGrid w:val="0"/>
              <w:jc w:val="center"/>
              <w:rPr>
                <w:sz w:val="18"/>
                <w:szCs w:val="18"/>
              </w:rPr>
            </w:pPr>
            <w:r>
              <w:rPr>
                <w:sz w:val="18"/>
                <w:szCs w:val="18"/>
              </w:rPr>
              <w:t>48</w:t>
            </w:r>
          </w:p>
        </w:tc>
      </w:tr>
      <w:bookmarkEnd w:id="115"/>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spacing w:line="360" w:lineRule="auto"/>
        <w:ind w:firstLine="420" w:firstLineChars="200"/>
        <w:rPr>
          <w:szCs w:val="21"/>
        </w:rPr>
      </w:pPr>
      <w:r>
        <w:rPr>
          <w:szCs w:val="21"/>
        </w:rPr>
        <w:t>1</w:t>
      </w:r>
      <w:r>
        <w:rPr>
          <w:rFonts w:hint="eastAsia"/>
          <w:szCs w:val="21"/>
        </w:rPr>
        <w:t>.</w:t>
      </w:r>
      <w:r>
        <w:rPr>
          <w:szCs w:val="21"/>
        </w:rPr>
        <w:t xml:space="preserve"> 高玉斌主编，《线性代数》，高等教育出版社，2009.1</w:t>
      </w:r>
    </w:p>
    <w:p>
      <w:pPr>
        <w:spacing w:line="360" w:lineRule="auto"/>
        <w:ind w:firstLine="420" w:firstLineChars="200"/>
        <w:rPr>
          <w:szCs w:val="21"/>
        </w:rPr>
      </w:pPr>
      <w:r>
        <w:rPr>
          <w:szCs w:val="21"/>
        </w:rPr>
        <w:t>2. 高玉斌主编，《线性代数学习辅导与习题全解》，高等教育出版社，2013.1</w:t>
      </w:r>
    </w:p>
    <w:p>
      <w:pPr>
        <w:spacing w:line="360" w:lineRule="auto"/>
        <w:ind w:firstLine="420" w:firstLineChars="200"/>
        <w:rPr>
          <w:szCs w:val="21"/>
        </w:rPr>
      </w:pPr>
      <w:r>
        <w:rPr>
          <w:szCs w:val="21"/>
        </w:rPr>
        <w:t>3.  S.K. Jain，A.D. Gunawardena著，线性代数（英文版），机械工业出版社，北京，2003</w:t>
      </w:r>
    </w:p>
    <w:p>
      <w:pPr>
        <w:spacing w:line="360" w:lineRule="auto"/>
        <w:ind w:firstLine="420" w:firstLineChars="200"/>
        <w:rPr>
          <w:szCs w:val="21"/>
        </w:rPr>
      </w:pPr>
      <w:r>
        <w:rPr>
          <w:szCs w:val="21"/>
        </w:rPr>
        <w:t>4.  L.W. Johnson，R.D. Riess，J.T. Arnold著，线性代数引论（英文版），机械工业出版社，北京，2002</w:t>
      </w:r>
    </w:p>
    <w:p>
      <w:pPr>
        <w:spacing w:line="360" w:lineRule="auto"/>
        <w:ind w:firstLine="420" w:firstLineChars="200"/>
        <w:rPr>
          <w:szCs w:val="21"/>
        </w:rPr>
      </w:pPr>
      <w:r>
        <w:rPr>
          <w:szCs w:val="21"/>
        </w:rPr>
        <w:t xml:space="preserve">5. </w:t>
      </w:r>
      <w:r>
        <w:rPr>
          <w:rFonts w:hint="eastAsia"/>
          <w:szCs w:val="21"/>
        </w:rPr>
        <w:t>精品资源共享课</w:t>
      </w:r>
      <w:r>
        <w:rPr>
          <w:szCs w:val="21"/>
        </w:rPr>
        <w:t>网站：</w:t>
      </w:r>
      <w:r>
        <w:fldChar w:fldCharType="begin"/>
      </w:r>
      <w:r>
        <w:instrText xml:space="preserve"> HYPERLINK "http://jpkc.nuc.edu.cn/xxds/" </w:instrText>
      </w:r>
      <w:r>
        <w:fldChar w:fldCharType="separate"/>
      </w:r>
      <w:r>
        <w:rPr>
          <w:rStyle w:val="27"/>
          <w:szCs w:val="21"/>
        </w:rPr>
        <w:t>http://jpkc.nuc.edu.cn/xxds/</w:t>
      </w:r>
      <w:r>
        <w:rPr>
          <w:rStyle w:val="27"/>
          <w:szCs w:val="21"/>
        </w:rPr>
        <w:fldChar w:fldCharType="end"/>
      </w:r>
      <w:r>
        <w:rPr>
          <w:rFonts w:hint="eastAsia"/>
          <w:szCs w:val="21"/>
        </w:rPr>
        <w:t xml:space="preserve"> .</w:t>
      </w:r>
    </w:p>
    <w:p>
      <w:pPr>
        <w:spacing w:line="360" w:lineRule="auto"/>
        <w:ind w:firstLine="420" w:firstLineChars="200"/>
        <w:rPr>
          <w:szCs w:val="21"/>
        </w:rPr>
      </w:pPr>
    </w:p>
    <w:p>
      <w:pPr>
        <w:spacing w:line="360" w:lineRule="auto"/>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1、考核方式：期末考试、作业及课堂提问。</w:t>
      </w:r>
    </w:p>
    <w:p>
      <w:pPr>
        <w:spacing w:line="360" w:lineRule="auto"/>
        <w:ind w:firstLine="420" w:firstLineChars="200"/>
        <w:rPr>
          <w:szCs w:val="21"/>
        </w:rPr>
      </w:pPr>
      <w:r>
        <w:rPr>
          <w:szCs w:val="21"/>
        </w:rPr>
        <w:t>2</w:t>
      </w:r>
      <w:r>
        <w:rPr>
          <w:rFonts w:hint="eastAsia"/>
          <w:szCs w:val="21"/>
        </w:rPr>
        <w:t>、成绩构成：</w:t>
      </w:r>
    </w:p>
    <w:p>
      <w:pPr>
        <w:spacing w:line="360" w:lineRule="auto"/>
        <w:ind w:firstLine="420" w:firstLineChars="200"/>
        <w:rPr>
          <w:szCs w:val="21"/>
        </w:rPr>
      </w:pPr>
      <w:r>
        <w:rPr>
          <w:rFonts w:hint="eastAsia"/>
          <w:szCs w:val="21"/>
        </w:rPr>
        <w:t>本课程通过“平时成绩”和“期末考试”两种方式对课程目标达成进行评价，考核成绩计算公式如下（本大纲中成绩均采用百分制）：</w:t>
      </w:r>
    </w:p>
    <w:p>
      <w:pPr>
        <w:spacing w:line="360" w:lineRule="auto"/>
        <w:jc w:val="center"/>
        <w:rPr>
          <w:sz w:val="18"/>
          <w:szCs w:val="18"/>
        </w:rPr>
      </w:pP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40"/>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665"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课堂表现（平时）</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66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65" w:type="pct"/>
            <w:tcBorders>
              <w:top w:val="single" w:color="auto" w:sz="4" w:space="0"/>
              <w:left w:val="nil"/>
              <w:bottom w:val="single" w:color="auto" w:sz="4" w:space="0"/>
              <w:right w:val="single" w:color="auto" w:sz="4" w:space="0"/>
            </w:tcBorders>
            <w:vAlign w:val="center"/>
          </w:tcPr>
          <w:p>
            <w:pPr>
              <w:jc w:val="center"/>
            </w:pPr>
            <w:r>
              <w:rPr>
                <w:rFonts w:hint="eastAsia"/>
              </w:rPr>
              <w:t>10</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10</w:t>
            </w:r>
          </w:p>
        </w:tc>
        <w:tc>
          <w:tcPr>
            <w:tcW w:w="1668" w:type="pct"/>
            <w:tcBorders>
              <w:top w:val="single" w:color="auto" w:sz="4" w:space="0"/>
              <w:left w:val="single" w:color="auto" w:sz="4" w:space="0"/>
              <w:bottom w:val="single" w:color="auto" w:sz="4" w:space="0"/>
              <w:right w:val="nil"/>
            </w:tcBorders>
            <w:vAlign w:val="center"/>
          </w:tcPr>
          <w:p>
            <w:pPr>
              <w:jc w:val="center"/>
            </w:pPr>
            <w:r>
              <w:t>8</w:t>
            </w:r>
            <w:r>
              <w:rPr>
                <w:rFonts w:hint="eastAsia"/>
              </w:rPr>
              <w:t>0</w:t>
            </w:r>
          </w:p>
        </w:tc>
      </w:tr>
    </w:tbl>
    <w:p>
      <w:pPr>
        <w:widowControl/>
        <w:spacing w:line="360" w:lineRule="auto"/>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998"/>
        <w:gridCol w:w="2330"/>
        <w:gridCol w:w="2166"/>
        <w:gridCol w:w="2028"/>
      </w:tblGrid>
      <w:tr>
        <w:tblPrEx>
          <w:tblCellMar>
            <w:top w:w="0" w:type="dxa"/>
            <w:left w:w="108" w:type="dxa"/>
            <w:bottom w:w="0" w:type="dxa"/>
            <w:right w:w="108" w:type="dxa"/>
          </w:tblCellMar>
        </w:tblPrEx>
        <w:trPr>
          <w:trHeight w:val="986" w:hRule="atLeast"/>
          <w:jc w:val="center"/>
        </w:trPr>
        <w:tc>
          <w:tcPr>
            <w:tcW w:w="117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rFonts w:hint="eastAsia"/>
                <w:sz w:val="18"/>
                <w:szCs w:val="18"/>
              </w:rPr>
              <w:t>W1</w:t>
            </w:r>
            <w:r>
              <w:rPr>
                <w:rFonts w:hint="eastAsia"/>
                <w:sz w:val="18"/>
                <w:szCs w:val="18"/>
                <w:vertAlign w:val="subscript"/>
              </w:rPr>
              <w:t>i</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rFonts w:hint="eastAsia"/>
                <w:sz w:val="18"/>
                <w:szCs w:val="18"/>
              </w:rPr>
              <w:t>W2</w:t>
            </w:r>
            <w:r>
              <w:rPr>
                <w:rFonts w:hint="eastAsia"/>
                <w:sz w:val="18"/>
                <w:szCs w:val="18"/>
                <w:vertAlign w:val="subscript"/>
              </w:rPr>
              <w:t>i</w:t>
            </w:r>
          </w:p>
        </w:tc>
        <w:tc>
          <w:tcPr>
            <w:tcW w:w="1190"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72" w:type="pct"/>
            <w:tcBorders>
              <w:top w:val="nil"/>
              <w:left w:val="nil"/>
              <w:bottom w:val="single" w:color="auto" w:sz="4" w:space="0"/>
              <w:right w:val="single" w:color="auto" w:sz="4" w:space="0"/>
            </w:tcBorders>
            <w:vAlign w:val="center"/>
          </w:tcPr>
          <w:p>
            <w:pPr>
              <w:jc w:val="center"/>
            </w:pPr>
            <w:r>
              <w:t>1</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30-40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50-60</w:t>
            </w:r>
          </w:p>
        </w:tc>
        <w:tc>
          <w:tcPr>
            <w:tcW w:w="1190" w:type="pct"/>
            <w:tcBorders>
              <w:top w:val="single" w:color="auto" w:sz="4" w:space="0"/>
              <w:left w:val="single" w:color="auto" w:sz="4" w:space="0"/>
              <w:bottom w:val="single" w:color="auto" w:sz="4" w:space="0"/>
              <w:right w:val="nil"/>
            </w:tcBorders>
            <w:vAlign w:val="center"/>
          </w:tcPr>
          <w:p>
            <w:pPr>
              <w:jc w:val="center"/>
            </w:pPr>
            <w:r>
              <w:rPr>
                <w:rFonts w:hint="eastAsia"/>
              </w:rPr>
              <w:t>50-60</w:t>
            </w:r>
          </w:p>
        </w:tc>
      </w:tr>
      <w:tr>
        <w:tblPrEx>
          <w:tblCellMar>
            <w:top w:w="0" w:type="dxa"/>
            <w:left w:w="108" w:type="dxa"/>
            <w:bottom w:w="0" w:type="dxa"/>
            <w:right w:w="108" w:type="dxa"/>
          </w:tblCellMar>
        </w:tblPrEx>
        <w:trPr>
          <w:jc w:val="center"/>
        </w:trPr>
        <w:tc>
          <w:tcPr>
            <w:tcW w:w="1172" w:type="pct"/>
            <w:tcBorders>
              <w:top w:val="nil"/>
              <w:left w:val="nil"/>
              <w:bottom w:val="single" w:color="auto" w:sz="4" w:space="0"/>
              <w:right w:val="single" w:color="auto" w:sz="4" w:space="0"/>
            </w:tcBorders>
            <w:vAlign w:val="center"/>
          </w:tcPr>
          <w:p>
            <w:pPr>
              <w:jc w:val="center"/>
            </w:pPr>
            <w:r>
              <w:t>2</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30-40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30-40</w:t>
            </w:r>
          </w:p>
        </w:tc>
        <w:tc>
          <w:tcPr>
            <w:tcW w:w="1190" w:type="pct"/>
            <w:tcBorders>
              <w:top w:val="single" w:color="auto" w:sz="4" w:space="0"/>
              <w:left w:val="single" w:color="auto" w:sz="4" w:space="0"/>
              <w:bottom w:val="single" w:color="auto" w:sz="4" w:space="0"/>
              <w:right w:val="nil"/>
            </w:tcBorders>
            <w:vAlign w:val="center"/>
          </w:tcPr>
          <w:p>
            <w:pPr>
              <w:jc w:val="center"/>
            </w:pPr>
            <w:r>
              <w:rPr>
                <w:rFonts w:hint="eastAsia"/>
              </w:rPr>
              <w:t>30-40</w:t>
            </w:r>
          </w:p>
        </w:tc>
      </w:tr>
      <w:tr>
        <w:tblPrEx>
          <w:tblCellMar>
            <w:top w:w="0" w:type="dxa"/>
            <w:left w:w="108" w:type="dxa"/>
            <w:bottom w:w="0" w:type="dxa"/>
            <w:right w:w="108" w:type="dxa"/>
          </w:tblCellMar>
        </w:tblPrEx>
        <w:trPr>
          <w:jc w:val="center"/>
        </w:trPr>
        <w:tc>
          <w:tcPr>
            <w:tcW w:w="1172" w:type="pct"/>
            <w:tcBorders>
              <w:top w:val="single" w:color="auto" w:sz="4" w:space="0"/>
              <w:left w:val="nil"/>
              <w:bottom w:val="single" w:color="auto" w:sz="4" w:space="0"/>
              <w:right w:val="single" w:color="auto" w:sz="4" w:space="0"/>
            </w:tcBorders>
            <w:vAlign w:val="center"/>
          </w:tcPr>
          <w:p>
            <w:pPr>
              <w:jc w:val="center"/>
            </w:pPr>
            <w:r>
              <w:t>3</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30-20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10-20</w:t>
            </w:r>
          </w:p>
        </w:tc>
        <w:tc>
          <w:tcPr>
            <w:tcW w:w="1190" w:type="pct"/>
            <w:tcBorders>
              <w:top w:val="single" w:color="auto" w:sz="4" w:space="0"/>
              <w:left w:val="single" w:color="auto" w:sz="4" w:space="0"/>
              <w:bottom w:val="single" w:color="auto" w:sz="4" w:space="0"/>
              <w:right w:val="nil"/>
            </w:tcBorders>
            <w:vAlign w:val="center"/>
          </w:tcPr>
          <w:p>
            <w:pPr>
              <w:jc w:val="center"/>
            </w:pPr>
            <w:r>
              <w:rPr>
                <w:rFonts w:hint="eastAsia"/>
              </w:rPr>
              <w:t>10-20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rPr>
          <w:szCs w:val="21"/>
        </w:rPr>
      </w:pPr>
    </w:p>
    <w:p>
      <w:pPr>
        <w:spacing w:line="360" w:lineRule="auto"/>
        <w:rPr>
          <w:rFonts w:eastAsia="黑体"/>
        </w:rPr>
      </w:pPr>
      <w:r>
        <w:rPr>
          <w:rFonts w:hint="eastAsia" w:eastAsia="黑体"/>
        </w:rPr>
        <w:t>八、评价标准</w:t>
      </w:r>
    </w:p>
    <w:p>
      <w:pPr>
        <w:widowControl/>
        <w:spacing w:line="360" w:lineRule="auto"/>
        <w:ind w:firstLine="420" w:firstLineChars="200"/>
        <w:jc w:val="left"/>
        <w:rPr>
          <w:szCs w:val="21"/>
        </w:rPr>
      </w:pPr>
      <w:r>
        <w:rPr>
          <w:szCs w:val="21"/>
        </w:rPr>
        <w:t>1. 平时成绩 = 课程作业成绩</w:t>
      </w:r>
      <w:r>
        <w:rPr>
          <w:rFonts w:hint="eastAsia"/>
          <w:szCs w:val="21"/>
        </w:rPr>
        <w:t>，</w:t>
      </w:r>
      <w:r>
        <w:rPr>
          <w:rFonts w:hAnsi="宋体"/>
          <w:szCs w:val="21"/>
        </w:rPr>
        <w:t>每次课程作业成绩给定方法如下表所示：</w:t>
      </w:r>
      <w:r>
        <w:rPr>
          <w:rFonts w:hAnsi="宋体"/>
          <w:szCs w:val="21"/>
        </w:rPr>
        <w:tab/>
      </w:r>
    </w:p>
    <w:tbl>
      <w:tblPr>
        <w:tblStyle w:val="22"/>
        <w:tblpPr w:leftFromText="180" w:rightFromText="180" w:vertAnchor="text" w:horzAnchor="margin" w:tblpXSpec="center" w:tblpY="17"/>
        <w:tblOverlap w:val="never"/>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817"/>
        <w:gridCol w:w="3174"/>
        <w:gridCol w:w="18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widowControl/>
              <w:jc w:val="center"/>
              <w:rPr>
                <w:sz w:val="18"/>
                <w:szCs w:val="21"/>
              </w:rPr>
            </w:pPr>
            <w:r>
              <w:rPr>
                <w:sz w:val="18"/>
                <w:szCs w:val="21"/>
              </w:rPr>
              <w:t>序号</w:t>
            </w:r>
          </w:p>
        </w:tc>
        <w:tc>
          <w:tcPr>
            <w:tcW w:w="1653" w:type="pct"/>
            <w:vAlign w:val="center"/>
          </w:tcPr>
          <w:p>
            <w:pPr>
              <w:widowControl/>
              <w:jc w:val="center"/>
              <w:rPr>
                <w:sz w:val="18"/>
                <w:szCs w:val="21"/>
              </w:rPr>
            </w:pPr>
            <w:r>
              <w:rPr>
                <w:sz w:val="18"/>
                <w:szCs w:val="21"/>
              </w:rPr>
              <w:t>课程作业完成情况</w:t>
            </w:r>
          </w:p>
        </w:tc>
        <w:tc>
          <w:tcPr>
            <w:tcW w:w="1862" w:type="pct"/>
            <w:vAlign w:val="center"/>
          </w:tcPr>
          <w:p>
            <w:pPr>
              <w:widowControl/>
              <w:jc w:val="center"/>
              <w:rPr>
                <w:sz w:val="18"/>
                <w:szCs w:val="21"/>
              </w:rPr>
            </w:pPr>
            <w:r>
              <w:rPr>
                <w:sz w:val="18"/>
                <w:szCs w:val="21"/>
              </w:rPr>
              <w:t>课程目标达成度</w:t>
            </w:r>
          </w:p>
        </w:tc>
        <w:tc>
          <w:tcPr>
            <w:tcW w:w="1064" w:type="pct"/>
            <w:vAlign w:val="center"/>
          </w:tcPr>
          <w:p>
            <w:pPr>
              <w:widowControl/>
              <w:jc w:val="center"/>
              <w:rPr>
                <w:sz w:val="18"/>
                <w:szCs w:val="21"/>
              </w:rPr>
            </w:pPr>
            <w:r>
              <w:rPr>
                <w:rFonts w:hint="eastAsia"/>
                <w:sz w:val="18"/>
                <w:szCs w:val="21"/>
              </w:rPr>
              <w:t>等级（成绩）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21" w:type="pct"/>
            <w:vAlign w:val="center"/>
          </w:tcPr>
          <w:p>
            <w:pPr>
              <w:jc w:val="center"/>
              <w:rPr>
                <w:sz w:val="18"/>
                <w:szCs w:val="21"/>
              </w:rPr>
            </w:pPr>
            <w:r>
              <w:rPr>
                <w:sz w:val="18"/>
                <w:szCs w:val="21"/>
              </w:rPr>
              <w:t>1</w:t>
            </w:r>
          </w:p>
        </w:tc>
        <w:tc>
          <w:tcPr>
            <w:tcW w:w="1653" w:type="pct"/>
            <w:vAlign w:val="center"/>
          </w:tcPr>
          <w:p>
            <w:pPr>
              <w:widowControl/>
              <w:jc w:val="center"/>
              <w:rPr>
                <w:sz w:val="18"/>
                <w:szCs w:val="21"/>
              </w:rPr>
            </w:pPr>
            <w:r>
              <w:rPr>
                <w:sz w:val="18"/>
                <w:szCs w:val="21"/>
              </w:rPr>
              <w:t>作业全部完成</w:t>
            </w:r>
            <w:bookmarkStart w:id="116" w:name="OLE_LINK70"/>
            <w:bookmarkStart w:id="117" w:name="OLE_LINK69"/>
            <w:bookmarkStart w:id="118" w:name="OLE_LINK68"/>
            <w:r>
              <w:rPr>
                <w:sz w:val="18"/>
                <w:szCs w:val="21"/>
              </w:rPr>
              <w:t>，</w:t>
            </w:r>
            <w:bookmarkStart w:id="119" w:name="OLE_LINK59"/>
            <w:bookmarkStart w:id="120" w:name="OLE_LINK60"/>
            <w:bookmarkStart w:id="121" w:name="OLE_LINK61"/>
            <w:r>
              <w:rPr>
                <w:rFonts w:hint="eastAsia"/>
                <w:sz w:val="18"/>
                <w:szCs w:val="21"/>
              </w:rPr>
              <w:t>根据完成质量分为A</w:t>
            </w:r>
            <w:r>
              <w:rPr>
                <w:rFonts w:hint="eastAsia"/>
                <w:sz w:val="18"/>
                <w:szCs w:val="21"/>
                <w:vertAlign w:val="superscript"/>
              </w:rPr>
              <w:t>+</w:t>
            </w:r>
            <w:r>
              <w:rPr>
                <w:rFonts w:hint="eastAsia"/>
                <w:sz w:val="18"/>
                <w:szCs w:val="21"/>
              </w:rPr>
              <w:t>，A</w:t>
            </w:r>
            <w:r>
              <w:rPr>
                <w:sz w:val="18"/>
                <w:szCs w:val="21"/>
              </w:rPr>
              <w:t xml:space="preserve"> </w:t>
            </w:r>
            <w:bookmarkEnd w:id="116"/>
            <w:bookmarkEnd w:id="117"/>
            <w:bookmarkEnd w:id="118"/>
            <w:bookmarkEnd w:id="119"/>
            <w:bookmarkEnd w:id="120"/>
            <w:bookmarkEnd w:id="121"/>
          </w:p>
        </w:tc>
        <w:tc>
          <w:tcPr>
            <w:tcW w:w="1862" w:type="pct"/>
            <w:vAlign w:val="center"/>
          </w:tcPr>
          <w:p>
            <w:pPr>
              <w:widowControl/>
              <w:jc w:val="center"/>
              <w:rPr>
                <w:sz w:val="18"/>
                <w:szCs w:val="21"/>
              </w:rPr>
            </w:pPr>
            <w:r>
              <w:rPr>
                <w:sz w:val="18"/>
                <w:szCs w:val="21"/>
              </w:rPr>
              <w:t>表明熟练掌握了课程知识点</w:t>
            </w:r>
          </w:p>
        </w:tc>
        <w:tc>
          <w:tcPr>
            <w:tcW w:w="1064" w:type="pct"/>
            <w:vAlign w:val="center"/>
          </w:tcPr>
          <w:p>
            <w:pPr>
              <w:jc w:val="center"/>
              <w:rPr>
                <w:sz w:val="18"/>
                <w:szCs w:val="21"/>
              </w:rPr>
            </w:pPr>
            <w:bookmarkStart w:id="122" w:name="OLE_LINK102"/>
            <w:bookmarkStart w:id="123" w:name="OLE_LINK62"/>
            <w:bookmarkStart w:id="124" w:name="OLE_LINK103"/>
            <w:r>
              <w:rPr>
                <w:rFonts w:hint="eastAsia"/>
                <w:sz w:val="18"/>
                <w:szCs w:val="21"/>
              </w:rPr>
              <w:t>A</w:t>
            </w:r>
            <w:r>
              <w:rPr>
                <w:rFonts w:hint="eastAsia"/>
                <w:sz w:val="18"/>
                <w:szCs w:val="21"/>
                <w:vertAlign w:val="superscript"/>
              </w:rPr>
              <w:t>+</w:t>
            </w:r>
            <w:r>
              <w:rPr>
                <w:sz w:val="18"/>
                <w:szCs w:val="21"/>
              </w:rPr>
              <w:t>（</w:t>
            </w:r>
            <w:r>
              <w:rPr>
                <w:rFonts w:hint="eastAsia"/>
                <w:sz w:val="18"/>
                <w:szCs w:val="21"/>
              </w:rPr>
              <w:t>96</w:t>
            </w:r>
            <w:r>
              <w:rPr>
                <w:sz w:val="18"/>
                <w:szCs w:val="21"/>
              </w:rPr>
              <w:t>~</w:t>
            </w:r>
            <w:r>
              <w:rPr>
                <w:rFonts w:hint="eastAsia"/>
                <w:sz w:val="18"/>
                <w:szCs w:val="21"/>
              </w:rPr>
              <w:t>1</w:t>
            </w:r>
            <w:r>
              <w:rPr>
                <w:sz w:val="18"/>
                <w:szCs w:val="21"/>
              </w:rPr>
              <w:t>00）</w:t>
            </w:r>
          </w:p>
          <w:p>
            <w:pPr>
              <w:jc w:val="center"/>
              <w:rPr>
                <w:sz w:val="18"/>
                <w:szCs w:val="21"/>
              </w:rPr>
            </w:pPr>
            <w:r>
              <w:rPr>
                <w:rFonts w:hint="eastAsia"/>
                <w:sz w:val="18"/>
                <w:szCs w:val="21"/>
              </w:rPr>
              <w:t>A（91~9</w:t>
            </w:r>
            <w:r>
              <w:rPr>
                <w:sz w:val="18"/>
                <w:szCs w:val="21"/>
              </w:rPr>
              <w:t>5</w:t>
            </w:r>
            <w:r>
              <w:rPr>
                <w:rFonts w:hint="eastAsia"/>
                <w:sz w:val="18"/>
                <w:szCs w:val="21"/>
              </w:rPr>
              <w:t>）</w:t>
            </w:r>
            <w:bookmarkEnd w:id="122"/>
            <w:bookmarkEnd w:id="123"/>
            <w:bookmarkEnd w:id="124"/>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21" w:type="pct"/>
            <w:vAlign w:val="center"/>
          </w:tcPr>
          <w:p>
            <w:pPr>
              <w:jc w:val="center"/>
              <w:rPr>
                <w:sz w:val="18"/>
                <w:szCs w:val="21"/>
              </w:rPr>
            </w:pPr>
            <w:r>
              <w:rPr>
                <w:sz w:val="18"/>
                <w:szCs w:val="21"/>
              </w:rPr>
              <w:t>2</w:t>
            </w:r>
          </w:p>
        </w:tc>
        <w:tc>
          <w:tcPr>
            <w:tcW w:w="1653" w:type="pct"/>
            <w:vAlign w:val="center"/>
          </w:tcPr>
          <w:p>
            <w:pPr>
              <w:widowControl/>
              <w:jc w:val="center"/>
              <w:rPr>
                <w:sz w:val="18"/>
                <w:szCs w:val="21"/>
              </w:rPr>
            </w:pPr>
            <w:r>
              <w:rPr>
                <w:sz w:val="18"/>
                <w:szCs w:val="21"/>
              </w:rPr>
              <w:t>作业</w:t>
            </w:r>
            <w:bookmarkStart w:id="125" w:name="OLE_LINK71"/>
            <w:bookmarkStart w:id="126" w:name="OLE_LINK73"/>
            <w:r>
              <w:rPr>
                <w:sz w:val="18"/>
                <w:szCs w:val="21"/>
              </w:rPr>
              <w:t>完成量大于80%，</w:t>
            </w:r>
            <w:r>
              <w:rPr>
                <w:rFonts w:hint="eastAsia"/>
                <w:sz w:val="18"/>
                <w:szCs w:val="21"/>
              </w:rPr>
              <w:t>根据完成质量分为B</w:t>
            </w:r>
            <w:r>
              <w:rPr>
                <w:rFonts w:hint="eastAsia"/>
                <w:sz w:val="18"/>
                <w:szCs w:val="21"/>
                <w:vertAlign w:val="superscript"/>
              </w:rPr>
              <w:t>+</w:t>
            </w:r>
            <w:r>
              <w:rPr>
                <w:rFonts w:hint="eastAsia"/>
                <w:sz w:val="18"/>
                <w:szCs w:val="21"/>
              </w:rPr>
              <w:t>，B</w:t>
            </w:r>
            <w:bookmarkEnd w:id="125"/>
            <w:bookmarkEnd w:id="126"/>
          </w:p>
        </w:tc>
        <w:tc>
          <w:tcPr>
            <w:tcW w:w="1862" w:type="pct"/>
            <w:vAlign w:val="center"/>
          </w:tcPr>
          <w:p>
            <w:pPr>
              <w:widowControl/>
              <w:jc w:val="center"/>
              <w:rPr>
                <w:sz w:val="18"/>
                <w:szCs w:val="21"/>
              </w:rPr>
            </w:pPr>
            <w:r>
              <w:rPr>
                <w:sz w:val="18"/>
                <w:szCs w:val="21"/>
              </w:rPr>
              <w:t>表明掌握了课程基本知识点，但不够熟练</w:t>
            </w:r>
          </w:p>
        </w:tc>
        <w:tc>
          <w:tcPr>
            <w:tcW w:w="1064" w:type="pct"/>
            <w:vAlign w:val="center"/>
          </w:tcPr>
          <w:p>
            <w:pPr>
              <w:jc w:val="center"/>
              <w:rPr>
                <w:sz w:val="18"/>
                <w:szCs w:val="21"/>
              </w:rPr>
            </w:pPr>
            <w:bookmarkStart w:id="127" w:name="OLE_LINK105"/>
            <w:bookmarkStart w:id="128" w:name="OLE_LINK104"/>
            <w:r>
              <w:rPr>
                <w:rFonts w:hint="eastAsia"/>
                <w:sz w:val="18"/>
                <w:szCs w:val="21"/>
              </w:rPr>
              <w:t>B</w:t>
            </w:r>
            <w:r>
              <w:rPr>
                <w:rFonts w:hint="eastAsia"/>
                <w:sz w:val="18"/>
                <w:szCs w:val="21"/>
                <w:vertAlign w:val="superscript"/>
              </w:rPr>
              <w:t>+</w:t>
            </w:r>
            <w:r>
              <w:rPr>
                <w:sz w:val="18"/>
                <w:szCs w:val="21"/>
              </w:rPr>
              <w:t>（</w:t>
            </w:r>
            <w:r>
              <w:rPr>
                <w:rFonts w:hint="eastAsia"/>
                <w:sz w:val="18"/>
                <w:szCs w:val="21"/>
              </w:rPr>
              <w:t>86~</w:t>
            </w:r>
            <w:r>
              <w:rPr>
                <w:sz w:val="18"/>
                <w:szCs w:val="21"/>
              </w:rPr>
              <w:t>90）</w:t>
            </w:r>
          </w:p>
          <w:p>
            <w:pPr>
              <w:jc w:val="center"/>
              <w:rPr>
                <w:sz w:val="18"/>
                <w:szCs w:val="21"/>
              </w:rPr>
            </w:pPr>
            <w:r>
              <w:rPr>
                <w:rFonts w:hint="eastAsia"/>
                <w:sz w:val="18"/>
                <w:szCs w:val="21"/>
              </w:rPr>
              <w:t>B（8</w:t>
            </w:r>
            <w:r>
              <w:rPr>
                <w:sz w:val="18"/>
                <w:szCs w:val="21"/>
              </w:rPr>
              <w:t>0~85</w:t>
            </w:r>
            <w:r>
              <w:rPr>
                <w:rFonts w:hint="eastAsia"/>
                <w:sz w:val="18"/>
                <w:szCs w:val="21"/>
              </w:rPr>
              <w:t>）</w:t>
            </w:r>
            <w:bookmarkEnd w:id="127"/>
            <w:bookmarkEnd w:id="128"/>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21" w:type="pct"/>
            <w:vAlign w:val="center"/>
          </w:tcPr>
          <w:p>
            <w:pPr>
              <w:jc w:val="center"/>
              <w:rPr>
                <w:sz w:val="18"/>
                <w:szCs w:val="21"/>
              </w:rPr>
            </w:pPr>
            <w:r>
              <w:rPr>
                <w:sz w:val="18"/>
                <w:szCs w:val="21"/>
              </w:rPr>
              <w:t>3</w:t>
            </w:r>
          </w:p>
        </w:tc>
        <w:tc>
          <w:tcPr>
            <w:tcW w:w="1653" w:type="pct"/>
            <w:vAlign w:val="center"/>
          </w:tcPr>
          <w:p>
            <w:pPr>
              <w:widowControl/>
              <w:jc w:val="center"/>
              <w:rPr>
                <w:sz w:val="18"/>
                <w:szCs w:val="21"/>
              </w:rPr>
            </w:pPr>
            <w:r>
              <w:rPr>
                <w:sz w:val="18"/>
                <w:szCs w:val="21"/>
              </w:rPr>
              <w:t>作业完成量大于70%</w:t>
            </w:r>
          </w:p>
        </w:tc>
        <w:tc>
          <w:tcPr>
            <w:tcW w:w="1862" w:type="pct"/>
            <w:vAlign w:val="center"/>
          </w:tcPr>
          <w:p>
            <w:pPr>
              <w:widowControl/>
              <w:jc w:val="center"/>
              <w:rPr>
                <w:sz w:val="18"/>
                <w:szCs w:val="21"/>
              </w:rPr>
            </w:pPr>
            <w:r>
              <w:rPr>
                <w:sz w:val="18"/>
                <w:szCs w:val="21"/>
              </w:rPr>
              <w:t>表明掌握了课程的大部分知识点，但对较难或易混和知识点掌握存在不足</w:t>
            </w:r>
          </w:p>
        </w:tc>
        <w:tc>
          <w:tcPr>
            <w:tcW w:w="1064" w:type="pct"/>
            <w:vAlign w:val="center"/>
          </w:tcPr>
          <w:p>
            <w:pPr>
              <w:jc w:val="center"/>
              <w:rPr>
                <w:sz w:val="18"/>
                <w:szCs w:val="21"/>
              </w:rPr>
            </w:pPr>
            <w:r>
              <w:rPr>
                <w:sz w:val="18"/>
                <w:szCs w:val="21"/>
              </w:rPr>
              <w:t>C</w:t>
            </w:r>
            <w:r>
              <w:rPr>
                <w:rFonts w:hint="eastAsia"/>
                <w:sz w:val="18"/>
                <w:szCs w:val="21"/>
              </w:rPr>
              <w:t>（70</w:t>
            </w:r>
            <w:r>
              <w:rPr>
                <w:sz w:val="18"/>
                <w:szCs w:val="21"/>
              </w:rPr>
              <w:t>~79</w:t>
            </w:r>
            <w:r>
              <w:rPr>
                <w:rFonts w:hint="eastAsia"/>
                <w:sz w:val="18"/>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21" w:type="pct"/>
            <w:vAlign w:val="center"/>
          </w:tcPr>
          <w:p>
            <w:pPr>
              <w:jc w:val="center"/>
              <w:rPr>
                <w:sz w:val="18"/>
                <w:szCs w:val="21"/>
              </w:rPr>
            </w:pPr>
            <w:r>
              <w:rPr>
                <w:sz w:val="18"/>
                <w:szCs w:val="21"/>
              </w:rPr>
              <w:t>4</w:t>
            </w:r>
          </w:p>
        </w:tc>
        <w:tc>
          <w:tcPr>
            <w:tcW w:w="1653" w:type="pct"/>
            <w:vAlign w:val="center"/>
          </w:tcPr>
          <w:p>
            <w:pPr>
              <w:widowControl/>
              <w:jc w:val="center"/>
              <w:rPr>
                <w:sz w:val="18"/>
                <w:szCs w:val="21"/>
              </w:rPr>
            </w:pPr>
            <w:r>
              <w:rPr>
                <w:sz w:val="18"/>
                <w:szCs w:val="21"/>
              </w:rPr>
              <w:t>作业完成量</w:t>
            </w:r>
            <w:bookmarkStart w:id="129" w:name="OLE_LINK77"/>
            <w:bookmarkStart w:id="130" w:name="OLE_LINK76"/>
            <w:r>
              <w:rPr>
                <w:sz w:val="18"/>
                <w:szCs w:val="21"/>
              </w:rPr>
              <w:t>大于50%</w:t>
            </w:r>
            <w:bookmarkEnd w:id="129"/>
            <w:bookmarkEnd w:id="130"/>
          </w:p>
        </w:tc>
        <w:tc>
          <w:tcPr>
            <w:tcW w:w="1862" w:type="pct"/>
            <w:vAlign w:val="center"/>
          </w:tcPr>
          <w:p>
            <w:pPr>
              <w:widowControl/>
              <w:jc w:val="center"/>
              <w:rPr>
                <w:sz w:val="18"/>
                <w:szCs w:val="21"/>
              </w:rPr>
            </w:pPr>
            <w:bookmarkStart w:id="131" w:name="OLE_LINK34"/>
            <w:bookmarkStart w:id="132" w:name="OLE_LINK36"/>
            <w:bookmarkStart w:id="133" w:name="OLE_LINK35"/>
            <w:r>
              <w:rPr>
                <w:sz w:val="18"/>
                <w:szCs w:val="21"/>
              </w:rPr>
              <w:t>表明掌握了课程部分知识点，</w:t>
            </w:r>
            <w:bookmarkStart w:id="134" w:name="OLE_LINK49"/>
            <w:bookmarkStart w:id="135" w:name="OLE_LINK50"/>
            <w:bookmarkStart w:id="136" w:name="OLE_LINK51"/>
            <w:bookmarkStart w:id="137" w:name="OLE_LINK53"/>
            <w:bookmarkStart w:id="138" w:name="OLE_LINK52"/>
            <w:r>
              <w:rPr>
                <w:sz w:val="18"/>
                <w:szCs w:val="21"/>
              </w:rPr>
              <w:t>对</w:t>
            </w:r>
            <w:bookmarkEnd w:id="131"/>
            <w:bookmarkEnd w:id="132"/>
            <w:bookmarkEnd w:id="133"/>
            <w:r>
              <w:rPr>
                <w:sz w:val="18"/>
                <w:szCs w:val="21"/>
              </w:rPr>
              <w:t>一半左右知识点掌握存在不足</w:t>
            </w:r>
            <w:bookmarkEnd w:id="134"/>
            <w:bookmarkEnd w:id="135"/>
            <w:bookmarkEnd w:id="136"/>
            <w:bookmarkEnd w:id="137"/>
            <w:bookmarkEnd w:id="138"/>
          </w:p>
        </w:tc>
        <w:tc>
          <w:tcPr>
            <w:tcW w:w="1064" w:type="pct"/>
            <w:vAlign w:val="center"/>
          </w:tcPr>
          <w:p>
            <w:pPr>
              <w:jc w:val="center"/>
              <w:rPr>
                <w:sz w:val="18"/>
                <w:szCs w:val="21"/>
              </w:rPr>
            </w:pPr>
            <w:r>
              <w:rPr>
                <w:rFonts w:hint="eastAsia"/>
                <w:sz w:val="18"/>
                <w:szCs w:val="21"/>
              </w:rPr>
              <w:t>D（60</w:t>
            </w:r>
            <w:r>
              <w:rPr>
                <w:sz w:val="18"/>
                <w:szCs w:val="21"/>
              </w:rPr>
              <w:t>~69</w:t>
            </w:r>
            <w:r>
              <w:rPr>
                <w:rFonts w:hint="eastAsia"/>
                <w:sz w:val="18"/>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21" w:type="pct"/>
            <w:vAlign w:val="center"/>
          </w:tcPr>
          <w:p>
            <w:pPr>
              <w:jc w:val="center"/>
              <w:rPr>
                <w:sz w:val="18"/>
                <w:szCs w:val="21"/>
              </w:rPr>
            </w:pPr>
            <w:r>
              <w:rPr>
                <w:sz w:val="18"/>
                <w:szCs w:val="21"/>
              </w:rPr>
              <w:t>5</w:t>
            </w:r>
          </w:p>
        </w:tc>
        <w:tc>
          <w:tcPr>
            <w:tcW w:w="1653" w:type="pct"/>
            <w:vAlign w:val="center"/>
          </w:tcPr>
          <w:p>
            <w:pPr>
              <w:widowControl/>
              <w:jc w:val="center"/>
              <w:rPr>
                <w:sz w:val="18"/>
                <w:szCs w:val="21"/>
              </w:rPr>
            </w:pPr>
            <w:r>
              <w:rPr>
                <w:sz w:val="18"/>
                <w:szCs w:val="21"/>
              </w:rPr>
              <w:t>作业完成量</w:t>
            </w:r>
            <w:r>
              <w:rPr>
                <w:rFonts w:hint="eastAsia"/>
                <w:sz w:val="18"/>
                <w:szCs w:val="21"/>
              </w:rPr>
              <w:t>小于</w:t>
            </w:r>
            <w:r>
              <w:rPr>
                <w:sz w:val="18"/>
                <w:szCs w:val="21"/>
              </w:rPr>
              <w:t>50%</w:t>
            </w:r>
          </w:p>
        </w:tc>
        <w:tc>
          <w:tcPr>
            <w:tcW w:w="1862" w:type="pct"/>
            <w:vAlign w:val="center"/>
          </w:tcPr>
          <w:p>
            <w:pPr>
              <w:widowControl/>
              <w:jc w:val="center"/>
              <w:rPr>
                <w:sz w:val="18"/>
                <w:szCs w:val="21"/>
              </w:rPr>
            </w:pPr>
            <w:r>
              <w:rPr>
                <w:sz w:val="18"/>
                <w:szCs w:val="21"/>
              </w:rPr>
              <w:t>表明没有掌握课程大部分知识点</w:t>
            </w:r>
          </w:p>
        </w:tc>
        <w:tc>
          <w:tcPr>
            <w:tcW w:w="1064" w:type="pct"/>
            <w:vAlign w:val="center"/>
          </w:tcPr>
          <w:p>
            <w:pPr>
              <w:jc w:val="center"/>
              <w:rPr>
                <w:sz w:val="18"/>
                <w:szCs w:val="21"/>
              </w:rPr>
            </w:pPr>
            <w:bookmarkStart w:id="139" w:name="OLE_LINK96"/>
            <w:bookmarkStart w:id="140" w:name="OLE_LINK97"/>
            <w:bookmarkStart w:id="141" w:name="OLE_LINK98"/>
            <w:r>
              <w:rPr>
                <w:rFonts w:hint="eastAsia"/>
                <w:sz w:val="18"/>
                <w:szCs w:val="21"/>
              </w:rPr>
              <w:t>E（40</w:t>
            </w:r>
            <w:r>
              <w:rPr>
                <w:sz w:val="18"/>
                <w:szCs w:val="21"/>
              </w:rPr>
              <w:t>~59</w:t>
            </w:r>
            <w:r>
              <w:rPr>
                <w:rFonts w:hint="eastAsia"/>
                <w:sz w:val="18"/>
                <w:szCs w:val="21"/>
              </w:rPr>
              <w:t>）</w:t>
            </w:r>
            <w:bookmarkEnd w:id="139"/>
            <w:bookmarkEnd w:id="140"/>
            <w:bookmarkEnd w:id="141"/>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1" w:type="pct"/>
            <w:vAlign w:val="center"/>
          </w:tcPr>
          <w:p>
            <w:pPr>
              <w:jc w:val="center"/>
              <w:rPr>
                <w:sz w:val="18"/>
                <w:szCs w:val="21"/>
              </w:rPr>
            </w:pPr>
            <w:r>
              <w:rPr>
                <w:sz w:val="18"/>
                <w:szCs w:val="21"/>
              </w:rPr>
              <w:t>6</w:t>
            </w:r>
          </w:p>
        </w:tc>
        <w:tc>
          <w:tcPr>
            <w:tcW w:w="1653" w:type="pct"/>
            <w:vAlign w:val="center"/>
          </w:tcPr>
          <w:p>
            <w:pPr>
              <w:widowControl/>
              <w:jc w:val="center"/>
              <w:rPr>
                <w:sz w:val="18"/>
                <w:szCs w:val="21"/>
              </w:rPr>
            </w:pPr>
            <w:r>
              <w:rPr>
                <w:sz w:val="18"/>
                <w:szCs w:val="21"/>
              </w:rPr>
              <w:t>作业未完成，或有明显抄袭现象</w:t>
            </w:r>
          </w:p>
        </w:tc>
        <w:tc>
          <w:tcPr>
            <w:tcW w:w="1862" w:type="pct"/>
            <w:vAlign w:val="center"/>
          </w:tcPr>
          <w:p>
            <w:pPr>
              <w:widowControl/>
              <w:jc w:val="center"/>
              <w:rPr>
                <w:sz w:val="18"/>
                <w:szCs w:val="21"/>
              </w:rPr>
            </w:pPr>
            <w:r>
              <w:rPr>
                <w:sz w:val="18"/>
                <w:szCs w:val="21"/>
              </w:rPr>
              <w:t>课程学习态度不端正</w:t>
            </w:r>
          </w:p>
        </w:tc>
        <w:tc>
          <w:tcPr>
            <w:tcW w:w="1064" w:type="pct"/>
            <w:vAlign w:val="center"/>
          </w:tcPr>
          <w:p>
            <w:pPr>
              <w:jc w:val="center"/>
              <w:rPr>
                <w:sz w:val="18"/>
                <w:szCs w:val="21"/>
              </w:rPr>
            </w:pPr>
            <w:r>
              <w:rPr>
                <w:rFonts w:hint="eastAsia"/>
                <w:sz w:val="18"/>
                <w:szCs w:val="21"/>
              </w:rPr>
              <w:t>F（0</w:t>
            </w:r>
            <w:r>
              <w:rPr>
                <w:sz w:val="18"/>
                <w:szCs w:val="21"/>
              </w:rPr>
              <w:t>~39</w:t>
            </w:r>
            <w:r>
              <w:rPr>
                <w:rFonts w:hint="eastAsia"/>
                <w:sz w:val="18"/>
                <w:szCs w:val="21"/>
              </w:rPr>
              <w:t>）</w:t>
            </w:r>
          </w:p>
        </w:tc>
      </w:tr>
    </w:tbl>
    <w:p>
      <w:pPr>
        <w:widowControl/>
        <w:adjustRightInd w:val="0"/>
        <w:snapToGrid w:val="0"/>
        <w:spacing w:line="360" w:lineRule="auto"/>
        <w:ind w:firstLine="420" w:firstLineChars="200"/>
        <w:jc w:val="left"/>
        <w:rPr>
          <w:bCs/>
          <w:szCs w:val="21"/>
        </w:rPr>
      </w:pPr>
    </w:p>
    <w:p>
      <w:pPr>
        <w:widowControl/>
        <w:adjustRightInd w:val="0"/>
        <w:snapToGrid w:val="0"/>
        <w:spacing w:line="360" w:lineRule="auto"/>
        <w:ind w:firstLine="420" w:firstLineChars="200"/>
        <w:jc w:val="left"/>
        <w:rPr>
          <w:szCs w:val="21"/>
        </w:rPr>
      </w:pPr>
      <w:r>
        <w:rPr>
          <w:bCs/>
          <w:szCs w:val="21"/>
        </w:rPr>
        <w:t>2.</w:t>
      </w:r>
      <w:r>
        <w:rPr>
          <w:rFonts w:hint="eastAsia"/>
          <w:bCs/>
          <w:szCs w:val="21"/>
        </w:rPr>
        <w:t xml:space="preserve"> </w:t>
      </w:r>
      <w:r>
        <w:rPr>
          <w:rFonts w:hAnsi="宋体"/>
          <w:bCs/>
          <w:szCs w:val="21"/>
        </w:rPr>
        <w:t>期末成绩：采用闭卷方式，成绩以卷面成绩为准。</w:t>
      </w:r>
    </w:p>
    <w:p>
      <w:pPr>
        <w:widowControl/>
        <w:adjustRightInd w:val="0"/>
        <w:snapToGrid w:val="0"/>
        <w:spacing w:after="156" w:afterLines="50" w:line="360" w:lineRule="auto"/>
        <w:ind w:firstLine="200"/>
        <w:jc w:val="left"/>
        <w:rPr>
          <w:szCs w:val="21"/>
        </w:rPr>
      </w:pPr>
      <w:r>
        <w:rPr>
          <w:rFonts w:hAnsi="宋体"/>
          <w:szCs w:val="21"/>
        </w:rPr>
        <w:t>期末考试通过设计不同类型的试题，考核课程目标中各项能力的达成效果。对各课程目标的考核如下表所示：</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5722"/>
        <w:gridCol w:w="1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903" w:type="pct"/>
            <w:vAlign w:val="center"/>
          </w:tcPr>
          <w:p>
            <w:pPr>
              <w:jc w:val="center"/>
              <w:rPr>
                <w:sz w:val="18"/>
                <w:szCs w:val="18"/>
              </w:rPr>
            </w:pPr>
          </w:p>
        </w:tc>
        <w:tc>
          <w:tcPr>
            <w:tcW w:w="3357" w:type="pct"/>
            <w:vAlign w:val="center"/>
          </w:tcPr>
          <w:p>
            <w:pPr>
              <w:jc w:val="center"/>
              <w:rPr>
                <w:sz w:val="18"/>
                <w:szCs w:val="18"/>
              </w:rPr>
            </w:pPr>
            <w:r>
              <w:rPr>
                <w:sz w:val="18"/>
                <w:szCs w:val="18"/>
              </w:rPr>
              <w:t>考核内容</w:t>
            </w:r>
          </w:p>
        </w:tc>
        <w:tc>
          <w:tcPr>
            <w:tcW w:w="740" w:type="pct"/>
            <w:vAlign w:val="center"/>
          </w:tcPr>
          <w:p>
            <w:pPr>
              <w:jc w:val="center"/>
              <w:rPr>
                <w:sz w:val="18"/>
                <w:szCs w:val="18"/>
              </w:rPr>
            </w:pPr>
            <w:r>
              <w:rPr>
                <w:sz w:val="18"/>
                <w:szCs w:val="18"/>
              </w:rPr>
              <w:t>分值范围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03" w:type="pct"/>
            <w:vAlign w:val="center"/>
          </w:tcPr>
          <w:p>
            <w:pPr>
              <w:jc w:val="center"/>
              <w:rPr>
                <w:sz w:val="18"/>
                <w:szCs w:val="18"/>
              </w:rPr>
            </w:pPr>
            <w:r>
              <w:rPr>
                <w:sz w:val="18"/>
                <w:szCs w:val="18"/>
              </w:rPr>
              <w:t>课程目标1</w:t>
            </w:r>
          </w:p>
        </w:tc>
        <w:tc>
          <w:tcPr>
            <w:tcW w:w="3357" w:type="pct"/>
            <w:vAlign w:val="center"/>
          </w:tcPr>
          <w:p>
            <w:pPr>
              <w:widowControl/>
              <w:rPr>
                <w:sz w:val="18"/>
                <w:szCs w:val="18"/>
              </w:rPr>
            </w:pPr>
            <w:r>
              <w:rPr>
                <w:rFonts w:hint="eastAsia" w:hAnsi="宋体"/>
                <w:sz w:val="18"/>
                <w:szCs w:val="18"/>
              </w:rPr>
              <w:t>简单行列式的计算、矩阵的线性运算、乘法运算、方阵的行列式、矩阵的逆、伴随矩阵、矩阵的秩、线性方程组解的判定及解的结构</w:t>
            </w:r>
          </w:p>
        </w:tc>
        <w:tc>
          <w:tcPr>
            <w:tcW w:w="740" w:type="pct"/>
            <w:vAlign w:val="center"/>
          </w:tcPr>
          <w:p>
            <w:pPr>
              <w:jc w:val="center"/>
              <w:rPr>
                <w:sz w:val="18"/>
                <w:szCs w:val="18"/>
              </w:rPr>
            </w:pPr>
            <w:r>
              <w:rPr>
                <w:rFonts w:hint="eastAsia"/>
                <w:sz w:val="18"/>
                <w:szCs w:val="18"/>
              </w:rPr>
              <w:t>55</w:t>
            </w:r>
            <w:r>
              <w:rPr>
                <w:sz w:val="18"/>
                <w:szCs w:val="18"/>
              </w:rPr>
              <w:t>-</w:t>
            </w:r>
            <w:r>
              <w:rPr>
                <w:rFonts w:hint="eastAsia"/>
                <w:sz w:val="18"/>
                <w:szCs w:val="18"/>
              </w:rPr>
              <w:t>60</w:t>
            </w:r>
            <w:r>
              <w:rPr>
                <w:sz w:val="18"/>
                <w:szCs w:val="18"/>
              </w:rPr>
              <w:t>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03" w:type="pct"/>
            <w:vAlign w:val="center"/>
          </w:tcPr>
          <w:p>
            <w:pPr>
              <w:jc w:val="center"/>
              <w:rPr>
                <w:sz w:val="18"/>
                <w:szCs w:val="18"/>
              </w:rPr>
            </w:pPr>
            <w:r>
              <w:rPr>
                <w:sz w:val="18"/>
                <w:szCs w:val="18"/>
              </w:rPr>
              <w:t>课程目标2</w:t>
            </w:r>
          </w:p>
        </w:tc>
        <w:tc>
          <w:tcPr>
            <w:tcW w:w="3357" w:type="pct"/>
          </w:tcPr>
          <w:p>
            <w:pPr>
              <w:widowControl/>
              <w:rPr>
                <w:sz w:val="18"/>
                <w:szCs w:val="18"/>
              </w:rPr>
            </w:pPr>
            <w:r>
              <w:rPr>
                <w:rFonts w:hint="eastAsia" w:hAnsi="宋体"/>
                <w:sz w:val="18"/>
                <w:szCs w:val="18"/>
              </w:rPr>
              <w:t>线性组合、线性表示、线性相关与线性无关、基、坐标、矩阵的特征值与特征向量、矩阵的相似对角化、二次型的矩阵表示、二次型的标准形、二次型正定性与负定性的判定</w:t>
            </w:r>
          </w:p>
        </w:tc>
        <w:tc>
          <w:tcPr>
            <w:tcW w:w="740" w:type="pct"/>
            <w:vAlign w:val="center"/>
          </w:tcPr>
          <w:p>
            <w:pPr>
              <w:jc w:val="center"/>
              <w:rPr>
                <w:sz w:val="18"/>
                <w:szCs w:val="18"/>
              </w:rPr>
            </w:pPr>
            <w:r>
              <w:rPr>
                <w:sz w:val="18"/>
                <w:szCs w:val="18"/>
              </w:rPr>
              <w:t>30-</w:t>
            </w:r>
            <w:r>
              <w:rPr>
                <w:rFonts w:hint="eastAsia"/>
                <w:sz w:val="18"/>
                <w:szCs w:val="18"/>
              </w:rPr>
              <w:t>3</w:t>
            </w:r>
            <w:r>
              <w:rPr>
                <w:sz w:val="18"/>
                <w:szCs w:val="18"/>
              </w:rPr>
              <w:t>5分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03" w:type="pct"/>
            <w:vAlign w:val="center"/>
          </w:tcPr>
          <w:p>
            <w:pPr>
              <w:jc w:val="center"/>
              <w:rPr>
                <w:sz w:val="18"/>
                <w:szCs w:val="18"/>
              </w:rPr>
            </w:pPr>
            <w:r>
              <w:rPr>
                <w:sz w:val="18"/>
                <w:szCs w:val="18"/>
              </w:rPr>
              <w:t>课程目标3</w:t>
            </w:r>
          </w:p>
        </w:tc>
        <w:tc>
          <w:tcPr>
            <w:tcW w:w="3357" w:type="pct"/>
          </w:tcPr>
          <w:p>
            <w:pPr>
              <w:widowControl/>
              <w:rPr>
                <w:sz w:val="18"/>
                <w:szCs w:val="18"/>
              </w:rPr>
            </w:pPr>
            <w:r>
              <w:rPr>
                <w:rFonts w:hint="eastAsia" w:hAnsi="宋体"/>
                <w:sz w:val="18"/>
                <w:szCs w:val="18"/>
              </w:rPr>
              <w:t>矩阵乘法与线性方程组的关系、施密特正交化方法、向量组的等价与矩阵的等价、矩阵的合同与相似的关系、二次型的几何应用</w:t>
            </w:r>
          </w:p>
        </w:tc>
        <w:tc>
          <w:tcPr>
            <w:tcW w:w="740" w:type="pct"/>
            <w:vAlign w:val="center"/>
          </w:tcPr>
          <w:p>
            <w:pPr>
              <w:jc w:val="center"/>
              <w:rPr>
                <w:sz w:val="18"/>
                <w:szCs w:val="18"/>
              </w:rPr>
            </w:pPr>
            <w:r>
              <w:rPr>
                <w:sz w:val="18"/>
                <w:szCs w:val="18"/>
              </w:rPr>
              <w:t>10-</w:t>
            </w:r>
            <w:r>
              <w:rPr>
                <w:rFonts w:hint="eastAsia"/>
                <w:sz w:val="18"/>
                <w:szCs w:val="18"/>
              </w:rPr>
              <w:t>15</w:t>
            </w:r>
            <w:r>
              <w:rPr>
                <w:sz w:val="18"/>
                <w:szCs w:val="18"/>
              </w:rPr>
              <w:t>分</w:t>
            </w:r>
          </w:p>
        </w:tc>
      </w:tr>
    </w:tbl>
    <w:p>
      <w:pPr>
        <w:widowControl/>
        <w:jc w:val="left"/>
      </w:pPr>
      <w:r>
        <w:br w:type="page"/>
      </w:r>
    </w:p>
    <w:p>
      <w:pPr>
        <w:pStyle w:val="20"/>
        <w:spacing w:before="312" w:after="468"/>
      </w:pPr>
      <w:bookmarkStart w:id="142" w:name="_Toc7750"/>
      <w:r>
        <w:rPr>
          <w:rFonts w:hint="eastAsia"/>
        </w:rPr>
        <w:t>《X</w:t>
      </w:r>
      <w:r>
        <w:t>0</w:t>
      </w:r>
      <w:r>
        <w:rPr>
          <w:rFonts w:hint="eastAsia"/>
        </w:rPr>
        <w:t>2</w:t>
      </w:r>
      <w:r>
        <w:t>08001</w:t>
      </w:r>
      <w:r>
        <w:rPr>
          <w:rFonts w:hint="eastAsia"/>
        </w:rPr>
        <w:t>4-</w:t>
      </w:r>
      <w:r>
        <w:t>概率论与数理统计</w:t>
      </w:r>
      <w:r>
        <w:rPr>
          <w:rFonts w:hint="eastAsia"/>
        </w:rPr>
        <w:t>B》</w:t>
      </w:r>
      <w:r>
        <w:t>教学大纲</w:t>
      </w:r>
      <w:bookmarkEnd w:id="142"/>
    </w:p>
    <w:p>
      <w:pPr>
        <w:adjustRightInd w:val="0"/>
        <w:spacing w:line="360" w:lineRule="auto"/>
        <w:rPr>
          <w:rFonts w:eastAsia="黑体"/>
          <w:szCs w:val="21"/>
        </w:rPr>
      </w:pPr>
      <w:r>
        <w:rPr>
          <w:rFonts w:hint="eastAsia" w:eastAsia="黑体"/>
          <w:szCs w:val="21"/>
        </w:rPr>
        <w:t xml:space="preserve">   </w:t>
      </w:r>
      <w:r>
        <w:rPr>
          <w:rFonts w:eastAsia="黑体"/>
          <w:szCs w:val="21"/>
        </w:rPr>
        <w:t>课程编号：</w:t>
      </w:r>
      <w:r>
        <w:rPr>
          <w:rFonts w:hint="eastAsia" w:eastAsia="黑体"/>
          <w:szCs w:val="21"/>
        </w:rPr>
        <w:t>X</w:t>
      </w:r>
      <w:r>
        <w:rPr>
          <w:rFonts w:eastAsia="黑体"/>
          <w:szCs w:val="21"/>
        </w:rPr>
        <w:t>0</w:t>
      </w:r>
      <w:r>
        <w:rPr>
          <w:rFonts w:hint="eastAsia" w:eastAsia="黑体"/>
          <w:szCs w:val="21"/>
        </w:rPr>
        <w:t>2</w:t>
      </w:r>
      <w:r>
        <w:rPr>
          <w:rFonts w:eastAsia="黑体"/>
          <w:szCs w:val="21"/>
        </w:rPr>
        <w:t>08001</w:t>
      </w:r>
      <w:r>
        <w:rPr>
          <w:rFonts w:hint="eastAsia" w:eastAsia="黑体"/>
          <w:szCs w:val="21"/>
        </w:rPr>
        <w:t>4</w:t>
      </w:r>
    </w:p>
    <w:p>
      <w:pPr>
        <w:adjustRightInd w:val="0"/>
        <w:spacing w:line="360" w:lineRule="auto"/>
        <w:rPr>
          <w:rFonts w:ascii="宋体" w:hAnsi="宋体"/>
          <w:szCs w:val="21"/>
        </w:rPr>
      </w:pPr>
      <w:r>
        <w:rPr>
          <w:rFonts w:eastAsia="黑体"/>
          <w:szCs w:val="21"/>
        </w:rPr>
        <w:t xml:space="preserve">   课程名称：</w:t>
      </w:r>
      <w:r>
        <w:rPr>
          <w:rFonts w:ascii="宋体" w:hAnsi="宋体"/>
          <w:szCs w:val="21"/>
        </w:rPr>
        <w:t>概率论与数理统计B</w:t>
      </w:r>
      <w:r>
        <w:rPr>
          <w:rFonts w:hint="eastAsia" w:ascii="宋体" w:hAnsi="宋体"/>
          <w:szCs w:val="21"/>
        </w:rPr>
        <w:t xml:space="preserve">                  </w:t>
      </w:r>
      <w:r>
        <w:rPr>
          <w:rFonts w:eastAsia="黑体"/>
          <w:szCs w:val="21"/>
        </w:rPr>
        <w:t>开课单位：</w:t>
      </w:r>
      <w:r>
        <w:rPr>
          <w:rFonts w:hAnsi="宋体"/>
          <w:color w:val="000000"/>
          <w:szCs w:val="21"/>
        </w:rPr>
        <w:t>理学院</w:t>
      </w:r>
      <w:r>
        <w:rPr>
          <w:rFonts w:hint="eastAsia" w:hAnsi="宋体"/>
          <w:color w:val="000000"/>
          <w:szCs w:val="21"/>
        </w:rPr>
        <w:t>数学</w:t>
      </w:r>
      <w:r>
        <w:rPr>
          <w:rFonts w:hAnsi="宋体"/>
          <w:color w:val="000000"/>
          <w:szCs w:val="21"/>
        </w:rPr>
        <w:t>学科部</w:t>
      </w:r>
    </w:p>
    <w:p>
      <w:pPr>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时：48                                 学    分：3</w:t>
      </w:r>
    </w:p>
    <w:p>
      <w:pPr>
        <w:spacing w:line="360" w:lineRule="auto"/>
        <w:rPr>
          <w:rFonts w:eastAsia="黑体"/>
          <w:color w:val="000000"/>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Ansi="宋体"/>
          <w:szCs w:val="21"/>
        </w:rPr>
        <w:t>高等数学，线性代数</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spacing w:line="360" w:lineRule="auto"/>
        <w:ind w:firstLine="315" w:firstLineChars="150"/>
        <w:rPr>
          <w:color w:val="000000"/>
        </w:rPr>
      </w:pPr>
    </w:p>
    <w:p>
      <w:pPr>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spacing w:line="360" w:lineRule="auto"/>
        <w:ind w:firstLine="420" w:firstLineChars="200"/>
        <w:rPr>
          <w:kern w:val="0"/>
          <w:szCs w:val="21"/>
        </w:rPr>
      </w:pPr>
      <w:r>
        <w:rPr>
          <w:szCs w:val="21"/>
        </w:rPr>
        <w:t>概率论与数理统计是研究随机现象统计规律性的数学学科。它的应用非常广泛,并有其独特的思维方法。在高等工科学校教学计划中是一门重要的基础理论课程。通过本课程的学习，</w:t>
      </w:r>
      <w:r>
        <w:rPr>
          <w:kern w:val="0"/>
          <w:szCs w:val="21"/>
        </w:rPr>
        <w:t>使学生掌握概率统计的基本概念、基本原理与基本计算方法，培养学生分析问题、解决问题的能力和运用计算机解决实际问题的能力，为学习后继课程，从事工程技术、经济管理工作，科学研究以及开拓新技术领域，打下良好的基础。</w:t>
      </w:r>
    </w:p>
    <w:p>
      <w:pPr>
        <w:spacing w:line="360" w:lineRule="auto"/>
        <w:ind w:firstLine="480" w:firstLineChars="200"/>
        <w:rPr>
          <w:sz w:val="24"/>
        </w:rPr>
      </w:pPr>
    </w:p>
    <w:p>
      <w:pPr>
        <w:spacing w:line="360" w:lineRule="auto"/>
        <w:rPr>
          <w:rFonts w:eastAsia="黑体"/>
          <w:color w:val="000000"/>
          <w:szCs w:val="21"/>
        </w:rPr>
      </w:pPr>
      <w:r>
        <w:rPr>
          <w:rFonts w:eastAsia="黑体"/>
          <w:color w:val="000000"/>
          <w:szCs w:val="21"/>
        </w:rPr>
        <w:t>二、课程目标</w:t>
      </w:r>
    </w:p>
    <w:p>
      <w:pPr>
        <w:spacing w:line="360" w:lineRule="auto"/>
        <w:ind w:firstLine="420" w:firstLineChars="200"/>
        <w:rPr>
          <w:b/>
          <w:bCs/>
          <w:color w:val="000000"/>
          <w:szCs w:val="21"/>
        </w:rPr>
      </w:pPr>
      <w:r>
        <w:rPr>
          <w:rFonts w:hint="eastAsia"/>
          <w:color w:val="000000"/>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4624"/>
        <w:gridCol w:w="33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713" w:type="pct"/>
            <w:shd w:val="clear" w:color="auto" w:fill="auto"/>
          </w:tcPr>
          <w:p>
            <w:pPr>
              <w:spacing w:line="360" w:lineRule="auto"/>
              <w:jc w:val="center"/>
              <w:rPr>
                <w:sz w:val="18"/>
                <w:szCs w:val="18"/>
              </w:rPr>
            </w:pPr>
            <w:r>
              <w:rPr>
                <w:rFonts w:hint="eastAsia"/>
                <w:sz w:val="18"/>
                <w:szCs w:val="18"/>
              </w:rPr>
              <w:t>课程目标</w:t>
            </w:r>
          </w:p>
        </w:tc>
        <w:tc>
          <w:tcPr>
            <w:tcW w:w="1943"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713" w:type="pct"/>
            <w:shd w:val="clear" w:color="auto" w:fill="auto"/>
          </w:tcPr>
          <w:p>
            <w:pPr>
              <w:adjustRightInd w:val="0"/>
              <w:snapToGrid w:val="0"/>
              <w:spacing w:line="360" w:lineRule="auto"/>
              <w:rPr>
                <w:color w:val="000000"/>
                <w:sz w:val="18"/>
                <w:szCs w:val="18"/>
                <w:highlight w:val="yellow"/>
              </w:rPr>
            </w:pPr>
            <w:r>
              <w:rPr>
                <w:rFonts w:hint="eastAsia"/>
                <w:sz w:val="18"/>
                <w:szCs w:val="18"/>
              </w:rPr>
              <w:t>能够</w:t>
            </w:r>
            <w:r>
              <w:rPr>
                <w:sz w:val="18"/>
                <w:szCs w:val="18"/>
              </w:rPr>
              <w:t>理解课程中的基本概念和基本理论，知道它的思想方法、意义和用途，以及它与其它概念、规律之间的联系；能够根据法则、公式正确地进行运算。能够根据问题的情景，寻求和设计合理简捷的运算途径</w:t>
            </w:r>
            <w:r>
              <w:rPr>
                <w:rFonts w:hint="eastAsia"/>
                <w:sz w:val="18"/>
                <w:szCs w:val="18"/>
              </w:rPr>
              <w:t>；</w:t>
            </w:r>
          </w:p>
        </w:tc>
        <w:tc>
          <w:tcPr>
            <w:tcW w:w="1943"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713" w:type="pct"/>
            <w:shd w:val="clear" w:color="auto" w:fill="auto"/>
          </w:tcPr>
          <w:p>
            <w:pPr>
              <w:adjustRightInd w:val="0"/>
              <w:snapToGrid w:val="0"/>
              <w:spacing w:line="360" w:lineRule="auto"/>
              <w:rPr>
                <w:color w:val="000000"/>
                <w:sz w:val="18"/>
                <w:szCs w:val="18"/>
                <w:highlight w:val="yellow"/>
              </w:rPr>
            </w:pPr>
            <w:r>
              <w:rPr>
                <w:sz w:val="18"/>
                <w:szCs w:val="18"/>
              </w:rPr>
              <w:t>能够对研究的对象进行观察、比较、抽象和概括。能运用课程中的概念、定理及性质进行合乎逻辑的推理。能对计算结果进行合乎实际的分析、归纳和类比</w:t>
            </w:r>
            <w:r>
              <w:rPr>
                <w:rFonts w:hint="eastAsia"/>
                <w:sz w:val="18"/>
                <w:szCs w:val="18"/>
              </w:rPr>
              <w:t>；</w:t>
            </w:r>
          </w:p>
        </w:tc>
        <w:tc>
          <w:tcPr>
            <w:tcW w:w="1943" w:type="pct"/>
            <w:shd w:val="clear" w:color="auto" w:fill="auto"/>
          </w:tcPr>
          <w:p>
            <w:pPr>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p>
            <w:pPr>
              <w:adjustRightInd w:val="0"/>
              <w:snapToGrid w:val="0"/>
              <w:spacing w:line="360" w:lineRule="auto"/>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713" w:type="pct"/>
            <w:shd w:val="clear" w:color="auto" w:fill="auto"/>
          </w:tcPr>
          <w:p>
            <w:pPr>
              <w:adjustRightInd w:val="0"/>
              <w:snapToGrid w:val="0"/>
              <w:spacing w:line="360" w:lineRule="auto"/>
              <w:rPr>
                <w:color w:val="000000"/>
                <w:sz w:val="18"/>
                <w:szCs w:val="18"/>
                <w:highlight w:val="yellow"/>
              </w:rPr>
            </w:pPr>
            <w:r>
              <w:rPr>
                <w:sz w:val="18"/>
                <w:szCs w:val="18"/>
              </w:rPr>
              <w:t>能够将本课程与相关课程有机地联系起来，提出并解决相关学科中与本课程有关的问题, 能够自觉地用所学知识去观察生活，建立简单的数学模型，提出和解决生活中有关的数学问题。</w:t>
            </w:r>
          </w:p>
        </w:tc>
        <w:tc>
          <w:tcPr>
            <w:tcW w:w="1943"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p>
            <w:pPr>
              <w:adjustRightInd w:val="0"/>
              <w:snapToGrid w:val="0"/>
              <w:spacing w:line="360" w:lineRule="auto"/>
              <w:rPr>
                <w:sz w:val="18"/>
                <w:szCs w:val="18"/>
              </w:rPr>
            </w:pPr>
          </w:p>
        </w:tc>
      </w:tr>
    </w:tbl>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adjustRightInd w:val="0"/>
        <w:spacing w:line="360" w:lineRule="auto"/>
        <w:ind w:firstLine="420" w:firstLineChars="200"/>
        <w:rPr>
          <w:rFonts w:ascii="楷体_GB2312" w:hAnsi="Times New Roman,Bold" w:eastAsia="楷体_GB2312" w:cs="楷体_GB2312"/>
          <w:kern w:val="0"/>
          <w:sz w:val="24"/>
        </w:rPr>
      </w:pPr>
      <w:r>
        <w:rPr>
          <w:rFonts w:hint="eastAsia" w:eastAsia="黑体"/>
          <w:szCs w:val="21"/>
        </w:rPr>
        <w:t xml:space="preserve">第一章 </w:t>
      </w:r>
      <w:r>
        <w:rPr>
          <w:rFonts w:eastAsia="黑体"/>
          <w:szCs w:val="21"/>
        </w:rPr>
        <w:t xml:space="preserve"> </w:t>
      </w:r>
      <w:r>
        <w:rPr>
          <w:rFonts w:hint="eastAsia" w:eastAsia="黑体"/>
          <w:szCs w:val="21"/>
        </w:rPr>
        <w:t>随机事件与概率</w:t>
      </w:r>
      <w:r>
        <w:rPr>
          <w:rFonts w:ascii="楷体_GB2312" w:hAnsi="Times New Roman,Bold" w:eastAsia="楷体_GB2312" w:cs="楷体_GB2312"/>
          <w:kern w:val="0"/>
          <w:sz w:val="24"/>
        </w:rPr>
        <w:t xml:space="preserve"> </w:t>
      </w:r>
      <w:r>
        <w:rPr>
          <w:rFonts w:hint="eastAsia" w:ascii="楷体_GB2312" w:hAnsi="Times New Roman,Bold" w:eastAsia="楷体_GB2312" w:cs="楷体_GB2312"/>
          <w:kern w:val="0"/>
          <w:sz w:val="24"/>
        </w:rPr>
        <w:t>（8学时）</w:t>
      </w:r>
    </w:p>
    <w:p>
      <w:pPr>
        <w:adjustRightInd w:val="0"/>
        <w:spacing w:line="360" w:lineRule="auto"/>
        <w:ind w:firstLine="420" w:firstLineChars="200"/>
        <w:rPr>
          <w:szCs w:val="21"/>
        </w:rPr>
      </w:pPr>
      <w:r>
        <w:rPr>
          <w:szCs w:val="21"/>
        </w:rPr>
        <w:t xml:space="preserve">1. </w:t>
      </w:r>
      <w:r>
        <w:rPr>
          <w:rFonts w:hint="eastAsia"/>
          <w:szCs w:val="21"/>
        </w:rPr>
        <w:t>了解随机现象与随机试验，了解样本空间的概念，理解随机事件的概念，掌握事件之间的关系与运算。</w:t>
      </w:r>
      <w:r>
        <w:rPr>
          <w:szCs w:val="21"/>
        </w:rPr>
        <w:t xml:space="preserve"> </w:t>
      </w:r>
    </w:p>
    <w:p>
      <w:pPr>
        <w:adjustRightInd w:val="0"/>
        <w:spacing w:line="360" w:lineRule="auto"/>
        <w:ind w:firstLine="420" w:firstLineChars="200"/>
        <w:rPr>
          <w:szCs w:val="21"/>
        </w:rPr>
      </w:pPr>
      <w:r>
        <w:rPr>
          <w:szCs w:val="21"/>
        </w:rPr>
        <w:t xml:space="preserve">2. </w:t>
      </w:r>
      <w:r>
        <w:rPr>
          <w:rFonts w:hint="eastAsia"/>
          <w:szCs w:val="21"/>
        </w:rPr>
        <w:t>了解事件频率的概念，了解概率的统计定义及概率的古典定义，会计算简单的古典概率。</w:t>
      </w:r>
    </w:p>
    <w:p>
      <w:pPr>
        <w:adjustRightInd w:val="0"/>
        <w:spacing w:line="360" w:lineRule="auto"/>
        <w:ind w:firstLine="420" w:firstLineChars="200"/>
        <w:rPr>
          <w:szCs w:val="21"/>
        </w:rPr>
      </w:pPr>
      <w:r>
        <w:rPr>
          <w:szCs w:val="21"/>
        </w:rPr>
        <w:t xml:space="preserve">3. </w:t>
      </w:r>
      <w:r>
        <w:rPr>
          <w:rFonts w:hint="eastAsia"/>
          <w:szCs w:val="21"/>
        </w:rPr>
        <w:t>了解概率的公理化定义，掌握概率的基本性质，了解概率加法定理。</w:t>
      </w:r>
      <w:r>
        <w:rPr>
          <w:szCs w:val="21"/>
        </w:rPr>
        <w:t xml:space="preserve"> </w:t>
      </w:r>
    </w:p>
    <w:p>
      <w:pPr>
        <w:adjustRightInd w:val="0"/>
        <w:spacing w:line="360" w:lineRule="auto"/>
        <w:ind w:firstLine="420" w:firstLineChars="200"/>
        <w:rPr>
          <w:szCs w:val="21"/>
        </w:rPr>
      </w:pPr>
      <w:r>
        <w:rPr>
          <w:szCs w:val="21"/>
        </w:rPr>
        <w:t xml:space="preserve">4. </w:t>
      </w:r>
      <w:r>
        <w:rPr>
          <w:rFonts w:hint="eastAsia"/>
          <w:szCs w:val="21"/>
        </w:rPr>
        <w:t>了解条件概率的概念、概率的乘法定理、全概率公式与贝叶斯</w:t>
      </w:r>
      <w:r>
        <w:rPr>
          <w:szCs w:val="21"/>
        </w:rPr>
        <w:t>(Bayes)</w:t>
      </w:r>
      <w:r>
        <w:rPr>
          <w:rFonts w:hint="eastAsia"/>
          <w:szCs w:val="21"/>
        </w:rPr>
        <w:t>公式，会应用它们解决较简单的问题。</w:t>
      </w:r>
      <w:r>
        <w:rPr>
          <w:szCs w:val="21"/>
        </w:rPr>
        <w:t xml:space="preserve"> </w:t>
      </w:r>
    </w:p>
    <w:p>
      <w:pPr>
        <w:adjustRightInd w:val="0"/>
        <w:spacing w:line="360" w:lineRule="auto"/>
        <w:ind w:firstLine="420" w:firstLineChars="200"/>
        <w:rPr>
          <w:szCs w:val="21"/>
        </w:rPr>
      </w:pPr>
      <w:r>
        <w:rPr>
          <w:szCs w:val="21"/>
        </w:rPr>
        <w:t xml:space="preserve">5. </w:t>
      </w:r>
      <w:r>
        <w:rPr>
          <w:rFonts w:hint="eastAsia"/>
          <w:szCs w:val="21"/>
        </w:rPr>
        <w:t>理解事件的独立性概念。</w:t>
      </w:r>
      <w:r>
        <w:rPr>
          <w:szCs w:val="21"/>
        </w:rPr>
        <w:t xml:space="preserve"> </w:t>
      </w:r>
    </w:p>
    <w:p>
      <w:pPr>
        <w:adjustRightInd w:val="0"/>
        <w:spacing w:line="360" w:lineRule="auto"/>
        <w:ind w:firstLine="420" w:firstLineChars="200"/>
        <w:rPr>
          <w:szCs w:val="21"/>
        </w:rPr>
      </w:pPr>
      <w:r>
        <w:rPr>
          <w:szCs w:val="21"/>
        </w:rPr>
        <w:t xml:space="preserve">6. </w:t>
      </w:r>
      <w:r>
        <w:rPr>
          <w:rFonts w:hint="eastAsia"/>
          <w:szCs w:val="21"/>
        </w:rPr>
        <w:t>了解伯努利</w:t>
      </w:r>
      <w:r>
        <w:rPr>
          <w:szCs w:val="21"/>
        </w:rPr>
        <w:t>(Bernoulli)</w:t>
      </w:r>
      <w:r>
        <w:rPr>
          <w:rFonts w:hint="eastAsia"/>
          <w:szCs w:val="21"/>
        </w:rPr>
        <w:t>概型和二项概率的计算方法。</w:t>
      </w:r>
      <w:r>
        <w:rPr>
          <w:szCs w:val="21"/>
        </w:rPr>
        <w:t xml:space="preserve"> </w:t>
      </w:r>
    </w:p>
    <w:p>
      <w:pPr>
        <w:adjustRightInd w:val="0"/>
        <w:spacing w:line="360" w:lineRule="auto"/>
        <w:ind w:firstLine="420" w:firstLineChars="200"/>
        <w:rPr>
          <w:szCs w:val="21"/>
        </w:rPr>
      </w:pPr>
      <w:r>
        <w:rPr>
          <w:rFonts w:hint="eastAsia"/>
          <w:szCs w:val="21"/>
        </w:rPr>
        <w:t>本章节内容支撑课程目标 1、2。</w:t>
      </w:r>
    </w:p>
    <w:p>
      <w:pPr>
        <w:adjustRightInd w:val="0"/>
        <w:spacing w:line="360" w:lineRule="auto"/>
        <w:ind w:firstLine="420" w:firstLineChars="200"/>
        <w:rPr>
          <w:rFonts w:eastAsia="黑体"/>
          <w:szCs w:val="21"/>
        </w:rPr>
      </w:pPr>
      <w:r>
        <w:rPr>
          <w:rFonts w:hint="eastAsia" w:eastAsia="黑体"/>
          <w:szCs w:val="21"/>
        </w:rPr>
        <w:t>第二章  随机变量及其分布</w:t>
      </w:r>
      <w:r>
        <w:rPr>
          <w:rFonts w:eastAsia="黑体"/>
          <w:szCs w:val="21"/>
        </w:rPr>
        <w:t xml:space="preserve"> </w:t>
      </w:r>
      <w:r>
        <w:rPr>
          <w:rFonts w:hint="eastAsia" w:eastAsia="黑体"/>
          <w:szCs w:val="21"/>
        </w:rPr>
        <w:t>（12学时）</w:t>
      </w:r>
    </w:p>
    <w:p>
      <w:pPr>
        <w:adjustRightInd w:val="0"/>
        <w:spacing w:line="360" w:lineRule="auto"/>
        <w:ind w:firstLine="420" w:firstLineChars="200"/>
        <w:rPr>
          <w:szCs w:val="21"/>
        </w:rPr>
      </w:pPr>
      <w:r>
        <w:rPr>
          <w:szCs w:val="21"/>
        </w:rPr>
        <w:t xml:space="preserve">1. </w:t>
      </w:r>
      <w:r>
        <w:rPr>
          <w:rFonts w:hint="eastAsia"/>
          <w:szCs w:val="21"/>
        </w:rPr>
        <w:t>理解随机变量的概念，了解分布函数的概念和性质，会计算与随机变量相联系的事件的概率。</w:t>
      </w:r>
      <w:r>
        <w:rPr>
          <w:szCs w:val="21"/>
        </w:rPr>
        <w:t xml:space="preserve"> </w:t>
      </w:r>
    </w:p>
    <w:p>
      <w:pPr>
        <w:adjustRightInd w:val="0"/>
        <w:spacing w:line="360" w:lineRule="auto"/>
        <w:ind w:firstLine="420" w:firstLineChars="200"/>
        <w:rPr>
          <w:szCs w:val="21"/>
        </w:rPr>
      </w:pPr>
      <w:r>
        <w:rPr>
          <w:szCs w:val="21"/>
        </w:rPr>
        <w:t xml:space="preserve">2. </w:t>
      </w:r>
      <w:r>
        <w:rPr>
          <w:rFonts w:hint="eastAsia"/>
          <w:szCs w:val="21"/>
        </w:rPr>
        <w:t>理解离散型随机变量及其分布律的概念，掌握</w:t>
      </w:r>
      <w:r>
        <w:rPr>
          <w:szCs w:val="21"/>
        </w:rPr>
        <w:t>0-1</w:t>
      </w:r>
      <w:r>
        <w:rPr>
          <w:rFonts w:hint="eastAsia"/>
          <w:szCs w:val="21"/>
        </w:rPr>
        <w:t>分布和二项分布，了解泊松</w:t>
      </w:r>
      <w:r>
        <w:rPr>
          <w:szCs w:val="21"/>
        </w:rPr>
        <w:t>(Poisson)</w:t>
      </w:r>
      <w:r>
        <w:rPr>
          <w:rFonts w:hint="eastAsia"/>
          <w:szCs w:val="21"/>
        </w:rPr>
        <w:t>分布。会用二项分布计算相应事件的概率。</w:t>
      </w:r>
    </w:p>
    <w:p>
      <w:pPr>
        <w:adjustRightInd w:val="0"/>
        <w:spacing w:line="360" w:lineRule="auto"/>
        <w:ind w:firstLine="420" w:firstLineChars="200"/>
        <w:rPr>
          <w:szCs w:val="21"/>
        </w:rPr>
      </w:pPr>
      <w:r>
        <w:rPr>
          <w:szCs w:val="21"/>
        </w:rPr>
        <w:t xml:space="preserve">3. </w:t>
      </w:r>
      <w:r>
        <w:rPr>
          <w:rFonts w:hint="eastAsia"/>
          <w:szCs w:val="21"/>
        </w:rPr>
        <w:t>理解连续型随机变量及其概率密度的概念，理解正态分布，了解均匀分布和指数分布。</w:t>
      </w:r>
      <w:r>
        <w:rPr>
          <w:szCs w:val="21"/>
        </w:rPr>
        <w:t xml:space="preserve"> </w:t>
      </w:r>
    </w:p>
    <w:p>
      <w:pPr>
        <w:adjustRightInd w:val="0"/>
        <w:spacing w:line="360" w:lineRule="auto"/>
        <w:ind w:firstLine="420" w:firstLineChars="200"/>
        <w:rPr>
          <w:szCs w:val="21"/>
        </w:rPr>
      </w:pPr>
      <w:r>
        <w:rPr>
          <w:szCs w:val="21"/>
        </w:rPr>
        <w:t>4.</w:t>
      </w:r>
      <w:r>
        <w:rPr>
          <w:rFonts w:hint="eastAsia"/>
          <w:szCs w:val="21"/>
        </w:rPr>
        <w:t xml:space="preserve"> 掌握概率密度与分布函数之间的关系；</w:t>
      </w:r>
    </w:p>
    <w:p>
      <w:pPr>
        <w:adjustRightInd w:val="0"/>
        <w:spacing w:line="360" w:lineRule="auto"/>
        <w:ind w:firstLine="420" w:firstLineChars="200"/>
        <w:rPr>
          <w:szCs w:val="21"/>
        </w:rPr>
      </w:pPr>
      <w:r>
        <w:rPr>
          <w:szCs w:val="21"/>
        </w:rPr>
        <w:t xml:space="preserve">5. </w:t>
      </w:r>
      <w:r>
        <w:rPr>
          <w:rFonts w:hint="eastAsia"/>
          <w:szCs w:val="21"/>
        </w:rPr>
        <w:t>会根据自变量的概率分布求简单的随机变量函数的概率分布。</w:t>
      </w:r>
    </w:p>
    <w:p>
      <w:pPr>
        <w:adjustRightInd w:val="0"/>
        <w:spacing w:line="360" w:lineRule="auto"/>
        <w:ind w:firstLine="420" w:firstLineChars="200"/>
        <w:rPr>
          <w:szCs w:val="21"/>
        </w:rPr>
      </w:pPr>
      <w:r>
        <w:rPr>
          <w:rFonts w:hint="eastAsia"/>
          <w:szCs w:val="21"/>
        </w:rPr>
        <w:t>本章节内容支撑课程目标 1、2、3。</w:t>
      </w:r>
    </w:p>
    <w:p>
      <w:pPr>
        <w:adjustRightInd w:val="0"/>
        <w:spacing w:line="360" w:lineRule="auto"/>
        <w:ind w:firstLine="420" w:firstLineChars="200"/>
        <w:rPr>
          <w:rFonts w:eastAsia="黑体"/>
          <w:szCs w:val="21"/>
        </w:rPr>
      </w:pPr>
      <w:r>
        <w:rPr>
          <w:rFonts w:hint="eastAsia" w:eastAsia="黑体"/>
          <w:szCs w:val="21"/>
        </w:rPr>
        <w:t>第三章  多维随机变量及其分布（4学时）</w:t>
      </w:r>
    </w:p>
    <w:p>
      <w:pPr>
        <w:adjustRightInd w:val="0"/>
        <w:spacing w:line="360" w:lineRule="auto"/>
        <w:ind w:firstLine="420" w:firstLineChars="200"/>
        <w:rPr>
          <w:szCs w:val="21"/>
        </w:rPr>
      </w:pPr>
      <w:r>
        <w:rPr>
          <w:szCs w:val="21"/>
        </w:rPr>
        <w:t xml:space="preserve">1. </w:t>
      </w:r>
      <w:r>
        <w:rPr>
          <w:rFonts w:hint="eastAsia"/>
          <w:szCs w:val="21"/>
        </w:rPr>
        <w:t>了解多维随机变量的概念，了解二维随机变量的联合分布函数的概念和性质。</w:t>
      </w:r>
    </w:p>
    <w:p>
      <w:pPr>
        <w:adjustRightInd w:val="0"/>
        <w:spacing w:line="360" w:lineRule="auto"/>
        <w:ind w:firstLine="420" w:firstLineChars="200"/>
        <w:rPr>
          <w:szCs w:val="21"/>
        </w:rPr>
      </w:pPr>
      <w:r>
        <w:rPr>
          <w:szCs w:val="21"/>
        </w:rPr>
        <w:t xml:space="preserve">2. </w:t>
      </w:r>
      <w:r>
        <w:rPr>
          <w:rFonts w:hint="eastAsia"/>
          <w:szCs w:val="21"/>
        </w:rPr>
        <w:t>了解二维离散型随机变量的分布律的概念，理解二维连续型随机变量的概率密度的概念，会利用二维概率分布求有关事件的概率。</w:t>
      </w:r>
    </w:p>
    <w:p>
      <w:pPr>
        <w:adjustRightInd w:val="0"/>
        <w:spacing w:line="360" w:lineRule="auto"/>
        <w:ind w:firstLine="420" w:firstLineChars="200"/>
        <w:rPr>
          <w:szCs w:val="21"/>
        </w:rPr>
      </w:pPr>
      <w:r>
        <w:rPr>
          <w:szCs w:val="21"/>
        </w:rPr>
        <w:t xml:space="preserve">3. </w:t>
      </w:r>
      <w:r>
        <w:rPr>
          <w:rFonts w:hint="eastAsia"/>
          <w:szCs w:val="21"/>
        </w:rPr>
        <w:t>会计算二维随机变量的边缘分布。</w:t>
      </w:r>
    </w:p>
    <w:p>
      <w:pPr>
        <w:adjustRightInd w:val="0"/>
        <w:spacing w:line="360" w:lineRule="auto"/>
        <w:ind w:firstLine="420" w:firstLineChars="200"/>
        <w:rPr>
          <w:szCs w:val="21"/>
        </w:rPr>
      </w:pPr>
      <w:r>
        <w:rPr>
          <w:szCs w:val="21"/>
        </w:rPr>
        <w:t xml:space="preserve">4. </w:t>
      </w:r>
      <w:r>
        <w:rPr>
          <w:rFonts w:hint="eastAsia"/>
          <w:szCs w:val="21"/>
        </w:rPr>
        <w:t>理解随机变量的独立性概念，掌握离散型和连续型随机变量独立的条件。</w:t>
      </w:r>
    </w:p>
    <w:p>
      <w:pPr>
        <w:adjustRightInd w:val="0"/>
        <w:spacing w:line="360" w:lineRule="auto"/>
        <w:ind w:firstLine="420" w:firstLineChars="200"/>
        <w:rPr>
          <w:szCs w:val="21"/>
        </w:rPr>
      </w:pPr>
      <w:r>
        <w:rPr>
          <w:szCs w:val="21"/>
        </w:rPr>
        <w:t xml:space="preserve">5. </w:t>
      </w:r>
      <w:r>
        <w:rPr>
          <w:rFonts w:hint="eastAsia"/>
          <w:szCs w:val="21"/>
        </w:rPr>
        <w:t>会求两个独立随机变量简单函数（和、极大、极小）的分布。</w:t>
      </w:r>
    </w:p>
    <w:p>
      <w:pPr>
        <w:adjustRightInd w:val="0"/>
        <w:spacing w:line="360" w:lineRule="auto"/>
        <w:ind w:firstLine="420" w:firstLineChars="200"/>
        <w:rPr>
          <w:szCs w:val="21"/>
        </w:rPr>
      </w:pPr>
      <w:r>
        <w:rPr>
          <w:rFonts w:hint="eastAsia"/>
          <w:szCs w:val="21"/>
        </w:rPr>
        <w:t>本章节内容支撑课程目标 1、2。</w:t>
      </w:r>
    </w:p>
    <w:p>
      <w:pPr>
        <w:adjustRightInd w:val="0"/>
        <w:spacing w:line="360" w:lineRule="auto"/>
        <w:ind w:firstLine="420" w:firstLineChars="200"/>
        <w:rPr>
          <w:rFonts w:eastAsia="黑体"/>
          <w:szCs w:val="21"/>
        </w:rPr>
      </w:pPr>
      <w:r>
        <w:rPr>
          <w:rFonts w:hint="eastAsia" w:eastAsia="黑体"/>
          <w:szCs w:val="21"/>
        </w:rPr>
        <w:t>第四章  随机变量的数字特征（6学时）</w:t>
      </w:r>
    </w:p>
    <w:p>
      <w:pPr>
        <w:adjustRightInd w:val="0"/>
        <w:spacing w:line="360" w:lineRule="auto"/>
        <w:ind w:firstLine="420" w:firstLineChars="200"/>
        <w:rPr>
          <w:rFonts w:ascii="宋体" w:hAnsi="宋体"/>
          <w:color w:val="FF0000"/>
        </w:rPr>
      </w:pPr>
      <w:r>
        <w:rPr>
          <w:szCs w:val="21"/>
        </w:rPr>
        <w:t xml:space="preserve">1. </w:t>
      </w:r>
      <w:r>
        <w:rPr>
          <w:rFonts w:hint="eastAsia"/>
          <w:szCs w:val="21"/>
        </w:rPr>
        <w:t>理解随机变量数学期望与方差的概念，掌握它们的性质与计算方法（对性质的分析证明不作要求），会计算随机变量函数的数学期望。</w:t>
      </w:r>
    </w:p>
    <w:p>
      <w:pPr>
        <w:adjustRightInd w:val="0"/>
        <w:spacing w:line="360" w:lineRule="auto"/>
        <w:ind w:firstLine="420" w:firstLineChars="200"/>
        <w:rPr>
          <w:szCs w:val="21"/>
        </w:rPr>
      </w:pPr>
      <w:r>
        <w:rPr>
          <w:szCs w:val="21"/>
        </w:rPr>
        <w:t>2.</w:t>
      </w:r>
      <w:r>
        <w:rPr>
          <w:rFonts w:hint="eastAsia"/>
          <w:szCs w:val="21"/>
        </w:rPr>
        <w:t xml:space="preserve"> 了解随机变量的不相关与独立的关系。</w:t>
      </w:r>
    </w:p>
    <w:p>
      <w:pPr>
        <w:adjustRightInd w:val="0"/>
        <w:spacing w:line="360" w:lineRule="auto"/>
        <w:ind w:firstLine="420" w:firstLineChars="200"/>
        <w:rPr>
          <w:szCs w:val="21"/>
        </w:rPr>
      </w:pPr>
      <w:r>
        <w:rPr>
          <w:szCs w:val="21"/>
        </w:rPr>
        <w:t xml:space="preserve">3. </w:t>
      </w:r>
      <w:r>
        <w:rPr>
          <w:rFonts w:hint="eastAsia"/>
          <w:szCs w:val="21"/>
        </w:rPr>
        <w:t>了解</w:t>
      </w:r>
      <w:r>
        <w:rPr>
          <w:szCs w:val="21"/>
        </w:rPr>
        <w:t>0-1</w:t>
      </w:r>
      <w:r>
        <w:rPr>
          <w:rFonts w:hint="eastAsia"/>
          <w:szCs w:val="21"/>
        </w:rPr>
        <w:t>分布、二项分布、泊松分布、正态分布、均匀分布和指数分布的数学期望与方差。</w:t>
      </w:r>
    </w:p>
    <w:p>
      <w:pPr>
        <w:adjustRightInd w:val="0"/>
        <w:spacing w:line="360" w:lineRule="auto"/>
        <w:ind w:firstLine="420" w:firstLineChars="200"/>
        <w:rPr>
          <w:szCs w:val="21"/>
        </w:rPr>
      </w:pPr>
      <w:r>
        <w:rPr>
          <w:szCs w:val="21"/>
        </w:rPr>
        <w:t xml:space="preserve">4. </w:t>
      </w:r>
      <w:r>
        <w:rPr>
          <w:rFonts w:hint="eastAsia"/>
          <w:szCs w:val="21"/>
        </w:rPr>
        <w:t>了解矩、协方差和相关系数的概念及其性质，并会计算矩、协方差和相关系数。</w:t>
      </w:r>
    </w:p>
    <w:p>
      <w:pPr>
        <w:adjustRightInd w:val="0"/>
        <w:spacing w:line="360" w:lineRule="auto"/>
        <w:ind w:firstLine="420" w:firstLineChars="200"/>
        <w:rPr>
          <w:szCs w:val="21"/>
        </w:rPr>
      </w:pPr>
      <w:r>
        <w:rPr>
          <w:rFonts w:hint="eastAsia"/>
          <w:szCs w:val="21"/>
        </w:rPr>
        <w:t>本章节内容支撑课程目标 1。</w:t>
      </w:r>
    </w:p>
    <w:p>
      <w:pPr>
        <w:adjustRightInd w:val="0"/>
        <w:spacing w:line="360" w:lineRule="auto"/>
        <w:ind w:firstLine="420" w:firstLineChars="200"/>
        <w:rPr>
          <w:rFonts w:eastAsia="黑体"/>
          <w:szCs w:val="21"/>
        </w:rPr>
      </w:pPr>
      <w:r>
        <w:rPr>
          <w:rFonts w:hint="eastAsia" w:eastAsia="黑体"/>
          <w:szCs w:val="21"/>
        </w:rPr>
        <w:t>第五章  大数定律和中心极限定理（2学时）</w:t>
      </w:r>
    </w:p>
    <w:p>
      <w:pPr>
        <w:adjustRightInd w:val="0"/>
        <w:spacing w:line="360" w:lineRule="auto"/>
        <w:ind w:firstLine="420" w:firstLineChars="200"/>
        <w:rPr>
          <w:szCs w:val="21"/>
        </w:rPr>
      </w:pPr>
      <w:r>
        <w:rPr>
          <w:szCs w:val="21"/>
        </w:rPr>
        <w:t xml:space="preserve">1. </w:t>
      </w:r>
      <w:r>
        <w:rPr>
          <w:rFonts w:hint="eastAsia"/>
          <w:szCs w:val="21"/>
        </w:rPr>
        <w:t>了解切比雪夫（Chebyshev）不等式、切比雪夫大数定律和伯努利大数定律，了解伯努利大数定律与概率的统计定义、参数估计之间的关系。</w:t>
      </w:r>
    </w:p>
    <w:p>
      <w:pPr>
        <w:adjustRightInd w:val="0"/>
        <w:spacing w:line="360" w:lineRule="auto"/>
        <w:ind w:firstLine="420" w:firstLineChars="200"/>
        <w:rPr>
          <w:szCs w:val="21"/>
        </w:rPr>
      </w:pPr>
      <w:r>
        <w:rPr>
          <w:szCs w:val="21"/>
        </w:rPr>
        <w:t xml:space="preserve">2. </w:t>
      </w:r>
      <w:r>
        <w:rPr>
          <w:rFonts w:hint="eastAsia"/>
          <w:szCs w:val="21"/>
        </w:rPr>
        <w:t>了解独立同分布情形下的中心极限定理和棣莫弗</w:t>
      </w:r>
      <w:r>
        <w:rPr>
          <w:szCs w:val="21"/>
        </w:rPr>
        <w:t>-</w:t>
      </w:r>
      <w:r>
        <w:rPr>
          <w:rFonts w:hint="eastAsia"/>
          <w:szCs w:val="21"/>
        </w:rPr>
        <w:t>拉普拉斯（</w:t>
      </w:r>
      <w:r>
        <w:rPr>
          <w:szCs w:val="21"/>
        </w:rPr>
        <w:t>De Moivre</w:t>
      </w:r>
      <w:r>
        <w:rPr>
          <w:rFonts w:hint="eastAsia"/>
          <w:szCs w:val="21"/>
        </w:rPr>
        <w:t>-</w:t>
      </w:r>
      <w:r>
        <w:rPr>
          <w:szCs w:val="21"/>
        </w:rPr>
        <w:t>Laplace</w:t>
      </w:r>
      <w:r>
        <w:rPr>
          <w:rFonts w:hint="eastAsia"/>
          <w:szCs w:val="21"/>
        </w:rPr>
        <w:t>）中心极限定理。</w:t>
      </w:r>
    </w:p>
    <w:p>
      <w:pPr>
        <w:adjustRightInd w:val="0"/>
        <w:spacing w:line="360" w:lineRule="auto"/>
        <w:ind w:firstLine="420" w:firstLineChars="200"/>
        <w:rPr>
          <w:szCs w:val="21"/>
        </w:rPr>
      </w:pPr>
      <w:r>
        <w:rPr>
          <w:szCs w:val="21"/>
        </w:rPr>
        <w:t xml:space="preserve">3. </w:t>
      </w:r>
      <w:r>
        <w:rPr>
          <w:rFonts w:hint="eastAsia"/>
          <w:szCs w:val="21"/>
        </w:rPr>
        <w:t>了解棣莫弗</w:t>
      </w:r>
      <w:r>
        <w:rPr>
          <w:szCs w:val="21"/>
        </w:rPr>
        <w:t>-</w:t>
      </w:r>
      <w:r>
        <w:rPr>
          <w:rFonts w:hint="eastAsia"/>
          <w:szCs w:val="21"/>
        </w:rPr>
        <w:t>拉普拉斯中心极限定理在实际问题中的应用。</w:t>
      </w:r>
    </w:p>
    <w:p>
      <w:pPr>
        <w:adjustRightInd w:val="0"/>
        <w:spacing w:line="360" w:lineRule="auto"/>
        <w:ind w:firstLine="420" w:firstLineChars="200"/>
        <w:rPr>
          <w:szCs w:val="21"/>
        </w:rPr>
      </w:pPr>
      <w:r>
        <w:rPr>
          <w:rFonts w:hint="eastAsia"/>
          <w:szCs w:val="21"/>
        </w:rPr>
        <w:t>本章节内容支撑课程目标 1、2、</w:t>
      </w:r>
      <w:r>
        <w:rPr>
          <w:szCs w:val="21"/>
        </w:rPr>
        <w:t>3</w:t>
      </w:r>
      <w:r>
        <w:rPr>
          <w:rFonts w:hint="eastAsia"/>
          <w:szCs w:val="21"/>
        </w:rPr>
        <w:t>。</w:t>
      </w:r>
    </w:p>
    <w:p>
      <w:pPr>
        <w:adjustRightInd w:val="0"/>
        <w:spacing w:line="360" w:lineRule="auto"/>
        <w:ind w:firstLine="420" w:firstLineChars="200"/>
        <w:rPr>
          <w:rFonts w:eastAsia="黑体"/>
          <w:szCs w:val="21"/>
        </w:rPr>
      </w:pPr>
      <w:r>
        <w:rPr>
          <w:rFonts w:hint="eastAsia" w:eastAsia="黑体"/>
          <w:szCs w:val="21"/>
        </w:rPr>
        <w:t xml:space="preserve">第六章 </w:t>
      </w:r>
      <w:r>
        <w:rPr>
          <w:rFonts w:eastAsia="黑体"/>
          <w:szCs w:val="21"/>
        </w:rPr>
        <w:t xml:space="preserve"> </w:t>
      </w:r>
      <w:r>
        <w:rPr>
          <w:rFonts w:hint="eastAsia" w:eastAsia="黑体"/>
          <w:szCs w:val="21"/>
        </w:rPr>
        <w:t>数理统计的基本概念（4学时）</w:t>
      </w:r>
    </w:p>
    <w:p>
      <w:pPr>
        <w:adjustRightInd w:val="0"/>
        <w:spacing w:line="360" w:lineRule="auto"/>
        <w:ind w:firstLine="420" w:firstLineChars="200"/>
        <w:rPr>
          <w:szCs w:val="21"/>
        </w:rPr>
      </w:pPr>
      <w:r>
        <w:rPr>
          <w:szCs w:val="21"/>
        </w:rPr>
        <w:t xml:space="preserve">1. </w:t>
      </w:r>
      <w:r>
        <w:rPr>
          <w:rFonts w:hint="eastAsia"/>
          <w:szCs w:val="21"/>
        </w:rPr>
        <w:t>理解总体、个体、样本和统计量的概念。</w:t>
      </w:r>
    </w:p>
    <w:p>
      <w:pPr>
        <w:adjustRightInd w:val="0"/>
        <w:spacing w:line="360" w:lineRule="auto"/>
        <w:ind w:firstLine="420" w:firstLineChars="200"/>
        <w:rPr>
          <w:szCs w:val="21"/>
        </w:rPr>
      </w:pPr>
      <w:r>
        <w:rPr>
          <w:szCs w:val="21"/>
        </w:rPr>
        <w:t xml:space="preserve">2. </w:t>
      </w:r>
      <w:r>
        <w:rPr>
          <w:rFonts w:hint="eastAsia"/>
          <w:szCs w:val="21"/>
        </w:rPr>
        <w:t>了解直方图的作法。</w:t>
      </w:r>
    </w:p>
    <w:p>
      <w:pPr>
        <w:adjustRightInd w:val="0"/>
        <w:spacing w:line="360" w:lineRule="auto"/>
        <w:ind w:firstLine="420" w:firstLineChars="200"/>
        <w:rPr>
          <w:szCs w:val="21"/>
        </w:rPr>
      </w:pPr>
      <w:r>
        <w:rPr>
          <w:szCs w:val="21"/>
        </w:rPr>
        <w:t xml:space="preserve">3. </w:t>
      </w:r>
      <w:r>
        <w:rPr>
          <w:rFonts w:hint="eastAsia"/>
          <w:szCs w:val="21"/>
        </w:rPr>
        <w:t>理解样本均值和样本方差的概念，会根据数据计算样本均值和样本方差。</w:t>
      </w:r>
    </w:p>
    <w:p>
      <w:pPr>
        <w:adjustRightInd w:val="0"/>
        <w:spacing w:line="360" w:lineRule="auto"/>
        <w:ind w:firstLine="420" w:firstLineChars="200"/>
        <w:rPr>
          <w:szCs w:val="21"/>
        </w:rPr>
      </w:pPr>
      <w:r>
        <w:rPr>
          <w:szCs w:val="21"/>
        </w:rPr>
        <w:t xml:space="preserve">4. </w:t>
      </w:r>
      <w:r>
        <w:rPr>
          <w:rFonts w:hint="eastAsia"/>
          <w:szCs w:val="21"/>
        </w:rPr>
        <w:t>了解</w:t>
      </w:r>
      <w:r>
        <w:rPr>
          <w:szCs w:val="21"/>
        </w:rPr>
        <w:t>χ</w:t>
      </w:r>
      <w:r>
        <w:rPr>
          <w:position w:val="-4"/>
          <w:szCs w:val="21"/>
        </w:rPr>
        <w:object>
          <v:shape id="_x0000_i1038" o:spt="75" type="#_x0000_t75" style="height:15pt;width:7.5pt;" o:ole="t" filled="f" o:preferrelative="t" stroked="f" coordsize="21600,21600">
            <v:path/>
            <v:fill on="f" focussize="0,0"/>
            <v:stroke on="f" joinstyle="miter"/>
            <v:imagedata r:id="rId182" o:title=""/>
            <o:lock v:ext="edit" aspectratio="t"/>
            <w10:wrap type="none"/>
            <w10:anchorlock/>
          </v:shape>
          <o:OLEObject Type="Embed" ProgID="Equation.DSMT4" ShapeID="_x0000_i1038" DrawAspect="Content" ObjectID="_1468075738" r:id="rId181">
            <o:LockedField>false</o:LockedField>
          </o:OLEObject>
        </w:object>
      </w:r>
      <w:r>
        <w:rPr>
          <w:rFonts w:hint="eastAsia"/>
          <w:szCs w:val="21"/>
        </w:rPr>
        <w:t>分布，</w:t>
      </w:r>
      <w:r>
        <w:rPr>
          <w:szCs w:val="21"/>
        </w:rPr>
        <w:t>t</w:t>
      </w:r>
      <w:r>
        <w:rPr>
          <w:rFonts w:hint="eastAsia"/>
          <w:szCs w:val="21"/>
        </w:rPr>
        <w:t>分布和</w:t>
      </w:r>
      <w:r>
        <w:rPr>
          <w:szCs w:val="21"/>
        </w:rPr>
        <w:t>F</w:t>
      </w:r>
      <w:r>
        <w:rPr>
          <w:rFonts w:hint="eastAsia"/>
          <w:szCs w:val="21"/>
        </w:rPr>
        <w:t>分布的定义，会通过查表来计算分位数。</w:t>
      </w:r>
    </w:p>
    <w:p>
      <w:pPr>
        <w:adjustRightInd w:val="0"/>
        <w:spacing w:line="360" w:lineRule="auto"/>
        <w:ind w:firstLine="420" w:firstLineChars="200"/>
        <w:rPr>
          <w:szCs w:val="21"/>
        </w:rPr>
      </w:pPr>
      <w:r>
        <w:rPr>
          <w:szCs w:val="21"/>
        </w:rPr>
        <w:t xml:space="preserve">5. </w:t>
      </w:r>
      <w:r>
        <w:rPr>
          <w:rFonts w:hint="eastAsia"/>
          <w:szCs w:val="21"/>
        </w:rPr>
        <w:t>了解正态总体的常用抽样分布。</w:t>
      </w:r>
    </w:p>
    <w:p>
      <w:pPr>
        <w:adjustRightInd w:val="0"/>
        <w:spacing w:line="360" w:lineRule="auto"/>
        <w:ind w:firstLine="420" w:firstLineChars="200"/>
        <w:rPr>
          <w:szCs w:val="21"/>
        </w:rPr>
      </w:pPr>
      <w:r>
        <w:rPr>
          <w:rFonts w:hint="eastAsia"/>
          <w:szCs w:val="21"/>
        </w:rPr>
        <w:t>本章节内容支撑课程目标 1、2。</w:t>
      </w:r>
    </w:p>
    <w:p>
      <w:pPr>
        <w:adjustRightInd w:val="0"/>
        <w:spacing w:line="360" w:lineRule="auto"/>
        <w:ind w:firstLine="420" w:firstLineChars="200"/>
        <w:rPr>
          <w:rFonts w:eastAsia="黑体"/>
          <w:szCs w:val="21"/>
        </w:rPr>
      </w:pPr>
      <w:r>
        <w:rPr>
          <w:rFonts w:hint="eastAsia" w:eastAsia="黑体"/>
          <w:szCs w:val="21"/>
        </w:rPr>
        <w:t>第七章  参数估计（6学时）</w:t>
      </w:r>
    </w:p>
    <w:p>
      <w:pPr>
        <w:adjustRightInd w:val="0"/>
        <w:spacing w:line="360" w:lineRule="auto"/>
        <w:ind w:firstLine="420" w:firstLineChars="200"/>
        <w:rPr>
          <w:szCs w:val="21"/>
        </w:rPr>
      </w:pPr>
      <w:r>
        <w:rPr>
          <w:szCs w:val="21"/>
        </w:rPr>
        <w:t xml:space="preserve">1. </w:t>
      </w:r>
      <w:r>
        <w:rPr>
          <w:rFonts w:hint="eastAsia"/>
          <w:szCs w:val="21"/>
        </w:rPr>
        <w:t>理解点估计的概念，了解矩估计法与最大似然估计法。</w:t>
      </w:r>
    </w:p>
    <w:p>
      <w:pPr>
        <w:adjustRightInd w:val="0"/>
        <w:spacing w:line="360" w:lineRule="auto"/>
        <w:ind w:firstLine="420" w:firstLineChars="200"/>
        <w:rPr>
          <w:szCs w:val="21"/>
        </w:rPr>
      </w:pPr>
      <w:r>
        <w:rPr>
          <w:szCs w:val="21"/>
        </w:rPr>
        <w:t xml:space="preserve">2. </w:t>
      </w:r>
      <w:r>
        <w:rPr>
          <w:rFonts w:hint="eastAsia"/>
          <w:szCs w:val="21"/>
        </w:rPr>
        <w:t>了解无偏性、有效性、一致性等估计量的评判标准。</w:t>
      </w:r>
    </w:p>
    <w:p>
      <w:pPr>
        <w:adjustRightInd w:val="0"/>
        <w:spacing w:line="360" w:lineRule="auto"/>
        <w:ind w:firstLine="420" w:firstLineChars="200"/>
        <w:rPr>
          <w:szCs w:val="21"/>
        </w:rPr>
      </w:pPr>
      <w:r>
        <w:rPr>
          <w:szCs w:val="21"/>
        </w:rPr>
        <w:t xml:space="preserve">3. </w:t>
      </w:r>
      <w:r>
        <w:rPr>
          <w:rFonts w:hint="eastAsia"/>
          <w:szCs w:val="21"/>
        </w:rPr>
        <w:t>理解区间估计的概念，会求单个正态总体均值与方差的置信区间，会求两个正态总体均值差与方差比的置信区间。</w:t>
      </w:r>
    </w:p>
    <w:p>
      <w:pPr>
        <w:adjustRightInd w:val="0"/>
        <w:spacing w:line="360" w:lineRule="auto"/>
        <w:ind w:firstLine="420" w:firstLineChars="200"/>
        <w:rPr>
          <w:szCs w:val="21"/>
        </w:rPr>
      </w:pPr>
      <w:r>
        <w:rPr>
          <w:rFonts w:hint="eastAsia"/>
          <w:szCs w:val="21"/>
        </w:rPr>
        <w:t>本章节内容支撑课程目标 1、2。</w:t>
      </w:r>
    </w:p>
    <w:p>
      <w:pPr>
        <w:adjustRightInd w:val="0"/>
        <w:spacing w:line="360" w:lineRule="auto"/>
        <w:ind w:firstLine="420" w:firstLineChars="200"/>
        <w:rPr>
          <w:rFonts w:eastAsia="黑体"/>
          <w:szCs w:val="21"/>
        </w:rPr>
      </w:pPr>
      <w:r>
        <w:rPr>
          <w:rFonts w:hint="eastAsia" w:eastAsia="黑体"/>
          <w:szCs w:val="21"/>
        </w:rPr>
        <w:t xml:space="preserve">第八章 </w:t>
      </w:r>
      <w:r>
        <w:rPr>
          <w:rFonts w:eastAsia="黑体"/>
          <w:szCs w:val="21"/>
        </w:rPr>
        <w:t xml:space="preserve"> </w:t>
      </w:r>
      <w:r>
        <w:rPr>
          <w:rFonts w:hint="eastAsia" w:eastAsia="黑体"/>
          <w:szCs w:val="21"/>
        </w:rPr>
        <w:t>假设检验和回归分析（</w:t>
      </w:r>
      <w:r>
        <w:rPr>
          <w:rFonts w:hint="eastAsia"/>
          <w:szCs w:val="21"/>
        </w:rPr>
        <w:t>6学时</w:t>
      </w:r>
      <w:r>
        <w:rPr>
          <w:rFonts w:hint="eastAsia" w:eastAsia="黑体"/>
          <w:szCs w:val="21"/>
        </w:rPr>
        <w:t>）</w:t>
      </w:r>
    </w:p>
    <w:p>
      <w:pPr>
        <w:adjustRightInd w:val="0"/>
        <w:spacing w:line="360" w:lineRule="auto"/>
        <w:ind w:firstLine="420" w:firstLineChars="200"/>
        <w:rPr>
          <w:szCs w:val="21"/>
        </w:rPr>
      </w:pPr>
      <w:r>
        <w:rPr>
          <w:szCs w:val="21"/>
        </w:rPr>
        <w:t xml:space="preserve">1. </w:t>
      </w:r>
      <w:r>
        <w:rPr>
          <w:rFonts w:hint="eastAsia"/>
          <w:szCs w:val="21"/>
        </w:rPr>
        <w:t>理解假设检验的基本思想，掌握假设检验的步骤，了解假设检验可能产生的两类错误。</w:t>
      </w:r>
    </w:p>
    <w:p>
      <w:pPr>
        <w:adjustRightInd w:val="0"/>
        <w:spacing w:line="360" w:lineRule="auto"/>
        <w:ind w:firstLine="420" w:firstLineChars="200"/>
        <w:rPr>
          <w:szCs w:val="21"/>
        </w:rPr>
      </w:pPr>
      <w:r>
        <w:rPr>
          <w:szCs w:val="21"/>
        </w:rPr>
        <w:t xml:space="preserve">2. </w:t>
      </w:r>
      <w:r>
        <w:rPr>
          <w:rFonts w:hint="eastAsia"/>
          <w:szCs w:val="21"/>
        </w:rPr>
        <w:t>了解单个正态总体均值和方差的假设检验，了解两个正态总体均值差和方差比的假设检验。</w:t>
      </w:r>
    </w:p>
    <w:p>
      <w:pPr>
        <w:adjustRightInd w:val="0"/>
        <w:spacing w:line="360" w:lineRule="auto"/>
        <w:ind w:firstLine="420" w:firstLineChars="200"/>
        <w:rPr>
          <w:szCs w:val="21"/>
        </w:rPr>
      </w:pPr>
      <w:r>
        <w:rPr>
          <w:szCs w:val="21"/>
        </w:rPr>
        <w:t xml:space="preserve">3. </w:t>
      </w:r>
      <w:r>
        <w:rPr>
          <w:rFonts w:hint="eastAsia"/>
          <w:szCs w:val="21"/>
        </w:rPr>
        <w:t>了解总体分布假设的</w:t>
      </w:r>
      <w:r>
        <w:rPr>
          <w:szCs w:val="21"/>
        </w:rPr>
        <w:t>χ</w:t>
      </w:r>
      <w:r>
        <w:rPr>
          <w:position w:val="-4"/>
          <w:szCs w:val="21"/>
        </w:rPr>
        <w:object>
          <v:shape id="_x0000_i1039" o:spt="75" type="#_x0000_t75" style="height:15pt;width:7.5pt;" o:ole="t" filled="f" o:preferrelative="t" stroked="f" coordsize="21600,21600">
            <v:path/>
            <v:fill on="f" focussize="0,0"/>
            <v:stroke on="f" joinstyle="miter"/>
            <v:imagedata r:id="rId182" o:title=""/>
            <o:lock v:ext="edit" aspectratio="t"/>
            <w10:wrap type="none"/>
            <w10:anchorlock/>
          </v:shape>
          <o:OLEObject Type="Embed" ProgID="Equation.DSMT4" ShapeID="_x0000_i1039" DrawAspect="Content" ObjectID="_1468075739" r:id="rId183">
            <o:LockedField>false</o:LockedField>
          </o:OLEObject>
        </w:object>
      </w:r>
      <w:r>
        <w:rPr>
          <w:rFonts w:hint="eastAsia"/>
          <w:szCs w:val="21"/>
        </w:rPr>
        <w:t>检验法。</w:t>
      </w:r>
    </w:p>
    <w:p>
      <w:pPr>
        <w:adjustRightInd w:val="0"/>
        <w:spacing w:line="360" w:lineRule="auto"/>
        <w:ind w:firstLine="420" w:firstLineChars="200"/>
        <w:rPr>
          <w:szCs w:val="21"/>
        </w:rPr>
      </w:pPr>
      <w:r>
        <w:rPr>
          <w:rFonts w:hint="eastAsia"/>
          <w:szCs w:val="21"/>
        </w:rPr>
        <w:t>本章节内容支撑课程目标 1、2。</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四、实验教学内容</w:t>
      </w:r>
    </w:p>
    <w:p>
      <w:pPr>
        <w:spacing w:line="360" w:lineRule="auto"/>
        <w:ind w:firstLine="424"/>
        <w:rPr>
          <w:rFonts w:ascii="宋体" w:hAnsi="宋体" w:cs="宋体"/>
          <w:kern w:val="0"/>
          <w:szCs w:val="21"/>
        </w:rPr>
      </w:pPr>
      <w:r>
        <w:rPr>
          <w:rFonts w:hint="eastAsia" w:ascii="宋体" w:hAnsi="宋体" w:cs="宋体"/>
          <w:kern w:val="0"/>
          <w:szCs w:val="21"/>
        </w:rPr>
        <w:t>无。</w:t>
      </w:r>
    </w:p>
    <w:p>
      <w:pPr>
        <w:spacing w:line="360" w:lineRule="auto"/>
        <w:rPr>
          <w:rFonts w:eastAsia="黑体"/>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56"/>
        <w:gridCol w:w="1878"/>
        <w:gridCol w:w="1878"/>
        <w:gridCol w:w="10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jc w:val="center"/>
              <w:rPr>
                <w:sz w:val="18"/>
                <w:szCs w:val="18"/>
              </w:rPr>
            </w:pPr>
            <w:r>
              <w:rPr>
                <w:sz w:val="18"/>
                <w:szCs w:val="18"/>
              </w:rPr>
              <w:t>章节名称</w:t>
            </w:r>
          </w:p>
        </w:tc>
        <w:tc>
          <w:tcPr>
            <w:tcW w:w="1102" w:type="pct"/>
            <w:vAlign w:val="center"/>
          </w:tcPr>
          <w:p>
            <w:pPr>
              <w:adjustRightInd w:val="0"/>
              <w:jc w:val="center"/>
              <w:rPr>
                <w:sz w:val="18"/>
                <w:szCs w:val="18"/>
              </w:rPr>
            </w:pPr>
            <w:r>
              <w:rPr>
                <w:sz w:val="18"/>
                <w:szCs w:val="18"/>
              </w:rPr>
              <w:t>讲授（学时）</w:t>
            </w:r>
          </w:p>
        </w:tc>
        <w:tc>
          <w:tcPr>
            <w:tcW w:w="1102" w:type="pct"/>
            <w:vAlign w:val="center"/>
          </w:tcPr>
          <w:p>
            <w:pPr>
              <w:adjustRightInd w:val="0"/>
              <w:jc w:val="center"/>
              <w:rPr>
                <w:sz w:val="18"/>
                <w:szCs w:val="18"/>
              </w:rPr>
            </w:pPr>
            <w:r>
              <w:rPr>
                <w:sz w:val="18"/>
                <w:szCs w:val="18"/>
              </w:rPr>
              <w:t>实验（学时）</w:t>
            </w:r>
          </w:p>
        </w:tc>
        <w:tc>
          <w:tcPr>
            <w:tcW w:w="592" w:type="pct"/>
            <w:vAlign w:val="center"/>
          </w:tcPr>
          <w:p>
            <w:pPr>
              <w:adjustRightIn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第一章 随机事件与概率</w:t>
            </w:r>
          </w:p>
        </w:tc>
        <w:tc>
          <w:tcPr>
            <w:tcW w:w="1102" w:type="pct"/>
            <w:vAlign w:val="center"/>
          </w:tcPr>
          <w:p>
            <w:pPr>
              <w:adjustRightInd w:val="0"/>
              <w:jc w:val="center"/>
              <w:rPr>
                <w:sz w:val="18"/>
                <w:szCs w:val="18"/>
              </w:rPr>
            </w:pPr>
            <w:r>
              <w:rPr>
                <w:sz w:val="18"/>
                <w:szCs w:val="18"/>
              </w:rPr>
              <w:t>8</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第二章 随机变量及其分布</w:t>
            </w:r>
          </w:p>
        </w:tc>
        <w:tc>
          <w:tcPr>
            <w:tcW w:w="1102" w:type="pct"/>
            <w:vAlign w:val="center"/>
          </w:tcPr>
          <w:p>
            <w:pPr>
              <w:adjustRightInd w:val="0"/>
              <w:jc w:val="center"/>
              <w:rPr>
                <w:sz w:val="18"/>
                <w:szCs w:val="18"/>
              </w:rPr>
            </w:pPr>
            <w:r>
              <w:rPr>
                <w:sz w:val="18"/>
                <w:szCs w:val="18"/>
              </w:rPr>
              <w:t>12</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第三章 随机变量的数字特征</w:t>
            </w:r>
          </w:p>
        </w:tc>
        <w:tc>
          <w:tcPr>
            <w:tcW w:w="1102" w:type="pct"/>
            <w:vAlign w:val="center"/>
          </w:tcPr>
          <w:p>
            <w:pPr>
              <w:adjustRightInd w:val="0"/>
              <w:jc w:val="center"/>
              <w:rPr>
                <w:sz w:val="18"/>
                <w:szCs w:val="18"/>
              </w:rPr>
            </w:pPr>
            <w:r>
              <w:rPr>
                <w:sz w:val="18"/>
                <w:szCs w:val="18"/>
              </w:rPr>
              <w:t>4</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第四章 重要的概率分布</w:t>
            </w:r>
          </w:p>
        </w:tc>
        <w:tc>
          <w:tcPr>
            <w:tcW w:w="1102" w:type="pct"/>
            <w:vAlign w:val="center"/>
          </w:tcPr>
          <w:p>
            <w:pPr>
              <w:adjustRightInd w:val="0"/>
              <w:jc w:val="center"/>
              <w:rPr>
                <w:sz w:val="18"/>
                <w:szCs w:val="18"/>
              </w:rPr>
            </w:pPr>
            <w:r>
              <w:rPr>
                <w:sz w:val="18"/>
                <w:szCs w:val="18"/>
              </w:rPr>
              <w:t>6</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第五章 基本极限定理</w:t>
            </w:r>
          </w:p>
        </w:tc>
        <w:tc>
          <w:tcPr>
            <w:tcW w:w="1102" w:type="pct"/>
            <w:vAlign w:val="center"/>
          </w:tcPr>
          <w:p>
            <w:pPr>
              <w:adjustRightInd w:val="0"/>
              <w:jc w:val="center"/>
              <w:rPr>
                <w:sz w:val="18"/>
                <w:szCs w:val="18"/>
              </w:rPr>
            </w:pPr>
            <w:r>
              <w:rPr>
                <w:sz w:val="18"/>
                <w:szCs w:val="18"/>
              </w:rPr>
              <w:t>2</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第六章 数理统计初步</w:t>
            </w:r>
          </w:p>
        </w:tc>
        <w:tc>
          <w:tcPr>
            <w:tcW w:w="1102" w:type="pct"/>
            <w:vAlign w:val="center"/>
          </w:tcPr>
          <w:p>
            <w:pPr>
              <w:adjustRightInd w:val="0"/>
              <w:jc w:val="center"/>
              <w:rPr>
                <w:sz w:val="18"/>
                <w:szCs w:val="18"/>
              </w:rPr>
            </w:pPr>
            <w:r>
              <w:rPr>
                <w:sz w:val="18"/>
                <w:szCs w:val="18"/>
              </w:rPr>
              <w:t>4</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第七章 参数估计</w:t>
            </w:r>
          </w:p>
        </w:tc>
        <w:tc>
          <w:tcPr>
            <w:tcW w:w="1102" w:type="pct"/>
            <w:vAlign w:val="center"/>
          </w:tcPr>
          <w:p>
            <w:pPr>
              <w:adjustRightInd w:val="0"/>
              <w:jc w:val="center"/>
              <w:rPr>
                <w:sz w:val="18"/>
                <w:szCs w:val="18"/>
              </w:rPr>
            </w:pPr>
            <w:r>
              <w:rPr>
                <w:sz w:val="18"/>
                <w:szCs w:val="18"/>
              </w:rPr>
              <w:t>6</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4" w:type="pct"/>
            <w:vAlign w:val="center"/>
          </w:tcPr>
          <w:p>
            <w:pPr>
              <w:adjustRightInd w:val="0"/>
              <w:ind w:firstLine="282" w:firstLineChars="157"/>
              <w:jc w:val="left"/>
              <w:rPr>
                <w:sz w:val="18"/>
                <w:szCs w:val="18"/>
              </w:rPr>
            </w:pPr>
            <w:r>
              <w:rPr>
                <w:sz w:val="18"/>
                <w:szCs w:val="18"/>
              </w:rPr>
              <w:t>第八章 假设检验</w:t>
            </w:r>
            <w:r>
              <w:rPr>
                <w:rFonts w:hint="eastAsia"/>
                <w:sz w:val="18"/>
                <w:szCs w:val="18"/>
              </w:rPr>
              <w:t>和回归分析</w:t>
            </w:r>
          </w:p>
        </w:tc>
        <w:tc>
          <w:tcPr>
            <w:tcW w:w="1102" w:type="pct"/>
            <w:vAlign w:val="center"/>
          </w:tcPr>
          <w:p>
            <w:pPr>
              <w:adjustRightInd w:val="0"/>
              <w:jc w:val="center"/>
              <w:rPr>
                <w:sz w:val="18"/>
                <w:szCs w:val="18"/>
              </w:rPr>
            </w:pPr>
            <w:r>
              <w:rPr>
                <w:sz w:val="18"/>
                <w:szCs w:val="18"/>
              </w:rPr>
              <w:t>6</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204" w:type="pct"/>
            <w:vAlign w:val="center"/>
          </w:tcPr>
          <w:p>
            <w:pPr>
              <w:adjustRightInd w:val="0"/>
              <w:ind w:firstLine="720" w:firstLineChars="400"/>
              <w:jc w:val="left"/>
              <w:rPr>
                <w:sz w:val="18"/>
                <w:szCs w:val="18"/>
              </w:rPr>
            </w:pPr>
            <w:r>
              <w:rPr>
                <w:sz w:val="18"/>
                <w:szCs w:val="18"/>
              </w:rPr>
              <w:t>合</w:t>
            </w:r>
            <w:r>
              <w:rPr>
                <w:rFonts w:hint="eastAsia"/>
                <w:sz w:val="18"/>
                <w:szCs w:val="18"/>
              </w:rPr>
              <w:t xml:space="preserve">   </w:t>
            </w:r>
            <w:r>
              <w:rPr>
                <w:sz w:val="18"/>
                <w:szCs w:val="18"/>
              </w:rPr>
              <w:t>计</w:t>
            </w:r>
          </w:p>
        </w:tc>
        <w:tc>
          <w:tcPr>
            <w:tcW w:w="1102" w:type="pct"/>
            <w:vAlign w:val="center"/>
          </w:tcPr>
          <w:p>
            <w:pPr>
              <w:adjustRightInd w:val="0"/>
              <w:jc w:val="center"/>
              <w:rPr>
                <w:sz w:val="18"/>
                <w:szCs w:val="18"/>
              </w:rPr>
            </w:pPr>
            <w:r>
              <w:rPr>
                <w:sz w:val="18"/>
                <w:szCs w:val="18"/>
              </w:rPr>
              <w:t>48</w:t>
            </w:r>
          </w:p>
        </w:tc>
        <w:tc>
          <w:tcPr>
            <w:tcW w:w="1102" w:type="pct"/>
            <w:vAlign w:val="center"/>
          </w:tcPr>
          <w:p>
            <w:pPr>
              <w:adjustRightInd w:val="0"/>
              <w:jc w:val="center"/>
              <w:rPr>
                <w:sz w:val="18"/>
                <w:szCs w:val="18"/>
              </w:rPr>
            </w:pPr>
            <w:r>
              <w:rPr>
                <w:sz w:val="18"/>
                <w:szCs w:val="18"/>
              </w:rPr>
              <w:t>0</w:t>
            </w:r>
          </w:p>
        </w:tc>
        <w:tc>
          <w:tcPr>
            <w:tcW w:w="592" w:type="pct"/>
            <w:vAlign w:val="center"/>
          </w:tcPr>
          <w:p>
            <w:pPr>
              <w:adjustRightInd w:val="0"/>
              <w:jc w:val="center"/>
              <w:rPr>
                <w:sz w:val="18"/>
                <w:szCs w:val="18"/>
              </w:rPr>
            </w:pPr>
            <w:r>
              <w:rPr>
                <w:sz w:val="18"/>
                <w:szCs w:val="18"/>
              </w:rPr>
              <w:t>48</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widowControl/>
        <w:adjustRightInd w:val="0"/>
        <w:spacing w:line="360" w:lineRule="auto"/>
        <w:ind w:firstLine="420" w:firstLineChars="200"/>
        <w:jc w:val="left"/>
        <w:rPr>
          <w:szCs w:val="21"/>
        </w:rPr>
      </w:pPr>
      <w:r>
        <w:rPr>
          <w:rFonts w:eastAsia="黑体"/>
          <w:szCs w:val="21"/>
        </w:rPr>
        <w:t>《</w:t>
      </w:r>
      <w:r>
        <w:rPr>
          <w:szCs w:val="21"/>
        </w:rPr>
        <w:t xml:space="preserve">概率统计》(高玉斌编，科学出版社)、《概率论与数理统计》(浙江大学 盛骤等编，高等教育出版社) </w:t>
      </w:r>
      <w:r>
        <w:rPr>
          <w:rFonts w:hint="eastAsia"/>
          <w:szCs w:val="21"/>
        </w:rPr>
        <w:t>。</w:t>
      </w:r>
    </w:p>
    <w:p>
      <w:pPr>
        <w:widowControl/>
        <w:adjustRightInd w:val="0"/>
        <w:spacing w:line="360" w:lineRule="auto"/>
        <w:ind w:firstLine="420" w:firstLineChars="200"/>
        <w:jc w:val="left"/>
        <w:rPr>
          <w:color w:val="FF0000"/>
          <w:szCs w:val="21"/>
        </w:rPr>
      </w:pP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1、考核方式：期末考试、作业及课堂提问。</w:t>
      </w:r>
    </w:p>
    <w:p>
      <w:pPr>
        <w:spacing w:line="360" w:lineRule="auto"/>
        <w:ind w:firstLine="420" w:firstLineChars="200"/>
        <w:rPr>
          <w:szCs w:val="21"/>
        </w:rPr>
      </w:pPr>
      <w:r>
        <w:rPr>
          <w:szCs w:val="21"/>
        </w:rPr>
        <w:t>2</w:t>
      </w:r>
      <w:r>
        <w:rPr>
          <w:rFonts w:hint="eastAsia"/>
          <w:szCs w:val="21"/>
        </w:rPr>
        <w:t>、成绩构成：</w:t>
      </w:r>
    </w:p>
    <w:p>
      <w:pPr>
        <w:spacing w:line="360" w:lineRule="auto"/>
        <w:ind w:firstLine="420" w:firstLineChars="200"/>
        <w:rPr>
          <w:szCs w:val="21"/>
        </w:rPr>
      </w:pPr>
      <w:r>
        <w:rPr>
          <w:rFonts w:hint="eastAsia"/>
          <w:szCs w:val="21"/>
        </w:rPr>
        <w:t>本课程通过“平时成绩”和“期末考试”两种方式对课程目标达成进行评价，考核成绩计算公式如下（本大纲中成绩均采用百分制）：</w:t>
      </w:r>
    </w:p>
    <w:p>
      <w:pPr>
        <w:spacing w:line="360" w:lineRule="auto"/>
        <w:ind w:firstLine="420" w:firstLineChars="200"/>
        <w:rPr>
          <w:szCs w:val="21"/>
        </w:rPr>
      </w:pP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768"/>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666"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课堂表现（平时）</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66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66" w:type="pct"/>
            <w:tcBorders>
              <w:top w:val="single" w:color="auto" w:sz="4" w:space="0"/>
              <w:left w:val="nil"/>
              <w:bottom w:val="single" w:color="auto" w:sz="4" w:space="0"/>
              <w:right w:val="single" w:color="auto" w:sz="4" w:space="0"/>
            </w:tcBorders>
            <w:vAlign w:val="center"/>
          </w:tcPr>
          <w:p>
            <w:pPr>
              <w:jc w:val="center"/>
              <w:rPr>
                <w:b/>
              </w:rPr>
            </w:pPr>
            <w:r>
              <w:rPr>
                <w:rFonts w:hint="eastAsia"/>
                <w:b/>
              </w:rPr>
              <w:t>10</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2</w:t>
            </w:r>
            <w:r>
              <w:rPr>
                <w:rFonts w:hint="eastAsia"/>
                <w:b/>
              </w:rPr>
              <w:t>0</w:t>
            </w:r>
          </w:p>
        </w:tc>
        <w:tc>
          <w:tcPr>
            <w:tcW w:w="1668" w:type="pct"/>
            <w:tcBorders>
              <w:top w:val="single" w:color="auto" w:sz="4" w:space="0"/>
              <w:left w:val="single" w:color="auto" w:sz="4" w:space="0"/>
              <w:bottom w:val="single" w:color="auto" w:sz="4" w:space="0"/>
              <w:right w:val="nil"/>
            </w:tcBorders>
            <w:vAlign w:val="center"/>
          </w:tcPr>
          <w:p>
            <w:pPr>
              <w:jc w:val="center"/>
              <w:rPr>
                <w:b/>
              </w:rPr>
            </w:pPr>
            <w:r>
              <w:rPr>
                <w:rFonts w:hint="eastAsia"/>
                <w:b/>
              </w:rPr>
              <w:t>70</w:t>
            </w:r>
          </w:p>
        </w:tc>
      </w:tr>
    </w:tbl>
    <w:p>
      <w:pPr>
        <w:widowControl/>
        <w:spacing w:line="360" w:lineRule="auto"/>
        <w:ind w:firstLine="1890" w:firstLineChars="900"/>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949"/>
        <w:gridCol w:w="2271"/>
        <w:gridCol w:w="2111"/>
        <w:gridCol w:w="1975"/>
      </w:tblGrid>
      <w:tr>
        <w:tblPrEx>
          <w:tblCellMar>
            <w:top w:w="0" w:type="dxa"/>
            <w:left w:w="108" w:type="dxa"/>
            <w:bottom w:w="0" w:type="dxa"/>
            <w:right w:w="108" w:type="dxa"/>
          </w:tblCellMar>
        </w:tblPrEx>
        <w:trPr>
          <w:trHeight w:val="986" w:hRule="atLeast"/>
          <w:jc w:val="center"/>
        </w:trPr>
        <w:tc>
          <w:tcPr>
            <w:tcW w:w="117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rFonts w:hint="eastAsia"/>
                <w:sz w:val="18"/>
                <w:szCs w:val="18"/>
              </w:rPr>
              <w:t>W1</w:t>
            </w:r>
            <w:r>
              <w:rPr>
                <w:rFonts w:hint="eastAsia"/>
                <w:sz w:val="18"/>
                <w:szCs w:val="18"/>
                <w:vertAlign w:val="subscript"/>
              </w:rPr>
              <w:t>i</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rFonts w:hint="eastAsia"/>
                <w:sz w:val="18"/>
                <w:szCs w:val="18"/>
              </w:rPr>
              <w:t>W2</w:t>
            </w:r>
            <w:r>
              <w:rPr>
                <w:rFonts w:hint="eastAsia"/>
                <w:sz w:val="18"/>
                <w:szCs w:val="18"/>
                <w:vertAlign w:val="subscript"/>
              </w:rPr>
              <w:t>i</w:t>
            </w:r>
          </w:p>
        </w:tc>
        <w:tc>
          <w:tcPr>
            <w:tcW w:w="1190"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73" w:type="pct"/>
            <w:tcBorders>
              <w:top w:val="nil"/>
              <w:left w:val="nil"/>
              <w:bottom w:val="single" w:color="auto" w:sz="4" w:space="0"/>
              <w:right w:val="single" w:color="auto" w:sz="4" w:space="0"/>
            </w:tcBorders>
            <w:vAlign w:val="center"/>
          </w:tcPr>
          <w:p>
            <w:pPr>
              <w:jc w:val="center"/>
              <w:rPr>
                <w:b/>
              </w:rPr>
            </w:pPr>
            <w:r>
              <w:rPr>
                <w:b/>
              </w:rPr>
              <w:t>1</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30-40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40-50</w:t>
            </w:r>
          </w:p>
        </w:tc>
        <w:tc>
          <w:tcPr>
            <w:tcW w:w="1190" w:type="pct"/>
            <w:tcBorders>
              <w:top w:val="single" w:color="auto" w:sz="4" w:space="0"/>
              <w:left w:val="single" w:color="auto" w:sz="4" w:space="0"/>
              <w:bottom w:val="single" w:color="auto" w:sz="4" w:space="0"/>
              <w:right w:val="nil"/>
            </w:tcBorders>
            <w:vAlign w:val="center"/>
          </w:tcPr>
          <w:p>
            <w:pPr>
              <w:jc w:val="center"/>
              <w:rPr>
                <w:b/>
              </w:rPr>
            </w:pPr>
            <w:r>
              <w:rPr>
                <w:rFonts w:hint="eastAsia"/>
                <w:b/>
              </w:rPr>
              <w:t>50-60</w:t>
            </w:r>
          </w:p>
        </w:tc>
      </w:tr>
      <w:tr>
        <w:tblPrEx>
          <w:tblCellMar>
            <w:top w:w="0" w:type="dxa"/>
            <w:left w:w="108" w:type="dxa"/>
            <w:bottom w:w="0" w:type="dxa"/>
            <w:right w:w="108" w:type="dxa"/>
          </w:tblCellMar>
        </w:tblPrEx>
        <w:trPr>
          <w:jc w:val="center"/>
        </w:trPr>
        <w:tc>
          <w:tcPr>
            <w:tcW w:w="1173" w:type="pct"/>
            <w:tcBorders>
              <w:top w:val="nil"/>
              <w:left w:val="nil"/>
              <w:bottom w:val="single" w:color="auto" w:sz="4" w:space="0"/>
              <w:right w:val="single" w:color="auto" w:sz="4" w:space="0"/>
            </w:tcBorders>
            <w:vAlign w:val="center"/>
          </w:tcPr>
          <w:p>
            <w:pPr>
              <w:jc w:val="center"/>
              <w:rPr>
                <w:b/>
              </w:rPr>
            </w:pPr>
            <w:r>
              <w:rPr>
                <w:b/>
              </w:rPr>
              <w:t>2</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30-40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3</w:t>
            </w:r>
            <w:r>
              <w:rPr>
                <w:rFonts w:hint="eastAsia"/>
                <w:b/>
              </w:rPr>
              <w:t>0-</w:t>
            </w:r>
            <w:r>
              <w:rPr>
                <w:b/>
              </w:rPr>
              <w:t>4</w:t>
            </w:r>
            <w:r>
              <w:rPr>
                <w:rFonts w:hint="eastAsia"/>
                <w:b/>
              </w:rPr>
              <w:t>0</w:t>
            </w:r>
          </w:p>
        </w:tc>
        <w:tc>
          <w:tcPr>
            <w:tcW w:w="1190" w:type="pct"/>
            <w:tcBorders>
              <w:top w:val="single" w:color="auto" w:sz="4" w:space="0"/>
              <w:left w:val="single" w:color="auto" w:sz="4" w:space="0"/>
              <w:bottom w:val="single" w:color="auto" w:sz="4" w:space="0"/>
              <w:right w:val="nil"/>
            </w:tcBorders>
            <w:vAlign w:val="center"/>
          </w:tcPr>
          <w:p>
            <w:pPr>
              <w:jc w:val="center"/>
              <w:rPr>
                <w:b/>
              </w:rPr>
            </w:pPr>
            <w:r>
              <w:rPr>
                <w:rFonts w:hint="eastAsia"/>
                <w:b/>
              </w:rPr>
              <w:t>30-40</w:t>
            </w:r>
          </w:p>
        </w:tc>
      </w:tr>
      <w:tr>
        <w:tblPrEx>
          <w:tblCellMar>
            <w:top w:w="0" w:type="dxa"/>
            <w:left w:w="108" w:type="dxa"/>
            <w:bottom w:w="0" w:type="dxa"/>
            <w:right w:w="108" w:type="dxa"/>
          </w:tblCellMar>
        </w:tblPrEx>
        <w:trPr>
          <w:jc w:val="center"/>
        </w:trPr>
        <w:tc>
          <w:tcPr>
            <w:tcW w:w="1173" w:type="pct"/>
            <w:tcBorders>
              <w:top w:val="single" w:color="auto" w:sz="4" w:space="0"/>
              <w:left w:val="nil"/>
              <w:bottom w:val="single" w:color="auto" w:sz="4" w:space="0"/>
              <w:right w:val="single" w:color="auto" w:sz="4" w:space="0"/>
            </w:tcBorders>
            <w:vAlign w:val="center"/>
          </w:tcPr>
          <w:p>
            <w:pPr>
              <w:jc w:val="center"/>
              <w:rPr>
                <w:b/>
              </w:rPr>
            </w:pPr>
            <w:r>
              <w:rPr>
                <w:b/>
              </w:rPr>
              <w:t>3</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10-20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2</w:t>
            </w:r>
            <w:r>
              <w:rPr>
                <w:b/>
              </w:rPr>
              <w:t>0-</w:t>
            </w:r>
            <w:r>
              <w:rPr>
                <w:rFonts w:hint="eastAsia"/>
                <w:b/>
              </w:rPr>
              <w:t>3</w:t>
            </w:r>
            <w:r>
              <w:rPr>
                <w:b/>
              </w:rPr>
              <w:t>0</w:t>
            </w:r>
          </w:p>
        </w:tc>
        <w:tc>
          <w:tcPr>
            <w:tcW w:w="1190" w:type="pct"/>
            <w:tcBorders>
              <w:top w:val="single" w:color="auto" w:sz="4" w:space="0"/>
              <w:left w:val="single" w:color="auto" w:sz="4" w:space="0"/>
              <w:bottom w:val="single" w:color="auto" w:sz="4" w:space="0"/>
              <w:right w:val="nil"/>
            </w:tcBorders>
            <w:vAlign w:val="center"/>
          </w:tcPr>
          <w:p>
            <w:pPr>
              <w:jc w:val="center"/>
              <w:rPr>
                <w:b/>
              </w:rPr>
            </w:pPr>
            <w:r>
              <w:rPr>
                <w:rFonts w:hint="eastAsia"/>
                <w:b/>
              </w:rPr>
              <w:t>5-10</w:t>
            </w:r>
          </w:p>
        </w:tc>
      </w:tr>
    </w:tbl>
    <w:p>
      <w:pPr>
        <w:spacing w:line="360" w:lineRule="auto"/>
        <w:rPr>
          <w:szCs w:val="21"/>
        </w:rPr>
      </w:pPr>
    </w:p>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widowControl/>
        <w:jc w:val="left"/>
      </w:pPr>
      <w:r>
        <w:br w:type="page"/>
      </w:r>
    </w:p>
    <w:p>
      <w:pPr>
        <w:pStyle w:val="20"/>
        <w:spacing w:before="312" w:after="468"/>
      </w:pPr>
      <w:bookmarkStart w:id="143" w:name="_Toc16867"/>
      <w:r>
        <w:rPr>
          <w:rFonts w:hint="eastAsia"/>
        </w:rPr>
        <w:t>《X</w:t>
      </w:r>
      <w:r>
        <w:t>02080016</w:t>
      </w:r>
      <w:r>
        <w:rPr>
          <w:rFonts w:hint="eastAsia"/>
        </w:rPr>
        <w:t>-</w:t>
      </w:r>
      <w:r>
        <w:t>复变函数与积分变换</w:t>
      </w:r>
      <w:r>
        <w:rPr>
          <w:rFonts w:hint="eastAsia"/>
        </w:rPr>
        <w:t>》</w:t>
      </w:r>
      <w:r>
        <w:t>教学大纲</w:t>
      </w:r>
      <w:bookmarkEnd w:id="143"/>
    </w:p>
    <w:p>
      <w:pPr>
        <w:spacing w:line="360" w:lineRule="auto"/>
        <w:rPr>
          <w:rFonts w:eastAsia="黑体"/>
        </w:rPr>
      </w:pPr>
      <w:r>
        <w:rPr>
          <w:rFonts w:hint="eastAsia" w:eastAsia="黑体"/>
          <w:szCs w:val="21"/>
        </w:rPr>
        <w:t xml:space="preserve">   </w:t>
      </w:r>
      <w:r>
        <w:rPr>
          <w:rFonts w:eastAsia="黑体"/>
          <w:szCs w:val="21"/>
        </w:rPr>
        <w:t>课程编号：</w:t>
      </w:r>
      <w:r>
        <w:rPr>
          <w:rFonts w:hint="eastAsia" w:eastAsia="黑体"/>
          <w:szCs w:val="21"/>
        </w:rPr>
        <w:t>X</w:t>
      </w:r>
      <w:r>
        <w:rPr>
          <w:rFonts w:eastAsia="黑体"/>
        </w:rPr>
        <w:t>02080016</w:t>
      </w:r>
    </w:p>
    <w:p>
      <w:pPr>
        <w:spacing w:line="360" w:lineRule="auto"/>
        <w:rPr>
          <w:rFonts w:eastAsia="黑体"/>
          <w:szCs w:val="21"/>
          <w:highlight w:val="yellow"/>
        </w:rPr>
      </w:pPr>
      <w:r>
        <w:rPr>
          <w:rFonts w:eastAsia="黑体"/>
          <w:szCs w:val="21"/>
        </w:rPr>
        <w:t xml:space="preserve">   课程名称：</w:t>
      </w:r>
      <w:r>
        <w:t>复变函数与积分变换</w:t>
      </w:r>
      <w:r>
        <w:rPr>
          <w:rFonts w:hint="eastAsia"/>
        </w:rPr>
        <w:t xml:space="preserve">               </w:t>
      </w:r>
      <w:r>
        <w:rPr>
          <w:rFonts w:eastAsia="黑体"/>
          <w:szCs w:val="21"/>
        </w:rPr>
        <w:t>开课单位：</w:t>
      </w:r>
      <w:r>
        <w:rPr>
          <w:rFonts w:hAnsi="宋体"/>
          <w:szCs w:val="21"/>
        </w:rPr>
        <w:t>理学院数学学科部</w:t>
      </w:r>
      <w:r>
        <w:rPr>
          <w:rFonts w:eastAsia="黑体"/>
          <w:szCs w:val="21"/>
        </w:rPr>
        <w:t xml:space="preserve">      </w:t>
      </w:r>
    </w:p>
    <w:p>
      <w:pPr>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时：48                               学    分：3</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Ansi="宋体"/>
          <w:szCs w:val="21"/>
        </w:rPr>
        <w:t>高等数学</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rPr>
          <w:sz w:val="24"/>
        </w:rPr>
      </w:pPr>
    </w:p>
    <w:p>
      <w:pPr>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spacing w:line="360" w:lineRule="auto"/>
        <w:ind w:firstLine="420" w:firstLineChars="200"/>
        <w:rPr>
          <w:rFonts w:hAnsi="宋体"/>
          <w:szCs w:val="21"/>
        </w:rPr>
      </w:pPr>
      <w:r>
        <w:rPr>
          <w:rFonts w:hAnsi="宋体"/>
          <w:szCs w:val="21"/>
        </w:rPr>
        <w:t>《复变函数与积分变换》是自动化、信息与通讯工程、计算机科学各专业的一门专业基础课程。本课程的主要内容是讨论（1）复变函数论，即单复变量的复值可微函数的性质，其主要研究对象是全纯函数，即复解析函数,其主要内容是复变函数的微积分计算；（2）积分变换特别是傅里叶变换、拉普拉斯变换的相关性质及其应用。复变函数是解决流体力学、 电磁学、热学、工程力学、等领域问题的有力工具。积分变换的理论和方法是在无线电技术中，利用傅立叶变换对信号进行频谱分析；在控制理论中，通过拉普拉斯变换来分析系统的传递特性，积分变换已成为现代科学技术领域中不可缺少的运算工具。</w:t>
      </w:r>
    </w:p>
    <w:p>
      <w:pPr>
        <w:spacing w:line="360" w:lineRule="auto"/>
        <w:ind w:firstLine="480" w:firstLineChars="200"/>
        <w:rPr>
          <w:sz w:val="24"/>
        </w:rPr>
      </w:pPr>
    </w:p>
    <w:p>
      <w:pPr>
        <w:spacing w:line="360" w:lineRule="auto"/>
        <w:rPr>
          <w:rFonts w:eastAsia="黑体"/>
          <w:szCs w:val="21"/>
        </w:rPr>
      </w:pPr>
      <w:r>
        <w:rPr>
          <w:rFonts w:eastAsia="黑体"/>
          <w:szCs w:val="21"/>
        </w:rPr>
        <w:t>二、课程目标</w:t>
      </w:r>
    </w:p>
    <w:p>
      <w:pPr>
        <w:spacing w:line="360" w:lineRule="auto"/>
        <w:ind w:firstLine="420" w:firstLineChars="200"/>
        <w:rPr>
          <w:b/>
          <w:bCs/>
          <w:color w:val="000000"/>
          <w:szCs w:val="21"/>
        </w:rPr>
      </w:pPr>
      <w:r>
        <w:rPr>
          <w:rFonts w:hint="eastAsia"/>
          <w:color w:val="000000"/>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4651"/>
        <w:gridCol w:w="3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shd w:val="clear" w:color="auto" w:fill="auto"/>
            <w:vAlign w:val="center"/>
          </w:tcPr>
          <w:p>
            <w:pPr>
              <w:adjustRightInd w:val="0"/>
              <w:snapToGrid w:val="0"/>
              <w:spacing w:line="360" w:lineRule="auto"/>
              <w:jc w:val="center"/>
              <w:rPr>
                <w:sz w:val="18"/>
                <w:szCs w:val="18"/>
              </w:rPr>
            </w:pPr>
            <w:r>
              <w:rPr>
                <w:rFonts w:hint="eastAsia"/>
                <w:sz w:val="18"/>
                <w:szCs w:val="18"/>
              </w:rPr>
              <w:t>序号</w:t>
            </w:r>
          </w:p>
        </w:tc>
        <w:tc>
          <w:tcPr>
            <w:tcW w:w="2799" w:type="pct"/>
            <w:shd w:val="clear" w:color="auto" w:fill="auto"/>
          </w:tcPr>
          <w:p>
            <w:pPr>
              <w:adjustRightInd w:val="0"/>
              <w:snapToGrid w:val="0"/>
              <w:spacing w:line="360" w:lineRule="auto"/>
              <w:jc w:val="center"/>
              <w:rPr>
                <w:sz w:val="18"/>
                <w:szCs w:val="18"/>
              </w:rPr>
            </w:pPr>
            <w:r>
              <w:rPr>
                <w:rFonts w:hint="eastAsia"/>
                <w:sz w:val="18"/>
                <w:szCs w:val="18"/>
              </w:rPr>
              <w:t>课程目标</w:t>
            </w:r>
          </w:p>
        </w:tc>
        <w:tc>
          <w:tcPr>
            <w:tcW w:w="1856" w:type="pct"/>
            <w:shd w:val="clear" w:color="auto" w:fill="auto"/>
          </w:tcPr>
          <w:p>
            <w:pPr>
              <w:adjustRightInd w:val="0"/>
              <w:snapToGrid w:val="0"/>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799" w:type="pct"/>
            <w:shd w:val="clear" w:color="auto" w:fill="auto"/>
          </w:tcPr>
          <w:p>
            <w:pPr>
              <w:adjustRightInd w:val="0"/>
              <w:snapToGrid w:val="0"/>
              <w:spacing w:line="360" w:lineRule="auto"/>
              <w:rPr>
                <w:sz w:val="18"/>
                <w:szCs w:val="18"/>
              </w:rPr>
            </w:pPr>
            <w:r>
              <w:rPr>
                <w:rFonts w:hAnsi="宋体"/>
                <w:bCs/>
                <w:sz w:val="18"/>
                <w:szCs w:val="18"/>
              </w:rPr>
              <w:t>通过本课程的学习，学生可以理解复变函数的极限、连续、可导等概念；掌握复变函数的积分计算方法、孤立奇点的分类方法、柯西定理、复合闭路定理和留数定理；</w:t>
            </w:r>
          </w:p>
        </w:tc>
        <w:tc>
          <w:tcPr>
            <w:tcW w:w="1856"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799" w:type="pct"/>
            <w:shd w:val="clear" w:color="auto" w:fill="auto"/>
          </w:tcPr>
          <w:p>
            <w:pPr>
              <w:adjustRightInd w:val="0"/>
              <w:snapToGrid w:val="0"/>
              <w:spacing w:line="360" w:lineRule="auto"/>
              <w:rPr>
                <w:sz w:val="18"/>
                <w:szCs w:val="18"/>
              </w:rPr>
            </w:pPr>
            <w:r>
              <w:rPr>
                <w:rFonts w:hint="eastAsia" w:hAnsi="宋体"/>
                <w:bCs/>
                <w:sz w:val="18"/>
                <w:szCs w:val="18"/>
              </w:rPr>
              <w:t>能够熟练掌握</w:t>
            </w:r>
            <w:r>
              <w:rPr>
                <w:rFonts w:hAnsi="宋体"/>
                <w:bCs/>
                <w:sz w:val="18"/>
                <w:szCs w:val="18"/>
              </w:rPr>
              <w:t>复积分和三种类型实积分的各种计算方法，以及解析函数展开成幂级数的间接方法；</w:t>
            </w:r>
            <w:r>
              <w:rPr>
                <w:rFonts w:hAnsi="宋体"/>
                <w:sz w:val="18"/>
                <w:szCs w:val="18"/>
              </w:rPr>
              <w:t>学会使用留数定理计算傅里叶积分逆变换和拉普拉斯积分逆变换；</w:t>
            </w:r>
          </w:p>
        </w:tc>
        <w:tc>
          <w:tcPr>
            <w:tcW w:w="1856"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3"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799" w:type="pct"/>
            <w:shd w:val="clear" w:color="auto" w:fill="auto"/>
          </w:tcPr>
          <w:p>
            <w:pPr>
              <w:adjustRightInd w:val="0"/>
              <w:snapToGrid w:val="0"/>
              <w:spacing w:line="360" w:lineRule="auto"/>
              <w:rPr>
                <w:szCs w:val="21"/>
              </w:rPr>
            </w:pPr>
            <w:r>
              <w:rPr>
                <w:rFonts w:hAnsi="宋体"/>
                <w:bCs/>
                <w:sz w:val="18"/>
                <w:szCs w:val="18"/>
              </w:rPr>
              <w:t>能够应用Fourier积分变换或Laplace积分变换的方法求解微积分方程或方程组；能够利用Z变换的方法求解差分方程。</w:t>
            </w:r>
          </w:p>
        </w:tc>
        <w:tc>
          <w:tcPr>
            <w:tcW w:w="1856"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tc>
      </w:tr>
    </w:tbl>
    <w:p>
      <w:pPr>
        <w:spacing w:line="360" w:lineRule="auto"/>
        <w:rPr>
          <w:rFonts w:eastAsia="黑体"/>
          <w:szCs w:val="21"/>
        </w:rPr>
      </w:pPr>
    </w:p>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widowControl/>
        <w:spacing w:line="360" w:lineRule="auto"/>
        <w:ind w:firstLine="420" w:firstLineChars="200"/>
        <w:jc w:val="left"/>
        <w:rPr>
          <w:color w:val="FF0000"/>
          <w:szCs w:val="21"/>
        </w:rPr>
      </w:pPr>
      <w:r>
        <w:rPr>
          <w:szCs w:val="21"/>
        </w:rPr>
        <w:t>本课程重点讲授的内容包括：复数的三种表示方法、复变函数的可导与解析的判别方法、柯西-黎曼条件、复变函数积分的计算方法、利用初等函数的泰勒展开公式将一些函数展开为幂级数、利用留数定理计算复积分与实积分；在积分变换部分，讲授傅里叶积分变换、拉普拉斯积分变换以及Z变换的概念与性质、拉普拉斯逆变换和Z逆变换、利用积分变换的方法求解微积分方程和差分方程。</w:t>
      </w:r>
    </w:p>
    <w:p>
      <w:pPr>
        <w:widowControl/>
        <w:spacing w:line="360" w:lineRule="auto"/>
        <w:ind w:firstLine="420" w:firstLineChars="200"/>
        <w:jc w:val="left"/>
        <w:rPr>
          <w:szCs w:val="21"/>
        </w:rPr>
      </w:pPr>
      <w:r>
        <w:rPr>
          <w:szCs w:val="21"/>
        </w:rPr>
        <w:t>深度和广度说明：对复数与复平面只做简单介绍，而复变函数积分的计算方法要深入讲解，积分题目的计算的掌握是重点；复变函数展开成为幂级数的讲解是重点；对复变函数孤立奇点的判断使用范围较为广泛；积分变换的存在性定理了解即可，而各种积分变换和逆变换才是掌握和使用的重点。</w:t>
      </w:r>
    </w:p>
    <w:p>
      <w:pPr>
        <w:widowControl/>
        <w:spacing w:line="360" w:lineRule="auto"/>
        <w:ind w:firstLine="420" w:firstLineChars="200"/>
        <w:jc w:val="left"/>
        <w:rPr>
          <w:szCs w:val="21"/>
        </w:rPr>
      </w:pPr>
      <w:r>
        <w:rPr>
          <w:szCs w:val="21"/>
        </w:rPr>
        <w:t>留数定理在复积分与实积分的计算中占有非常重要的地位，因此教师要重点讲授以使学生完全掌握。除此以外，使用留数定理在计算拉普拉斯逆变换和Z逆变换时，学生比较容易接受，既简单方便又使前后知识产生了连贯性。</w:t>
      </w:r>
    </w:p>
    <w:p>
      <w:pPr>
        <w:spacing w:line="360" w:lineRule="auto"/>
        <w:ind w:firstLine="420" w:firstLineChars="200"/>
        <w:rPr>
          <w:rFonts w:eastAsia="黑体"/>
          <w:snapToGrid w:val="0"/>
          <w:kern w:val="0"/>
          <w:szCs w:val="21"/>
        </w:rPr>
      </w:pPr>
      <w:r>
        <w:rPr>
          <w:rFonts w:eastAsia="黑体"/>
          <w:szCs w:val="21"/>
        </w:rPr>
        <w:t xml:space="preserve">第一章  </w:t>
      </w:r>
      <w:r>
        <w:rPr>
          <w:rFonts w:eastAsia="黑体"/>
          <w:snapToGrid w:val="0"/>
          <w:kern w:val="0"/>
          <w:szCs w:val="21"/>
        </w:rPr>
        <w:t>复数与复变函数</w:t>
      </w:r>
    </w:p>
    <w:p>
      <w:pPr>
        <w:pStyle w:val="19"/>
        <w:spacing w:before="0" w:beforeAutospacing="0" w:after="0" w:afterAutospacing="0" w:line="360" w:lineRule="auto"/>
        <w:ind w:firstLine="420" w:firstLineChars="200"/>
        <w:jc w:val="both"/>
        <w:rPr>
          <w:rFonts w:ascii="Times New Roman" w:hAnsi="Times New Roman"/>
          <w:kern w:val="2"/>
          <w:sz w:val="21"/>
          <w:szCs w:val="21"/>
        </w:rPr>
      </w:pPr>
      <w:r>
        <w:rPr>
          <w:rFonts w:ascii="Times New Roman" w:hAnsi="Times New Roman"/>
          <w:snapToGrid w:val="0"/>
          <w:sz w:val="21"/>
          <w:szCs w:val="21"/>
        </w:rPr>
        <w:t xml:space="preserve">1. </w:t>
      </w:r>
      <w:r>
        <w:rPr>
          <w:rFonts w:ascii="Times New Roman" w:hAnsi="Times New Roman"/>
          <w:kern w:val="2"/>
          <w:sz w:val="21"/>
        </w:rPr>
        <w:t>熟练掌握复数的三种表示法，知道复平面的点集与区域；</w:t>
      </w:r>
      <w:r>
        <w:rPr>
          <w:rFonts w:ascii="Times New Roman" w:hAnsi="Times New Roman"/>
          <w:snapToGrid w:val="0"/>
          <w:sz w:val="21"/>
          <w:szCs w:val="21"/>
        </w:rPr>
        <w:t>（重点）</w:t>
      </w:r>
    </w:p>
    <w:p>
      <w:pPr>
        <w:pStyle w:val="19"/>
        <w:spacing w:before="0" w:beforeAutospacing="0" w:after="0" w:afterAutospacing="0" w:line="360" w:lineRule="auto"/>
        <w:ind w:firstLine="420" w:firstLineChars="200"/>
        <w:jc w:val="both"/>
        <w:rPr>
          <w:rFonts w:ascii="Times New Roman" w:hAnsi="Times New Roman"/>
          <w:kern w:val="2"/>
          <w:sz w:val="21"/>
          <w:szCs w:val="21"/>
        </w:rPr>
      </w:pPr>
      <w:r>
        <w:rPr>
          <w:rFonts w:ascii="Times New Roman" w:hAnsi="Times New Roman"/>
          <w:snapToGrid w:val="0"/>
          <w:sz w:val="21"/>
          <w:szCs w:val="21"/>
        </w:rPr>
        <w:t xml:space="preserve">2. </w:t>
      </w:r>
      <w:r>
        <w:rPr>
          <w:rFonts w:ascii="Times New Roman" w:hAnsi="Times New Roman"/>
          <w:kern w:val="2"/>
          <w:sz w:val="21"/>
        </w:rPr>
        <w:t xml:space="preserve">理解复变函数的概念，了解其几何表示； </w:t>
      </w:r>
    </w:p>
    <w:p>
      <w:pPr>
        <w:spacing w:line="360" w:lineRule="auto"/>
        <w:ind w:firstLine="420" w:firstLineChars="200"/>
      </w:pPr>
      <w:r>
        <w:rPr>
          <w:snapToGrid w:val="0"/>
          <w:kern w:val="0"/>
          <w:szCs w:val="21"/>
        </w:rPr>
        <w:t xml:space="preserve">3. </w:t>
      </w:r>
      <w:r>
        <w:t>掌握复变函数的极限与连续性的概念。（</w:t>
      </w:r>
      <w:r>
        <w:rPr>
          <w:snapToGrid w:val="0"/>
          <w:kern w:val="0"/>
          <w:szCs w:val="21"/>
        </w:rPr>
        <w:t>难点</w:t>
      </w:r>
      <w:r>
        <w:t xml:space="preserve">） </w:t>
      </w:r>
    </w:p>
    <w:p>
      <w:pPr>
        <w:adjustRightInd w:val="0"/>
        <w:spacing w:line="360" w:lineRule="auto"/>
        <w:ind w:firstLine="420" w:firstLineChars="200"/>
        <w:rPr>
          <w:szCs w:val="21"/>
        </w:rPr>
      </w:pPr>
      <w:r>
        <w:rPr>
          <w:rFonts w:hint="eastAsia"/>
          <w:szCs w:val="21"/>
        </w:rPr>
        <w:t xml:space="preserve">本章节内容支撑课程目标 </w:t>
      </w:r>
      <w:r>
        <w:rPr>
          <w:szCs w:val="21"/>
        </w:rPr>
        <w:t>1</w:t>
      </w:r>
      <w:r>
        <w:rPr>
          <w:rFonts w:hint="eastAsia"/>
          <w:szCs w:val="21"/>
        </w:rPr>
        <w:t>。</w:t>
      </w:r>
    </w:p>
    <w:p>
      <w:pPr>
        <w:spacing w:line="360" w:lineRule="auto"/>
        <w:ind w:firstLine="420" w:firstLineChars="200"/>
        <w:rPr>
          <w:rFonts w:eastAsia="黑体"/>
          <w:snapToGrid w:val="0"/>
          <w:kern w:val="0"/>
          <w:szCs w:val="21"/>
        </w:rPr>
      </w:pPr>
      <w:r>
        <w:rPr>
          <w:rFonts w:eastAsia="黑体"/>
          <w:szCs w:val="21"/>
        </w:rPr>
        <w:t xml:space="preserve">第二章  </w:t>
      </w:r>
      <w:r>
        <w:rPr>
          <w:rFonts w:eastAsia="黑体"/>
          <w:snapToGrid w:val="0"/>
          <w:kern w:val="0"/>
          <w:szCs w:val="21"/>
        </w:rPr>
        <w:t>解析函数</w:t>
      </w:r>
    </w:p>
    <w:p>
      <w:pPr>
        <w:spacing w:line="360" w:lineRule="auto"/>
        <w:ind w:firstLine="420" w:firstLineChars="200"/>
      </w:pPr>
      <w:r>
        <w:rPr>
          <w:snapToGrid w:val="0"/>
          <w:kern w:val="0"/>
          <w:szCs w:val="21"/>
        </w:rPr>
        <w:t xml:space="preserve">1. </w:t>
      </w:r>
      <w:r>
        <w:t>理解复变函数导数的概念及其求法，掌握复合函数的求导法则；</w:t>
      </w:r>
    </w:p>
    <w:p>
      <w:pPr>
        <w:spacing w:line="360" w:lineRule="auto"/>
        <w:ind w:firstLine="420" w:firstLineChars="200"/>
      </w:pPr>
      <w:r>
        <w:rPr>
          <w:snapToGrid w:val="0"/>
          <w:kern w:val="0"/>
          <w:szCs w:val="21"/>
        </w:rPr>
        <w:t xml:space="preserve">2. </w:t>
      </w:r>
      <w:r>
        <w:t>理解解析函数的概念，熟练掌握在一个点解析与可导的区别与联系；（</w:t>
      </w:r>
      <w:r>
        <w:rPr>
          <w:snapToGrid w:val="0"/>
          <w:kern w:val="0"/>
          <w:szCs w:val="21"/>
        </w:rPr>
        <w:t>难点</w:t>
      </w:r>
      <w:r>
        <w:t xml:space="preserve">） </w:t>
      </w:r>
    </w:p>
    <w:p>
      <w:pPr>
        <w:spacing w:line="360" w:lineRule="auto"/>
        <w:ind w:firstLine="420" w:firstLineChars="200"/>
      </w:pPr>
      <w:r>
        <w:rPr>
          <w:snapToGrid w:val="0"/>
          <w:kern w:val="0"/>
          <w:szCs w:val="21"/>
        </w:rPr>
        <w:t xml:space="preserve">3. </w:t>
      </w:r>
      <w:r>
        <w:t>熟练掌握利用柯西---黎曼条件判断函数解析性的方法；</w:t>
      </w:r>
      <w:r>
        <w:rPr>
          <w:snapToGrid w:val="0"/>
          <w:kern w:val="0"/>
          <w:szCs w:val="21"/>
        </w:rPr>
        <w:t>（重点）</w:t>
      </w:r>
      <w:r>
        <w:t xml:space="preserve"> </w:t>
      </w:r>
    </w:p>
    <w:p>
      <w:pPr>
        <w:spacing w:line="360" w:lineRule="auto"/>
        <w:ind w:firstLine="420" w:firstLineChars="200"/>
        <w:rPr>
          <w:snapToGrid w:val="0"/>
          <w:kern w:val="0"/>
          <w:szCs w:val="21"/>
        </w:rPr>
      </w:pPr>
      <w:r>
        <w:rPr>
          <w:snapToGrid w:val="0"/>
          <w:kern w:val="0"/>
          <w:szCs w:val="21"/>
        </w:rPr>
        <w:t xml:space="preserve">4. </w:t>
      </w:r>
      <w:r>
        <w:t>了解调和函数的概念，理解并掌握由解析函数的实（虚）部求其虚（实）的方法；</w:t>
      </w:r>
      <w:r>
        <w:rPr>
          <w:snapToGrid w:val="0"/>
          <w:kern w:val="0"/>
          <w:szCs w:val="21"/>
        </w:rPr>
        <w:t>（重点）</w:t>
      </w:r>
    </w:p>
    <w:p>
      <w:pPr>
        <w:spacing w:line="360" w:lineRule="auto"/>
        <w:ind w:firstLine="420" w:firstLineChars="200"/>
      </w:pPr>
      <w:r>
        <w:rPr>
          <w:snapToGrid w:val="0"/>
          <w:kern w:val="0"/>
          <w:szCs w:val="21"/>
        </w:rPr>
        <w:t xml:space="preserve">5. </w:t>
      </w:r>
      <w:r>
        <w:t>了解初等函数的解析性，会求解对数函数与幂函数。</w:t>
      </w:r>
    </w:p>
    <w:p>
      <w:pPr>
        <w:adjustRightInd w:val="0"/>
        <w:spacing w:line="360" w:lineRule="auto"/>
        <w:ind w:firstLine="420" w:firstLineChars="200"/>
        <w:rPr>
          <w:szCs w:val="21"/>
        </w:rPr>
      </w:pPr>
      <w:r>
        <w:rPr>
          <w:rFonts w:hint="eastAsia"/>
          <w:szCs w:val="21"/>
        </w:rPr>
        <w:t xml:space="preserve">本章节内容支撑课程目标 </w:t>
      </w:r>
      <w:r>
        <w:rPr>
          <w:szCs w:val="21"/>
        </w:rPr>
        <w:t>1</w:t>
      </w:r>
      <w:r>
        <w:rPr>
          <w:rFonts w:hint="eastAsia"/>
          <w:szCs w:val="21"/>
        </w:rPr>
        <w:t>、2。</w:t>
      </w:r>
      <w:r>
        <w:t xml:space="preserve"> </w:t>
      </w:r>
    </w:p>
    <w:p>
      <w:pPr>
        <w:spacing w:line="360" w:lineRule="auto"/>
        <w:ind w:firstLine="420" w:firstLineChars="200"/>
        <w:rPr>
          <w:rFonts w:eastAsia="黑体"/>
          <w:snapToGrid w:val="0"/>
          <w:kern w:val="0"/>
          <w:szCs w:val="21"/>
        </w:rPr>
      </w:pPr>
      <w:r>
        <w:rPr>
          <w:rFonts w:eastAsia="黑体"/>
          <w:szCs w:val="21"/>
        </w:rPr>
        <w:t>第三章</w:t>
      </w:r>
      <w:r>
        <w:rPr>
          <w:rFonts w:eastAsia="黑体"/>
          <w:snapToGrid w:val="0"/>
          <w:kern w:val="0"/>
          <w:szCs w:val="21"/>
        </w:rPr>
        <w:t xml:space="preserve">  复变函数的积分</w:t>
      </w:r>
    </w:p>
    <w:p>
      <w:pPr>
        <w:spacing w:line="360" w:lineRule="auto"/>
        <w:ind w:firstLine="420" w:firstLineChars="200"/>
      </w:pPr>
      <w:r>
        <w:rPr>
          <w:snapToGrid w:val="0"/>
          <w:kern w:val="0"/>
          <w:szCs w:val="21"/>
        </w:rPr>
        <w:t xml:space="preserve">1. </w:t>
      </w:r>
      <w:r>
        <w:t xml:space="preserve">了解复变函数积分的定义和性质，会利用曲线的参数方程求解复变函数的积分； </w:t>
      </w:r>
    </w:p>
    <w:p>
      <w:pPr>
        <w:spacing w:line="360" w:lineRule="auto"/>
        <w:ind w:firstLine="420" w:firstLineChars="200"/>
      </w:pPr>
      <w:r>
        <w:rPr>
          <w:snapToGrid w:val="0"/>
          <w:kern w:val="0"/>
          <w:szCs w:val="21"/>
        </w:rPr>
        <w:t xml:space="preserve">2. </w:t>
      </w:r>
      <w:r>
        <w:t>熟练掌握利用柯西积分定理和复合闭路定理计算复变函数的积分；</w:t>
      </w:r>
      <w:r>
        <w:rPr>
          <w:snapToGrid w:val="0"/>
          <w:kern w:val="0"/>
          <w:szCs w:val="21"/>
        </w:rPr>
        <w:t>（重点）</w:t>
      </w:r>
    </w:p>
    <w:p>
      <w:pPr>
        <w:spacing w:line="360" w:lineRule="auto"/>
        <w:ind w:firstLine="420" w:firstLineChars="200"/>
        <w:rPr>
          <w:snapToGrid w:val="0"/>
          <w:kern w:val="0"/>
          <w:szCs w:val="21"/>
        </w:rPr>
      </w:pPr>
      <w:r>
        <w:rPr>
          <w:snapToGrid w:val="0"/>
          <w:kern w:val="0"/>
          <w:szCs w:val="21"/>
        </w:rPr>
        <w:t xml:space="preserve">3. </w:t>
      </w:r>
      <w:r>
        <w:t>掌握采用柯西积分公式及高阶导数公式计算复变函数的积分。</w:t>
      </w:r>
      <w:r>
        <w:rPr>
          <w:snapToGrid w:val="0"/>
          <w:kern w:val="0"/>
          <w:szCs w:val="21"/>
        </w:rPr>
        <w:t>（重点）</w:t>
      </w:r>
    </w:p>
    <w:p>
      <w:pPr>
        <w:adjustRightInd w:val="0"/>
        <w:spacing w:line="360" w:lineRule="auto"/>
        <w:ind w:firstLine="420" w:firstLineChars="200"/>
        <w:rPr>
          <w:szCs w:val="21"/>
        </w:rPr>
      </w:pPr>
      <w:r>
        <w:rPr>
          <w:rFonts w:hint="eastAsia"/>
          <w:szCs w:val="21"/>
        </w:rPr>
        <w:t>本章节内容支撑课程目标 1。</w:t>
      </w:r>
    </w:p>
    <w:p>
      <w:pPr>
        <w:spacing w:line="360" w:lineRule="auto"/>
        <w:ind w:firstLine="420" w:firstLineChars="200"/>
        <w:rPr>
          <w:rFonts w:eastAsia="黑体"/>
          <w:snapToGrid w:val="0"/>
          <w:kern w:val="0"/>
          <w:szCs w:val="21"/>
        </w:rPr>
      </w:pPr>
      <w:r>
        <w:rPr>
          <w:rFonts w:eastAsia="黑体"/>
          <w:szCs w:val="21"/>
        </w:rPr>
        <w:t>第四章</w:t>
      </w:r>
      <w:r>
        <w:rPr>
          <w:rFonts w:eastAsia="黑体"/>
          <w:snapToGrid w:val="0"/>
          <w:kern w:val="0"/>
          <w:szCs w:val="21"/>
        </w:rPr>
        <w:t xml:space="preserve">  级数</w:t>
      </w:r>
    </w:p>
    <w:p>
      <w:pPr>
        <w:spacing w:line="360" w:lineRule="auto"/>
        <w:ind w:firstLine="420" w:firstLineChars="200"/>
      </w:pPr>
      <w:r>
        <w:rPr>
          <w:snapToGrid w:val="0"/>
          <w:kern w:val="0"/>
          <w:szCs w:val="21"/>
        </w:rPr>
        <w:t xml:space="preserve">1. </w:t>
      </w:r>
      <w:r>
        <w:t xml:space="preserve">正确理解复数项级数的概念，会判别复数项级数的条件收敛与绝对收敛； </w:t>
      </w:r>
    </w:p>
    <w:p>
      <w:pPr>
        <w:spacing w:line="360" w:lineRule="auto"/>
        <w:ind w:firstLine="420" w:firstLineChars="200"/>
      </w:pPr>
      <w:r>
        <w:rPr>
          <w:snapToGrid w:val="0"/>
          <w:kern w:val="0"/>
          <w:szCs w:val="21"/>
        </w:rPr>
        <w:t xml:space="preserve">2. </w:t>
      </w:r>
      <w:r>
        <w:t>理解幂级数的概念，了解幂级数的收敛圆的概念，重点掌握幂级数的收敛半径，了解幂级数的运算和性质；</w:t>
      </w:r>
      <w:r>
        <w:rPr>
          <w:snapToGrid w:val="0"/>
          <w:kern w:val="0"/>
          <w:szCs w:val="21"/>
        </w:rPr>
        <w:t>（重点）</w:t>
      </w:r>
      <w:r>
        <w:t xml:space="preserve"> </w:t>
      </w:r>
    </w:p>
    <w:p>
      <w:pPr>
        <w:spacing w:line="360" w:lineRule="auto"/>
        <w:ind w:firstLine="420" w:firstLineChars="200"/>
      </w:pPr>
      <w:r>
        <w:rPr>
          <w:snapToGrid w:val="0"/>
          <w:kern w:val="0"/>
          <w:szCs w:val="21"/>
        </w:rPr>
        <w:t xml:space="preserve">3. </w:t>
      </w:r>
      <w:r>
        <w:t>了解泰勒定理，理解幂级数在收敛圆内部的性质；</w:t>
      </w:r>
    </w:p>
    <w:p>
      <w:pPr>
        <w:spacing w:line="360" w:lineRule="auto"/>
        <w:ind w:firstLine="420" w:firstLineChars="200"/>
      </w:pPr>
      <w:r>
        <w:rPr>
          <w:snapToGrid w:val="0"/>
          <w:kern w:val="0"/>
          <w:szCs w:val="21"/>
        </w:rPr>
        <w:t xml:space="preserve">4. </w:t>
      </w:r>
      <w:r>
        <w:t>了解</w:t>
      </w:r>
      <w:r>
        <w:rPr>
          <w:position w:val="-6"/>
        </w:rPr>
        <w:object>
          <v:shape id="_x0000_i1040" o:spt="75" type="#_x0000_t75" style="height:15pt;width:12pt;" o:ole="t" filled="f" o:preferrelative="t" stroked="f" coordsize="21600,21600">
            <v:path/>
            <v:fill on="f" focussize="0,0"/>
            <v:stroke on="f" joinstyle="miter"/>
            <v:imagedata r:id="rId185" o:title=""/>
            <o:lock v:ext="edit" aspectratio="t"/>
            <w10:wrap type="none"/>
            <w10:anchorlock/>
          </v:shape>
          <o:OLEObject Type="Embed" ProgID="Equation.DSMT4" ShapeID="_x0000_i1040" DrawAspect="Content" ObjectID="_1468075740" r:id="rId184">
            <o:LockedField>false</o:LockedField>
          </o:OLEObject>
        </w:object>
      </w:r>
      <w:r>
        <w:t>，</w:t>
      </w:r>
      <w:r>
        <w:rPr>
          <w:position w:val="-6"/>
        </w:rPr>
        <w:object>
          <v:shape id="_x0000_i1041" o:spt="75" type="#_x0000_t75" style="height:13.5pt;width:22.5pt;" o:ole="t" filled="f" o:preferrelative="t" stroked="f" coordsize="21600,21600">
            <v:path/>
            <v:fill on="f" focussize="0,0"/>
            <v:stroke on="f" joinstyle="miter"/>
            <v:imagedata r:id="rId187" o:title=""/>
            <o:lock v:ext="edit" aspectratio="t"/>
            <w10:wrap type="none"/>
            <w10:anchorlock/>
          </v:shape>
          <o:OLEObject Type="Embed" ProgID="Equation.DSMT4" ShapeID="_x0000_i1041" DrawAspect="Content" ObjectID="_1468075741" r:id="rId186">
            <o:LockedField>false</o:LockedField>
          </o:OLEObject>
        </w:object>
      </w:r>
      <w:r>
        <w:t>，</w:t>
      </w:r>
      <w:r>
        <w:rPr>
          <w:position w:val="-10"/>
        </w:rPr>
        <w:object>
          <v:shape id="_x0000_i1042" o:spt="75" type="#_x0000_t75" style="height:15pt;width:39pt;" o:ole="t" filled="f" o:preferrelative="t" stroked="f" coordsize="21600,21600">
            <v:path/>
            <v:fill on="f" focussize="0,0"/>
            <v:stroke on="f" joinstyle="miter"/>
            <v:imagedata r:id="rId189" o:title=""/>
            <o:lock v:ext="edit" aspectratio="t"/>
            <w10:wrap type="none"/>
            <w10:anchorlock/>
          </v:shape>
          <o:OLEObject Type="Embed" ProgID="Equation.DSMT4" ShapeID="_x0000_i1042" DrawAspect="Content" ObjectID="_1468075742" r:id="rId188">
            <o:LockedField>false</o:LockedField>
          </o:OLEObject>
        </w:object>
      </w:r>
      <w:r>
        <w:t>，</w:t>
      </w:r>
      <w:r>
        <w:rPr>
          <w:position w:val="-10"/>
        </w:rPr>
        <w:object>
          <v:shape id="_x0000_i1043" o:spt="75" type="#_x0000_t75" style="height:16.5pt;width:34.5pt;" o:ole="t" filled="f" o:preferrelative="t" stroked="f" coordsize="21600,21600">
            <v:path/>
            <v:fill on="f" focussize="0,0"/>
            <v:stroke on="f" joinstyle="miter"/>
            <v:imagedata r:id="rId191" o:title=""/>
            <o:lock v:ext="edit" aspectratio="t"/>
            <w10:wrap type="none"/>
            <w10:anchorlock/>
          </v:shape>
          <o:OLEObject Type="Embed" ProgID="Equation.DSMT4" ShapeID="_x0000_i1043" DrawAspect="Content" ObjectID="_1468075743" r:id="rId190">
            <o:LockedField>false</o:LockedField>
          </o:OLEObject>
        </w:object>
      </w:r>
      <w:r>
        <w:t>的麦克劳林展开式的直接展开方法；</w:t>
      </w:r>
    </w:p>
    <w:p>
      <w:pPr>
        <w:spacing w:line="360" w:lineRule="auto"/>
        <w:ind w:firstLine="420" w:firstLineChars="200"/>
      </w:pPr>
      <w:r>
        <w:rPr>
          <w:snapToGrid w:val="0"/>
          <w:kern w:val="0"/>
          <w:szCs w:val="21"/>
        </w:rPr>
        <w:t xml:space="preserve">5. </w:t>
      </w:r>
      <w:r>
        <w:t>熟练掌握利用一些初等解析函数将函数展开为幂级数的间接展开方法；</w:t>
      </w:r>
      <w:r>
        <w:rPr>
          <w:snapToGrid w:val="0"/>
          <w:kern w:val="0"/>
          <w:szCs w:val="21"/>
        </w:rPr>
        <w:t>（重点）</w:t>
      </w:r>
      <w:r>
        <w:t xml:space="preserve"> </w:t>
      </w:r>
    </w:p>
    <w:p>
      <w:pPr>
        <w:spacing w:line="360" w:lineRule="auto"/>
        <w:ind w:firstLine="420" w:firstLineChars="200"/>
        <w:rPr>
          <w:snapToGrid w:val="0"/>
          <w:kern w:val="0"/>
          <w:szCs w:val="21"/>
        </w:rPr>
      </w:pPr>
      <w:r>
        <w:rPr>
          <w:snapToGrid w:val="0"/>
          <w:kern w:val="0"/>
          <w:szCs w:val="21"/>
        </w:rPr>
        <w:t xml:space="preserve">6. </w:t>
      </w:r>
      <w:r>
        <w:t>正确理解洛朗级数，会用间接的方法将简单的函数在其孤立奇点附近展开成洛朗级数。</w:t>
      </w:r>
      <w:r>
        <w:rPr>
          <w:snapToGrid w:val="0"/>
          <w:kern w:val="0"/>
          <w:szCs w:val="21"/>
        </w:rPr>
        <w:t>（重点）</w:t>
      </w:r>
    </w:p>
    <w:p>
      <w:pPr>
        <w:adjustRightInd w:val="0"/>
        <w:spacing w:line="360" w:lineRule="auto"/>
        <w:ind w:firstLine="420" w:firstLineChars="200"/>
        <w:rPr>
          <w:szCs w:val="21"/>
        </w:rPr>
      </w:pPr>
      <w:r>
        <w:rPr>
          <w:rFonts w:hint="eastAsia"/>
          <w:szCs w:val="21"/>
        </w:rPr>
        <w:t xml:space="preserve">本章节内容支撑课程目标 </w:t>
      </w:r>
      <w:r>
        <w:rPr>
          <w:szCs w:val="21"/>
        </w:rPr>
        <w:t>2</w:t>
      </w:r>
      <w:r>
        <w:rPr>
          <w:rFonts w:hint="eastAsia"/>
          <w:szCs w:val="21"/>
        </w:rPr>
        <w:t>。</w:t>
      </w:r>
    </w:p>
    <w:p>
      <w:pPr>
        <w:spacing w:line="360" w:lineRule="auto"/>
        <w:ind w:firstLine="420" w:firstLineChars="200"/>
        <w:rPr>
          <w:rFonts w:eastAsia="黑体"/>
          <w:snapToGrid w:val="0"/>
          <w:kern w:val="0"/>
          <w:szCs w:val="21"/>
        </w:rPr>
      </w:pPr>
      <w:r>
        <w:rPr>
          <w:rFonts w:eastAsia="黑体"/>
          <w:szCs w:val="21"/>
        </w:rPr>
        <w:t>第五章</w:t>
      </w:r>
      <w:r>
        <w:rPr>
          <w:rFonts w:eastAsia="黑体"/>
          <w:snapToGrid w:val="0"/>
          <w:kern w:val="0"/>
          <w:szCs w:val="21"/>
        </w:rPr>
        <w:t xml:space="preserve">  留数理论及其应用</w:t>
      </w:r>
    </w:p>
    <w:p>
      <w:pPr>
        <w:spacing w:line="360" w:lineRule="auto"/>
        <w:ind w:firstLine="420" w:firstLineChars="200"/>
      </w:pPr>
      <w:r>
        <w:rPr>
          <w:snapToGrid w:val="0"/>
          <w:kern w:val="0"/>
          <w:szCs w:val="21"/>
        </w:rPr>
        <w:t xml:space="preserve">1. </w:t>
      </w:r>
      <w:r>
        <w:t xml:space="preserve">理解孤立奇点的分类及函数在各种奇点邻域内的性质； </w:t>
      </w:r>
    </w:p>
    <w:p>
      <w:pPr>
        <w:spacing w:line="360" w:lineRule="auto"/>
        <w:ind w:firstLine="420" w:firstLineChars="200"/>
      </w:pPr>
      <w:r>
        <w:rPr>
          <w:snapToGrid w:val="0"/>
          <w:kern w:val="0"/>
          <w:szCs w:val="21"/>
        </w:rPr>
        <w:t xml:space="preserve">2. </w:t>
      </w:r>
      <w:r>
        <w:t>掌握留数的概念，以及函数在孤立奇点处留数的计算法；</w:t>
      </w:r>
      <w:r>
        <w:rPr>
          <w:snapToGrid w:val="0"/>
          <w:kern w:val="0"/>
          <w:szCs w:val="21"/>
        </w:rPr>
        <w:t>（难点）</w:t>
      </w:r>
    </w:p>
    <w:p>
      <w:pPr>
        <w:spacing w:line="360" w:lineRule="auto"/>
        <w:ind w:firstLine="420" w:firstLineChars="200"/>
      </w:pPr>
      <w:r>
        <w:rPr>
          <w:snapToGrid w:val="0"/>
          <w:kern w:val="0"/>
          <w:szCs w:val="21"/>
        </w:rPr>
        <w:t xml:space="preserve">3. </w:t>
      </w:r>
      <w:r>
        <w:t>理解留数定理，熟练掌握利用留数定理计算闭路复积分及一些实积分。</w:t>
      </w:r>
      <w:r>
        <w:rPr>
          <w:snapToGrid w:val="0"/>
          <w:kern w:val="0"/>
          <w:szCs w:val="21"/>
        </w:rPr>
        <w:t>（难点）</w:t>
      </w:r>
      <w:r>
        <w:t xml:space="preserve"> </w:t>
      </w:r>
    </w:p>
    <w:p>
      <w:pPr>
        <w:adjustRightInd w:val="0"/>
        <w:spacing w:line="360" w:lineRule="auto"/>
        <w:ind w:firstLine="420" w:firstLineChars="200"/>
        <w:rPr>
          <w:szCs w:val="21"/>
        </w:rPr>
      </w:pPr>
      <w:r>
        <w:rPr>
          <w:rFonts w:hint="eastAsia"/>
          <w:szCs w:val="21"/>
        </w:rPr>
        <w:t>本章节内容支撑课程目标1、</w:t>
      </w:r>
      <w:r>
        <w:rPr>
          <w:szCs w:val="21"/>
        </w:rPr>
        <w:t>2</w:t>
      </w:r>
      <w:r>
        <w:rPr>
          <w:rFonts w:hint="eastAsia"/>
          <w:szCs w:val="21"/>
        </w:rPr>
        <w:t>。</w:t>
      </w:r>
    </w:p>
    <w:p>
      <w:pPr>
        <w:spacing w:line="360" w:lineRule="auto"/>
        <w:ind w:firstLine="420" w:firstLineChars="200"/>
        <w:rPr>
          <w:rFonts w:eastAsia="黑体"/>
          <w:snapToGrid w:val="0"/>
          <w:kern w:val="0"/>
          <w:szCs w:val="21"/>
        </w:rPr>
      </w:pPr>
      <w:r>
        <w:rPr>
          <w:rFonts w:eastAsia="黑体"/>
          <w:szCs w:val="21"/>
        </w:rPr>
        <w:t xml:space="preserve">第六章  </w:t>
      </w:r>
      <w:r>
        <w:rPr>
          <w:rFonts w:eastAsia="黑体"/>
          <w:snapToGrid w:val="0"/>
          <w:kern w:val="0"/>
          <w:szCs w:val="21"/>
        </w:rPr>
        <w:t>保角映射*（选学）</w:t>
      </w:r>
    </w:p>
    <w:p>
      <w:pPr>
        <w:spacing w:line="360" w:lineRule="auto"/>
        <w:ind w:firstLine="420" w:firstLineChars="200"/>
      </w:pPr>
      <w:r>
        <w:rPr>
          <w:snapToGrid w:val="0"/>
          <w:kern w:val="0"/>
          <w:szCs w:val="21"/>
        </w:rPr>
        <w:t xml:space="preserve">1. </w:t>
      </w:r>
      <w:r>
        <w:t xml:space="preserve">理解解析函数的导数的几何意义及保角映射的概念。 </w:t>
      </w:r>
    </w:p>
    <w:p>
      <w:pPr>
        <w:spacing w:line="360" w:lineRule="auto"/>
        <w:ind w:firstLine="420" w:firstLineChars="200"/>
      </w:pPr>
      <w:r>
        <w:rPr>
          <w:snapToGrid w:val="0"/>
          <w:kern w:val="0"/>
          <w:szCs w:val="21"/>
        </w:rPr>
        <w:t xml:space="preserve">2. </w:t>
      </w:r>
      <w:r>
        <w:t>了解</w:t>
      </w:r>
      <w:r>
        <w:rPr>
          <w:position w:val="-6"/>
        </w:rPr>
        <w:object>
          <v:shape id="_x0000_i1044" o:spt="75" type="#_x0000_t75" style="height:15pt;width:31.5pt;" o:ole="t" filled="f" o:preferrelative="t" stroked="f" coordsize="21600,21600">
            <v:path/>
            <v:fill on="f" focussize="0,0"/>
            <v:stroke on="f" joinstyle="miter"/>
            <v:imagedata r:id="rId193" o:title=""/>
            <o:lock v:ext="edit" aspectratio="t"/>
            <w10:wrap type="none"/>
            <w10:anchorlock/>
          </v:shape>
          <o:OLEObject Type="Embed" ProgID="Equation.DSMT4" ShapeID="_x0000_i1044" DrawAspect="Content" ObjectID="_1468075744" r:id="rId192">
            <o:LockedField>false</o:LockedField>
          </o:OLEObject>
        </w:object>
      </w:r>
      <w:r>
        <w:t>（</w:t>
      </w:r>
      <w:r>
        <w:rPr>
          <w:position w:val="-6"/>
        </w:rPr>
        <w:object>
          <v:shape id="_x0000_i1045" o:spt="75" type="#_x0000_t75" style="height:11.25pt;width:11.25pt;" o:ole="t" filled="f" o:preferrelative="t" stroked="f" coordsize="21600,21600">
            <v:path/>
            <v:fill on="f" focussize="0,0"/>
            <v:stroke on="f" joinstyle="miter"/>
            <v:imagedata r:id="rId195" o:title=""/>
            <o:lock v:ext="edit" aspectratio="t"/>
            <w10:wrap type="none"/>
            <w10:anchorlock/>
          </v:shape>
          <o:OLEObject Type="Embed" ProgID="Equation.DSMT4" ShapeID="_x0000_i1045" DrawAspect="Content" ObjectID="_1468075745" r:id="rId194">
            <o:LockedField>false</o:LockedField>
          </o:OLEObject>
        </w:object>
      </w:r>
      <w:r>
        <w:t>为正有理数）和</w:t>
      </w:r>
      <w:r>
        <w:rPr>
          <w:position w:val="-6"/>
        </w:rPr>
        <w:object>
          <v:shape id="_x0000_i1046" o:spt="75" type="#_x0000_t75" style="height:15pt;width:30pt;" o:ole="t" filled="f" o:preferrelative="t" stroked="f" coordsize="21600,21600">
            <v:path/>
            <v:fill on="f" focussize="0,0"/>
            <v:stroke on="f" joinstyle="miter"/>
            <v:imagedata r:id="rId197" o:title=""/>
            <o:lock v:ext="edit" aspectratio="t"/>
            <w10:wrap type="none"/>
            <w10:anchorlock/>
          </v:shape>
          <o:OLEObject Type="Embed" ProgID="Equation.DSMT4" ShapeID="_x0000_i1046" DrawAspect="Content" ObjectID="_1468075746" r:id="rId196">
            <o:LockedField>false</o:LockedField>
          </o:OLEObject>
        </w:object>
      </w:r>
      <w:r>
        <w:t xml:space="preserve">的映射性质； </w:t>
      </w:r>
    </w:p>
    <w:p>
      <w:pPr>
        <w:spacing w:line="360" w:lineRule="auto"/>
        <w:ind w:firstLine="420" w:firstLineChars="200"/>
      </w:pPr>
      <w:r>
        <w:rPr>
          <w:snapToGrid w:val="0"/>
          <w:kern w:val="0"/>
          <w:szCs w:val="21"/>
        </w:rPr>
        <w:t xml:space="preserve">3. </w:t>
      </w:r>
      <w:r>
        <w:t>掌握线性映射的性质和分式线性映射的保圆性及保对称性；</w:t>
      </w:r>
    </w:p>
    <w:p>
      <w:pPr>
        <w:spacing w:line="360" w:lineRule="auto"/>
        <w:ind w:firstLine="420" w:firstLineChars="200"/>
      </w:pPr>
      <w:r>
        <w:rPr>
          <w:snapToGrid w:val="0"/>
          <w:kern w:val="0"/>
          <w:szCs w:val="21"/>
        </w:rPr>
        <w:t xml:space="preserve">4. </w:t>
      </w:r>
      <w:r>
        <w:t>会求一些简单区域（例如平面、半平面、角形域、圆、带形域等）之间的保角映射。</w:t>
      </w:r>
    </w:p>
    <w:p>
      <w:pPr>
        <w:adjustRightInd w:val="0"/>
        <w:spacing w:line="360" w:lineRule="auto"/>
        <w:ind w:firstLine="420" w:firstLineChars="200"/>
        <w:rPr>
          <w:szCs w:val="21"/>
        </w:rPr>
      </w:pPr>
      <w:r>
        <w:rPr>
          <w:rFonts w:hint="eastAsia"/>
          <w:szCs w:val="21"/>
        </w:rPr>
        <w:t>本章节内容支撑课程目标1、</w:t>
      </w:r>
      <w:r>
        <w:rPr>
          <w:szCs w:val="21"/>
        </w:rPr>
        <w:t>2</w:t>
      </w:r>
      <w:r>
        <w:rPr>
          <w:rFonts w:hint="eastAsia"/>
          <w:szCs w:val="21"/>
        </w:rPr>
        <w:t>。</w:t>
      </w:r>
    </w:p>
    <w:p>
      <w:pPr>
        <w:spacing w:line="360" w:lineRule="auto"/>
        <w:ind w:firstLine="420" w:firstLineChars="200"/>
        <w:rPr>
          <w:rFonts w:eastAsia="黑体"/>
          <w:snapToGrid w:val="0"/>
          <w:kern w:val="0"/>
          <w:szCs w:val="21"/>
        </w:rPr>
      </w:pPr>
      <w:r>
        <w:rPr>
          <w:rFonts w:eastAsia="黑体"/>
          <w:szCs w:val="21"/>
        </w:rPr>
        <w:t>第七章</w:t>
      </w:r>
      <w:r>
        <w:rPr>
          <w:rFonts w:eastAsia="黑体"/>
          <w:snapToGrid w:val="0"/>
          <w:kern w:val="0"/>
          <w:szCs w:val="21"/>
        </w:rPr>
        <w:t xml:space="preserve">  傅里叶积分变换</w:t>
      </w:r>
    </w:p>
    <w:p>
      <w:pPr>
        <w:spacing w:line="360" w:lineRule="auto"/>
        <w:ind w:firstLine="420" w:firstLineChars="200"/>
      </w:pPr>
      <w:r>
        <w:rPr>
          <w:snapToGrid w:val="0"/>
          <w:kern w:val="0"/>
          <w:szCs w:val="21"/>
        </w:rPr>
        <w:t xml:space="preserve">1. </w:t>
      </w:r>
      <w:r>
        <w:t xml:space="preserve">正确理解傅里叶变换的概念，会求函数的傅里叶变换； </w:t>
      </w:r>
    </w:p>
    <w:p>
      <w:pPr>
        <w:spacing w:line="360" w:lineRule="auto"/>
        <w:ind w:firstLine="420" w:firstLineChars="200"/>
      </w:pPr>
      <w:r>
        <w:rPr>
          <w:snapToGrid w:val="0"/>
          <w:kern w:val="0"/>
          <w:szCs w:val="21"/>
        </w:rPr>
        <w:t xml:space="preserve">2. </w:t>
      </w:r>
      <w:r>
        <w:t xml:space="preserve">理解单位脉冲函数及其傅里叶变换；（重点） </w:t>
      </w:r>
    </w:p>
    <w:p>
      <w:pPr>
        <w:spacing w:line="360" w:lineRule="auto"/>
        <w:ind w:firstLine="420" w:firstLineChars="200"/>
        <w:rPr>
          <w:snapToGrid w:val="0"/>
          <w:kern w:val="0"/>
          <w:szCs w:val="21"/>
        </w:rPr>
      </w:pPr>
      <w:r>
        <w:rPr>
          <w:snapToGrid w:val="0"/>
          <w:kern w:val="0"/>
          <w:szCs w:val="21"/>
        </w:rPr>
        <w:t>3. 重点掌握傅里叶积分变换的对称性质、微分性质、平移性质；</w:t>
      </w:r>
      <w:r>
        <w:t>（重点）</w:t>
      </w:r>
    </w:p>
    <w:p>
      <w:pPr>
        <w:spacing w:line="360" w:lineRule="auto"/>
        <w:ind w:firstLine="420" w:firstLineChars="200"/>
      </w:pPr>
      <w:r>
        <w:rPr>
          <w:snapToGrid w:val="0"/>
          <w:kern w:val="0"/>
          <w:szCs w:val="21"/>
        </w:rPr>
        <w:t xml:space="preserve">4. </w:t>
      </w:r>
      <w:r>
        <w:t>了解傅里叶变换的卷积定理。</w:t>
      </w:r>
    </w:p>
    <w:p>
      <w:pPr>
        <w:adjustRightInd w:val="0"/>
        <w:spacing w:line="360" w:lineRule="auto"/>
        <w:ind w:firstLine="420" w:firstLineChars="200"/>
        <w:rPr>
          <w:szCs w:val="21"/>
        </w:rPr>
      </w:pPr>
      <w:r>
        <w:rPr>
          <w:rFonts w:hint="eastAsia"/>
          <w:szCs w:val="21"/>
        </w:rPr>
        <w:t xml:space="preserve">本章节内容支撑课程目标 </w:t>
      </w:r>
      <w:r>
        <w:rPr>
          <w:szCs w:val="21"/>
        </w:rPr>
        <w:t>3</w:t>
      </w:r>
      <w:r>
        <w:rPr>
          <w:rFonts w:hint="eastAsia"/>
          <w:szCs w:val="21"/>
        </w:rPr>
        <w:t>。</w:t>
      </w:r>
    </w:p>
    <w:p>
      <w:pPr>
        <w:spacing w:line="360" w:lineRule="auto"/>
        <w:ind w:firstLine="420" w:firstLineChars="200"/>
        <w:rPr>
          <w:rFonts w:eastAsia="黑体"/>
          <w:snapToGrid w:val="0"/>
          <w:kern w:val="0"/>
          <w:szCs w:val="21"/>
        </w:rPr>
      </w:pPr>
      <w:r>
        <w:rPr>
          <w:rFonts w:eastAsia="黑体"/>
          <w:szCs w:val="21"/>
        </w:rPr>
        <w:t>第八章</w:t>
      </w:r>
      <w:r>
        <w:rPr>
          <w:rFonts w:eastAsia="黑体"/>
          <w:snapToGrid w:val="0"/>
          <w:kern w:val="0"/>
          <w:szCs w:val="21"/>
        </w:rPr>
        <w:t xml:space="preserve">  拉普拉斯变换</w:t>
      </w:r>
    </w:p>
    <w:p>
      <w:pPr>
        <w:spacing w:line="360" w:lineRule="auto"/>
        <w:ind w:firstLine="420" w:firstLineChars="200"/>
      </w:pPr>
      <w:r>
        <w:rPr>
          <w:snapToGrid w:val="0"/>
          <w:kern w:val="0"/>
          <w:szCs w:val="21"/>
        </w:rPr>
        <w:t xml:space="preserve">1. </w:t>
      </w:r>
      <w:r>
        <w:t xml:space="preserve">理解拉普拉斯变换的概念； </w:t>
      </w:r>
    </w:p>
    <w:p>
      <w:pPr>
        <w:spacing w:line="360" w:lineRule="auto"/>
        <w:ind w:firstLine="420" w:firstLineChars="200"/>
      </w:pPr>
      <w:r>
        <w:rPr>
          <w:snapToGrid w:val="0"/>
          <w:kern w:val="0"/>
          <w:szCs w:val="21"/>
        </w:rPr>
        <w:t xml:space="preserve">2. </w:t>
      </w:r>
      <w:r>
        <w:t>了解拉普拉斯变换的性质，理解拉普拉斯变换的微分性质；</w:t>
      </w:r>
    </w:p>
    <w:p>
      <w:pPr>
        <w:spacing w:line="360" w:lineRule="auto"/>
        <w:ind w:firstLine="420" w:firstLineChars="200"/>
      </w:pPr>
      <w:r>
        <w:rPr>
          <w:snapToGrid w:val="0"/>
          <w:kern w:val="0"/>
          <w:szCs w:val="21"/>
        </w:rPr>
        <w:t xml:space="preserve">3. </w:t>
      </w:r>
      <w:r>
        <w:t xml:space="preserve">掌握拉普拉斯变换及拉普拉斯逆变换的计算方法；（难点） </w:t>
      </w:r>
    </w:p>
    <w:p>
      <w:pPr>
        <w:spacing w:line="360" w:lineRule="auto"/>
        <w:ind w:firstLine="420" w:firstLineChars="200"/>
      </w:pPr>
      <w:r>
        <w:rPr>
          <w:snapToGrid w:val="0"/>
          <w:kern w:val="0"/>
          <w:szCs w:val="21"/>
        </w:rPr>
        <w:t xml:space="preserve">4. </w:t>
      </w:r>
      <w:r>
        <w:t xml:space="preserve">了解卷积的概念及卷积定理； </w:t>
      </w:r>
    </w:p>
    <w:p>
      <w:pPr>
        <w:spacing w:line="360" w:lineRule="auto"/>
        <w:ind w:firstLine="420" w:firstLineChars="200"/>
      </w:pPr>
      <w:r>
        <w:rPr>
          <w:snapToGrid w:val="0"/>
          <w:kern w:val="0"/>
          <w:szCs w:val="21"/>
        </w:rPr>
        <w:t xml:space="preserve">5. </w:t>
      </w:r>
      <w:r>
        <w:t xml:space="preserve">掌握利用拉普拉斯变换求解微分方程的方法。（重点） </w:t>
      </w:r>
    </w:p>
    <w:p>
      <w:pPr>
        <w:adjustRightInd w:val="0"/>
        <w:spacing w:line="360" w:lineRule="auto"/>
        <w:ind w:firstLine="420" w:firstLineChars="200"/>
        <w:rPr>
          <w:szCs w:val="21"/>
        </w:rPr>
      </w:pPr>
      <w:r>
        <w:rPr>
          <w:rFonts w:hint="eastAsia"/>
          <w:szCs w:val="21"/>
        </w:rPr>
        <w:t xml:space="preserve">本章节内容支撑课程目标 </w:t>
      </w:r>
      <w:r>
        <w:rPr>
          <w:szCs w:val="21"/>
        </w:rPr>
        <w:t>3</w:t>
      </w:r>
      <w:r>
        <w:rPr>
          <w:rFonts w:hint="eastAsia"/>
          <w:szCs w:val="21"/>
        </w:rPr>
        <w:t>。</w:t>
      </w:r>
    </w:p>
    <w:p>
      <w:pPr>
        <w:spacing w:line="360" w:lineRule="auto"/>
        <w:ind w:firstLine="420" w:firstLineChars="200"/>
        <w:rPr>
          <w:rFonts w:eastAsia="黑体"/>
          <w:snapToGrid w:val="0"/>
          <w:kern w:val="0"/>
          <w:szCs w:val="21"/>
        </w:rPr>
      </w:pPr>
      <w:r>
        <w:rPr>
          <w:rFonts w:eastAsia="黑体"/>
          <w:szCs w:val="21"/>
        </w:rPr>
        <w:t>第九章</w:t>
      </w:r>
      <w:r>
        <w:rPr>
          <w:rFonts w:eastAsia="黑体"/>
          <w:snapToGrid w:val="0"/>
          <w:kern w:val="0"/>
          <w:szCs w:val="21"/>
        </w:rPr>
        <w:t xml:space="preserve">  Z-变换</w:t>
      </w:r>
    </w:p>
    <w:p>
      <w:pPr>
        <w:spacing w:line="360" w:lineRule="auto"/>
        <w:ind w:firstLine="420" w:firstLineChars="200"/>
      </w:pPr>
      <w:r>
        <w:rPr>
          <w:snapToGrid w:val="0"/>
          <w:kern w:val="0"/>
          <w:szCs w:val="21"/>
        </w:rPr>
        <w:t>1. 理解</w:t>
      </w:r>
      <w:r>
        <w:rPr>
          <w:b/>
        </w:rPr>
        <w:t>Z</w:t>
      </w:r>
      <w:r>
        <w:t>-变换的概念；了解</w:t>
      </w:r>
      <w:r>
        <w:rPr>
          <w:b/>
        </w:rPr>
        <w:t>Z</w:t>
      </w:r>
      <w:r>
        <w:t>-变换的性质；</w:t>
      </w:r>
    </w:p>
    <w:p>
      <w:pPr>
        <w:spacing w:line="360" w:lineRule="auto"/>
        <w:ind w:firstLine="420" w:firstLineChars="200"/>
      </w:pPr>
      <w:r>
        <w:rPr>
          <w:snapToGrid w:val="0"/>
          <w:kern w:val="0"/>
          <w:szCs w:val="21"/>
        </w:rPr>
        <w:t xml:space="preserve">2. </w:t>
      </w:r>
      <w:r>
        <w:t>掌握</w:t>
      </w:r>
      <w:r>
        <w:rPr>
          <w:b/>
        </w:rPr>
        <w:t>Z-</w:t>
      </w:r>
      <w:r>
        <w:t>变换及</w:t>
      </w:r>
      <w:r>
        <w:rPr>
          <w:b/>
        </w:rPr>
        <w:t>Z</w:t>
      </w:r>
      <w:r>
        <w:t xml:space="preserve">-逆变换的计算方法；（重点） </w:t>
      </w:r>
    </w:p>
    <w:p>
      <w:pPr>
        <w:spacing w:line="360" w:lineRule="auto"/>
        <w:ind w:firstLine="420" w:firstLineChars="200"/>
      </w:pPr>
      <w:r>
        <w:rPr>
          <w:snapToGrid w:val="0"/>
          <w:kern w:val="0"/>
          <w:szCs w:val="21"/>
        </w:rPr>
        <w:t xml:space="preserve">3. </w:t>
      </w:r>
      <w:r>
        <w:t>掌握</w:t>
      </w:r>
      <w:r>
        <w:rPr>
          <w:b/>
        </w:rPr>
        <w:t>Z-</w:t>
      </w:r>
      <w:r>
        <w:t>变换及</w:t>
      </w:r>
      <w:r>
        <w:rPr>
          <w:b/>
        </w:rPr>
        <w:t>Z</w:t>
      </w:r>
      <w:r>
        <w:t>-变换的逆变换求解差分方程。（难点）</w:t>
      </w:r>
    </w:p>
    <w:p>
      <w:pPr>
        <w:adjustRightInd w:val="0"/>
        <w:spacing w:line="360" w:lineRule="auto"/>
        <w:ind w:firstLine="420" w:firstLineChars="200"/>
        <w:rPr>
          <w:szCs w:val="21"/>
        </w:rPr>
      </w:pPr>
      <w:r>
        <w:rPr>
          <w:rFonts w:hint="eastAsia"/>
          <w:szCs w:val="21"/>
        </w:rPr>
        <w:t xml:space="preserve">本章节内容支撑课程目标 </w:t>
      </w:r>
      <w:r>
        <w:rPr>
          <w:szCs w:val="21"/>
        </w:rPr>
        <w:t>3</w:t>
      </w:r>
      <w:r>
        <w:rPr>
          <w:rFonts w:hint="eastAsia"/>
          <w:szCs w:val="21"/>
        </w:rPr>
        <w:t>。</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四、实验教学内容</w:t>
      </w:r>
    </w:p>
    <w:p>
      <w:pPr>
        <w:spacing w:line="360" w:lineRule="auto"/>
        <w:ind w:firstLine="424"/>
        <w:rPr>
          <w:rFonts w:ascii="宋体" w:hAnsi="宋体" w:cs="宋体"/>
          <w:kern w:val="0"/>
          <w:szCs w:val="21"/>
        </w:rPr>
      </w:pPr>
      <w:r>
        <w:rPr>
          <w:rFonts w:hint="eastAsia" w:ascii="宋体" w:hAnsi="宋体" w:cs="宋体"/>
          <w:kern w:val="0"/>
          <w:szCs w:val="21"/>
        </w:rPr>
        <w:t>无。</w:t>
      </w:r>
    </w:p>
    <w:p>
      <w:pPr>
        <w:spacing w:line="360" w:lineRule="auto"/>
        <w:ind w:firstLine="424"/>
        <w:rPr>
          <w:rFonts w:ascii="宋体" w:hAnsi="宋体" w:cs="宋体"/>
          <w:kern w:val="0"/>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4"/>
        <w:gridCol w:w="1767"/>
        <w:gridCol w:w="1767"/>
        <w:gridCol w:w="7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399" w:type="pct"/>
            <w:vAlign w:val="center"/>
          </w:tcPr>
          <w:p>
            <w:pPr>
              <w:jc w:val="center"/>
              <w:rPr>
                <w:sz w:val="18"/>
                <w:szCs w:val="18"/>
              </w:rPr>
            </w:pPr>
            <w:r>
              <w:rPr>
                <w:sz w:val="18"/>
                <w:szCs w:val="18"/>
              </w:rPr>
              <w:t>章节名称</w:t>
            </w:r>
          </w:p>
        </w:tc>
        <w:tc>
          <w:tcPr>
            <w:tcW w:w="1064" w:type="pct"/>
            <w:vAlign w:val="center"/>
          </w:tcPr>
          <w:p>
            <w:pPr>
              <w:jc w:val="center"/>
              <w:rPr>
                <w:sz w:val="18"/>
                <w:szCs w:val="18"/>
              </w:rPr>
            </w:pPr>
            <w:r>
              <w:rPr>
                <w:sz w:val="18"/>
                <w:szCs w:val="18"/>
              </w:rPr>
              <w:t>讲授（学时）</w:t>
            </w:r>
          </w:p>
        </w:tc>
        <w:tc>
          <w:tcPr>
            <w:tcW w:w="1064" w:type="pct"/>
            <w:vAlign w:val="center"/>
          </w:tcPr>
          <w:p>
            <w:pPr>
              <w:jc w:val="center"/>
              <w:rPr>
                <w:sz w:val="18"/>
                <w:szCs w:val="18"/>
              </w:rPr>
            </w:pPr>
            <w:r>
              <w:rPr>
                <w:sz w:val="18"/>
                <w:szCs w:val="18"/>
              </w:rPr>
              <w:t>实验（学时）</w:t>
            </w:r>
          </w:p>
        </w:tc>
        <w:tc>
          <w:tcPr>
            <w:tcW w:w="473" w:type="pct"/>
            <w:vAlign w:val="center"/>
          </w:tcPr>
          <w:p>
            <w:pPr>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99" w:type="pct"/>
            <w:vAlign w:val="center"/>
          </w:tcPr>
          <w:p>
            <w:pPr>
              <w:widowControl/>
              <w:ind w:firstLine="282" w:firstLineChars="157"/>
              <w:rPr>
                <w:snapToGrid w:val="0"/>
                <w:kern w:val="0"/>
                <w:sz w:val="18"/>
                <w:szCs w:val="18"/>
              </w:rPr>
            </w:pPr>
            <w:r>
              <w:rPr>
                <w:rFonts w:hint="eastAsia"/>
                <w:bCs/>
                <w:snapToGrid w:val="0"/>
                <w:kern w:val="0"/>
                <w:sz w:val="18"/>
                <w:szCs w:val="18"/>
              </w:rPr>
              <w:t>第一章</w:t>
            </w:r>
            <w:r>
              <w:rPr>
                <w:bCs/>
                <w:snapToGrid w:val="0"/>
                <w:kern w:val="0"/>
                <w:sz w:val="18"/>
                <w:szCs w:val="18"/>
              </w:rPr>
              <w:t xml:space="preserve"> 复数与复变函数</w:t>
            </w:r>
          </w:p>
        </w:tc>
        <w:tc>
          <w:tcPr>
            <w:tcW w:w="1064" w:type="pct"/>
            <w:vAlign w:val="center"/>
          </w:tcPr>
          <w:p>
            <w:pPr>
              <w:widowControl/>
              <w:jc w:val="center"/>
              <w:rPr>
                <w:kern w:val="0"/>
                <w:sz w:val="18"/>
                <w:szCs w:val="18"/>
              </w:rPr>
            </w:pPr>
            <w:r>
              <w:rPr>
                <w:kern w:val="0"/>
                <w:sz w:val="18"/>
                <w:szCs w:val="18"/>
              </w:rPr>
              <w:t>4</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99" w:type="pct"/>
            <w:vAlign w:val="center"/>
          </w:tcPr>
          <w:p>
            <w:pPr>
              <w:widowControl/>
              <w:ind w:firstLine="282" w:firstLineChars="157"/>
              <w:rPr>
                <w:snapToGrid w:val="0"/>
                <w:kern w:val="0"/>
                <w:sz w:val="18"/>
                <w:szCs w:val="18"/>
              </w:rPr>
            </w:pPr>
            <w:r>
              <w:rPr>
                <w:rFonts w:hint="eastAsia"/>
                <w:bCs/>
                <w:snapToGrid w:val="0"/>
                <w:kern w:val="0"/>
                <w:sz w:val="18"/>
                <w:szCs w:val="18"/>
              </w:rPr>
              <w:t>第二章</w:t>
            </w:r>
            <w:r>
              <w:rPr>
                <w:bCs/>
                <w:snapToGrid w:val="0"/>
                <w:kern w:val="0"/>
                <w:sz w:val="18"/>
                <w:szCs w:val="18"/>
              </w:rPr>
              <w:t xml:space="preserve"> 解析函数</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snapToGrid w:val="0"/>
                <w:kern w:val="0"/>
                <w:sz w:val="18"/>
                <w:szCs w:val="18"/>
              </w:rPr>
              <w:t>第三章</w:t>
            </w:r>
            <w:r>
              <w:rPr>
                <w:snapToGrid w:val="0"/>
                <w:kern w:val="0"/>
                <w:sz w:val="18"/>
                <w:szCs w:val="18"/>
              </w:rPr>
              <w:t xml:space="preserve"> 复变函数的积分</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snapToGrid w:val="0"/>
                <w:kern w:val="0"/>
                <w:sz w:val="18"/>
                <w:szCs w:val="18"/>
              </w:rPr>
              <w:t>第四章</w:t>
            </w:r>
            <w:r>
              <w:rPr>
                <w:snapToGrid w:val="0"/>
                <w:kern w:val="0"/>
                <w:sz w:val="18"/>
                <w:szCs w:val="18"/>
              </w:rPr>
              <w:t xml:space="preserve"> 级数</w:t>
            </w:r>
          </w:p>
        </w:tc>
        <w:tc>
          <w:tcPr>
            <w:tcW w:w="1064" w:type="pct"/>
            <w:vAlign w:val="center"/>
          </w:tcPr>
          <w:p>
            <w:pPr>
              <w:widowControl/>
              <w:jc w:val="center"/>
              <w:rPr>
                <w:kern w:val="0"/>
                <w:sz w:val="18"/>
                <w:szCs w:val="18"/>
              </w:rPr>
            </w:pPr>
            <w:r>
              <w:rPr>
                <w:kern w:val="0"/>
                <w:sz w:val="18"/>
                <w:szCs w:val="18"/>
              </w:rPr>
              <w:t>8</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snapToGrid w:val="0"/>
                <w:kern w:val="0"/>
                <w:sz w:val="18"/>
                <w:szCs w:val="18"/>
              </w:rPr>
              <w:t>第五章</w:t>
            </w:r>
            <w:r>
              <w:rPr>
                <w:snapToGrid w:val="0"/>
                <w:kern w:val="0"/>
                <w:sz w:val="18"/>
                <w:szCs w:val="18"/>
              </w:rPr>
              <w:t xml:space="preserve"> 留数理论及其应用</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kern w:val="0"/>
                <w:sz w:val="18"/>
                <w:szCs w:val="18"/>
              </w:rPr>
              <w:t>第七章</w:t>
            </w:r>
            <w:r>
              <w:rPr>
                <w:kern w:val="0"/>
                <w:sz w:val="18"/>
                <w:szCs w:val="18"/>
              </w:rPr>
              <w:t xml:space="preserve"> 傅里叶积分变换</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kern w:val="0"/>
                <w:sz w:val="18"/>
                <w:szCs w:val="18"/>
              </w:rPr>
              <w:t>第八章</w:t>
            </w:r>
            <w:r>
              <w:rPr>
                <w:kern w:val="0"/>
                <w:sz w:val="18"/>
                <w:szCs w:val="18"/>
              </w:rPr>
              <w:t xml:space="preserve"> 拉普拉斯积分变换</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99" w:type="pct"/>
            <w:vAlign w:val="center"/>
          </w:tcPr>
          <w:p>
            <w:pPr>
              <w:widowControl/>
              <w:ind w:firstLine="282" w:firstLineChars="157"/>
              <w:rPr>
                <w:kern w:val="0"/>
                <w:sz w:val="18"/>
                <w:szCs w:val="18"/>
              </w:rPr>
            </w:pPr>
            <w:r>
              <w:rPr>
                <w:rFonts w:hint="eastAsia"/>
                <w:kern w:val="0"/>
                <w:sz w:val="18"/>
                <w:szCs w:val="18"/>
              </w:rPr>
              <w:t>第九章</w:t>
            </w:r>
            <w:r>
              <w:rPr>
                <w:kern w:val="0"/>
                <w:sz w:val="18"/>
                <w:szCs w:val="18"/>
              </w:rPr>
              <w:t xml:space="preserve"> Z变换</w:t>
            </w:r>
          </w:p>
        </w:tc>
        <w:tc>
          <w:tcPr>
            <w:tcW w:w="1064" w:type="pct"/>
            <w:vAlign w:val="center"/>
          </w:tcPr>
          <w:p>
            <w:pPr>
              <w:widowControl/>
              <w:jc w:val="center"/>
              <w:rPr>
                <w:kern w:val="0"/>
                <w:sz w:val="18"/>
                <w:szCs w:val="18"/>
              </w:rPr>
            </w:pPr>
            <w:r>
              <w:rPr>
                <w:kern w:val="0"/>
                <w:sz w:val="18"/>
                <w:szCs w:val="18"/>
              </w:rPr>
              <w:t>6</w:t>
            </w:r>
          </w:p>
        </w:tc>
        <w:tc>
          <w:tcPr>
            <w:tcW w:w="1064" w:type="pct"/>
            <w:vAlign w:val="center"/>
          </w:tcPr>
          <w:p>
            <w:pPr>
              <w:widowControl/>
              <w:jc w:val="center"/>
              <w:rPr>
                <w:kern w:val="0"/>
                <w:sz w:val="18"/>
                <w:szCs w:val="18"/>
              </w:rPr>
            </w:pPr>
            <w:r>
              <w:rPr>
                <w:kern w:val="0"/>
                <w:sz w:val="18"/>
                <w:szCs w:val="18"/>
              </w:rPr>
              <w:t>0</w:t>
            </w:r>
          </w:p>
        </w:tc>
        <w:tc>
          <w:tcPr>
            <w:tcW w:w="473" w:type="pct"/>
            <w:vAlign w:val="center"/>
          </w:tcPr>
          <w:p>
            <w:pPr>
              <w:widowControl/>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399" w:type="pct"/>
            <w:vAlign w:val="center"/>
          </w:tcPr>
          <w:p>
            <w:pPr>
              <w:jc w:val="center"/>
              <w:rPr>
                <w:sz w:val="18"/>
                <w:szCs w:val="18"/>
              </w:rPr>
            </w:pPr>
            <w:r>
              <w:rPr>
                <w:sz w:val="18"/>
                <w:szCs w:val="18"/>
              </w:rPr>
              <w:t>合计</w:t>
            </w:r>
          </w:p>
        </w:tc>
        <w:tc>
          <w:tcPr>
            <w:tcW w:w="1064" w:type="pct"/>
            <w:vAlign w:val="center"/>
          </w:tcPr>
          <w:p>
            <w:pPr>
              <w:jc w:val="center"/>
              <w:rPr>
                <w:sz w:val="18"/>
                <w:szCs w:val="18"/>
              </w:rPr>
            </w:pPr>
            <w:r>
              <w:rPr>
                <w:sz w:val="18"/>
                <w:szCs w:val="18"/>
              </w:rPr>
              <w:t>4</w:t>
            </w:r>
            <w:r>
              <w:rPr>
                <w:rFonts w:hint="eastAsia"/>
                <w:sz w:val="18"/>
                <w:szCs w:val="18"/>
              </w:rPr>
              <w:t>8</w:t>
            </w:r>
          </w:p>
        </w:tc>
        <w:tc>
          <w:tcPr>
            <w:tcW w:w="1064" w:type="pct"/>
            <w:vAlign w:val="center"/>
          </w:tcPr>
          <w:p>
            <w:pPr>
              <w:jc w:val="center"/>
              <w:rPr>
                <w:sz w:val="18"/>
                <w:szCs w:val="18"/>
              </w:rPr>
            </w:pPr>
            <w:r>
              <w:rPr>
                <w:rFonts w:hint="eastAsia"/>
                <w:sz w:val="18"/>
                <w:szCs w:val="18"/>
              </w:rPr>
              <w:t>0</w:t>
            </w:r>
          </w:p>
        </w:tc>
        <w:tc>
          <w:tcPr>
            <w:tcW w:w="473" w:type="pct"/>
            <w:vAlign w:val="center"/>
          </w:tcPr>
          <w:p>
            <w:pPr>
              <w:jc w:val="center"/>
              <w:rPr>
                <w:sz w:val="18"/>
                <w:szCs w:val="18"/>
              </w:rPr>
            </w:pPr>
            <w:r>
              <w:rPr>
                <w:sz w:val="18"/>
                <w:szCs w:val="18"/>
              </w:rPr>
              <w:t>4</w:t>
            </w:r>
            <w:r>
              <w:rPr>
                <w:rFonts w:hint="eastAsia"/>
                <w:sz w:val="18"/>
                <w:szCs w:val="18"/>
              </w:rPr>
              <w:t>8</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spacing w:line="360" w:lineRule="auto"/>
        <w:ind w:firstLine="420" w:firstLineChars="200"/>
        <w:rPr>
          <w:color w:val="FF0000"/>
          <w:szCs w:val="21"/>
        </w:rPr>
      </w:pPr>
      <w:r>
        <w:rPr>
          <w:szCs w:val="21"/>
        </w:rPr>
        <w:t>1</w:t>
      </w:r>
      <w:r>
        <w:rPr>
          <w:rFonts w:hint="eastAsia"/>
          <w:szCs w:val="21"/>
        </w:rPr>
        <w:t xml:space="preserve">. </w:t>
      </w:r>
      <w:r>
        <w:rPr>
          <w:szCs w:val="21"/>
        </w:rPr>
        <w:t>白艳萍，雷英杰，杨明编著，《复变函数与积分变换》，ISBN9787118035872，国防工业出版社。</w:t>
      </w:r>
    </w:p>
    <w:p>
      <w:pPr>
        <w:spacing w:line="360" w:lineRule="auto"/>
        <w:ind w:firstLine="420" w:firstLineChars="200"/>
        <w:rPr>
          <w:color w:val="FF0000"/>
          <w:szCs w:val="21"/>
        </w:rPr>
      </w:pPr>
      <w:r>
        <w:rPr>
          <w:szCs w:val="21"/>
        </w:rPr>
        <w:t>2. 罗恩著，《Computational Frameworks for the Fast Fourier Transform（快速傅里叶变换的计算框架）》（影印版），ISBN9787302244974，清华大学出版社。</w:t>
      </w:r>
    </w:p>
    <w:p>
      <w:pPr>
        <w:spacing w:line="360" w:lineRule="auto"/>
        <w:ind w:firstLine="420" w:firstLineChars="200"/>
        <w:rPr>
          <w:szCs w:val="21"/>
        </w:rPr>
      </w:pPr>
      <w:r>
        <w:rPr>
          <w:szCs w:val="21"/>
        </w:rPr>
        <w:t>3. 杜洪艳，尤正书编，《复变函数与积分变换）》-“十二五”应用型本科系列规划教材，ISBN9787111472391，机械工业出版社。</w:t>
      </w:r>
    </w:p>
    <w:p>
      <w:pPr>
        <w:spacing w:line="360" w:lineRule="auto"/>
        <w:ind w:firstLine="420" w:firstLineChars="200"/>
        <w:rPr>
          <w:szCs w:val="21"/>
        </w:rPr>
      </w:pPr>
      <w:r>
        <w:rPr>
          <w:szCs w:val="21"/>
        </w:rPr>
        <w:t>4. 包革军，邢宇明，盖云英编著，《复变函数与积分变换（第三版）》，ISBN9787030369130, 科学出版社。</w:t>
      </w:r>
    </w:p>
    <w:p>
      <w:pPr>
        <w:spacing w:line="360" w:lineRule="auto"/>
        <w:ind w:firstLine="420" w:firstLineChars="200"/>
        <w:rPr>
          <w:szCs w:val="21"/>
        </w:rPr>
      </w:pPr>
      <w:r>
        <w:rPr>
          <w:szCs w:val="21"/>
        </w:rPr>
        <w:t>5. 李红编著，《复变函数与积分变换-学习辅导与习题全解-第四版》， ISBN9787040386013，高等教育出版社。</w:t>
      </w:r>
    </w:p>
    <w:p>
      <w:pPr>
        <w:spacing w:line="360" w:lineRule="auto"/>
        <w:ind w:firstLine="420" w:firstLineChars="200"/>
        <w:rPr>
          <w:szCs w:val="21"/>
        </w:rPr>
      </w:pPr>
      <w:r>
        <w:rPr>
          <w:szCs w:val="21"/>
        </w:rPr>
        <w:t>6. 视频资料：《复变函数与积分变换》，资料链接：</w:t>
      </w:r>
      <w:r>
        <w:fldChar w:fldCharType="begin"/>
      </w:r>
      <w:r>
        <w:instrText xml:space="preserve"> HYPERLINK "http://pan.baidu.com/s/1dFvzI5F" </w:instrText>
      </w:r>
      <w:r>
        <w:fldChar w:fldCharType="separate"/>
      </w:r>
      <w:r>
        <w:rPr>
          <w:rStyle w:val="27"/>
          <w:szCs w:val="21"/>
        </w:rPr>
        <w:t>http://pan.baidu.com/s/1dFvzI5F</w:t>
      </w:r>
      <w:r>
        <w:rPr>
          <w:rStyle w:val="27"/>
          <w:szCs w:val="21"/>
        </w:rPr>
        <w:fldChar w:fldCharType="end"/>
      </w:r>
      <w:r>
        <w:rPr>
          <w:szCs w:val="21"/>
        </w:rPr>
        <w:t>。</w:t>
      </w:r>
    </w:p>
    <w:p>
      <w:pPr>
        <w:spacing w:line="360" w:lineRule="auto"/>
        <w:ind w:firstLine="420" w:firstLineChars="200"/>
        <w:rPr>
          <w:szCs w:val="21"/>
        </w:rPr>
      </w:pPr>
    </w:p>
    <w:p>
      <w:pPr>
        <w:spacing w:line="360" w:lineRule="auto"/>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1、考核方式：期末考试、作业及课堂提问。</w:t>
      </w:r>
    </w:p>
    <w:p>
      <w:pPr>
        <w:spacing w:line="360" w:lineRule="auto"/>
        <w:ind w:firstLine="420" w:firstLineChars="200"/>
        <w:rPr>
          <w:szCs w:val="21"/>
        </w:rPr>
      </w:pPr>
      <w:r>
        <w:rPr>
          <w:szCs w:val="21"/>
        </w:rPr>
        <w:t>2</w:t>
      </w:r>
      <w:r>
        <w:rPr>
          <w:rFonts w:hint="eastAsia"/>
          <w:szCs w:val="21"/>
        </w:rPr>
        <w:t>、成绩构成：</w:t>
      </w:r>
    </w:p>
    <w:p>
      <w:pPr>
        <w:spacing w:line="360" w:lineRule="auto"/>
        <w:ind w:firstLine="420" w:firstLineChars="200"/>
        <w:rPr>
          <w:szCs w:val="21"/>
        </w:rPr>
      </w:pPr>
      <w:r>
        <w:rPr>
          <w:rFonts w:hint="eastAsia"/>
          <w:szCs w:val="21"/>
        </w:rPr>
        <w:t>本课程通过“平时成绩”和“期末考试”两种方式对课程目标达成进行评价，考核成绩计算公式如下（本大纲中成绩均采用百分制）：</w:t>
      </w: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768"/>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666"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课堂表现（平时）</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66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66" w:type="pct"/>
            <w:tcBorders>
              <w:top w:val="single" w:color="auto" w:sz="4" w:space="0"/>
              <w:left w:val="nil"/>
              <w:bottom w:val="single" w:color="auto" w:sz="4" w:space="0"/>
              <w:right w:val="single" w:color="auto" w:sz="4" w:space="0"/>
            </w:tcBorders>
            <w:vAlign w:val="center"/>
          </w:tcPr>
          <w:p>
            <w:pPr>
              <w:jc w:val="center"/>
              <w:rPr>
                <w:b/>
              </w:rPr>
            </w:pPr>
            <w:r>
              <w:rPr>
                <w:rFonts w:hint="eastAsia"/>
                <w:b/>
              </w:rPr>
              <w:t>10</w:t>
            </w:r>
          </w:p>
        </w:tc>
        <w:tc>
          <w:tcPr>
            <w:tcW w:w="1666"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10</w:t>
            </w:r>
          </w:p>
        </w:tc>
        <w:tc>
          <w:tcPr>
            <w:tcW w:w="1668" w:type="pct"/>
            <w:tcBorders>
              <w:top w:val="single" w:color="auto" w:sz="4" w:space="0"/>
              <w:left w:val="single" w:color="auto" w:sz="4" w:space="0"/>
              <w:bottom w:val="single" w:color="auto" w:sz="4" w:space="0"/>
              <w:right w:val="nil"/>
            </w:tcBorders>
            <w:vAlign w:val="center"/>
          </w:tcPr>
          <w:p>
            <w:pPr>
              <w:jc w:val="center"/>
              <w:rPr>
                <w:b/>
              </w:rPr>
            </w:pPr>
            <w:r>
              <w:rPr>
                <w:b/>
              </w:rPr>
              <w:t>8</w:t>
            </w:r>
            <w:r>
              <w:rPr>
                <w:rFonts w:hint="eastAsia"/>
                <w:b/>
              </w:rPr>
              <w:t>0</w:t>
            </w:r>
          </w:p>
        </w:tc>
      </w:tr>
    </w:tbl>
    <w:p>
      <w:pPr>
        <w:widowControl/>
        <w:spacing w:line="360" w:lineRule="auto"/>
        <w:ind w:firstLine="1890" w:firstLineChars="900"/>
      </w:pPr>
    </w:p>
    <w:p>
      <w:pPr>
        <w:spacing w:line="360" w:lineRule="auto"/>
        <w:ind w:firstLine="420" w:firstLineChars="200"/>
        <w:rPr>
          <w:b/>
          <w:bCs/>
          <w:color w:val="1D41D5"/>
          <w:szCs w:val="21"/>
        </w:rPr>
      </w:pPr>
      <w:r>
        <w:rPr>
          <w:rFonts w:hint="eastAsia"/>
          <w:szCs w:val="21"/>
        </w:rPr>
        <w:t>指导性课程目标评价题目分数分配：</w:t>
      </w:r>
    </w:p>
    <w:tbl>
      <w:tblPr>
        <w:tblStyle w:val="22"/>
        <w:tblW w:w="5000" w:type="pct"/>
        <w:jc w:val="center"/>
        <w:tblLayout w:type="autofit"/>
        <w:tblCellMar>
          <w:top w:w="0" w:type="dxa"/>
          <w:left w:w="108" w:type="dxa"/>
          <w:bottom w:w="0" w:type="dxa"/>
          <w:right w:w="108" w:type="dxa"/>
        </w:tblCellMar>
      </w:tblPr>
      <w:tblGrid>
        <w:gridCol w:w="1949"/>
        <w:gridCol w:w="2271"/>
        <w:gridCol w:w="2111"/>
        <w:gridCol w:w="1975"/>
      </w:tblGrid>
      <w:tr>
        <w:tblPrEx>
          <w:tblCellMar>
            <w:top w:w="0" w:type="dxa"/>
            <w:left w:w="108" w:type="dxa"/>
            <w:bottom w:w="0" w:type="dxa"/>
            <w:right w:w="108" w:type="dxa"/>
          </w:tblCellMar>
        </w:tblPrEx>
        <w:trPr>
          <w:trHeight w:val="986" w:hRule="atLeast"/>
          <w:jc w:val="center"/>
        </w:trPr>
        <w:tc>
          <w:tcPr>
            <w:tcW w:w="117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课堂表现（平时）</w:t>
            </w:r>
          </w:p>
          <w:p>
            <w:pPr>
              <w:jc w:val="center"/>
              <w:rPr>
                <w:sz w:val="18"/>
                <w:szCs w:val="18"/>
              </w:rPr>
            </w:pPr>
            <w:r>
              <w:rPr>
                <w:rFonts w:hint="eastAsia"/>
                <w:sz w:val="18"/>
                <w:szCs w:val="18"/>
              </w:rPr>
              <w:t>W1</w:t>
            </w:r>
            <w:r>
              <w:rPr>
                <w:rFonts w:hint="eastAsia"/>
                <w:sz w:val="18"/>
                <w:szCs w:val="18"/>
                <w:vertAlign w:val="subscript"/>
              </w:rPr>
              <w:t>i</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作业（平时）</w:t>
            </w:r>
          </w:p>
          <w:p>
            <w:pPr>
              <w:jc w:val="center"/>
              <w:rPr>
                <w:sz w:val="18"/>
                <w:szCs w:val="18"/>
              </w:rPr>
            </w:pPr>
            <w:r>
              <w:rPr>
                <w:rFonts w:hint="eastAsia"/>
                <w:sz w:val="18"/>
                <w:szCs w:val="18"/>
              </w:rPr>
              <w:t>W2</w:t>
            </w:r>
            <w:r>
              <w:rPr>
                <w:rFonts w:hint="eastAsia"/>
                <w:sz w:val="18"/>
                <w:szCs w:val="18"/>
                <w:vertAlign w:val="subscript"/>
              </w:rPr>
              <w:t>i</w:t>
            </w:r>
          </w:p>
        </w:tc>
        <w:tc>
          <w:tcPr>
            <w:tcW w:w="1189"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73" w:type="pct"/>
            <w:tcBorders>
              <w:top w:val="nil"/>
              <w:left w:val="nil"/>
              <w:bottom w:val="single" w:color="auto" w:sz="4" w:space="0"/>
              <w:right w:val="single" w:color="auto" w:sz="4" w:space="0"/>
            </w:tcBorders>
            <w:vAlign w:val="center"/>
          </w:tcPr>
          <w:p>
            <w:pPr>
              <w:jc w:val="center"/>
              <w:rPr>
                <w:b/>
              </w:rPr>
            </w:pPr>
            <w:r>
              <w:rPr>
                <w:b/>
              </w:rPr>
              <w:t>1</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50-60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40-50</w:t>
            </w:r>
          </w:p>
        </w:tc>
        <w:tc>
          <w:tcPr>
            <w:tcW w:w="1189" w:type="pct"/>
            <w:tcBorders>
              <w:top w:val="single" w:color="auto" w:sz="4" w:space="0"/>
              <w:left w:val="single" w:color="auto" w:sz="4" w:space="0"/>
              <w:bottom w:val="single" w:color="auto" w:sz="4" w:space="0"/>
              <w:right w:val="nil"/>
            </w:tcBorders>
            <w:vAlign w:val="center"/>
          </w:tcPr>
          <w:p>
            <w:pPr>
              <w:jc w:val="center"/>
              <w:rPr>
                <w:b/>
              </w:rPr>
            </w:pPr>
            <w:r>
              <w:rPr>
                <w:rFonts w:hint="eastAsia"/>
                <w:b/>
              </w:rPr>
              <w:t>30-40</w:t>
            </w:r>
          </w:p>
        </w:tc>
      </w:tr>
      <w:tr>
        <w:tblPrEx>
          <w:tblCellMar>
            <w:top w:w="0" w:type="dxa"/>
            <w:left w:w="108" w:type="dxa"/>
            <w:bottom w:w="0" w:type="dxa"/>
            <w:right w:w="108" w:type="dxa"/>
          </w:tblCellMar>
        </w:tblPrEx>
        <w:trPr>
          <w:jc w:val="center"/>
        </w:trPr>
        <w:tc>
          <w:tcPr>
            <w:tcW w:w="1173" w:type="pct"/>
            <w:tcBorders>
              <w:top w:val="nil"/>
              <w:left w:val="nil"/>
              <w:bottom w:val="single" w:color="auto" w:sz="4" w:space="0"/>
              <w:right w:val="single" w:color="auto" w:sz="4" w:space="0"/>
            </w:tcBorders>
            <w:vAlign w:val="center"/>
          </w:tcPr>
          <w:p>
            <w:pPr>
              <w:jc w:val="center"/>
              <w:rPr>
                <w:b/>
              </w:rPr>
            </w:pPr>
            <w:r>
              <w:rPr>
                <w:b/>
              </w:rPr>
              <w:t>2</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30-40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30-40</w:t>
            </w:r>
          </w:p>
        </w:tc>
        <w:tc>
          <w:tcPr>
            <w:tcW w:w="1189" w:type="pct"/>
            <w:tcBorders>
              <w:top w:val="single" w:color="auto" w:sz="4" w:space="0"/>
              <w:left w:val="single" w:color="auto" w:sz="4" w:space="0"/>
              <w:bottom w:val="single" w:color="auto" w:sz="4" w:space="0"/>
              <w:right w:val="nil"/>
            </w:tcBorders>
            <w:vAlign w:val="center"/>
          </w:tcPr>
          <w:p>
            <w:pPr>
              <w:jc w:val="center"/>
              <w:rPr>
                <w:b/>
              </w:rPr>
            </w:pPr>
            <w:r>
              <w:rPr>
                <w:rFonts w:hint="eastAsia"/>
                <w:b/>
              </w:rPr>
              <w:t>30-40</w:t>
            </w:r>
          </w:p>
        </w:tc>
      </w:tr>
      <w:tr>
        <w:tblPrEx>
          <w:tblCellMar>
            <w:top w:w="0" w:type="dxa"/>
            <w:left w:w="108" w:type="dxa"/>
            <w:bottom w:w="0" w:type="dxa"/>
            <w:right w:w="108" w:type="dxa"/>
          </w:tblCellMar>
        </w:tblPrEx>
        <w:trPr>
          <w:jc w:val="center"/>
        </w:trPr>
        <w:tc>
          <w:tcPr>
            <w:tcW w:w="1173" w:type="pct"/>
            <w:tcBorders>
              <w:top w:val="single" w:color="auto" w:sz="4" w:space="0"/>
              <w:left w:val="nil"/>
              <w:bottom w:val="single" w:color="auto" w:sz="4" w:space="0"/>
              <w:right w:val="single" w:color="auto" w:sz="4" w:space="0"/>
            </w:tcBorders>
            <w:vAlign w:val="center"/>
          </w:tcPr>
          <w:p>
            <w:pPr>
              <w:jc w:val="center"/>
              <w:rPr>
                <w:b/>
              </w:rPr>
            </w:pPr>
            <w:r>
              <w:rPr>
                <w:b/>
              </w:rPr>
              <w:t>3</w:t>
            </w:r>
          </w:p>
        </w:tc>
        <w:tc>
          <w:tcPr>
            <w:tcW w:w="136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10-20</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20-30</w:t>
            </w:r>
          </w:p>
        </w:tc>
        <w:tc>
          <w:tcPr>
            <w:tcW w:w="1189" w:type="pct"/>
            <w:tcBorders>
              <w:top w:val="single" w:color="auto" w:sz="4" w:space="0"/>
              <w:left w:val="single" w:color="auto" w:sz="4" w:space="0"/>
              <w:bottom w:val="single" w:color="auto" w:sz="4" w:space="0"/>
              <w:right w:val="nil"/>
            </w:tcBorders>
            <w:vAlign w:val="center"/>
          </w:tcPr>
          <w:p>
            <w:pPr>
              <w:jc w:val="center"/>
              <w:rPr>
                <w:b/>
              </w:rPr>
            </w:pPr>
            <w:r>
              <w:rPr>
                <w:rFonts w:hint="eastAsia"/>
                <w:b/>
              </w:rPr>
              <w:t>30-40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widowControl/>
        <w:spacing w:line="360" w:lineRule="auto"/>
        <w:jc w:val="left"/>
        <w:rPr>
          <w:rFonts w:eastAsia="黑体"/>
        </w:rPr>
      </w:pPr>
    </w:p>
    <w:p>
      <w:r>
        <w:rPr>
          <w:rFonts w:hint="eastAsia"/>
        </w:rPr>
        <w:br w:type="page"/>
      </w:r>
    </w:p>
    <w:p>
      <w:pPr>
        <w:pStyle w:val="20"/>
        <w:spacing w:before="312" w:after="468"/>
        <w:rPr>
          <w:color w:val="000000"/>
          <w:szCs w:val="28"/>
        </w:rPr>
      </w:pPr>
      <w:bookmarkStart w:id="144" w:name="_Toc9186"/>
      <w:r>
        <w:rPr>
          <w:rFonts w:hint="eastAsia"/>
        </w:rPr>
        <w:t>《</w:t>
      </w:r>
      <w:r>
        <w:t>X02090041</w:t>
      </w:r>
      <w:r>
        <w:rPr>
          <w:rFonts w:hint="eastAsia"/>
        </w:rPr>
        <w:t>-管理学概论》教学大纲</w:t>
      </w:r>
      <w:bookmarkEnd w:id="144"/>
    </w:p>
    <w:p>
      <w:pPr>
        <w:widowControl/>
        <w:autoSpaceDE w:val="0"/>
        <w:spacing w:line="360" w:lineRule="auto"/>
        <w:rPr>
          <w:rFonts w:ascii="黑体" w:eastAsia="黑体"/>
          <w:szCs w:val="21"/>
        </w:rPr>
      </w:pPr>
      <w:r>
        <w:rPr>
          <w:rFonts w:hint="eastAsia" w:ascii="黑体" w:hAnsi="黑体" w:eastAsia="黑体"/>
        </w:rPr>
        <w:t>课程编号：</w:t>
      </w:r>
      <w:r>
        <w:t>X02090041</w:t>
      </w:r>
      <w:r>
        <w:rPr>
          <w:rFonts w:hint="eastAsia" w:ascii="宋体" w:hAnsi="宋体"/>
        </w:rPr>
        <w:t xml:space="preserve">        </w:t>
      </w:r>
      <w:r>
        <w:rPr>
          <w:rFonts w:hint="eastAsia" w:ascii="黑体" w:eastAsia="黑体"/>
        </w:rPr>
        <w:t xml:space="preserve">                       </w:t>
      </w:r>
    </w:p>
    <w:p>
      <w:pPr>
        <w:widowControl/>
        <w:rPr>
          <w:rFonts w:eastAsia="仿宋"/>
          <w:color w:val="000000"/>
          <w:kern w:val="0"/>
          <w:sz w:val="24"/>
          <w:szCs w:val="24"/>
        </w:rPr>
      </w:pPr>
      <w:r>
        <w:rPr>
          <w:rFonts w:hint="eastAsia" w:ascii="黑体" w:hAnsi="黑体" w:eastAsia="黑体"/>
        </w:rPr>
        <w:t>课程名称：</w:t>
      </w:r>
      <w:r>
        <w:rPr>
          <w:rFonts w:hint="eastAsia" w:ascii="宋体" w:hAnsi="宋体"/>
        </w:rPr>
        <w:t xml:space="preserve">管理学概论                              </w:t>
      </w:r>
      <w:r>
        <w:rPr>
          <w:rFonts w:hint="eastAsia" w:ascii="黑体" w:hAnsi="黑体" w:eastAsia="黑体"/>
        </w:rPr>
        <w:t>开课单位：</w:t>
      </w:r>
      <w:r>
        <w:rPr>
          <w:rFonts w:hint="eastAsia" w:ascii="宋体" w:hAnsi="宋体"/>
        </w:rPr>
        <w:t xml:space="preserve">经济与管理学院 </w:t>
      </w:r>
      <w:r>
        <w:rPr>
          <w:rFonts w:hint="eastAsia" w:ascii="黑体" w:eastAsia="黑体"/>
        </w:rPr>
        <w:t xml:space="preserve">                            </w:t>
      </w:r>
    </w:p>
    <w:p>
      <w:pPr>
        <w:autoSpaceDE w:val="0"/>
        <w:adjustRightInd w:val="0"/>
        <w:spacing w:line="360" w:lineRule="auto"/>
        <w:rPr>
          <w:szCs w:val="21"/>
        </w:rPr>
      </w:pPr>
      <w:r>
        <w:rPr>
          <w:rFonts w:ascii="黑体" w:hAnsi="黑体" w:eastAsia="黑体"/>
        </w:rPr>
        <w:t>总</w:t>
      </w:r>
      <w:r>
        <w:rPr>
          <w:rFonts w:eastAsia="黑体"/>
        </w:rPr>
        <w:t xml:space="preserve"> </w:t>
      </w:r>
      <w:r>
        <w:rPr>
          <w:rFonts w:ascii="黑体" w:hAnsi="黑体" w:eastAsia="黑体"/>
        </w:rPr>
        <w:t>学</w:t>
      </w:r>
      <w:r>
        <w:rPr>
          <w:rFonts w:eastAsia="黑体"/>
        </w:rPr>
        <w:t xml:space="preserve"> </w:t>
      </w:r>
      <w:r>
        <w:rPr>
          <w:rFonts w:ascii="黑体" w:hAnsi="黑体" w:eastAsia="黑体"/>
        </w:rPr>
        <w:t>时：</w:t>
      </w:r>
      <w:r>
        <w:t xml:space="preserve">16  </w:t>
      </w:r>
      <w:r>
        <w:rPr>
          <w:rFonts w:eastAsia="黑体"/>
        </w:rPr>
        <w:t xml:space="preserve">                                    </w:t>
      </w:r>
      <w:r>
        <w:rPr>
          <w:rFonts w:ascii="黑体" w:hAnsi="黑体" w:eastAsia="黑体"/>
        </w:rPr>
        <w:t>学</w:t>
      </w:r>
      <w:r>
        <w:rPr>
          <w:rFonts w:eastAsia="黑体"/>
        </w:rPr>
        <w:t xml:space="preserve">    </w:t>
      </w:r>
      <w:r>
        <w:rPr>
          <w:rFonts w:ascii="黑体" w:hAnsi="黑体" w:eastAsia="黑体"/>
        </w:rPr>
        <w:t>分：</w:t>
      </w:r>
      <w:r>
        <w:t>0.5</w:t>
      </w:r>
    </w:p>
    <w:p>
      <w:pPr>
        <w:widowControl/>
        <w:rPr>
          <w:rFonts w:ascii="宋体" w:hAnsi="宋体"/>
        </w:rPr>
      </w:pPr>
      <w:r>
        <w:rPr>
          <w:rFonts w:hint="eastAsia" w:ascii="黑体" w:hAnsi="黑体" w:eastAsia="黑体"/>
        </w:rPr>
        <w:t>适用专业：</w:t>
      </w:r>
      <w:r>
        <w:rPr>
          <w:rFonts w:hint="eastAsia" w:ascii="宋体" w:hAnsi="宋体"/>
        </w:rPr>
        <w:t>工程类专各业</w:t>
      </w:r>
    </w:p>
    <w:p>
      <w:pPr>
        <w:adjustRightInd w:val="0"/>
        <w:spacing w:line="360" w:lineRule="auto"/>
        <w:rPr>
          <w:rFonts w:ascii="宋体" w:hAnsi="宋体"/>
        </w:rPr>
      </w:pPr>
      <w:r>
        <w:rPr>
          <w:rFonts w:hint="eastAsia" w:ascii="黑体" w:hAnsi="黑体" w:eastAsia="黑体"/>
        </w:rPr>
        <w:t>先修课程：</w:t>
      </w:r>
      <w:r>
        <w:rPr>
          <w:rFonts w:hint="eastAsia" w:ascii="宋体" w:hAnsi="宋体"/>
        </w:rPr>
        <w:t>无</w:t>
      </w:r>
    </w:p>
    <w:p>
      <w:pPr>
        <w:adjustRightInd w:val="0"/>
        <w:snapToGrid w:val="0"/>
        <w:spacing w:line="360" w:lineRule="auto"/>
        <w:rPr>
          <w:rFonts w:eastAsia="等线"/>
          <w:color w:val="000000"/>
        </w:rPr>
      </w:pPr>
      <w:r>
        <w:rPr>
          <w:rFonts w:ascii="黑体" w:hAnsi="黑体" w:eastAsia="黑体"/>
          <w:color w:val="000000"/>
        </w:rPr>
        <w:t>大纲编写（修订）时间：</w:t>
      </w:r>
      <w:r>
        <w:rPr>
          <w:color w:val="000000"/>
        </w:rPr>
        <w:t>2019年</w:t>
      </w:r>
      <w:r>
        <w:rPr>
          <w:rFonts w:hint="eastAsia"/>
          <w:color w:val="000000"/>
        </w:rPr>
        <w:t>4</w:t>
      </w:r>
      <w:r>
        <w:rPr>
          <w:color w:val="000000"/>
        </w:rPr>
        <w:t>月</w:t>
      </w:r>
    </w:p>
    <w:p>
      <w:pPr>
        <w:adjustRightInd w:val="0"/>
        <w:spacing w:line="360" w:lineRule="auto"/>
        <w:rPr>
          <w:rFonts w:ascii="宋体" w:hAnsi="宋体"/>
        </w:rPr>
      </w:pPr>
      <w:r>
        <w:rPr>
          <w:rFonts w:hint="eastAsia" w:ascii="宋体" w:hAnsi="宋体"/>
        </w:rPr>
        <w:t xml:space="preserve"> </w:t>
      </w:r>
    </w:p>
    <w:p>
      <w:pPr>
        <w:spacing w:line="360" w:lineRule="auto"/>
        <w:ind w:left="420" w:hanging="420"/>
        <w:rPr>
          <w:rFonts w:eastAsia="黑体"/>
          <w:color w:val="000000"/>
        </w:rPr>
      </w:pPr>
      <w:r>
        <w:rPr>
          <w:rFonts w:hint="eastAsia" w:ascii="黑体" w:hAnsi="黑体" w:eastAsia="黑体"/>
          <w:color w:val="000000"/>
        </w:rPr>
        <w:t>一、课程在教学计划中的地位、作用</w:t>
      </w:r>
    </w:p>
    <w:p>
      <w:pPr>
        <w:spacing w:line="360" w:lineRule="auto"/>
        <w:ind w:firstLine="420" w:firstLineChars="200"/>
        <w:rPr>
          <w:rFonts w:hAnsi="宋体"/>
        </w:rPr>
      </w:pPr>
      <w:r>
        <w:rPr>
          <w:rFonts w:ascii="宋体" w:hAnsi="宋体"/>
        </w:rPr>
        <w:t>管理学</w:t>
      </w:r>
      <w:r>
        <w:rPr>
          <w:rFonts w:hint="eastAsia" w:ascii="宋体" w:hAnsi="宋体"/>
        </w:rPr>
        <w:t>概论</w:t>
      </w:r>
      <w:r>
        <w:rPr>
          <w:rFonts w:ascii="宋体" w:hAnsi="宋体"/>
        </w:rPr>
        <w:t>是一门多学科交叉的新兴学科，通过这门课的学习，有助于学生形成现代管理理论与管理方法的新体系。推进工程教育专业国家认证，强化工科专业内涵建设，为我校提高工科专业人才培养质量提供了重要契机。加强工科大学生管理素质教育，可以培养一大批通技术、懂管理的高层次人才，增强工科大学生的竞争力，合理的知识结构和全面的素质是工科大学生未来自身发展的财富。</w:t>
      </w:r>
    </w:p>
    <w:p>
      <w:pPr>
        <w:spacing w:line="360" w:lineRule="auto"/>
        <w:ind w:firstLine="420" w:firstLineChars="200"/>
        <w:rPr>
          <w:color w:val="000000"/>
        </w:rPr>
      </w:pPr>
      <w:r>
        <w:rPr>
          <w:rFonts w:hint="eastAsia" w:ascii="宋体" w:hAnsi="宋体"/>
          <w:color w:val="000000"/>
        </w:rPr>
        <w:t>管理学概论主要研究和介绍企业或一般社会、经济组织管理的基本概念、基本原则和基本方法。通过这门课程的学习，学生将着重了解和掌握管理学的框架结构；了解管理学思想发展史中的主要学派、重要人物及其主要思想；理解管理学各领域中的基本概念；系统地把握管理理论的主要内容、重要性及其内在联系；熟悉履行各项管理职能的基本程序和原则；掌握主要理论及其在管理实际中的具体应用；并熟练地运用管理学中的各种分类方法和计划、决策、控制中的常用方法，为后续专业课程的学习奠定基础。</w:t>
      </w:r>
    </w:p>
    <w:p>
      <w:pPr>
        <w:adjustRightInd w:val="0"/>
        <w:snapToGrid w:val="0"/>
        <w:spacing w:line="360" w:lineRule="auto"/>
        <w:ind w:left="420" w:hanging="420"/>
        <w:rPr>
          <w:rFonts w:eastAsia="黑体"/>
        </w:rPr>
      </w:pPr>
      <w:r>
        <w:rPr>
          <w:rFonts w:hint="eastAsia" w:eastAsia="黑体"/>
        </w:rPr>
        <w:t xml:space="preserve"> </w:t>
      </w:r>
    </w:p>
    <w:p>
      <w:pPr>
        <w:spacing w:line="360" w:lineRule="auto"/>
        <w:ind w:left="420" w:hanging="420"/>
        <w:rPr>
          <w:rFonts w:eastAsia="黑体"/>
          <w:color w:val="000000"/>
        </w:rPr>
      </w:pPr>
      <w:r>
        <w:rPr>
          <w:rFonts w:hint="eastAsia" w:ascii="黑体" w:hAnsi="黑体" w:eastAsia="黑体"/>
          <w:color w:val="000000"/>
        </w:rPr>
        <w:t>二、课程目标</w:t>
      </w:r>
    </w:p>
    <w:p>
      <w:pPr>
        <w:spacing w:line="360" w:lineRule="auto"/>
        <w:ind w:firstLine="411" w:firstLineChars="196"/>
        <w:rPr>
          <w:rFonts w:ascii="等线" w:hAnsi="等线" w:eastAsia="等线"/>
        </w:rPr>
      </w:pPr>
      <w:r>
        <w:rPr>
          <w:rFonts w:hint="eastAsia"/>
        </w:rPr>
        <w:t>本大纲适用于工程类专业选择使用，专业在选用时要关注本课程目标是否与专业培养方案设定的能力矩阵一致。</w:t>
      </w:r>
    </w:p>
    <w:tbl>
      <w:tblPr>
        <w:tblStyle w:val="2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507"/>
        <w:gridCol w:w="43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rFonts w:hint="eastAsia"/>
                <w:sz w:val="18"/>
                <w:szCs w:val="18"/>
              </w:rPr>
              <w:t>序号</w:t>
            </w:r>
          </w:p>
        </w:tc>
        <w:tc>
          <w:tcPr>
            <w:tcW w:w="3507" w:type="dxa"/>
            <w:tcBorders>
              <w:top w:val="single" w:color="auto" w:sz="4" w:space="0"/>
              <w:left w:val="single" w:color="auto" w:sz="4" w:space="0"/>
              <w:bottom w:val="single" w:color="auto" w:sz="4" w:space="0"/>
              <w:right w:val="single" w:color="auto" w:sz="4" w:space="0"/>
            </w:tcBorders>
          </w:tcPr>
          <w:p>
            <w:pPr>
              <w:spacing w:line="360" w:lineRule="auto"/>
              <w:jc w:val="center"/>
              <w:rPr>
                <w:sz w:val="18"/>
                <w:szCs w:val="18"/>
              </w:rPr>
            </w:pPr>
            <w:r>
              <w:rPr>
                <w:rFonts w:hint="eastAsia"/>
                <w:sz w:val="18"/>
                <w:szCs w:val="18"/>
              </w:rPr>
              <w:t>课程目标</w:t>
            </w:r>
          </w:p>
        </w:tc>
        <w:tc>
          <w:tcPr>
            <w:tcW w:w="4332" w:type="dxa"/>
            <w:tcBorders>
              <w:top w:val="single" w:color="auto" w:sz="4" w:space="0"/>
              <w:left w:val="single" w:color="auto" w:sz="4" w:space="0"/>
              <w:bottom w:val="single" w:color="auto" w:sz="4" w:space="0"/>
              <w:right w:val="nil"/>
            </w:tcBorders>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sz w:val="18"/>
                <w:szCs w:val="18"/>
              </w:rPr>
              <w:t>1</w:t>
            </w:r>
          </w:p>
        </w:tc>
        <w:tc>
          <w:tcPr>
            <w:tcW w:w="3507"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eastAsia="等线"/>
                <w:sz w:val="18"/>
                <w:szCs w:val="18"/>
              </w:rPr>
            </w:pPr>
            <w:r>
              <w:rPr>
                <w:sz w:val="18"/>
                <w:szCs w:val="18"/>
              </w:rPr>
              <w:t>能够运用现代管理思想和原理制定管理计划，设计组织结构，进行组织管理控制</w:t>
            </w:r>
            <w:r>
              <w:rPr>
                <w:rFonts w:hint="eastAsia"/>
                <w:sz w:val="18"/>
                <w:szCs w:val="18"/>
              </w:rPr>
              <w:t>；</w:t>
            </w:r>
          </w:p>
        </w:tc>
        <w:tc>
          <w:tcPr>
            <w:tcW w:w="4332"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b/>
                <w:bCs/>
                <w:sz w:val="18"/>
                <w:szCs w:val="18"/>
              </w:rPr>
              <w:t>毕业要求9个人和团队</w:t>
            </w:r>
            <w:r>
              <w:rPr>
                <w:sz w:val="18"/>
                <w:szCs w:val="18"/>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op w:val="single" w:color="auto" w:sz="4" w:space="0"/>
              <w:left w:val="nil"/>
              <w:bottom w:val="single" w:color="auto" w:sz="4" w:space="0"/>
              <w:right w:val="single" w:color="auto" w:sz="4" w:space="0"/>
            </w:tcBorders>
            <w:vAlign w:val="center"/>
          </w:tcPr>
          <w:p>
            <w:pPr>
              <w:spacing w:line="360" w:lineRule="auto"/>
              <w:jc w:val="center"/>
              <w:rPr>
                <w:sz w:val="18"/>
                <w:szCs w:val="18"/>
              </w:rPr>
            </w:pPr>
            <w:r>
              <w:rPr>
                <w:sz w:val="18"/>
                <w:szCs w:val="18"/>
              </w:rPr>
              <w:t>2</w:t>
            </w:r>
          </w:p>
        </w:tc>
        <w:tc>
          <w:tcPr>
            <w:tcW w:w="3507"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eastAsia="等线"/>
                <w:sz w:val="18"/>
                <w:szCs w:val="18"/>
              </w:rPr>
            </w:pPr>
            <w:r>
              <w:rPr>
                <w:sz w:val="18"/>
                <w:szCs w:val="18"/>
              </w:rPr>
              <w:t>能够对组织的管理问题进行正确判断，提出解决方案。</w:t>
            </w:r>
          </w:p>
        </w:tc>
        <w:tc>
          <w:tcPr>
            <w:tcW w:w="4332" w:type="dxa"/>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b/>
                <w:bCs/>
                <w:sz w:val="18"/>
                <w:szCs w:val="18"/>
              </w:rPr>
              <w:t>毕业要求11项目管理</w:t>
            </w:r>
            <w:r>
              <w:rPr>
                <w:sz w:val="18"/>
                <w:szCs w:val="18"/>
              </w:rPr>
              <w:t>：理解并掌握工程管理原理与经济决策方法，并能在多学科环境中应用。</w:t>
            </w:r>
          </w:p>
        </w:tc>
      </w:tr>
    </w:tbl>
    <w:p>
      <w:pPr>
        <w:spacing w:line="360" w:lineRule="auto"/>
        <w:rPr>
          <w:rFonts w:eastAsia="黑体"/>
          <w:szCs w:val="21"/>
        </w:rPr>
      </w:pPr>
      <w:r>
        <w:rPr>
          <w:rFonts w:hint="eastAsia" w:eastAsia="黑体"/>
        </w:rPr>
        <w:t xml:space="preserve"> </w:t>
      </w:r>
    </w:p>
    <w:p>
      <w:pPr>
        <w:spacing w:line="360" w:lineRule="auto"/>
        <w:ind w:left="420" w:hanging="420"/>
        <w:rPr>
          <w:rFonts w:eastAsia="黑体"/>
          <w:color w:val="000000"/>
        </w:rPr>
      </w:pPr>
      <w:r>
        <w:rPr>
          <w:rFonts w:hint="eastAsia" w:ascii="黑体" w:hAnsi="黑体" w:eastAsia="黑体"/>
          <w:color w:val="000000"/>
        </w:rPr>
        <w:t>三、教学内容及基本要求</w:t>
      </w:r>
    </w:p>
    <w:p>
      <w:pPr>
        <w:spacing w:line="360" w:lineRule="auto"/>
        <w:ind w:firstLine="420"/>
        <w:rPr>
          <w:rFonts w:eastAsia="黑体"/>
        </w:rPr>
      </w:pPr>
      <w:r>
        <w:rPr>
          <w:rFonts w:hint="eastAsia" w:ascii="黑体" w:hAnsi="黑体" w:eastAsia="黑体"/>
        </w:rPr>
        <w:t>第一章</w:t>
      </w:r>
      <w:r>
        <w:rPr>
          <w:rFonts w:hint="eastAsia" w:eastAsia="黑体"/>
        </w:rPr>
        <w:t xml:space="preserve">  </w:t>
      </w:r>
      <w:r>
        <w:rPr>
          <w:rFonts w:hint="eastAsia" w:ascii="黑体" w:hAnsi="黑体" w:eastAsia="黑体"/>
        </w:rPr>
        <w:t>管理与管理学（</w:t>
      </w:r>
      <w:r>
        <w:rPr>
          <w:rFonts w:hint="eastAsia" w:eastAsia="黑体"/>
        </w:rPr>
        <w:t>3</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掌握管理的概念及其职能的含义</w:t>
      </w:r>
    </w:p>
    <w:p>
      <w:pPr>
        <w:spacing w:line="360" w:lineRule="auto"/>
        <w:ind w:firstLine="420" w:firstLineChars="200"/>
      </w:pPr>
      <w:r>
        <w:rPr>
          <w:rFonts w:hint="eastAsia"/>
        </w:rPr>
        <w:t xml:space="preserve">2. </w:t>
      </w:r>
      <w:r>
        <w:rPr>
          <w:rFonts w:hint="eastAsia" w:ascii="宋体" w:hAnsi="宋体"/>
        </w:rPr>
        <w:t>认识到作为不同管理者的角色要求</w:t>
      </w:r>
    </w:p>
    <w:p>
      <w:pPr>
        <w:spacing w:line="360" w:lineRule="auto"/>
        <w:ind w:firstLine="420" w:firstLineChars="200"/>
      </w:pPr>
      <w:r>
        <w:rPr>
          <w:rFonts w:hint="eastAsia"/>
        </w:rPr>
        <w:t xml:space="preserve">3. </w:t>
      </w:r>
      <w:r>
        <w:rPr>
          <w:rFonts w:hint="eastAsia" w:ascii="宋体" w:hAnsi="宋体"/>
        </w:rPr>
        <w:t>理解管理的性质和管理的二重性（重点）</w:t>
      </w:r>
    </w:p>
    <w:p>
      <w:pPr>
        <w:spacing w:line="360" w:lineRule="auto"/>
        <w:ind w:firstLine="420" w:firstLineChars="200"/>
      </w:pPr>
      <w:r>
        <w:rPr>
          <w:rFonts w:hint="eastAsia"/>
        </w:rPr>
        <w:t xml:space="preserve">4. </w:t>
      </w:r>
      <w:r>
        <w:rPr>
          <w:rFonts w:hint="eastAsia" w:ascii="宋体" w:hAnsi="宋体"/>
        </w:rPr>
        <w:t>理解全球化环境下对管理的挑战</w:t>
      </w:r>
    </w:p>
    <w:p>
      <w:pPr>
        <w:spacing w:line="360" w:lineRule="auto"/>
        <w:ind w:firstLine="420" w:firstLineChars="200"/>
      </w:pPr>
      <w:r>
        <w:rPr>
          <w:rFonts w:hint="eastAsia" w:ascii="宋体" w:hAnsi="宋体"/>
        </w:rPr>
        <w:t>本章节内容支撑课程目</w:t>
      </w:r>
      <w:r>
        <w:rPr>
          <w:rFonts w:ascii="宋体" w:hAnsi="宋体"/>
        </w:rPr>
        <w:t>标</w:t>
      </w:r>
      <w:r>
        <w:t xml:space="preserve"> </w:t>
      </w:r>
      <w:r>
        <w:rPr>
          <w:rFonts w:hint="eastAsia"/>
        </w:rPr>
        <w:t>1</w:t>
      </w:r>
      <w:r>
        <w:rPr>
          <w:rFonts w:hint="eastAsia" w:ascii="宋体" w:hAnsi="宋体"/>
        </w:rPr>
        <w:t>。</w:t>
      </w:r>
    </w:p>
    <w:p>
      <w:pPr>
        <w:spacing w:line="360" w:lineRule="auto"/>
        <w:ind w:firstLine="420"/>
        <w:rPr>
          <w:rFonts w:eastAsia="黑体"/>
        </w:rPr>
      </w:pPr>
      <w:r>
        <w:rPr>
          <w:rFonts w:hint="eastAsia" w:ascii="黑体" w:hAnsi="黑体" w:eastAsia="黑体"/>
        </w:rPr>
        <w:t>第二章 管理理论的形成与发展（</w:t>
      </w:r>
      <w:r>
        <w:rPr>
          <w:rFonts w:hint="eastAsia" w:eastAsia="黑体"/>
        </w:rPr>
        <w:t>3</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了解管理理论的主要发展阶段</w:t>
      </w:r>
    </w:p>
    <w:p>
      <w:pPr>
        <w:spacing w:line="360" w:lineRule="auto"/>
        <w:ind w:firstLine="420" w:firstLineChars="200"/>
      </w:pPr>
      <w:r>
        <w:rPr>
          <w:rFonts w:hint="eastAsia"/>
        </w:rPr>
        <w:t xml:space="preserve">2. </w:t>
      </w:r>
      <w:r>
        <w:rPr>
          <w:rFonts w:hint="eastAsia" w:ascii="宋体" w:hAnsi="宋体"/>
        </w:rPr>
        <w:t>熟悉三大古典管理理论的主要内容及意义（难点、重点）</w:t>
      </w:r>
    </w:p>
    <w:p>
      <w:pPr>
        <w:spacing w:line="360" w:lineRule="auto"/>
        <w:ind w:firstLine="420" w:firstLineChars="200"/>
      </w:pPr>
      <w:r>
        <w:rPr>
          <w:rFonts w:hint="eastAsia"/>
        </w:rPr>
        <w:t xml:space="preserve">3. </w:t>
      </w:r>
      <w:r>
        <w:rPr>
          <w:rFonts w:hint="eastAsia" w:ascii="宋体" w:hAnsi="宋体"/>
        </w:rPr>
        <w:t>掌握行为科学理论的主要内容及意义（重点）</w:t>
      </w:r>
    </w:p>
    <w:p>
      <w:pPr>
        <w:spacing w:line="360" w:lineRule="auto"/>
        <w:ind w:firstLine="420" w:firstLineChars="200"/>
      </w:pPr>
      <w:r>
        <w:rPr>
          <w:rFonts w:hint="eastAsia"/>
        </w:rPr>
        <w:t xml:space="preserve">4. </w:t>
      </w:r>
      <w:r>
        <w:rPr>
          <w:rFonts w:hint="eastAsia" w:ascii="宋体" w:hAnsi="宋体"/>
        </w:rPr>
        <w:t>了解管理理论丛林及管理理论新发展</w:t>
      </w:r>
    </w:p>
    <w:p>
      <w:pPr>
        <w:spacing w:line="360" w:lineRule="auto"/>
        <w:ind w:firstLine="420" w:firstLineChars="200"/>
      </w:pPr>
      <w:r>
        <w:rPr>
          <w:rFonts w:hint="eastAsia" w:ascii="宋体" w:hAnsi="宋体"/>
        </w:rPr>
        <w:t>本章节内容支撑课程目</w:t>
      </w:r>
      <w:r>
        <w:rPr>
          <w:rFonts w:ascii="宋体" w:hAnsi="宋体"/>
        </w:rPr>
        <w:t>标</w:t>
      </w:r>
      <w:r>
        <w:t xml:space="preserve"> </w:t>
      </w:r>
      <w:r>
        <w:rPr>
          <w:rFonts w:hint="eastAsia"/>
        </w:rPr>
        <w:t>1</w:t>
      </w:r>
      <w:r>
        <w:rPr>
          <w:rFonts w:hint="eastAsia" w:ascii="宋体" w:hAnsi="宋体"/>
        </w:rPr>
        <w:t>。</w:t>
      </w:r>
    </w:p>
    <w:p>
      <w:pPr>
        <w:spacing w:line="360" w:lineRule="auto"/>
        <w:ind w:firstLine="420"/>
        <w:rPr>
          <w:rFonts w:eastAsia="黑体"/>
        </w:rPr>
      </w:pPr>
      <w:r>
        <w:rPr>
          <w:rFonts w:hint="eastAsia" w:ascii="黑体" w:hAnsi="黑体" w:eastAsia="黑体"/>
        </w:rPr>
        <w:t>第三章</w:t>
      </w:r>
      <w:r>
        <w:rPr>
          <w:rFonts w:hint="eastAsia" w:eastAsia="黑体"/>
        </w:rPr>
        <w:t xml:space="preserve">  </w:t>
      </w:r>
      <w:r>
        <w:rPr>
          <w:rFonts w:hint="eastAsia" w:ascii="黑体" w:hAnsi="黑体" w:eastAsia="黑体"/>
        </w:rPr>
        <w:t>计划（</w:t>
      </w:r>
      <w:r>
        <w:rPr>
          <w:rFonts w:hint="eastAsia" w:eastAsia="黑体"/>
        </w:rPr>
        <w:t>3</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了解计划的概念、种类及编制过程，掌握计划工作的基本内容</w:t>
      </w:r>
    </w:p>
    <w:p>
      <w:pPr>
        <w:spacing w:line="360" w:lineRule="auto"/>
        <w:ind w:firstLine="420" w:firstLineChars="200"/>
      </w:pPr>
      <w:r>
        <w:rPr>
          <w:rFonts w:hint="eastAsia"/>
        </w:rPr>
        <w:t xml:space="preserve">2. </w:t>
      </w:r>
      <w:r>
        <w:rPr>
          <w:rFonts w:hint="eastAsia" w:ascii="宋体" w:hAnsi="宋体"/>
        </w:rPr>
        <w:t>掌握决策的定义、原则、决策的基本步骤，以及常用的决策技术</w:t>
      </w:r>
    </w:p>
    <w:p>
      <w:pPr>
        <w:spacing w:line="360" w:lineRule="auto"/>
        <w:ind w:firstLine="420" w:firstLineChars="200"/>
      </w:pPr>
      <w:r>
        <w:rPr>
          <w:rFonts w:hint="eastAsia"/>
        </w:rPr>
        <w:t xml:space="preserve">3. </w:t>
      </w:r>
      <w:r>
        <w:rPr>
          <w:rFonts w:hint="eastAsia" w:ascii="宋体" w:hAnsi="宋体"/>
        </w:rPr>
        <w:t>掌握计划与决策的关系</w:t>
      </w:r>
    </w:p>
    <w:p>
      <w:pPr>
        <w:spacing w:line="360" w:lineRule="auto"/>
        <w:ind w:firstLine="420" w:firstLineChars="200"/>
      </w:pPr>
      <w:r>
        <w:rPr>
          <w:rFonts w:hint="eastAsia"/>
        </w:rPr>
        <w:t xml:space="preserve">4. </w:t>
      </w:r>
      <w:r>
        <w:rPr>
          <w:rFonts w:hint="eastAsia" w:ascii="宋体" w:hAnsi="宋体"/>
        </w:rPr>
        <w:t>了解决常用的决策方法</w:t>
      </w:r>
    </w:p>
    <w:p>
      <w:pPr>
        <w:spacing w:line="360" w:lineRule="auto"/>
        <w:ind w:firstLine="420" w:firstLineChars="200"/>
        <w:rPr>
          <w:rFonts w:ascii="宋体" w:hAnsi="宋体"/>
        </w:rPr>
      </w:pPr>
      <w:r>
        <w:rPr>
          <w:rFonts w:hint="eastAsia" w:ascii="宋体" w:hAnsi="宋体"/>
        </w:rPr>
        <w:t>本章节内容支撑课程目</w:t>
      </w:r>
      <w:r>
        <w:rPr>
          <w:rFonts w:ascii="宋体" w:hAnsi="宋体"/>
        </w:rPr>
        <w:t>标</w:t>
      </w:r>
      <w:r>
        <w:t xml:space="preserve"> </w:t>
      </w:r>
      <w:r>
        <w:rPr>
          <w:rFonts w:hint="eastAsia"/>
        </w:rPr>
        <w:t>1</w:t>
      </w:r>
      <w:r>
        <w:rPr>
          <w:rFonts w:hint="eastAsia" w:ascii="宋体" w:hAnsi="宋体"/>
        </w:rPr>
        <w:t>。</w:t>
      </w:r>
    </w:p>
    <w:p>
      <w:pPr>
        <w:spacing w:line="360" w:lineRule="auto"/>
        <w:ind w:firstLine="420"/>
        <w:rPr>
          <w:rFonts w:eastAsia="黑体"/>
        </w:rPr>
      </w:pPr>
      <w:r>
        <w:rPr>
          <w:rFonts w:hint="eastAsia" w:ascii="黑体" w:hAnsi="黑体" w:eastAsia="黑体"/>
        </w:rPr>
        <w:t>第四章</w:t>
      </w:r>
      <w:r>
        <w:rPr>
          <w:rFonts w:hint="eastAsia" w:eastAsia="黑体"/>
        </w:rPr>
        <w:t xml:space="preserve">  </w:t>
      </w:r>
      <w:r>
        <w:rPr>
          <w:rFonts w:hint="eastAsia" w:ascii="黑体" w:hAnsi="黑体" w:eastAsia="黑体"/>
        </w:rPr>
        <w:t>组织（</w:t>
      </w:r>
      <w:r>
        <w:rPr>
          <w:rFonts w:hint="eastAsia" w:eastAsia="黑体"/>
        </w:rPr>
        <w:t>3</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了解组织及组织工作的涵义，掌握组织工作基本原理</w:t>
      </w:r>
    </w:p>
    <w:p>
      <w:pPr>
        <w:spacing w:line="360" w:lineRule="auto"/>
        <w:ind w:firstLine="420" w:firstLineChars="200"/>
      </w:pPr>
      <w:r>
        <w:rPr>
          <w:rFonts w:hint="eastAsia"/>
        </w:rPr>
        <w:t xml:space="preserve">2. </w:t>
      </w:r>
      <w:r>
        <w:rPr>
          <w:rFonts w:hint="eastAsia" w:ascii="宋体" w:hAnsi="宋体"/>
        </w:rPr>
        <w:t>了解职权的种类，授权的过程、原则，掌握组织设计的任务与原则、影响组织设计的因素，掌握管理幅度的影响因素（难点、重点）</w:t>
      </w:r>
    </w:p>
    <w:p>
      <w:pPr>
        <w:spacing w:line="360" w:lineRule="auto"/>
        <w:ind w:firstLine="420" w:firstLineChars="200"/>
      </w:pPr>
      <w:r>
        <w:rPr>
          <w:rFonts w:hint="eastAsia"/>
        </w:rPr>
        <w:t xml:space="preserve">3. </w:t>
      </w:r>
      <w:r>
        <w:rPr>
          <w:rFonts w:hint="eastAsia" w:ascii="宋体" w:hAnsi="宋体"/>
        </w:rPr>
        <w:t>掌握集权与分权的区别，影响集权和分权的因素（难点、重点）</w:t>
      </w:r>
    </w:p>
    <w:p>
      <w:pPr>
        <w:spacing w:line="360" w:lineRule="auto"/>
        <w:ind w:firstLine="420" w:firstLineChars="200"/>
      </w:pPr>
      <w:r>
        <w:rPr>
          <w:rFonts w:hint="eastAsia"/>
        </w:rPr>
        <w:t xml:space="preserve">4. </w:t>
      </w:r>
      <w:r>
        <w:rPr>
          <w:rFonts w:hint="eastAsia" w:ascii="宋体" w:hAnsi="宋体"/>
        </w:rPr>
        <w:t>了解组织文化的概念、特征、内容、功能，理解组织文化的塑造途径</w:t>
      </w:r>
    </w:p>
    <w:p>
      <w:pPr>
        <w:spacing w:line="360" w:lineRule="auto"/>
        <w:ind w:firstLine="420" w:firstLineChars="200"/>
      </w:pPr>
      <w:r>
        <w:rPr>
          <w:rFonts w:hint="eastAsia" w:ascii="宋体" w:hAnsi="宋体"/>
        </w:rPr>
        <w:t>本章节内容支撑课程目</w:t>
      </w:r>
      <w:r>
        <w:rPr>
          <w:rFonts w:ascii="宋体" w:hAnsi="宋体"/>
        </w:rPr>
        <w:t>标</w:t>
      </w:r>
      <w:r>
        <w:t xml:space="preserve"> </w:t>
      </w:r>
      <w:r>
        <w:rPr>
          <w:rFonts w:hint="eastAsia"/>
        </w:rPr>
        <w:t>1</w:t>
      </w:r>
      <w:r>
        <w:rPr>
          <w:rFonts w:hint="eastAsia" w:ascii="宋体" w:hAnsi="宋体"/>
        </w:rPr>
        <w:t>。</w:t>
      </w:r>
    </w:p>
    <w:p>
      <w:pPr>
        <w:spacing w:line="360" w:lineRule="auto"/>
        <w:ind w:firstLine="420"/>
        <w:rPr>
          <w:rFonts w:eastAsia="黑体"/>
        </w:rPr>
      </w:pPr>
      <w:r>
        <w:rPr>
          <w:rFonts w:hint="eastAsia" w:ascii="黑体" w:hAnsi="黑体" w:eastAsia="黑体"/>
        </w:rPr>
        <w:t>第五章</w:t>
      </w:r>
      <w:r>
        <w:rPr>
          <w:rFonts w:hint="eastAsia" w:eastAsia="黑体"/>
        </w:rPr>
        <w:t xml:space="preserve">  </w:t>
      </w:r>
      <w:r>
        <w:rPr>
          <w:rFonts w:hint="eastAsia" w:ascii="黑体" w:hAnsi="黑体" w:eastAsia="黑体"/>
        </w:rPr>
        <w:t>领导（</w:t>
      </w:r>
      <w:r>
        <w:rPr>
          <w:rFonts w:hint="eastAsia" w:eastAsia="黑体"/>
        </w:rPr>
        <w:t>2</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了解领导的概念与作用，掌握领导与管理的联系与区别，领导权力的构成（重点）</w:t>
      </w:r>
    </w:p>
    <w:p>
      <w:pPr>
        <w:spacing w:line="360" w:lineRule="auto"/>
        <w:ind w:firstLine="420" w:firstLineChars="200"/>
      </w:pPr>
      <w:r>
        <w:rPr>
          <w:rFonts w:hint="eastAsia"/>
        </w:rPr>
        <w:t xml:space="preserve">2. </w:t>
      </w:r>
      <w:r>
        <w:rPr>
          <w:rFonts w:hint="eastAsia" w:ascii="宋体" w:hAnsi="宋体"/>
        </w:rPr>
        <w:t>了解领导特质理论，掌握三种领导方式理论、管理方格理论，菲德勒的权变理论（难点、重点）</w:t>
      </w:r>
    </w:p>
    <w:p>
      <w:pPr>
        <w:spacing w:line="360" w:lineRule="auto"/>
        <w:ind w:firstLine="420" w:firstLineChars="200"/>
      </w:pPr>
      <w:r>
        <w:rPr>
          <w:rFonts w:hint="eastAsia"/>
        </w:rPr>
        <w:t xml:space="preserve">3. </w:t>
      </w:r>
      <w:r>
        <w:rPr>
          <w:rFonts w:hint="eastAsia" w:ascii="宋体" w:hAnsi="宋体"/>
        </w:rPr>
        <w:t>了解激励的基本原理，需要与激励的关系，掌握四种人性假设及其管理方式，三种类型的激励理论的基本内容（难点、重点）</w:t>
      </w:r>
    </w:p>
    <w:p>
      <w:pPr>
        <w:spacing w:line="360" w:lineRule="auto"/>
        <w:ind w:firstLine="420" w:firstLineChars="200"/>
      </w:pPr>
      <w:r>
        <w:rPr>
          <w:rFonts w:hint="eastAsia"/>
        </w:rPr>
        <w:t xml:space="preserve">4. </w:t>
      </w:r>
      <w:r>
        <w:rPr>
          <w:rFonts w:hint="eastAsia" w:ascii="宋体" w:hAnsi="宋体"/>
        </w:rPr>
        <w:t>了解沟通的概念和类别，冲突及其产生原因，掌握组织沟通的障碍及其消除，沟通过程的基本环节</w:t>
      </w:r>
    </w:p>
    <w:p>
      <w:pPr>
        <w:spacing w:line="360" w:lineRule="auto"/>
        <w:ind w:firstLine="420" w:firstLineChars="200"/>
      </w:pPr>
      <w:r>
        <w:rPr>
          <w:rFonts w:hint="eastAsia"/>
        </w:rPr>
        <w:t xml:space="preserve">5. </w:t>
      </w:r>
      <w:r>
        <w:rPr>
          <w:rFonts w:hint="eastAsia" w:ascii="宋体" w:hAnsi="宋体"/>
        </w:rPr>
        <w:t>了解团队的基本类型与工作过程</w:t>
      </w:r>
    </w:p>
    <w:p>
      <w:pPr>
        <w:spacing w:line="360" w:lineRule="auto"/>
        <w:ind w:firstLine="420" w:firstLineChars="200"/>
      </w:pPr>
      <w:r>
        <w:rPr>
          <w:rFonts w:hint="eastAsia" w:ascii="宋体" w:hAnsi="宋体"/>
        </w:rPr>
        <w:t>本章节内容支撑课程目</w:t>
      </w:r>
      <w:r>
        <w:rPr>
          <w:rFonts w:ascii="宋体" w:hAnsi="宋体"/>
        </w:rPr>
        <w:t>标</w:t>
      </w:r>
      <w:r>
        <w:rPr>
          <w:rFonts w:hint="eastAsia"/>
        </w:rPr>
        <w:t xml:space="preserve"> 2</w:t>
      </w:r>
      <w:r>
        <w:rPr>
          <w:rFonts w:hint="eastAsia" w:ascii="宋体" w:hAnsi="宋体"/>
        </w:rPr>
        <w:t>。</w:t>
      </w:r>
    </w:p>
    <w:p>
      <w:pPr>
        <w:spacing w:line="360" w:lineRule="auto"/>
        <w:ind w:firstLine="420"/>
        <w:rPr>
          <w:rFonts w:eastAsia="黑体"/>
        </w:rPr>
      </w:pPr>
      <w:r>
        <w:rPr>
          <w:rFonts w:hint="eastAsia" w:ascii="黑体" w:hAnsi="黑体" w:eastAsia="黑体"/>
        </w:rPr>
        <w:t>第六章</w:t>
      </w:r>
      <w:r>
        <w:rPr>
          <w:rFonts w:hint="eastAsia" w:eastAsia="黑体"/>
        </w:rPr>
        <w:t xml:space="preserve">  </w:t>
      </w:r>
      <w:r>
        <w:rPr>
          <w:rFonts w:hint="eastAsia" w:ascii="黑体" w:hAnsi="黑体" w:eastAsia="黑体"/>
        </w:rPr>
        <w:t>控制（</w:t>
      </w:r>
      <w:r>
        <w:rPr>
          <w:rFonts w:hint="eastAsia" w:eastAsia="黑体"/>
        </w:rPr>
        <w:t>2</w:t>
      </w:r>
      <w:r>
        <w:rPr>
          <w:rFonts w:hint="eastAsia" w:ascii="黑体" w:hAnsi="黑体" w:eastAsia="黑体"/>
        </w:rPr>
        <w:t>课时）</w:t>
      </w:r>
    </w:p>
    <w:p>
      <w:pPr>
        <w:spacing w:line="360" w:lineRule="auto"/>
        <w:ind w:firstLine="420" w:firstLineChars="200"/>
      </w:pPr>
      <w:r>
        <w:rPr>
          <w:rFonts w:hint="eastAsia"/>
        </w:rPr>
        <w:t xml:space="preserve">1. </w:t>
      </w:r>
      <w:r>
        <w:rPr>
          <w:rFonts w:hint="eastAsia" w:ascii="宋体" w:hAnsi="宋体"/>
        </w:rPr>
        <w:t>了解控制的必要性，控制类型</w:t>
      </w:r>
    </w:p>
    <w:p>
      <w:pPr>
        <w:spacing w:line="360" w:lineRule="auto"/>
        <w:ind w:firstLine="420" w:firstLineChars="200"/>
      </w:pPr>
      <w:r>
        <w:rPr>
          <w:rFonts w:hint="eastAsia"/>
        </w:rPr>
        <w:t xml:space="preserve">2. </w:t>
      </w:r>
      <w:r>
        <w:rPr>
          <w:rFonts w:hint="eastAsia" w:ascii="宋体" w:hAnsi="宋体"/>
        </w:rPr>
        <w:t>掌握控制的过程（重点）</w:t>
      </w:r>
    </w:p>
    <w:p>
      <w:pPr>
        <w:spacing w:line="360" w:lineRule="auto"/>
        <w:ind w:firstLine="420" w:firstLineChars="200"/>
      </w:pPr>
      <w:r>
        <w:rPr>
          <w:rFonts w:hint="eastAsia"/>
        </w:rPr>
        <w:t xml:space="preserve">3. </w:t>
      </w:r>
      <w:r>
        <w:rPr>
          <w:rFonts w:hint="eastAsia" w:ascii="宋体" w:hAnsi="宋体"/>
        </w:rPr>
        <w:t>理解控制工作的原理和要求</w:t>
      </w:r>
    </w:p>
    <w:p>
      <w:pPr>
        <w:spacing w:line="360" w:lineRule="auto"/>
        <w:ind w:firstLine="420" w:firstLineChars="200"/>
      </w:pPr>
      <w:r>
        <w:rPr>
          <w:rFonts w:hint="eastAsia"/>
        </w:rPr>
        <w:t xml:space="preserve">4. </w:t>
      </w:r>
      <w:r>
        <w:rPr>
          <w:rFonts w:hint="eastAsia" w:ascii="宋体" w:hAnsi="宋体"/>
        </w:rPr>
        <w:t>掌握控制的方法</w:t>
      </w:r>
    </w:p>
    <w:p>
      <w:pPr>
        <w:spacing w:line="360" w:lineRule="auto"/>
        <w:ind w:firstLine="420" w:firstLineChars="200"/>
      </w:pPr>
      <w:r>
        <w:rPr>
          <w:rFonts w:hint="eastAsia" w:ascii="宋体" w:hAnsi="宋体"/>
        </w:rPr>
        <w:t>本章节内容支撑课程目</w:t>
      </w:r>
      <w:r>
        <w:rPr>
          <w:rFonts w:ascii="宋体" w:hAnsi="宋体"/>
        </w:rPr>
        <w:t>标</w:t>
      </w:r>
      <w:r>
        <w:t xml:space="preserve"> </w:t>
      </w:r>
      <w:r>
        <w:rPr>
          <w:rFonts w:hint="eastAsia"/>
        </w:rPr>
        <w:t>2</w:t>
      </w:r>
      <w:r>
        <w:rPr>
          <w:rFonts w:hint="eastAsia" w:ascii="宋体" w:hAnsi="宋体"/>
        </w:rPr>
        <w:t>。</w:t>
      </w:r>
      <w:r>
        <w:rPr>
          <w:rFonts w:hint="eastAsia"/>
        </w:rPr>
        <w:t xml:space="preserve"> </w:t>
      </w:r>
    </w:p>
    <w:p>
      <w:pPr>
        <w:spacing w:line="360" w:lineRule="auto"/>
        <w:rPr>
          <w:rFonts w:eastAsia="黑体"/>
        </w:rPr>
      </w:pPr>
      <w:r>
        <w:rPr>
          <w:rFonts w:hint="eastAsia" w:ascii="黑体" w:hAnsi="黑体" w:eastAsia="黑体"/>
        </w:rPr>
        <w:t>四、实验教学内容</w:t>
      </w:r>
    </w:p>
    <w:p>
      <w:pPr>
        <w:spacing w:line="360" w:lineRule="auto"/>
        <w:ind w:firstLine="420" w:firstLineChars="200"/>
      </w:pPr>
      <w:r>
        <w:rPr>
          <w:rFonts w:hint="eastAsia" w:ascii="宋体" w:hAnsi="宋体"/>
        </w:rPr>
        <w:t>无</w:t>
      </w:r>
      <w:r>
        <w:rPr>
          <w:rFonts w:hint="eastAsia"/>
        </w:rPr>
        <w:t xml:space="preserve"> </w:t>
      </w:r>
    </w:p>
    <w:p>
      <w:pPr>
        <w:spacing w:line="360" w:lineRule="auto"/>
        <w:rPr>
          <w:rFonts w:eastAsia="黑体"/>
        </w:rPr>
      </w:pPr>
      <w:r>
        <w:rPr>
          <w:rFonts w:hint="eastAsia" w:ascii="黑体" w:hAnsi="黑体" w:eastAsia="黑体"/>
        </w:rPr>
        <w:t>五、学时分配</w:t>
      </w:r>
    </w:p>
    <w:tbl>
      <w:tblPr>
        <w:tblStyle w:val="62"/>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6"/>
        <w:gridCol w:w="1495"/>
        <w:gridCol w:w="1496"/>
        <w:gridCol w:w="14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jc w:val="center"/>
              <w:rPr>
                <w:rFonts w:ascii="宋体" w:hAnsi="宋体"/>
                <w:kern w:val="0"/>
                <w:sz w:val="18"/>
                <w:szCs w:val="18"/>
              </w:rPr>
            </w:pPr>
            <w:r>
              <w:rPr>
                <w:rFonts w:hint="eastAsia" w:ascii="宋体" w:hAnsi="宋体"/>
                <w:kern w:val="0"/>
                <w:sz w:val="18"/>
                <w:szCs w:val="18"/>
              </w:rPr>
              <w:t>章节名称</w:t>
            </w:r>
          </w:p>
        </w:tc>
        <w:tc>
          <w:tcPr>
            <w:tcW w:w="14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讲授（学时）</w:t>
            </w:r>
          </w:p>
        </w:tc>
        <w:tc>
          <w:tcPr>
            <w:tcW w:w="14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 w:val="18"/>
                <w:szCs w:val="18"/>
              </w:rPr>
            </w:pPr>
            <w:r>
              <w:rPr>
                <w:rFonts w:hint="eastAsia" w:ascii="宋体" w:hAnsi="宋体"/>
                <w:kern w:val="0"/>
                <w:sz w:val="18"/>
                <w:szCs w:val="18"/>
              </w:rPr>
              <w:t>实验(学时)</w:t>
            </w:r>
          </w:p>
        </w:tc>
        <w:tc>
          <w:tcPr>
            <w:tcW w:w="1495" w:type="dxa"/>
            <w:tcBorders>
              <w:top w:val="single" w:color="auto" w:sz="4" w:space="0"/>
              <w:left w:val="single" w:color="auto" w:sz="4" w:space="0"/>
              <w:bottom w:val="single" w:color="auto" w:sz="4" w:space="0"/>
              <w:right w:val="nil"/>
            </w:tcBorders>
            <w:vAlign w:val="center"/>
          </w:tcPr>
          <w:p>
            <w:pPr>
              <w:jc w:val="center"/>
              <w:rPr>
                <w:rFonts w:ascii="宋体" w:hAnsi="宋体"/>
                <w:kern w:val="0"/>
                <w:sz w:val="18"/>
                <w:szCs w:val="18"/>
              </w:rPr>
            </w:pPr>
            <w:r>
              <w:rPr>
                <w:rFonts w:hint="eastAsia" w:ascii="宋体" w:hAnsi="宋体"/>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第一章 管理与管理学</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3</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第二章 管理理论的形成与发展</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3</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第三章 计划</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3</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第四章 组织</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3</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第五章 领导</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2</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ind w:firstLine="180" w:firstLineChars="100"/>
              <w:rPr>
                <w:rFonts w:ascii="宋体" w:hAnsi="宋体"/>
                <w:kern w:val="0"/>
                <w:sz w:val="18"/>
                <w:szCs w:val="18"/>
              </w:rPr>
            </w:pPr>
            <w:r>
              <w:rPr>
                <w:rFonts w:hint="eastAsia" w:ascii="宋体" w:hAnsi="宋体"/>
                <w:kern w:val="0"/>
                <w:sz w:val="18"/>
                <w:szCs w:val="18"/>
              </w:rPr>
              <w:t>第六章 控制</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2</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36" w:type="dxa"/>
            <w:tcBorders>
              <w:top w:val="single" w:color="auto" w:sz="4" w:space="0"/>
              <w:left w:val="nil"/>
              <w:bottom w:val="single" w:color="auto" w:sz="4" w:space="0"/>
              <w:right w:val="single" w:color="auto" w:sz="4" w:space="0"/>
            </w:tcBorders>
            <w:vAlign w:val="center"/>
          </w:tcPr>
          <w:p>
            <w:pPr>
              <w:adjustRightInd w:val="0"/>
              <w:snapToGrid w:val="0"/>
              <w:jc w:val="center"/>
              <w:rPr>
                <w:rFonts w:ascii="宋体" w:hAnsi="宋体"/>
                <w:kern w:val="0"/>
                <w:sz w:val="18"/>
                <w:szCs w:val="18"/>
              </w:rPr>
            </w:pPr>
            <w:r>
              <w:rPr>
                <w:rFonts w:hint="eastAsia" w:ascii="宋体" w:hAnsi="宋体"/>
                <w:kern w:val="0"/>
                <w:sz w:val="18"/>
                <w:szCs w:val="18"/>
              </w:rPr>
              <w:t>小    计</w:t>
            </w:r>
          </w:p>
        </w:tc>
        <w:tc>
          <w:tcPr>
            <w:tcW w:w="14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16</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rFonts w:hint="eastAsia"/>
                <w:kern w:val="0"/>
                <w:sz w:val="18"/>
                <w:szCs w:val="18"/>
              </w:rPr>
              <w:t>0</w:t>
            </w:r>
          </w:p>
        </w:tc>
        <w:tc>
          <w:tcPr>
            <w:tcW w:w="1495" w:type="dxa"/>
            <w:tcBorders>
              <w:top w:val="single" w:color="auto" w:sz="4" w:space="0"/>
              <w:left w:val="single" w:color="auto" w:sz="4" w:space="0"/>
              <w:bottom w:val="single" w:color="auto" w:sz="4" w:space="0"/>
              <w:right w:val="nil"/>
            </w:tcBorders>
            <w:vAlign w:val="center"/>
          </w:tcPr>
          <w:p>
            <w:pPr>
              <w:adjustRightInd w:val="0"/>
              <w:snapToGrid w:val="0"/>
              <w:jc w:val="center"/>
              <w:rPr>
                <w:kern w:val="0"/>
                <w:sz w:val="18"/>
                <w:szCs w:val="18"/>
              </w:rPr>
            </w:pPr>
            <w:r>
              <w:rPr>
                <w:kern w:val="0"/>
                <w:sz w:val="18"/>
                <w:szCs w:val="18"/>
              </w:rPr>
              <w:t>16</w:t>
            </w:r>
          </w:p>
        </w:tc>
      </w:tr>
    </w:tbl>
    <w:p>
      <w:pPr>
        <w:spacing w:line="360" w:lineRule="auto"/>
        <w:rPr>
          <w:b/>
          <w:bCs/>
          <w:sz w:val="24"/>
          <w:szCs w:val="24"/>
        </w:rPr>
      </w:pPr>
      <w:r>
        <w:rPr>
          <w:b/>
          <w:bCs/>
          <w:sz w:val="24"/>
          <w:szCs w:val="24"/>
        </w:rPr>
        <w:t xml:space="preserve"> </w:t>
      </w:r>
    </w:p>
    <w:p>
      <w:pPr>
        <w:spacing w:line="360" w:lineRule="auto"/>
        <w:ind w:left="420" w:hanging="420"/>
        <w:rPr>
          <w:rFonts w:ascii="等线" w:hAnsi="等线" w:eastAsia="等线"/>
          <w:color w:val="0000FF"/>
          <w:szCs w:val="21"/>
        </w:rPr>
      </w:pPr>
      <w:r>
        <w:rPr>
          <w:rFonts w:hint="eastAsia" w:ascii="黑体" w:hAnsi="黑体" w:eastAsia="黑体"/>
        </w:rPr>
        <w:t>六、教材、补充教材及参考资料</w:t>
      </w:r>
    </w:p>
    <w:p>
      <w:pPr>
        <w:spacing w:line="360" w:lineRule="auto"/>
        <w:ind w:firstLine="420" w:firstLineChars="200"/>
      </w:pPr>
      <w:r>
        <w:t>1</w:t>
      </w:r>
      <w:r>
        <w:rPr>
          <w:rFonts w:hint="eastAsia"/>
        </w:rPr>
        <w:t xml:space="preserve">. </w:t>
      </w:r>
      <w:r>
        <w:rPr>
          <w:rFonts w:ascii="宋体" w:hAnsi="宋体"/>
        </w:rPr>
        <w:t>陈红等编著，《现代管理学》，国防工业出版社，</w:t>
      </w:r>
      <w:r>
        <w:t>2014.9</w:t>
      </w:r>
    </w:p>
    <w:p>
      <w:pPr>
        <w:spacing w:line="360" w:lineRule="auto"/>
        <w:ind w:firstLine="420" w:firstLineChars="200"/>
      </w:pPr>
      <w:r>
        <w:t>2</w:t>
      </w:r>
      <w:r>
        <w:rPr>
          <w:rFonts w:hint="eastAsia"/>
        </w:rPr>
        <w:t xml:space="preserve">. </w:t>
      </w:r>
      <w:r>
        <w:rPr>
          <w:rFonts w:ascii="宋体" w:hAnsi="宋体"/>
        </w:rPr>
        <w:t>周三多等编著，《管理学：原理与方法》，复旦大学出版社</w:t>
      </w:r>
      <w:r>
        <w:t>,2014.12</w:t>
      </w:r>
    </w:p>
    <w:p>
      <w:pPr>
        <w:spacing w:line="360" w:lineRule="auto"/>
        <w:ind w:firstLine="420" w:firstLineChars="200"/>
      </w:pPr>
      <w:r>
        <w:t>3</w:t>
      </w:r>
      <w:r>
        <w:rPr>
          <w:rFonts w:hint="eastAsia"/>
        </w:rPr>
        <w:t xml:space="preserve">. </w:t>
      </w:r>
      <w:r>
        <w:rPr>
          <w:rFonts w:ascii="宋体" w:hAnsi="宋体"/>
        </w:rPr>
        <w:t>王晶晶，陈忠卫，《组织行为学》，机械工业出版社</w:t>
      </w:r>
      <w:r>
        <w:t xml:space="preserve"> ,2009.1</w:t>
      </w:r>
    </w:p>
    <w:p>
      <w:pPr>
        <w:spacing w:line="360" w:lineRule="auto"/>
        <w:ind w:firstLine="420" w:firstLineChars="200"/>
      </w:pPr>
      <w:r>
        <w:t>4</w:t>
      </w:r>
      <w:r>
        <w:rPr>
          <w:rFonts w:hint="eastAsia"/>
        </w:rPr>
        <w:t xml:space="preserve">. </w:t>
      </w:r>
      <w:r>
        <w:rPr>
          <w:rFonts w:ascii="宋体" w:hAnsi="宋体"/>
        </w:rPr>
        <w:t>芮明杰主编：《管理学：现代的观点》，高等教育出版社，</w:t>
      </w:r>
      <w:r>
        <w:t>2009.6</w:t>
      </w:r>
    </w:p>
    <w:p>
      <w:pPr>
        <w:spacing w:line="360" w:lineRule="auto"/>
        <w:ind w:firstLine="420" w:firstLineChars="200"/>
      </w:pPr>
      <w:r>
        <w:t>5</w:t>
      </w:r>
      <w:r>
        <w:rPr>
          <w:rFonts w:hint="eastAsia"/>
        </w:rPr>
        <w:t xml:space="preserve">. </w:t>
      </w:r>
      <w:r>
        <w:t>[</w:t>
      </w:r>
      <w:r>
        <w:rPr>
          <w:rFonts w:ascii="宋体" w:hAnsi="宋体"/>
        </w:rPr>
        <w:t>美</w:t>
      </w:r>
      <w:r>
        <w:t>]</w:t>
      </w:r>
      <w:r>
        <w:rPr>
          <w:rFonts w:ascii="宋体" w:hAnsi="宋体"/>
        </w:rPr>
        <w:t>理查德</w:t>
      </w:r>
      <w:r>
        <w:t>L·</w:t>
      </w:r>
      <w:r>
        <w:rPr>
          <w:rFonts w:ascii="宋体" w:hAnsi="宋体"/>
        </w:rPr>
        <w:t>达夫特著《组织理论与设计精要》，机械工业出版社 ，</w:t>
      </w:r>
      <w:r>
        <w:t>2007.4</w:t>
      </w:r>
    </w:p>
    <w:p>
      <w:pPr>
        <w:spacing w:line="360" w:lineRule="auto"/>
        <w:ind w:firstLine="420" w:firstLineChars="200"/>
      </w:pPr>
      <w:r>
        <w:t>6</w:t>
      </w:r>
      <w:r>
        <w:rPr>
          <w:rFonts w:hint="eastAsia"/>
        </w:rPr>
        <w:t xml:space="preserve">. </w:t>
      </w:r>
      <w:r>
        <w:rPr>
          <w:rFonts w:ascii="宋体" w:hAnsi="宋体"/>
        </w:rPr>
        <w:t>斯蒂芬</w:t>
      </w:r>
      <w:r>
        <w:t>P.</w:t>
      </w:r>
      <w:r>
        <w:rPr>
          <w:rFonts w:ascii="宋体" w:hAnsi="宋体"/>
        </w:rPr>
        <w:t xml:space="preserve">罗宾斯等编著，《管理学：原理与实践》（第九版），机械工业出版社 </w:t>
      </w:r>
      <w:r>
        <w:t>,2015.8</w:t>
      </w:r>
      <w:r>
        <w:rPr>
          <w:rFonts w:hint="eastAsia"/>
        </w:rPr>
        <w:t xml:space="preserve"> </w:t>
      </w:r>
    </w:p>
    <w:p>
      <w:pPr>
        <w:rPr>
          <w:rFonts w:ascii="黑体" w:hAnsi="黑体" w:eastAsia="黑体"/>
        </w:rPr>
      </w:pPr>
      <w:r>
        <w:rPr>
          <w:rFonts w:hint="eastAsia" w:ascii="黑体" w:hAnsi="黑体" w:eastAsia="黑体"/>
        </w:rPr>
        <w:t>七、课程目标达成评价的途径和措施</w:t>
      </w:r>
    </w:p>
    <w:p>
      <w:pPr>
        <w:spacing w:line="360" w:lineRule="auto"/>
        <w:ind w:firstLine="420" w:firstLineChars="200"/>
        <w:rPr>
          <w:rFonts w:ascii="宋体" w:hAnsi="宋体"/>
        </w:rPr>
      </w:pPr>
      <w:r>
        <w:rPr>
          <w:rFonts w:hint="eastAsia" w:ascii="宋体" w:hAnsi="宋体"/>
        </w:rPr>
        <w:t xml:space="preserve"> 1、考核方式：采用考查形式，平时到课情况及课后作业、期末结课作业。</w:t>
      </w:r>
    </w:p>
    <w:p>
      <w:pPr>
        <w:spacing w:line="360" w:lineRule="auto"/>
        <w:ind w:firstLine="420" w:firstLineChars="200"/>
        <w:rPr>
          <w:rFonts w:ascii="宋体" w:hAnsi="宋体"/>
        </w:rPr>
      </w:pPr>
      <w:r>
        <w:rPr>
          <w:rFonts w:hint="eastAsia" w:ascii="宋体" w:hAnsi="宋体"/>
        </w:rPr>
        <w:t xml:space="preserve"> 2、成绩构成：</w:t>
      </w:r>
    </w:p>
    <w:p>
      <w:pPr>
        <w:spacing w:line="360" w:lineRule="auto"/>
        <w:ind w:firstLine="420" w:firstLineChars="200"/>
        <w:rPr>
          <w:rFonts w:ascii="宋体" w:hAnsi="宋体"/>
        </w:rPr>
      </w:pPr>
      <w:r>
        <w:rPr>
          <w:rFonts w:hint="eastAsia" w:ascii="宋体" w:hAnsi="宋体"/>
        </w:rPr>
        <w:t>本课程通过“平时到课情况及课堂作业”和“期末考试”两种方式对课程目标达成进行评价，考核成绩计算如下（本大纲中成绩均采用百分制）：</w:t>
      </w:r>
    </w:p>
    <w:p>
      <w:pPr>
        <w:spacing w:line="360" w:lineRule="auto"/>
        <w:jc w:val="center"/>
        <w:rPr>
          <w:sz w:val="18"/>
          <w:szCs w:val="18"/>
        </w:rPr>
      </w:pPr>
      <w:r>
        <w:rPr>
          <w:rFonts w:hint="eastAsia" w:ascii="宋体" w:hAnsi="宋体"/>
          <w:sz w:val="18"/>
          <w:szCs w:val="18"/>
        </w:rPr>
        <w:t>各环节成绩评定占比</w:t>
      </w:r>
      <w:r>
        <w:rPr>
          <w:sz w:val="18"/>
          <w:szCs w:val="18"/>
        </w:rPr>
        <w:t>%</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0"/>
        <w:gridCol w:w="4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050" w:type="dxa"/>
            <w:tcBorders>
              <w:top w:val="single" w:color="auto" w:sz="4" w:space="0"/>
              <w:left w:val="nil"/>
              <w:bottom w:val="single" w:color="auto" w:sz="4" w:space="0"/>
              <w:right w:val="nil"/>
            </w:tcBorders>
            <w:vAlign w:val="center"/>
          </w:tcPr>
          <w:p>
            <w:pPr>
              <w:jc w:val="center"/>
              <w:rPr>
                <w:sz w:val="18"/>
                <w:szCs w:val="18"/>
              </w:rPr>
            </w:pPr>
            <w:r>
              <w:rPr>
                <w:sz w:val="18"/>
                <w:szCs w:val="18"/>
              </w:rPr>
              <w:t>平时到课情况及课堂作业</w:t>
            </w:r>
          </w:p>
        </w:tc>
        <w:tc>
          <w:tcPr>
            <w:tcW w:w="4472" w:type="dxa"/>
            <w:tcBorders>
              <w:top w:val="single" w:color="auto" w:sz="4" w:space="0"/>
              <w:left w:val="single" w:color="auto" w:sz="4" w:space="0"/>
              <w:bottom w:val="single" w:color="auto" w:sz="4" w:space="0"/>
              <w:right w:val="nil"/>
            </w:tcBorders>
            <w:vAlign w:val="center"/>
          </w:tcPr>
          <w:p>
            <w:pPr>
              <w:jc w:val="center"/>
              <w:rPr>
                <w:rFonts w:eastAsia="等线"/>
                <w:sz w:val="18"/>
                <w:szCs w:val="18"/>
              </w:rPr>
            </w:pPr>
            <w:r>
              <w:rPr>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050"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40</w:t>
            </w:r>
          </w:p>
        </w:tc>
        <w:tc>
          <w:tcPr>
            <w:tcW w:w="4472" w:type="dxa"/>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60</w:t>
            </w:r>
          </w:p>
        </w:tc>
      </w:tr>
    </w:tbl>
    <w:p>
      <w:pPr>
        <w:spacing w:line="360" w:lineRule="auto"/>
        <w:ind w:firstLine="420" w:firstLineChars="200"/>
        <w:rPr>
          <w:rFonts w:ascii="等线" w:hAnsi="等线" w:eastAsia="等线"/>
          <w:b/>
          <w:bCs/>
          <w:szCs w:val="21"/>
        </w:rPr>
      </w:pPr>
      <w:r>
        <w:rPr>
          <w:rFonts w:hint="eastAsia"/>
        </w:rPr>
        <w:t>指导性课程目标评价题目分数分配：</w:t>
      </w:r>
    </w:p>
    <w:tbl>
      <w:tblPr>
        <w:tblStyle w:val="22"/>
        <w:tblW w:w="8522" w:type="dxa"/>
        <w:jc w:val="center"/>
        <w:tblLayout w:type="fixed"/>
        <w:tblCellMar>
          <w:top w:w="0" w:type="dxa"/>
          <w:left w:w="108" w:type="dxa"/>
          <w:bottom w:w="0" w:type="dxa"/>
          <w:right w:w="108" w:type="dxa"/>
        </w:tblCellMar>
      </w:tblPr>
      <w:tblGrid>
        <w:gridCol w:w="1119"/>
        <w:gridCol w:w="3879"/>
        <w:gridCol w:w="3524"/>
      </w:tblGrid>
      <w:tr>
        <w:tblPrEx>
          <w:tblCellMar>
            <w:top w:w="0" w:type="dxa"/>
            <w:left w:w="108" w:type="dxa"/>
            <w:bottom w:w="0" w:type="dxa"/>
            <w:right w:w="108" w:type="dxa"/>
          </w:tblCellMar>
        </w:tblPrEx>
        <w:trPr>
          <w:trHeight w:val="986" w:hRule="atLeast"/>
          <w:jc w:val="center"/>
        </w:trPr>
        <w:tc>
          <w:tcPr>
            <w:tcW w:w="1119" w:type="dxa"/>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课程目标</w:t>
            </w:r>
          </w:p>
        </w:tc>
        <w:tc>
          <w:tcPr>
            <w:tcW w:w="3879" w:type="dxa"/>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平时到课情况及课堂作业</w:t>
            </w:r>
          </w:p>
          <w:p>
            <w:pPr>
              <w:jc w:val="center"/>
              <w:rPr>
                <w:sz w:val="18"/>
                <w:szCs w:val="18"/>
              </w:rPr>
            </w:pPr>
            <w:r>
              <w:rPr>
                <w:sz w:val="18"/>
                <w:szCs w:val="18"/>
              </w:rPr>
              <w:t>W1</w:t>
            </w:r>
            <w:r>
              <w:rPr>
                <w:sz w:val="18"/>
                <w:szCs w:val="18"/>
                <w:vertAlign w:val="subscript"/>
              </w:rPr>
              <w:t>i</w:t>
            </w:r>
          </w:p>
        </w:tc>
        <w:tc>
          <w:tcPr>
            <w:tcW w:w="3524" w:type="dxa"/>
            <w:tcBorders>
              <w:top w:val="single" w:color="auto" w:sz="4" w:space="0"/>
              <w:left w:val="nil"/>
              <w:bottom w:val="single" w:color="auto" w:sz="4" w:space="0"/>
              <w:right w:val="nil"/>
            </w:tcBorders>
            <w:vAlign w:val="center"/>
          </w:tcPr>
          <w:p>
            <w:pPr>
              <w:jc w:val="center"/>
              <w:rPr>
                <w:sz w:val="18"/>
                <w:szCs w:val="18"/>
              </w:rPr>
            </w:pPr>
            <w:r>
              <w:rPr>
                <w:sz w:val="18"/>
                <w:szCs w:val="18"/>
              </w:rPr>
              <w:t>期末考试</w:t>
            </w:r>
          </w:p>
          <w:p>
            <w:pPr>
              <w:jc w:val="center"/>
              <w:rPr>
                <w:sz w:val="18"/>
                <w:szCs w:val="18"/>
              </w:rPr>
            </w:pPr>
            <w:r>
              <w:rPr>
                <w:sz w:val="18"/>
                <w:szCs w:val="18"/>
              </w:rPr>
              <w:t>W2</w:t>
            </w:r>
            <w:r>
              <w:rPr>
                <w:sz w:val="18"/>
                <w:szCs w:val="18"/>
                <w:vertAlign w:val="subscript"/>
              </w:rPr>
              <w:t>i</w:t>
            </w:r>
          </w:p>
        </w:tc>
      </w:tr>
      <w:tr>
        <w:tblPrEx>
          <w:tblCellMar>
            <w:top w:w="0" w:type="dxa"/>
            <w:left w:w="108" w:type="dxa"/>
            <w:bottom w:w="0" w:type="dxa"/>
            <w:right w:w="108" w:type="dxa"/>
          </w:tblCellMar>
        </w:tblPrEx>
        <w:trPr>
          <w:trHeight w:val="476" w:hRule="atLeast"/>
          <w:jc w:val="center"/>
        </w:trPr>
        <w:tc>
          <w:tcPr>
            <w:tcW w:w="1119" w:type="dxa"/>
            <w:tcBorders>
              <w:top w:val="nil"/>
              <w:left w:val="nil"/>
              <w:bottom w:val="single" w:color="auto" w:sz="4" w:space="0"/>
              <w:right w:val="single" w:color="auto" w:sz="4" w:space="0"/>
            </w:tcBorders>
            <w:vAlign w:val="center"/>
          </w:tcPr>
          <w:p>
            <w:pPr>
              <w:jc w:val="center"/>
              <w:rPr>
                <w:sz w:val="18"/>
                <w:szCs w:val="18"/>
              </w:rPr>
            </w:pPr>
            <w:r>
              <w:rPr>
                <w:sz w:val="18"/>
                <w:szCs w:val="18"/>
              </w:rPr>
              <w:t>1</w:t>
            </w:r>
          </w:p>
        </w:tc>
        <w:tc>
          <w:tcPr>
            <w:tcW w:w="3879"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45</w:t>
            </w:r>
            <w:r>
              <w:rPr>
                <w:sz w:val="18"/>
                <w:szCs w:val="18"/>
              </w:rPr>
              <w:t>-</w:t>
            </w:r>
            <w:r>
              <w:rPr>
                <w:rFonts w:hint="eastAsia"/>
                <w:sz w:val="18"/>
                <w:szCs w:val="18"/>
              </w:rPr>
              <w:t>55</w:t>
            </w:r>
          </w:p>
        </w:tc>
        <w:tc>
          <w:tcPr>
            <w:tcW w:w="3524" w:type="dxa"/>
            <w:tcBorders>
              <w:top w:val="single" w:color="auto" w:sz="4" w:space="0"/>
              <w:left w:val="nil"/>
              <w:bottom w:val="single" w:color="auto" w:sz="4" w:space="0"/>
              <w:right w:val="nil"/>
            </w:tcBorders>
            <w:vAlign w:val="center"/>
          </w:tcPr>
          <w:p>
            <w:pPr>
              <w:jc w:val="center"/>
              <w:rPr>
                <w:rFonts w:eastAsia="等线"/>
                <w:sz w:val="18"/>
                <w:szCs w:val="18"/>
              </w:rPr>
            </w:pPr>
            <w:r>
              <w:rPr>
                <w:rFonts w:hint="eastAsia"/>
                <w:sz w:val="18"/>
                <w:szCs w:val="18"/>
              </w:rPr>
              <w:t>45</w:t>
            </w:r>
            <w:r>
              <w:rPr>
                <w:sz w:val="18"/>
                <w:szCs w:val="18"/>
              </w:rPr>
              <w:t>-</w:t>
            </w:r>
            <w:r>
              <w:rPr>
                <w:rFonts w:hint="eastAsia"/>
                <w:sz w:val="18"/>
                <w:szCs w:val="18"/>
              </w:rPr>
              <w:t>55</w:t>
            </w:r>
          </w:p>
        </w:tc>
      </w:tr>
      <w:tr>
        <w:tblPrEx>
          <w:tblCellMar>
            <w:top w:w="0" w:type="dxa"/>
            <w:left w:w="108" w:type="dxa"/>
            <w:bottom w:w="0" w:type="dxa"/>
            <w:right w:w="108" w:type="dxa"/>
          </w:tblCellMar>
        </w:tblPrEx>
        <w:trPr>
          <w:trHeight w:val="476" w:hRule="atLeast"/>
          <w:jc w:val="center"/>
        </w:trPr>
        <w:tc>
          <w:tcPr>
            <w:tcW w:w="1119" w:type="dxa"/>
            <w:tcBorders>
              <w:top w:val="nil"/>
              <w:left w:val="nil"/>
              <w:bottom w:val="single" w:color="auto" w:sz="4" w:space="0"/>
              <w:right w:val="single" w:color="auto" w:sz="4" w:space="0"/>
            </w:tcBorders>
            <w:vAlign w:val="center"/>
          </w:tcPr>
          <w:p>
            <w:pPr>
              <w:jc w:val="center"/>
              <w:rPr>
                <w:sz w:val="18"/>
                <w:szCs w:val="18"/>
              </w:rPr>
            </w:pPr>
            <w:r>
              <w:rPr>
                <w:sz w:val="18"/>
                <w:szCs w:val="18"/>
              </w:rPr>
              <w:t>2</w:t>
            </w:r>
          </w:p>
        </w:tc>
        <w:tc>
          <w:tcPr>
            <w:tcW w:w="3879" w:type="dxa"/>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45</w:t>
            </w:r>
            <w:r>
              <w:rPr>
                <w:sz w:val="18"/>
                <w:szCs w:val="18"/>
              </w:rPr>
              <w:t>-</w:t>
            </w:r>
            <w:r>
              <w:rPr>
                <w:rFonts w:hint="eastAsia"/>
                <w:sz w:val="18"/>
                <w:szCs w:val="18"/>
              </w:rPr>
              <w:t>55</w:t>
            </w:r>
          </w:p>
        </w:tc>
        <w:tc>
          <w:tcPr>
            <w:tcW w:w="3524" w:type="dxa"/>
            <w:tcBorders>
              <w:top w:val="single" w:color="auto" w:sz="4" w:space="0"/>
              <w:left w:val="nil"/>
              <w:bottom w:val="single" w:color="auto" w:sz="4" w:space="0"/>
              <w:right w:val="nil"/>
            </w:tcBorders>
            <w:vAlign w:val="center"/>
          </w:tcPr>
          <w:p>
            <w:pPr>
              <w:jc w:val="center"/>
              <w:rPr>
                <w:sz w:val="18"/>
                <w:szCs w:val="18"/>
              </w:rPr>
            </w:pPr>
            <w:r>
              <w:rPr>
                <w:rFonts w:hint="eastAsia"/>
                <w:sz w:val="18"/>
                <w:szCs w:val="18"/>
              </w:rPr>
              <w:t>45</w:t>
            </w:r>
            <w:r>
              <w:rPr>
                <w:sz w:val="18"/>
                <w:szCs w:val="18"/>
              </w:rPr>
              <w:t>-</w:t>
            </w:r>
            <w:r>
              <w:rPr>
                <w:rFonts w:hint="eastAsia"/>
                <w:sz w:val="18"/>
                <w:szCs w:val="18"/>
              </w:rPr>
              <w:t>55</w:t>
            </w:r>
          </w:p>
        </w:tc>
      </w:tr>
    </w:tbl>
    <w:p>
      <w:pPr>
        <w:spacing w:line="360" w:lineRule="auto"/>
        <w:ind w:firstLine="420" w:firstLineChars="200"/>
        <w:rPr>
          <w:rFonts w:ascii="等线" w:hAnsi="等线" w:eastAsia="等线"/>
          <w:szCs w:val="21"/>
        </w:rPr>
      </w:pPr>
      <w:r>
        <w:rPr>
          <w:rFonts w:hint="eastAsia"/>
        </w:rPr>
        <w:t>分目标达成值由每个部分对应的实际得分与题目总分数相比后，各环节加权求和得到。</w:t>
      </w:r>
    </w:p>
    <w:p>
      <w:pPr>
        <w:spacing w:line="360" w:lineRule="auto"/>
        <w:ind w:firstLine="420" w:firstLineChars="200"/>
      </w:pPr>
      <w:r>
        <w:rPr>
          <w:rFonts w:hint="eastAsia"/>
        </w:rPr>
        <w:t>总课程目标达成值由每个环节的总平均分，按照各环节加权求和得到。</w:t>
      </w:r>
    </w:p>
    <w:p>
      <w:pPr>
        <w:spacing w:line="360" w:lineRule="auto"/>
        <w:ind w:firstLine="420" w:firstLineChars="200"/>
        <w:rPr>
          <w:rFonts w:ascii="黑体" w:hAnsi="黑体" w:eastAsia="黑体"/>
        </w:rPr>
      </w:pPr>
      <w:r>
        <w:rPr>
          <w:rFonts w:hint="eastAsia"/>
        </w:rPr>
        <w:t>各环节的评价标准参见课程成绩分析报告。</w:t>
      </w:r>
      <w:r>
        <w:rPr>
          <w:rFonts w:hint="eastAsia" w:ascii="黑体" w:hAnsi="黑体" w:eastAsia="黑体"/>
        </w:rPr>
        <w:t xml:space="preserve"> </w:t>
      </w:r>
    </w:p>
    <w:p>
      <w:pPr>
        <w:rPr>
          <w:rFonts w:ascii="黑体" w:hAnsi="黑体" w:eastAsia="黑体"/>
        </w:rPr>
      </w:pPr>
      <w:r>
        <w:rPr>
          <w:rFonts w:hint="eastAsia" w:ascii="黑体" w:hAnsi="黑体" w:eastAsia="黑体"/>
        </w:rPr>
        <w:t>八、评价标准：</w:t>
      </w:r>
    </w:p>
    <w:p>
      <w:pPr>
        <w:spacing w:line="360" w:lineRule="auto"/>
        <w:ind w:firstLine="420" w:firstLineChars="200"/>
        <w:rPr>
          <w:rFonts w:ascii="宋体" w:hAnsi="宋体"/>
          <w:color w:val="000000"/>
        </w:rPr>
      </w:pPr>
      <w:r>
        <w:rPr>
          <w:rFonts w:hint="eastAsia" w:ascii="宋体" w:hAnsi="宋体"/>
          <w:color w:val="0000FF"/>
        </w:rPr>
        <w:t xml:space="preserve">                             </w:t>
      </w:r>
      <w:r>
        <w:rPr>
          <w:rFonts w:hint="eastAsia" w:ascii="宋体" w:hAnsi="宋体"/>
          <w:color w:val="000000"/>
        </w:rPr>
        <w:t>课程目标达成度评价</w:t>
      </w:r>
    </w:p>
    <w:tbl>
      <w:tblPr>
        <w:tblStyle w:val="22"/>
        <w:tblW w:w="8522" w:type="dxa"/>
        <w:jc w:val="center"/>
        <w:tblLayout w:type="fixed"/>
        <w:tblCellMar>
          <w:top w:w="0" w:type="dxa"/>
          <w:left w:w="108" w:type="dxa"/>
          <w:bottom w:w="0" w:type="dxa"/>
          <w:right w:w="108" w:type="dxa"/>
        </w:tblCellMar>
      </w:tblPr>
      <w:tblGrid>
        <w:gridCol w:w="1420"/>
        <w:gridCol w:w="1421"/>
        <w:gridCol w:w="1420"/>
        <w:gridCol w:w="1420"/>
        <w:gridCol w:w="1421"/>
        <w:gridCol w:w="1420"/>
      </w:tblGrid>
      <w:tr>
        <w:tblPrEx>
          <w:tblCellMar>
            <w:top w:w="0" w:type="dxa"/>
            <w:left w:w="108" w:type="dxa"/>
            <w:bottom w:w="0" w:type="dxa"/>
            <w:right w:w="108" w:type="dxa"/>
          </w:tblCellMar>
        </w:tblPrEx>
        <w:trPr>
          <w:trHeight w:val="320" w:hRule="atLeast"/>
          <w:jc w:val="center"/>
        </w:trPr>
        <w:tc>
          <w:tcPr>
            <w:tcW w:w="1420" w:type="dxa"/>
            <w:tcBorders>
              <w:top w:val="single" w:color="auto" w:sz="4" w:space="0"/>
              <w:left w:val="nil"/>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考核体系构成</w:t>
            </w:r>
          </w:p>
        </w:tc>
        <w:tc>
          <w:tcPr>
            <w:tcW w:w="1421" w:type="dxa"/>
            <w:tcBorders>
              <w:top w:val="single" w:color="auto" w:sz="4" w:space="0"/>
              <w:left w:val="nil"/>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考核环节</w:t>
            </w:r>
          </w:p>
        </w:tc>
        <w:tc>
          <w:tcPr>
            <w:tcW w:w="1420" w:type="dxa"/>
            <w:tcBorders>
              <w:top w:val="single" w:color="auto" w:sz="4" w:space="0"/>
              <w:left w:val="nil"/>
              <w:bottom w:val="single" w:color="auto" w:sz="4" w:space="0"/>
              <w:right w:val="single" w:color="auto" w:sz="4" w:space="0"/>
            </w:tcBorders>
            <w:vAlign w:val="center"/>
          </w:tcPr>
          <w:p>
            <w:pPr>
              <w:widowControl/>
              <w:jc w:val="center"/>
              <w:rPr>
                <w:rFonts w:eastAsia="等线"/>
                <w:color w:val="000000"/>
                <w:kern w:val="0"/>
                <w:sz w:val="18"/>
                <w:szCs w:val="18"/>
              </w:rPr>
            </w:pPr>
            <w:r>
              <w:rPr>
                <w:rFonts w:eastAsia="等线"/>
                <w:color w:val="000000"/>
                <w:kern w:val="0"/>
                <w:sz w:val="18"/>
                <w:szCs w:val="18"/>
              </w:rPr>
              <w:t>80-100</w:t>
            </w:r>
            <w:r>
              <w:rPr>
                <w:color w:val="000000"/>
                <w:kern w:val="0"/>
                <w:sz w:val="18"/>
                <w:szCs w:val="18"/>
              </w:rPr>
              <w:t>分</w:t>
            </w:r>
          </w:p>
        </w:tc>
        <w:tc>
          <w:tcPr>
            <w:tcW w:w="1420" w:type="dxa"/>
            <w:tcBorders>
              <w:top w:val="single" w:color="auto" w:sz="4" w:space="0"/>
              <w:left w:val="nil"/>
              <w:bottom w:val="single" w:color="auto" w:sz="4" w:space="0"/>
              <w:right w:val="single" w:color="auto" w:sz="4" w:space="0"/>
            </w:tcBorders>
            <w:vAlign w:val="center"/>
          </w:tcPr>
          <w:p>
            <w:pPr>
              <w:widowControl/>
              <w:jc w:val="center"/>
              <w:rPr>
                <w:rFonts w:eastAsia="等线"/>
                <w:color w:val="000000"/>
                <w:kern w:val="0"/>
                <w:sz w:val="18"/>
                <w:szCs w:val="18"/>
              </w:rPr>
            </w:pPr>
            <w:r>
              <w:rPr>
                <w:rFonts w:eastAsia="等线"/>
                <w:color w:val="000000"/>
                <w:kern w:val="0"/>
                <w:sz w:val="18"/>
                <w:szCs w:val="18"/>
              </w:rPr>
              <w:t>60-79</w:t>
            </w:r>
            <w:r>
              <w:rPr>
                <w:color w:val="000000"/>
                <w:kern w:val="0"/>
                <w:sz w:val="18"/>
                <w:szCs w:val="18"/>
              </w:rPr>
              <w:t>分</w:t>
            </w:r>
          </w:p>
        </w:tc>
        <w:tc>
          <w:tcPr>
            <w:tcW w:w="1421" w:type="dxa"/>
            <w:tcBorders>
              <w:top w:val="single" w:color="auto" w:sz="4" w:space="0"/>
              <w:left w:val="nil"/>
              <w:bottom w:val="single" w:color="auto" w:sz="4" w:space="0"/>
              <w:right w:val="single" w:color="auto" w:sz="4" w:space="0"/>
            </w:tcBorders>
            <w:vAlign w:val="center"/>
          </w:tcPr>
          <w:p>
            <w:pPr>
              <w:widowControl/>
              <w:jc w:val="center"/>
              <w:rPr>
                <w:rFonts w:eastAsia="等线"/>
                <w:color w:val="000000"/>
                <w:kern w:val="0"/>
                <w:sz w:val="18"/>
                <w:szCs w:val="18"/>
              </w:rPr>
            </w:pPr>
            <w:r>
              <w:rPr>
                <w:rFonts w:eastAsia="等线"/>
                <w:color w:val="000000"/>
                <w:kern w:val="0"/>
                <w:sz w:val="18"/>
                <w:szCs w:val="18"/>
              </w:rPr>
              <w:t>60</w:t>
            </w:r>
            <w:r>
              <w:rPr>
                <w:color w:val="000000"/>
                <w:kern w:val="0"/>
                <w:sz w:val="18"/>
                <w:szCs w:val="18"/>
              </w:rPr>
              <w:t>分以下</w:t>
            </w:r>
          </w:p>
        </w:tc>
        <w:tc>
          <w:tcPr>
            <w:tcW w:w="1420" w:type="dxa"/>
            <w:tcBorders>
              <w:top w:val="single" w:color="auto" w:sz="4" w:space="0"/>
              <w:left w:val="nil"/>
              <w:bottom w:val="single" w:color="auto" w:sz="4" w:space="0"/>
              <w:right w:val="nil"/>
            </w:tcBorders>
            <w:vAlign w:val="center"/>
          </w:tcPr>
          <w:p>
            <w:pPr>
              <w:widowControl/>
              <w:jc w:val="center"/>
              <w:rPr>
                <w:rFonts w:eastAsia="等线"/>
                <w:color w:val="000000"/>
                <w:kern w:val="0"/>
                <w:sz w:val="18"/>
                <w:szCs w:val="18"/>
              </w:rPr>
            </w:pPr>
            <w:r>
              <w:rPr>
                <w:rFonts w:hint="eastAsia" w:ascii="宋体" w:hAnsi="宋体" w:cs="宋体"/>
                <w:color w:val="000000"/>
                <w:kern w:val="0"/>
                <w:sz w:val="18"/>
                <w:szCs w:val="18"/>
              </w:rPr>
              <w:t>考核依据</w:t>
            </w:r>
          </w:p>
        </w:tc>
      </w:tr>
      <w:tr>
        <w:tblPrEx>
          <w:tblCellMar>
            <w:top w:w="0" w:type="dxa"/>
            <w:left w:w="108" w:type="dxa"/>
            <w:bottom w:w="0" w:type="dxa"/>
            <w:right w:w="108" w:type="dxa"/>
          </w:tblCellMar>
        </w:tblPrEx>
        <w:trPr>
          <w:trHeight w:val="1300" w:hRule="atLeast"/>
          <w:jc w:val="center"/>
        </w:trPr>
        <w:tc>
          <w:tcPr>
            <w:tcW w:w="1420" w:type="dxa"/>
            <w:vMerge w:val="restart"/>
            <w:tcBorders>
              <w:top w:val="nil"/>
              <w:left w:val="nil"/>
              <w:bottom w:val="single" w:color="000000" w:sz="4" w:space="0"/>
              <w:right w:val="single" w:color="auto" w:sz="4" w:space="0"/>
            </w:tcBorders>
            <w:vAlign w:val="center"/>
          </w:tcPr>
          <w:p>
            <w:pPr>
              <w:widowControl/>
              <w:jc w:val="center"/>
              <w:rPr>
                <w:rFonts w:eastAsia="等线"/>
                <w:color w:val="000000"/>
                <w:kern w:val="0"/>
                <w:sz w:val="18"/>
                <w:szCs w:val="18"/>
              </w:rPr>
            </w:pPr>
            <w:r>
              <w:rPr>
                <w:rFonts w:hint="eastAsia" w:ascii="宋体" w:hAnsi="宋体" w:cs="宋体"/>
                <w:color w:val="000000"/>
                <w:kern w:val="0"/>
                <w:sz w:val="18"/>
                <w:szCs w:val="18"/>
              </w:rPr>
              <w:t>过程性考核（</w:t>
            </w:r>
            <w:r>
              <w:rPr>
                <w:rFonts w:eastAsia="等线"/>
                <w:color w:val="000000"/>
                <w:kern w:val="0"/>
                <w:sz w:val="18"/>
                <w:szCs w:val="18"/>
              </w:rPr>
              <w:t>40%</w:t>
            </w:r>
            <w:r>
              <w:rPr>
                <w:rFonts w:hint="eastAsia" w:ascii="宋体" w:hAnsi="宋体" w:cs="宋体"/>
                <w:color w:val="000000"/>
                <w:kern w:val="0"/>
                <w:sz w:val="18"/>
                <w:szCs w:val="18"/>
              </w:rPr>
              <w:t>）</w:t>
            </w:r>
          </w:p>
        </w:tc>
        <w:tc>
          <w:tcPr>
            <w:tcW w:w="1421"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平时到课情况及课堂表现（</w:t>
            </w:r>
            <w:r>
              <w:rPr>
                <w:rFonts w:eastAsia="等线"/>
                <w:color w:val="000000"/>
                <w:kern w:val="0"/>
                <w:sz w:val="18"/>
                <w:szCs w:val="18"/>
              </w:rPr>
              <w:t>60%</w:t>
            </w:r>
            <w:r>
              <w:rPr>
                <w:color w:val="000000"/>
                <w:kern w:val="0"/>
                <w:sz w:val="18"/>
                <w:szCs w:val="18"/>
              </w:rPr>
              <w:t>）</w:t>
            </w:r>
          </w:p>
        </w:tc>
        <w:tc>
          <w:tcPr>
            <w:tcW w:w="1420"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基本没有缺课，认真听讲，积极参与课堂教学环节</w:t>
            </w:r>
          </w:p>
        </w:tc>
        <w:tc>
          <w:tcPr>
            <w:tcW w:w="1420"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缺课小于3</w:t>
            </w:r>
            <w:r>
              <w:rPr>
                <w:rFonts w:ascii="宋体" w:hAnsi="宋体"/>
                <w:color w:val="000000"/>
                <w:kern w:val="0"/>
                <w:sz w:val="18"/>
                <w:szCs w:val="18"/>
              </w:rPr>
              <w:t>次（含</w:t>
            </w:r>
            <w:r>
              <w:rPr>
                <w:color w:val="000000"/>
                <w:kern w:val="0"/>
                <w:sz w:val="18"/>
                <w:szCs w:val="18"/>
              </w:rPr>
              <w:t>3</w:t>
            </w:r>
            <w:r>
              <w:rPr>
                <w:rFonts w:ascii="宋体" w:hAnsi="宋体"/>
                <w:color w:val="000000"/>
                <w:kern w:val="0"/>
                <w:sz w:val="18"/>
                <w:szCs w:val="18"/>
              </w:rPr>
              <w:t>次），听讲基本认真，参与课堂教学环节积极性尚可</w:t>
            </w:r>
          </w:p>
        </w:tc>
        <w:tc>
          <w:tcPr>
            <w:tcW w:w="1421"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缺课</w:t>
            </w:r>
            <w:r>
              <w:rPr>
                <w:rFonts w:eastAsia="等线"/>
                <w:color w:val="000000"/>
                <w:kern w:val="0"/>
                <w:sz w:val="18"/>
                <w:szCs w:val="18"/>
              </w:rPr>
              <w:t>4</w:t>
            </w:r>
            <w:r>
              <w:rPr>
                <w:rFonts w:hint="eastAsia" w:ascii="宋体" w:hAnsi="宋体" w:cs="宋体"/>
                <w:color w:val="000000"/>
                <w:kern w:val="0"/>
                <w:sz w:val="18"/>
                <w:szCs w:val="18"/>
              </w:rPr>
              <w:t>次</w:t>
            </w:r>
            <w:r>
              <w:rPr>
                <w:color w:val="000000"/>
                <w:kern w:val="0"/>
                <w:sz w:val="18"/>
                <w:szCs w:val="18"/>
              </w:rPr>
              <w:t>及以上，听讲不认真，不积极参与课堂教学环节</w:t>
            </w:r>
          </w:p>
        </w:tc>
        <w:tc>
          <w:tcPr>
            <w:tcW w:w="1420" w:type="dxa"/>
            <w:tcBorders>
              <w:top w:val="nil"/>
              <w:left w:val="nil"/>
              <w:bottom w:val="single" w:color="auto" w:sz="4" w:space="0"/>
              <w:right w:val="nil"/>
            </w:tcBorders>
          </w:tcPr>
          <w:p>
            <w:pPr>
              <w:widowControl/>
              <w:rPr>
                <w:rFonts w:eastAsia="等线"/>
                <w:color w:val="000000"/>
                <w:kern w:val="0"/>
                <w:sz w:val="18"/>
                <w:szCs w:val="18"/>
              </w:rPr>
            </w:pPr>
            <w:r>
              <w:rPr>
                <w:rFonts w:hint="eastAsia" w:ascii="宋体" w:hAnsi="宋体" w:cs="宋体"/>
                <w:color w:val="000000"/>
                <w:kern w:val="0"/>
                <w:sz w:val="18"/>
                <w:szCs w:val="18"/>
              </w:rPr>
              <w:t>教师课堂情况记录表</w:t>
            </w:r>
          </w:p>
        </w:tc>
      </w:tr>
      <w:tr>
        <w:tblPrEx>
          <w:tblCellMar>
            <w:top w:w="0" w:type="dxa"/>
            <w:left w:w="108" w:type="dxa"/>
            <w:bottom w:w="0" w:type="dxa"/>
            <w:right w:w="108" w:type="dxa"/>
          </w:tblCellMar>
        </w:tblPrEx>
        <w:trPr>
          <w:trHeight w:val="960" w:hRule="atLeast"/>
          <w:jc w:val="center"/>
        </w:trPr>
        <w:tc>
          <w:tcPr>
            <w:tcW w:w="1420" w:type="dxa"/>
            <w:vMerge w:val="continue"/>
            <w:tcBorders>
              <w:top w:val="nil"/>
              <w:left w:val="nil"/>
              <w:bottom w:val="single" w:color="000000" w:sz="4" w:space="0"/>
              <w:right w:val="single" w:color="auto" w:sz="4" w:space="0"/>
            </w:tcBorders>
            <w:vAlign w:val="center"/>
          </w:tcPr>
          <w:p>
            <w:pPr>
              <w:widowControl/>
              <w:jc w:val="left"/>
              <w:rPr>
                <w:rFonts w:eastAsia="等线"/>
                <w:color w:val="000000"/>
                <w:kern w:val="0"/>
                <w:sz w:val="18"/>
                <w:szCs w:val="18"/>
              </w:rPr>
            </w:pPr>
          </w:p>
        </w:tc>
        <w:tc>
          <w:tcPr>
            <w:tcW w:w="1421"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课后作业（40</w:t>
            </w:r>
            <w:r>
              <w:rPr>
                <w:rFonts w:ascii="宋体" w:hAnsi="宋体"/>
                <w:color w:val="000000"/>
                <w:kern w:val="0"/>
                <w:sz w:val="18"/>
                <w:szCs w:val="18"/>
              </w:rPr>
              <w:t>％）</w:t>
            </w:r>
          </w:p>
        </w:tc>
        <w:tc>
          <w:tcPr>
            <w:tcW w:w="1420"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80%</w:t>
            </w:r>
            <w:r>
              <w:rPr>
                <w:rFonts w:ascii="宋体" w:hAnsi="宋体"/>
                <w:color w:val="000000"/>
                <w:kern w:val="0"/>
                <w:sz w:val="18"/>
                <w:szCs w:val="18"/>
              </w:rPr>
              <w:t>以上课后作业完成，及时准确性高</w:t>
            </w:r>
          </w:p>
        </w:tc>
        <w:tc>
          <w:tcPr>
            <w:tcW w:w="1420"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60%</w:t>
            </w:r>
            <w:r>
              <w:rPr>
                <w:rFonts w:ascii="宋体" w:hAnsi="宋体"/>
                <w:color w:val="000000"/>
                <w:kern w:val="0"/>
                <w:sz w:val="18"/>
                <w:szCs w:val="18"/>
              </w:rPr>
              <w:t>以上课后作业完成及时，准确性较好</w:t>
            </w:r>
          </w:p>
        </w:tc>
        <w:tc>
          <w:tcPr>
            <w:tcW w:w="1421"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只有60%</w:t>
            </w:r>
            <w:r>
              <w:rPr>
                <w:rFonts w:ascii="宋体" w:hAnsi="宋体"/>
                <w:color w:val="000000"/>
                <w:kern w:val="0"/>
                <w:sz w:val="18"/>
                <w:szCs w:val="18"/>
              </w:rPr>
              <w:t>以下作业完成</w:t>
            </w:r>
          </w:p>
        </w:tc>
        <w:tc>
          <w:tcPr>
            <w:tcW w:w="1420" w:type="dxa"/>
            <w:tcBorders>
              <w:top w:val="nil"/>
              <w:left w:val="nil"/>
              <w:bottom w:val="single" w:color="auto" w:sz="4" w:space="0"/>
              <w:right w:val="nil"/>
            </w:tcBorders>
          </w:tcPr>
          <w:p>
            <w:pPr>
              <w:widowControl/>
              <w:rPr>
                <w:rFonts w:eastAsia="等线"/>
                <w:color w:val="000000"/>
                <w:kern w:val="0"/>
                <w:sz w:val="18"/>
                <w:szCs w:val="18"/>
              </w:rPr>
            </w:pPr>
            <w:r>
              <w:rPr>
                <w:rFonts w:hint="eastAsia" w:ascii="宋体" w:hAnsi="宋体" w:cs="宋体"/>
                <w:color w:val="000000"/>
                <w:kern w:val="0"/>
                <w:sz w:val="18"/>
                <w:szCs w:val="18"/>
              </w:rPr>
              <w:t>作业评价标准，典型作业拍照，或电子版</w:t>
            </w:r>
          </w:p>
        </w:tc>
      </w:tr>
      <w:tr>
        <w:tblPrEx>
          <w:tblCellMar>
            <w:top w:w="0" w:type="dxa"/>
            <w:left w:w="108" w:type="dxa"/>
            <w:bottom w:w="0" w:type="dxa"/>
            <w:right w:w="108" w:type="dxa"/>
          </w:tblCellMar>
        </w:tblPrEx>
        <w:trPr>
          <w:trHeight w:val="540" w:hRule="atLeast"/>
          <w:jc w:val="center"/>
        </w:trPr>
        <w:tc>
          <w:tcPr>
            <w:tcW w:w="1420" w:type="dxa"/>
            <w:tcBorders>
              <w:top w:val="nil"/>
              <w:left w:val="nil"/>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终结性考核（60%</w:t>
            </w:r>
            <w:r>
              <w:rPr>
                <w:rFonts w:ascii="宋体" w:hAnsi="宋体"/>
                <w:color w:val="000000"/>
                <w:kern w:val="0"/>
                <w:sz w:val="18"/>
                <w:szCs w:val="18"/>
              </w:rPr>
              <w:t>）</w:t>
            </w:r>
          </w:p>
        </w:tc>
        <w:tc>
          <w:tcPr>
            <w:tcW w:w="1421" w:type="dxa"/>
            <w:tcBorders>
              <w:top w:val="nil"/>
              <w:left w:val="nil"/>
              <w:bottom w:val="single" w:color="auto" w:sz="4" w:space="0"/>
              <w:right w:val="single" w:color="auto" w:sz="4" w:space="0"/>
            </w:tcBorders>
          </w:tcPr>
          <w:p>
            <w:pPr>
              <w:widowControl/>
              <w:rPr>
                <w:color w:val="000000"/>
                <w:kern w:val="0"/>
                <w:sz w:val="18"/>
                <w:szCs w:val="18"/>
              </w:rPr>
            </w:pPr>
            <w:r>
              <w:rPr>
                <w:color w:val="000000"/>
                <w:kern w:val="0"/>
                <w:sz w:val="18"/>
                <w:szCs w:val="18"/>
              </w:rPr>
              <w:t>期末结课作业</w:t>
            </w:r>
          </w:p>
        </w:tc>
        <w:tc>
          <w:tcPr>
            <w:tcW w:w="4261" w:type="dxa"/>
            <w:gridSpan w:val="3"/>
            <w:tcBorders>
              <w:top w:val="single" w:color="auto" w:sz="4" w:space="0"/>
              <w:left w:val="nil"/>
              <w:bottom w:val="single" w:color="auto" w:sz="4" w:space="0"/>
              <w:right w:val="single" w:color="000000" w:sz="4" w:space="0"/>
            </w:tcBorders>
          </w:tcPr>
          <w:p>
            <w:pPr>
              <w:widowControl/>
              <w:rPr>
                <w:color w:val="000000"/>
                <w:kern w:val="0"/>
                <w:sz w:val="18"/>
                <w:szCs w:val="18"/>
              </w:rPr>
            </w:pPr>
            <w:r>
              <w:rPr>
                <w:color w:val="000000"/>
                <w:kern w:val="0"/>
                <w:sz w:val="18"/>
                <w:szCs w:val="18"/>
              </w:rPr>
              <w:t> </w:t>
            </w:r>
          </w:p>
        </w:tc>
        <w:tc>
          <w:tcPr>
            <w:tcW w:w="1420" w:type="dxa"/>
            <w:tcBorders>
              <w:top w:val="nil"/>
              <w:left w:val="nil"/>
              <w:bottom w:val="single" w:color="auto" w:sz="4" w:space="0"/>
              <w:right w:val="nil"/>
            </w:tcBorders>
          </w:tcPr>
          <w:p>
            <w:pPr>
              <w:widowControl/>
              <w:rPr>
                <w:rFonts w:eastAsia="等线"/>
                <w:color w:val="000000"/>
                <w:kern w:val="0"/>
                <w:sz w:val="18"/>
                <w:szCs w:val="18"/>
              </w:rPr>
            </w:pPr>
            <w:r>
              <w:rPr>
                <w:rFonts w:eastAsia="等线"/>
                <w:color w:val="000000"/>
                <w:kern w:val="0"/>
                <w:sz w:val="18"/>
                <w:szCs w:val="18"/>
              </w:rPr>
              <w:t> </w:t>
            </w:r>
          </w:p>
        </w:tc>
      </w:tr>
    </w:tbl>
    <w:p>
      <w:pPr>
        <w:pStyle w:val="45"/>
      </w:pPr>
    </w:p>
    <w:p>
      <w:pPr>
        <w:pStyle w:val="45"/>
        <w:rPr>
          <w:rFonts w:eastAsia="黑体" w:asciiTheme="majorHAnsi" w:hAnsiTheme="majorHAnsi" w:cstheme="majorBidi"/>
          <w:sz w:val="28"/>
          <w:szCs w:val="32"/>
        </w:rPr>
      </w:pPr>
      <w:r>
        <w:br w:type="page"/>
      </w:r>
    </w:p>
    <w:p>
      <w:pPr>
        <w:pStyle w:val="20"/>
        <w:spacing w:before="312" w:after="468"/>
      </w:pPr>
      <w:bookmarkStart w:id="145" w:name="_Toc32530"/>
      <w:r>
        <w:rPr>
          <w:rFonts w:hint="eastAsia"/>
        </w:rPr>
        <w:t>《</w:t>
      </w:r>
      <w:r>
        <w:t>X02090042</w:t>
      </w:r>
      <w:r>
        <w:rPr>
          <w:rFonts w:hint="eastAsia"/>
        </w:rPr>
        <w:t>-西方礼仪与沟通技巧》教学大纲</w:t>
      </w:r>
      <w:bookmarkEnd w:id="145"/>
    </w:p>
    <w:p>
      <w:pPr>
        <w:adjustRightInd w:val="0"/>
        <w:snapToGrid w:val="0"/>
        <w:spacing w:line="360" w:lineRule="auto"/>
        <w:rPr>
          <w:rFonts w:ascii="黑体" w:eastAsia="黑体"/>
          <w:szCs w:val="21"/>
        </w:rPr>
      </w:pPr>
      <w:r>
        <w:rPr>
          <w:rFonts w:hint="eastAsia" w:ascii="黑体" w:hAnsi="黑体" w:eastAsia="黑体"/>
        </w:rPr>
        <w:t>课程编号：</w:t>
      </w:r>
      <w:r>
        <w:rPr>
          <w:kern w:val="0"/>
        </w:rPr>
        <w:t>X02090042</w:t>
      </w:r>
    </w:p>
    <w:p>
      <w:pPr>
        <w:adjustRightInd w:val="0"/>
        <w:snapToGrid w:val="0"/>
        <w:spacing w:line="360" w:lineRule="auto"/>
        <w:rPr>
          <w:rFonts w:ascii="黑体" w:eastAsia="黑体"/>
        </w:rPr>
      </w:pPr>
      <w:r>
        <w:rPr>
          <w:rFonts w:hint="eastAsia" w:ascii="黑体" w:hAnsi="黑体" w:eastAsia="黑体"/>
        </w:rPr>
        <w:t>课程名称：</w:t>
      </w:r>
      <w:r>
        <w:rPr>
          <w:rFonts w:hint="eastAsia" w:ascii="宋体" w:hAnsi="宋体"/>
        </w:rPr>
        <w:t xml:space="preserve">西方礼仪与沟通技巧                  </w:t>
      </w:r>
      <w:r>
        <w:rPr>
          <w:rFonts w:hint="eastAsia" w:ascii="黑体" w:hAnsi="黑体" w:eastAsia="黑体"/>
        </w:rPr>
        <w:t>开课单位：</w:t>
      </w:r>
      <w:r>
        <w:rPr>
          <w:rFonts w:hint="eastAsia" w:ascii="宋体" w:hAnsi="宋体"/>
        </w:rPr>
        <w:t xml:space="preserve">仪器与电子学院 </w:t>
      </w:r>
    </w:p>
    <w:p>
      <w:pPr>
        <w:adjustRightInd w:val="0"/>
        <w:snapToGrid w:val="0"/>
        <w:spacing w:line="360" w:lineRule="auto"/>
        <w:rPr>
          <w:rFonts w:eastAsia="黑体"/>
        </w:rPr>
      </w:pPr>
      <w:r>
        <w:rPr>
          <w:rFonts w:hint="eastAsia" w:ascii="黑体" w:hAnsi="黑体" w:eastAsia="黑体"/>
        </w:rPr>
        <w:t>总</w:t>
      </w:r>
      <w:r>
        <w:rPr>
          <w:rFonts w:hint="eastAsia" w:ascii="黑体" w:eastAsia="黑体"/>
        </w:rPr>
        <w:t xml:space="preserve"> </w:t>
      </w:r>
      <w:r>
        <w:rPr>
          <w:rFonts w:hint="eastAsia" w:ascii="黑体" w:hAnsi="黑体" w:eastAsia="黑体"/>
        </w:rPr>
        <w:t>学</w:t>
      </w:r>
      <w:r>
        <w:rPr>
          <w:rFonts w:hint="eastAsia" w:ascii="黑体" w:eastAsia="黑体"/>
        </w:rPr>
        <w:t xml:space="preserve"> </w:t>
      </w:r>
      <w:r>
        <w:rPr>
          <w:rFonts w:hint="eastAsia" w:ascii="黑体" w:hAnsi="黑体" w:eastAsia="黑体"/>
        </w:rPr>
        <w:t>时：</w:t>
      </w:r>
      <w:r>
        <w:t xml:space="preserve">16  </w:t>
      </w:r>
      <w:r>
        <w:rPr>
          <w:rFonts w:eastAsia="黑体"/>
        </w:rPr>
        <w:t xml:space="preserve">                                </w:t>
      </w:r>
      <w:r>
        <w:rPr>
          <w:rFonts w:ascii="黑体" w:hAnsi="黑体" w:eastAsia="黑体"/>
        </w:rPr>
        <w:t>学</w:t>
      </w:r>
      <w:r>
        <w:rPr>
          <w:rFonts w:eastAsia="黑体"/>
        </w:rPr>
        <w:t xml:space="preserve">    </w:t>
      </w:r>
      <w:r>
        <w:rPr>
          <w:rFonts w:ascii="黑体" w:hAnsi="黑体" w:eastAsia="黑体"/>
        </w:rPr>
        <w:t>分：</w:t>
      </w:r>
      <w:r>
        <w:t>0.5</w:t>
      </w:r>
    </w:p>
    <w:p>
      <w:pPr>
        <w:adjustRightInd w:val="0"/>
        <w:snapToGrid w:val="0"/>
        <w:spacing w:line="360" w:lineRule="auto"/>
        <w:rPr>
          <w:rFonts w:eastAsia="黑体"/>
        </w:rPr>
      </w:pPr>
      <w:r>
        <w:rPr>
          <w:rFonts w:ascii="黑体" w:hAnsi="黑体" w:eastAsia="黑体"/>
        </w:rPr>
        <w:t>适用专业：</w:t>
      </w:r>
      <w:r>
        <w:rPr>
          <w:rFonts w:ascii="宋体" w:hAnsi="宋体"/>
        </w:rPr>
        <w:t>工程类各专业</w:t>
      </w:r>
    </w:p>
    <w:p>
      <w:pPr>
        <w:adjustRightInd w:val="0"/>
        <w:snapToGrid w:val="0"/>
        <w:spacing w:line="360" w:lineRule="auto"/>
      </w:pPr>
      <w:r>
        <w:rPr>
          <w:rFonts w:ascii="黑体" w:hAnsi="黑体" w:eastAsia="黑体"/>
        </w:rPr>
        <w:t>先修课程：</w:t>
      </w:r>
      <w:r>
        <w:rPr>
          <w:rFonts w:ascii="宋体" w:hAnsi="宋体"/>
        </w:rPr>
        <w:t>无</w:t>
      </w:r>
    </w:p>
    <w:p>
      <w:pPr>
        <w:adjustRightInd w:val="0"/>
        <w:snapToGrid w:val="0"/>
        <w:spacing w:line="360" w:lineRule="auto"/>
      </w:pPr>
      <w:r>
        <w:rPr>
          <w:rFonts w:ascii="黑体" w:hAnsi="黑体" w:eastAsia="黑体"/>
        </w:rPr>
        <w:t>大纲编写（修订）时间</w:t>
      </w:r>
      <w:r>
        <w:rPr>
          <w:rFonts w:ascii="宋体" w:hAnsi="宋体"/>
        </w:rPr>
        <w:t>：</w:t>
      </w:r>
      <w:r>
        <w:t>2019</w:t>
      </w:r>
      <w:r>
        <w:rPr>
          <w:rFonts w:ascii="宋体" w:hAnsi="宋体"/>
        </w:rPr>
        <w:t>年</w:t>
      </w:r>
      <w:r>
        <w:t>4</w:t>
      </w:r>
      <w:r>
        <w:rPr>
          <w:rFonts w:ascii="宋体" w:hAnsi="宋体"/>
        </w:rPr>
        <w:t>月</w:t>
      </w:r>
    </w:p>
    <w:p>
      <w:pPr>
        <w:adjustRightInd w:val="0"/>
        <w:snapToGrid w:val="0"/>
        <w:spacing w:line="360" w:lineRule="auto"/>
        <w:rPr>
          <w:rFonts w:ascii="宋体" w:hAnsi="宋体"/>
        </w:rPr>
      </w:pPr>
      <w:r>
        <w:rPr>
          <w:rFonts w:hint="eastAsia" w:ascii="宋体" w:hAnsi="宋体"/>
        </w:rPr>
        <w:t xml:space="preserve"> </w:t>
      </w:r>
    </w:p>
    <w:p>
      <w:pPr>
        <w:numPr>
          <w:ilvl w:val="0"/>
          <w:numId w:val="18"/>
        </w:numPr>
        <w:adjustRightInd w:val="0"/>
        <w:snapToGrid w:val="0"/>
        <w:spacing w:line="360" w:lineRule="auto"/>
        <w:rPr>
          <w:rFonts w:eastAsia="黑体"/>
        </w:rPr>
      </w:pPr>
      <w:r>
        <w:rPr>
          <w:rFonts w:hint="eastAsia" w:ascii="黑体" w:hAnsi="黑体" w:eastAsia="黑体"/>
        </w:rPr>
        <w:t>课程在教学计划中的地位、作用</w:t>
      </w:r>
    </w:p>
    <w:p>
      <w:pPr>
        <w:adjustRightInd w:val="0"/>
        <w:snapToGrid w:val="0"/>
        <w:spacing w:line="360" w:lineRule="auto"/>
      </w:pPr>
      <w:r>
        <w:rPr>
          <w:rFonts w:hint="eastAsia"/>
        </w:rPr>
        <w:t xml:space="preserve">    </w:t>
      </w:r>
      <w:r>
        <w:rPr>
          <w:rFonts w:hint="eastAsia" w:ascii="宋体" w:hAnsi="宋体"/>
        </w:rPr>
        <w:t>本课程是一门关于礼仪与沟通的应用性实践课程，意在培养和提高学生的国际交流能力。现代社会，进行国际交流与合作是具备仪器与电子专业知识的学生必须掌握和拥有的素质与技能，因此学习如何运用西式礼仪成功拓展商务合作，同时探索英美文化，为国际商务作足准备，对于学生来讲尤其重要。本课程就是通过讲授与培训西方礼仪的特殊要求与相应的沟通技巧，让学生能够在跨国交流与合作中拥有得体礼仪与举止，能够应用良好的沟通技巧，应对各种国际商务及社交场合。</w:t>
      </w:r>
    </w:p>
    <w:p>
      <w:pPr>
        <w:adjustRightInd w:val="0"/>
        <w:snapToGrid w:val="0"/>
        <w:spacing w:line="360" w:lineRule="auto"/>
      </w:pPr>
      <w:r>
        <w:rPr>
          <w:rFonts w:hint="eastAsia"/>
        </w:rPr>
        <w:t xml:space="preserve"> </w:t>
      </w:r>
    </w:p>
    <w:p>
      <w:pPr>
        <w:pStyle w:val="19"/>
        <w:adjustRightInd w:val="0"/>
        <w:snapToGrid w:val="0"/>
        <w:spacing w:before="0" w:beforeAutospacing="0" w:after="0" w:afterAutospacing="0" w:line="360" w:lineRule="auto"/>
        <w:rPr>
          <w:rFonts w:eastAsia="黑体"/>
          <w:sz w:val="21"/>
          <w:szCs w:val="21"/>
        </w:rPr>
      </w:pPr>
      <w:r>
        <w:rPr>
          <w:rFonts w:hint="eastAsia" w:ascii="黑体" w:hAnsi="黑体" w:eastAsia="黑体"/>
          <w:sz w:val="21"/>
          <w:szCs w:val="21"/>
        </w:rPr>
        <w:t>二、课程目标</w:t>
      </w:r>
    </w:p>
    <w:p>
      <w:pPr>
        <w:adjustRightInd w:val="0"/>
        <w:snapToGrid w:val="0"/>
        <w:spacing w:line="360" w:lineRule="auto"/>
        <w:ind w:firstLine="420" w:firstLineChars="200"/>
        <w:rPr>
          <w:color w:val="000000"/>
          <w:szCs w:val="21"/>
        </w:rPr>
      </w:pPr>
      <w:r>
        <w:rPr>
          <w:rFonts w:hint="eastAsia" w:ascii="宋体" w:hAnsi="宋体"/>
          <w:color w:val="000000"/>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3273"/>
        <w:gridCol w:w="44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utoSpaceDE w:val="0"/>
              <w:adjustRightInd w:val="0"/>
              <w:spacing w:line="360" w:lineRule="auto"/>
              <w:jc w:val="center"/>
              <w:rPr>
                <w:sz w:val="18"/>
                <w:szCs w:val="18"/>
              </w:rPr>
            </w:pPr>
            <w:r>
              <w:rPr>
                <w:rFonts w:hint="eastAsia"/>
                <w:sz w:val="18"/>
                <w:szCs w:val="18"/>
              </w:rPr>
              <w:t>序号</w:t>
            </w:r>
          </w:p>
        </w:tc>
        <w:tc>
          <w:tcPr>
            <w:tcW w:w="1970"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360" w:lineRule="auto"/>
              <w:jc w:val="center"/>
              <w:rPr>
                <w:sz w:val="18"/>
                <w:szCs w:val="18"/>
              </w:rPr>
            </w:pPr>
            <w:r>
              <w:rPr>
                <w:rFonts w:hint="eastAsia"/>
                <w:sz w:val="18"/>
                <w:szCs w:val="18"/>
              </w:rPr>
              <w:t>课程目标</w:t>
            </w:r>
          </w:p>
        </w:tc>
        <w:tc>
          <w:tcPr>
            <w:tcW w:w="2691" w:type="pct"/>
            <w:tcBorders>
              <w:top w:val="single" w:color="auto" w:sz="4" w:space="0"/>
              <w:left w:val="single" w:color="auto" w:sz="4" w:space="0"/>
              <w:bottom w:val="single" w:color="auto" w:sz="4" w:space="0"/>
              <w:right w:val="nil"/>
            </w:tcBorders>
            <w:vAlign w:val="center"/>
          </w:tcPr>
          <w:p>
            <w:pPr>
              <w:autoSpaceDE w:val="0"/>
              <w:adjustRightInd w:val="0"/>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utoSpaceDE w:val="0"/>
              <w:adjustRightInd w:val="0"/>
              <w:snapToGrid w:val="0"/>
              <w:spacing w:line="360" w:lineRule="auto"/>
              <w:jc w:val="center"/>
              <w:rPr>
                <w:rFonts w:ascii="宋体" w:hAnsi="宋体"/>
                <w:sz w:val="18"/>
                <w:szCs w:val="18"/>
              </w:rPr>
            </w:pPr>
            <w:r>
              <w:rPr>
                <w:rFonts w:hint="eastAsia" w:ascii="宋体" w:hAnsi="宋体"/>
                <w:sz w:val="18"/>
                <w:szCs w:val="18"/>
              </w:rPr>
              <w:t>1</w:t>
            </w:r>
          </w:p>
        </w:tc>
        <w:tc>
          <w:tcPr>
            <w:tcW w:w="1970" w:type="pct"/>
            <w:tcBorders>
              <w:top w:val="single" w:color="auto" w:sz="4" w:space="0"/>
              <w:left w:val="single" w:color="auto" w:sz="4" w:space="0"/>
              <w:bottom w:val="single" w:color="auto" w:sz="4" w:space="0"/>
              <w:right w:val="single" w:color="auto" w:sz="4" w:space="0"/>
            </w:tcBorders>
          </w:tcPr>
          <w:p>
            <w:pPr>
              <w:autoSpaceDE w:val="0"/>
              <w:adjustRightInd w:val="0"/>
              <w:snapToGrid w:val="0"/>
              <w:spacing w:line="360" w:lineRule="auto"/>
              <w:rPr>
                <w:sz w:val="18"/>
                <w:szCs w:val="18"/>
              </w:rPr>
            </w:pPr>
            <w:r>
              <w:rPr>
                <w:rFonts w:hint="eastAsia" w:ascii="宋体" w:hAnsi="宋体"/>
                <w:color w:val="000000"/>
                <w:sz w:val="18"/>
                <w:szCs w:val="18"/>
              </w:rPr>
              <w:t>课程目标1：</w:t>
            </w:r>
            <w:r>
              <w:rPr>
                <w:rFonts w:hint="eastAsia"/>
                <w:sz w:val="18"/>
                <w:szCs w:val="18"/>
              </w:rPr>
              <w:t>通过本课程的学习，使学生建立礼仪与沟通合作的“跨文化”新概念。</w:t>
            </w:r>
          </w:p>
        </w:tc>
        <w:tc>
          <w:tcPr>
            <w:tcW w:w="2691" w:type="pct"/>
            <w:tcBorders>
              <w:top w:val="single" w:color="auto" w:sz="4" w:space="0"/>
              <w:left w:val="single" w:color="auto" w:sz="4" w:space="0"/>
              <w:bottom w:val="single" w:color="auto" w:sz="4" w:space="0"/>
              <w:right w:val="nil"/>
            </w:tcBorders>
          </w:tcPr>
          <w:p>
            <w:pPr>
              <w:autoSpaceDE w:val="0"/>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毕业要求8职业规范</w:t>
            </w:r>
            <w:r>
              <w:rPr>
                <w:rFonts w:hint="eastAsia" w:ascii="宋体" w:hAnsi="宋体"/>
                <w:color w:val="333333"/>
                <w:sz w:val="18"/>
                <w:szCs w:val="18"/>
                <w:shd w:val="clear" w:color="auto" w:fill="FFFFFF"/>
              </w:rPr>
              <w:t>：具有人文社会科学素养、社会责任感，能够在工程实践中理解并遵守工程职业道德和规范，履行责任。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340" w:type="pct"/>
            <w:tcBorders>
              <w:top w:val="single" w:color="auto" w:sz="4" w:space="0"/>
              <w:left w:val="nil"/>
              <w:bottom w:val="single" w:color="auto" w:sz="4" w:space="0"/>
              <w:right w:val="single" w:color="auto" w:sz="4" w:space="0"/>
            </w:tcBorders>
            <w:vAlign w:val="center"/>
          </w:tcPr>
          <w:p>
            <w:pPr>
              <w:autoSpaceDE w:val="0"/>
              <w:adjustRightInd w:val="0"/>
              <w:snapToGrid w:val="0"/>
              <w:spacing w:line="360" w:lineRule="auto"/>
              <w:jc w:val="center"/>
              <w:rPr>
                <w:rFonts w:ascii="宋体" w:hAnsi="宋体"/>
                <w:sz w:val="18"/>
                <w:szCs w:val="18"/>
              </w:rPr>
            </w:pPr>
            <w:r>
              <w:rPr>
                <w:rFonts w:hint="eastAsia" w:ascii="宋体" w:hAnsi="宋体"/>
                <w:sz w:val="18"/>
                <w:szCs w:val="18"/>
              </w:rPr>
              <w:t>2</w:t>
            </w:r>
          </w:p>
        </w:tc>
        <w:tc>
          <w:tcPr>
            <w:tcW w:w="1970" w:type="pct"/>
            <w:tcBorders>
              <w:top w:val="single" w:color="auto" w:sz="4" w:space="0"/>
              <w:left w:val="single" w:color="auto" w:sz="4" w:space="0"/>
              <w:bottom w:val="single" w:color="auto" w:sz="4" w:space="0"/>
              <w:right w:val="single" w:color="auto" w:sz="4" w:space="0"/>
            </w:tcBorders>
          </w:tcPr>
          <w:p>
            <w:pPr>
              <w:autoSpaceDE w:val="0"/>
              <w:adjustRightInd w:val="0"/>
              <w:snapToGrid w:val="0"/>
              <w:spacing w:line="360" w:lineRule="auto"/>
              <w:rPr>
                <w:sz w:val="18"/>
                <w:szCs w:val="18"/>
              </w:rPr>
            </w:pPr>
            <w:r>
              <w:rPr>
                <w:rFonts w:hint="eastAsia" w:ascii="宋体" w:hAnsi="宋体"/>
                <w:color w:val="000000"/>
                <w:sz w:val="18"/>
                <w:szCs w:val="18"/>
              </w:rPr>
              <w:t>课程目标2：</w:t>
            </w:r>
            <w:r>
              <w:rPr>
                <w:rFonts w:hint="eastAsia"/>
                <w:sz w:val="18"/>
                <w:szCs w:val="18"/>
              </w:rPr>
              <w:t>使学生掌握西方的个人礼仪、公共礼仪与社交礼仪，并实际应用。</w:t>
            </w:r>
          </w:p>
        </w:tc>
        <w:tc>
          <w:tcPr>
            <w:tcW w:w="2691" w:type="pct"/>
            <w:tcBorders>
              <w:top w:val="single" w:color="auto" w:sz="4" w:space="0"/>
              <w:left w:val="single" w:color="auto" w:sz="4" w:space="0"/>
              <w:bottom w:val="single" w:color="auto" w:sz="4" w:space="0"/>
              <w:right w:val="nil"/>
            </w:tcBorders>
          </w:tcPr>
          <w:p>
            <w:pPr>
              <w:autoSpaceDE w:val="0"/>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毕业要求8职业规范</w:t>
            </w:r>
            <w:r>
              <w:rPr>
                <w:rFonts w:hint="eastAsia" w:ascii="宋体" w:hAnsi="宋体"/>
                <w:color w:val="333333"/>
                <w:sz w:val="18"/>
                <w:szCs w:val="18"/>
                <w:shd w:val="clear" w:color="auto" w:fill="FFFFFF"/>
              </w:rPr>
              <w:t>：具有人文社会科学素养、社会责任感，能够在工程实践中理解并遵守工程职业道德和规范，履行责任。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utoSpaceDE w:val="0"/>
              <w:adjustRightInd w:val="0"/>
              <w:snapToGrid w:val="0"/>
              <w:spacing w:line="360" w:lineRule="auto"/>
              <w:jc w:val="center"/>
              <w:rPr>
                <w:rFonts w:ascii="宋体" w:hAnsi="宋体"/>
                <w:sz w:val="18"/>
                <w:szCs w:val="18"/>
              </w:rPr>
            </w:pPr>
            <w:r>
              <w:rPr>
                <w:rFonts w:hint="eastAsia" w:ascii="宋体" w:hAnsi="宋体"/>
                <w:sz w:val="18"/>
                <w:szCs w:val="18"/>
              </w:rPr>
              <w:t>3</w:t>
            </w:r>
          </w:p>
        </w:tc>
        <w:tc>
          <w:tcPr>
            <w:tcW w:w="1970" w:type="pct"/>
            <w:tcBorders>
              <w:top w:val="single" w:color="auto" w:sz="4" w:space="0"/>
              <w:left w:val="single" w:color="auto" w:sz="4" w:space="0"/>
              <w:bottom w:val="single" w:color="auto" w:sz="4" w:space="0"/>
              <w:right w:val="single" w:color="auto" w:sz="4" w:space="0"/>
            </w:tcBorders>
          </w:tcPr>
          <w:p>
            <w:pPr>
              <w:autoSpaceDE w:val="0"/>
              <w:adjustRightInd w:val="0"/>
              <w:snapToGrid w:val="0"/>
              <w:spacing w:line="360" w:lineRule="auto"/>
              <w:rPr>
                <w:sz w:val="18"/>
                <w:szCs w:val="18"/>
              </w:rPr>
            </w:pPr>
            <w:r>
              <w:rPr>
                <w:rFonts w:hint="eastAsia" w:ascii="宋体" w:hAnsi="宋体"/>
                <w:color w:val="000000"/>
                <w:sz w:val="18"/>
                <w:szCs w:val="18"/>
              </w:rPr>
              <w:t>课程目标3：</w:t>
            </w:r>
            <w:r>
              <w:rPr>
                <w:rFonts w:hint="eastAsia"/>
                <w:sz w:val="18"/>
                <w:szCs w:val="18"/>
              </w:rPr>
              <w:t>帮助学生掌握国际交流中的语言与非语言沟通技巧，具备有效的国际沟通技能。</w:t>
            </w:r>
          </w:p>
        </w:tc>
        <w:tc>
          <w:tcPr>
            <w:tcW w:w="2691" w:type="pct"/>
            <w:tcBorders>
              <w:top w:val="single" w:color="auto" w:sz="4" w:space="0"/>
              <w:left w:val="single" w:color="auto" w:sz="4" w:space="0"/>
              <w:bottom w:val="single" w:color="auto" w:sz="4" w:space="0"/>
              <w:right w:val="nil"/>
            </w:tcBorders>
          </w:tcPr>
          <w:p>
            <w:pPr>
              <w:autoSpaceDE w:val="0"/>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毕业要求10沟通</w:t>
            </w:r>
            <w:r>
              <w:rPr>
                <w:rFonts w:hint="eastAsia" w:ascii="宋体" w:hAnsi="宋体"/>
                <w:color w:val="333333"/>
                <w:sz w:val="18"/>
                <w:szCs w:val="18"/>
                <w:shd w:val="clear" w:color="auto" w:fill="FFFFFF"/>
              </w:rPr>
              <w:t>：能够就复杂工程问题与业界同行及社会公众进行有效沟通和交流，包括撰写报告和设计文稿、陈述发言、清晰表达或回应指令。并具备一定的国际视野，能够在跨文化背景下进行沟通和交流。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40" w:type="pct"/>
            <w:tcBorders>
              <w:top w:val="single" w:color="auto" w:sz="4" w:space="0"/>
              <w:left w:val="nil"/>
              <w:bottom w:val="single" w:color="auto" w:sz="4" w:space="0"/>
              <w:right w:val="single" w:color="auto" w:sz="4" w:space="0"/>
            </w:tcBorders>
            <w:vAlign w:val="center"/>
          </w:tcPr>
          <w:p>
            <w:pPr>
              <w:autoSpaceDE w:val="0"/>
              <w:adjustRightInd w:val="0"/>
              <w:snapToGrid w:val="0"/>
              <w:spacing w:line="360" w:lineRule="auto"/>
              <w:jc w:val="center"/>
              <w:rPr>
                <w:rFonts w:ascii="宋体" w:hAnsi="宋体"/>
                <w:sz w:val="18"/>
                <w:szCs w:val="18"/>
              </w:rPr>
            </w:pPr>
            <w:r>
              <w:rPr>
                <w:rFonts w:hint="eastAsia" w:ascii="宋体" w:hAnsi="宋体"/>
                <w:sz w:val="18"/>
                <w:szCs w:val="18"/>
              </w:rPr>
              <w:t>4</w:t>
            </w:r>
          </w:p>
        </w:tc>
        <w:tc>
          <w:tcPr>
            <w:tcW w:w="1970" w:type="pct"/>
            <w:tcBorders>
              <w:top w:val="single" w:color="auto" w:sz="4" w:space="0"/>
              <w:left w:val="single" w:color="auto" w:sz="4" w:space="0"/>
              <w:bottom w:val="single" w:color="auto" w:sz="4" w:space="0"/>
              <w:right w:val="single" w:color="auto" w:sz="4" w:space="0"/>
            </w:tcBorders>
          </w:tcPr>
          <w:p>
            <w:pPr>
              <w:autoSpaceDE w:val="0"/>
              <w:adjustRightInd w:val="0"/>
              <w:snapToGrid w:val="0"/>
              <w:spacing w:line="360" w:lineRule="auto"/>
              <w:rPr>
                <w:rFonts w:hAnsi="宋体"/>
                <w:sz w:val="18"/>
                <w:szCs w:val="18"/>
              </w:rPr>
            </w:pPr>
            <w:r>
              <w:rPr>
                <w:rFonts w:hint="eastAsia" w:ascii="宋体" w:hAnsi="宋体"/>
                <w:color w:val="000000"/>
                <w:sz w:val="18"/>
                <w:szCs w:val="18"/>
              </w:rPr>
              <w:t>课程目标4：</w:t>
            </w:r>
            <w:r>
              <w:rPr>
                <w:rFonts w:hint="eastAsia"/>
                <w:sz w:val="18"/>
                <w:szCs w:val="18"/>
              </w:rPr>
              <w:t>帮助培养关于西方礼仪的自学与终身学习能力。</w:t>
            </w:r>
          </w:p>
        </w:tc>
        <w:tc>
          <w:tcPr>
            <w:tcW w:w="2691" w:type="pct"/>
            <w:tcBorders>
              <w:top w:val="single" w:color="auto" w:sz="4" w:space="0"/>
              <w:left w:val="single" w:color="auto" w:sz="4" w:space="0"/>
              <w:bottom w:val="single" w:color="auto" w:sz="4" w:space="0"/>
              <w:right w:val="nil"/>
            </w:tcBorders>
          </w:tcPr>
          <w:p>
            <w:pPr>
              <w:autoSpaceDE w:val="0"/>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毕业要求10沟通</w:t>
            </w:r>
            <w:r>
              <w:rPr>
                <w:rFonts w:hint="eastAsia" w:ascii="宋体" w:hAnsi="宋体"/>
                <w:color w:val="333333"/>
                <w:sz w:val="18"/>
                <w:szCs w:val="18"/>
                <w:shd w:val="clear" w:color="auto" w:fill="FFFFFF"/>
              </w:rPr>
              <w:t>：能够就复杂工程问题与业界同行及社会公众进行有效沟通和交流，包括撰写报告和设计文稿、陈述发言、清晰表达或回应指令。并具备一定的国际视野，能够在跨文化背景下进行沟通和交流。</w:t>
            </w:r>
          </w:p>
        </w:tc>
      </w:tr>
    </w:tbl>
    <w:p>
      <w:pPr>
        <w:pStyle w:val="50"/>
        <w:autoSpaceDE w:val="0"/>
        <w:adjustRightInd w:val="0"/>
        <w:snapToGrid w:val="0"/>
        <w:spacing w:line="360" w:lineRule="auto"/>
        <w:ind w:firstLine="0" w:firstLineChars="0"/>
        <w:rPr>
          <w:rFonts w:ascii="黑体" w:eastAsia="黑体"/>
        </w:rPr>
      </w:pPr>
      <w:r>
        <w:rPr>
          <w:rFonts w:hint="eastAsia" w:ascii="黑体" w:hAnsi="黑体" w:eastAsia="黑体"/>
        </w:rPr>
        <w:t>三、教学</w:t>
      </w:r>
      <w:r>
        <w:rPr>
          <w:rFonts w:ascii="黑体" w:hAnsi="黑体" w:eastAsia="黑体"/>
        </w:rPr>
        <w:t>内容及基本要求</w:t>
      </w:r>
    </w:p>
    <w:p>
      <w:pPr>
        <w:pStyle w:val="19"/>
        <w:autoSpaceDE w:val="0"/>
        <w:adjustRightInd w:val="0"/>
        <w:snapToGrid w:val="0"/>
        <w:spacing w:before="0" w:beforeAutospacing="0" w:after="0" w:afterAutospacing="0" w:line="352" w:lineRule="auto"/>
        <w:ind w:firstLine="630" w:firstLineChars="300"/>
        <w:rPr>
          <w:rFonts w:eastAsia="黑体"/>
          <w:sz w:val="21"/>
          <w:szCs w:val="21"/>
        </w:rPr>
      </w:pPr>
      <w:r>
        <w:rPr>
          <w:rFonts w:hint="eastAsia" w:ascii="黑体" w:hAnsi="黑体" w:eastAsia="黑体"/>
          <w:sz w:val="21"/>
          <w:szCs w:val="21"/>
        </w:rPr>
        <w:t>基本要求</w:t>
      </w:r>
      <w:r>
        <w:rPr>
          <w:rFonts w:hint="eastAsia" w:eastAsia="黑体"/>
          <w:sz w:val="21"/>
          <w:szCs w:val="21"/>
        </w:rPr>
        <w:t>:</w:t>
      </w:r>
    </w:p>
    <w:p>
      <w:pPr>
        <w:pStyle w:val="19"/>
        <w:autoSpaceDE w:val="0"/>
        <w:adjustRightInd w:val="0"/>
        <w:snapToGrid w:val="0"/>
        <w:spacing w:before="0" w:beforeAutospacing="0" w:after="0" w:afterAutospacing="0" w:line="352" w:lineRule="auto"/>
        <w:ind w:firstLine="424" w:firstLineChars="177"/>
        <w:rPr>
          <w:sz w:val="22"/>
          <w:szCs w:val="22"/>
        </w:rPr>
      </w:pPr>
      <w:r>
        <w:rPr>
          <w:rFonts w:hint="eastAsia"/>
        </w:rPr>
        <w:t>1、教师通过情境模拟教学，结合经典实例，提高学生对西方礼仪的认知与实践。</w:t>
      </w:r>
    </w:p>
    <w:p>
      <w:pPr>
        <w:pStyle w:val="19"/>
        <w:autoSpaceDE w:val="0"/>
        <w:adjustRightInd w:val="0"/>
        <w:snapToGrid w:val="0"/>
        <w:spacing w:before="0" w:beforeAutospacing="0" w:after="0" w:afterAutospacing="0" w:line="352" w:lineRule="auto"/>
        <w:ind w:firstLine="424" w:firstLineChars="177"/>
      </w:pPr>
      <w:r>
        <w:rPr>
          <w:rFonts w:hint="eastAsia"/>
        </w:rPr>
        <w:t>2、本课程是一门实践性很强的课程，要求学生把所学的内容运用于日常学习与生</w:t>
      </w:r>
    </w:p>
    <w:p>
      <w:pPr>
        <w:pStyle w:val="19"/>
        <w:autoSpaceDE w:val="0"/>
        <w:adjustRightInd w:val="0"/>
        <w:snapToGrid w:val="0"/>
        <w:spacing w:before="0" w:beforeAutospacing="0" w:after="0" w:afterAutospacing="0" w:line="352" w:lineRule="auto"/>
        <w:ind w:firstLine="424" w:firstLineChars="177"/>
        <w:rPr>
          <w:rFonts w:ascii="黑体" w:eastAsia="黑体"/>
        </w:rPr>
      </w:pPr>
      <w:r>
        <w:rPr>
          <w:rFonts w:hint="eastAsia" w:ascii="黑体" w:hAnsi="黑体" w:eastAsia="黑体"/>
        </w:rPr>
        <w:t>课程内容</w:t>
      </w:r>
      <w:r>
        <w:rPr>
          <w:rFonts w:hint="eastAsia" w:ascii="黑体" w:eastAsia="黑体"/>
        </w:rPr>
        <w:t>:</w:t>
      </w:r>
    </w:p>
    <w:p>
      <w:pPr>
        <w:pStyle w:val="19"/>
        <w:autoSpaceDE w:val="0"/>
        <w:adjustRightInd w:val="0"/>
        <w:snapToGrid w:val="0"/>
        <w:spacing w:before="0" w:beforeAutospacing="0" w:after="0" w:afterAutospacing="0" w:line="352" w:lineRule="auto"/>
        <w:ind w:left="1" w:firstLine="424" w:firstLineChars="177"/>
        <w:rPr>
          <w:rFonts w:ascii="黑体" w:eastAsia="黑体"/>
        </w:rPr>
      </w:pPr>
      <w:r>
        <w:rPr>
          <w:rFonts w:hint="eastAsia" w:ascii="黑体" w:eastAsia="黑体"/>
        </w:rPr>
        <w:t>1</w:t>
      </w:r>
      <w:r>
        <w:rPr>
          <w:rFonts w:hint="eastAsia" w:eastAsia="黑体"/>
        </w:rPr>
        <w:t xml:space="preserve"> </w:t>
      </w:r>
      <w:r>
        <w:rPr>
          <w:rFonts w:hint="eastAsia" w:ascii="黑体" w:hAnsi="黑体" w:eastAsia="黑体"/>
        </w:rPr>
        <w:t>西方礼仪概述（</w:t>
      </w:r>
      <w:r>
        <w:rPr>
          <w:rFonts w:hint="eastAsia" w:ascii="黑体" w:eastAsia="黑体"/>
        </w:rPr>
        <w:t>2学时）</w:t>
      </w:r>
    </w:p>
    <w:p>
      <w:pPr>
        <w:pStyle w:val="19"/>
        <w:autoSpaceDE w:val="0"/>
        <w:adjustRightInd w:val="0"/>
        <w:snapToGrid w:val="0"/>
        <w:spacing w:before="0" w:beforeAutospacing="0" w:after="0" w:afterAutospacing="0" w:line="352" w:lineRule="auto"/>
        <w:ind w:left="1" w:firstLine="424" w:firstLineChars="177"/>
      </w:pPr>
      <w:r>
        <w:rPr>
          <w:rFonts w:hint="eastAsia"/>
        </w:rPr>
        <w:t>1.1本课程在专业课程体系中的地位和作用介绍；</w:t>
      </w:r>
    </w:p>
    <w:p>
      <w:pPr>
        <w:widowControl/>
        <w:autoSpaceDE w:val="0"/>
        <w:adjustRightInd w:val="0"/>
        <w:snapToGrid w:val="0"/>
        <w:spacing w:line="360" w:lineRule="auto"/>
        <w:ind w:firstLine="420"/>
        <w:jc w:val="left"/>
        <w:rPr>
          <w:rFonts w:ascii="宋体" w:hAnsi="宋体"/>
          <w:kern w:val="0"/>
        </w:rPr>
      </w:pPr>
      <w:r>
        <w:rPr>
          <w:rFonts w:hint="eastAsia" w:ascii="宋体" w:hAnsi="宋体"/>
          <w:kern w:val="0"/>
        </w:rPr>
        <w:t>1.2课程内容、学习方法、讲授方式、评价方式介绍；</w:t>
      </w:r>
    </w:p>
    <w:p>
      <w:pPr>
        <w:widowControl/>
        <w:autoSpaceDE w:val="0"/>
        <w:adjustRightInd w:val="0"/>
        <w:snapToGrid w:val="0"/>
        <w:spacing w:line="360" w:lineRule="auto"/>
        <w:ind w:firstLine="420"/>
        <w:jc w:val="left"/>
        <w:rPr>
          <w:rFonts w:ascii="宋体" w:hAnsi="宋体"/>
          <w:kern w:val="0"/>
        </w:rPr>
      </w:pPr>
      <w:r>
        <w:rPr>
          <w:rFonts w:hint="eastAsia" w:ascii="宋体" w:hAnsi="宋体"/>
          <w:kern w:val="0"/>
        </w:rPr>
        <w:t>1.3西方礼仪源起以及在现代商务中的重要作用。</w:t>
      </w:r>
    </w:p>
    <w:p>
      <w:pPr>
        <w:widowControl/>
        <w:autoSpaceDE w:val="0"/>
        <w:adjustRightInd w:val="0"/>
        <w:snapToGrid w:val="0"/>
        <w:spacing w:line="360" w:lineRule="auto"/>
        <w:ind w:firstLine="420"/>
        <w:jc w:val="left"/>
        <w:rPr>
          <w:rFonts w:ascii="宋体" w:hAnsi="宋体"/>
          <w:kern w:val="0"/>
        </w:rPr>
      </w:pPr>
      <w:r>
        <w:rPr>
          <w:rFonts w:hint="eastAsia" w:ascii="宋体" w:hAnsi="宋体"/>
          <w:color w:val="000000"/>
        </w:rPr>
        <w:t>本章节内容支撑课程目标</w:t>
      </w:r>
      <w:r>
        <w:rPr>
          <w:rFonts w:hint="eastAsia"/>
          <w:color w:val="000000"/>
        </w:rPr>
        <w:t xml:space="preserve"> 1</w:t>
      </w:r>
      <w:r>
        <w:rPr>
          <w:rFonts w:hint="eastAsia" w:ascii="宋体" w:hAnsi="宋体"/>
          <w:color w:val="000000"/>
        </w:rPr>
        <w:t>。</w:t>
      </w:r>
    </w:p>
    <w:p>
      <w:pPr>
        <w:widowControl/>
        <w:autoSpaceDE w:val="0"/>
        <w:adjustRightInd w:val="0"/>
        <w:snapToGrid w:val="0"/>
        <w:spacing w:line="360" w:lineRule="auto"/>
        <w:ind w:firstLine="420"/>
        <w:jc w:val="left"/>
        <w:rPr>
          <w:rFonts w:ascii="黑体" w:hAnsi="宋体" w:eastAsia="黑体" w:cs="宋体"/>
          <w:kern w:val="0"/>
        </w:rPr>
      </w:pPr>
      <w:r>
        <w:rPr>
          <w:rFonts w:hint="eastAsia" w:ascii="黑体" w:hAnsi="宋体" w:eastAsia="黑体" w:cs="宋体"/>
          <w:kern w:val="0"/>
        </w:rPr>
        <w:t>2</w:t>
      </w:r>
      <w:r>
        <w:rPr>
          <w:rFonts w:hint="eastAsia" w:eastAsia="黑体"/>
          <w:kern w:val="0"/>
        </w:rPr>
        <w:t xml:space="preserve">   </w:t>
      </w:r>
      <w:r>
        <w:rPr>
          <w:rFonts w:hint="eastAsia" w:ascii="黑体" w:hAnsi="黑体" w:eastAsia="黑体" w:cs="宋体"/>
          <w:kern w:val="0"/>
        </w:rPr>
        <w:t>西方个人礼仪（</w:t>
      </w:r>
      <w:r>
        <w:rPr>
          <w:rFonts w:hint="eastAsia" w:ascii="黑体" w:hAnsi="宋体" w:eastAsia="黑体" w:cs="宋体"/>
          <w:kern w:val="0"/>
        </w:rPr>
        <w:t>2学时）</w:t>
      </w:r>
    </w:p>
    <w:p>
      <w:pPr>
        <w:widowControl/>
        <w:autoSpaceDE w:val="0"/>
        <w:adjustRightInd w:val="0"/>
        <w:snapToGrid w:val="0"/>
        <w:spacing w:line="360" w:lineRule="auto"/>
        <w:ind w:firstLine="420" w:firstLineChars="200"/>
        <w:jc w:val="left"/>
        <w:rPr>
          <w:rFonts w:ascii="宋体" w:hAnsi="宋体"/>
          <w:kern w:val="0"/>
        </w:rPr>
      </w:pPr>
      <w:r>
        <w:rPr>
          <w:rFonts w:hint="eastAsia" w:ascii="宋体" w:hAnsi="宋体"/>
          <w:kern w:val="0"/>
        </w:rPr>
        <w:t>2.1掌握西方仪容礼仪要求；</w:t>
      </w:r>
    </w:p>
    <w:p>
      <w:pPr>
        <w:widowControl/>
        <w:autoSpaceDE w:val="0"/>
        <w:adjustRightInd w:val="0"/>
        <w:snapToGrid w:val="0"/>
        <w:spacing w:line="360" w:lineRule="auto"/>
        <w:ind w:firstLine="420" w:firstLineChars="200"/>
        <w:jc w:val="left"/>
        <w:rPr>
          <w:rFonts w:ascii="宋体" w:hAnsi="宋体"/>
          <w:kern w:val="0"/>
        </w:rPr>
      </w:pPr>
      <w:r>
        <w:rPr>
          <w:rFonts w:hint="eastAsia" w:ascii="宋体" w:hAnsi="宋体"/>
          <w:kern w:val="0"/>
        </w:rPr>
        <w:t>2.2 熟练掌握西方举止礼仪要求；（重点）</w:t>
      </w:r>
    </w:p>
    <w:p>
      <w:pPr>
        <w:autoSpaceDE w:val="0"/>
        <w:adjustRightInd w:val="0"/>
        <w:snapToGrid w:val="0"/>
        <w:spacing w:line="360" w:lineRule="auto"/>
        <w:ind w:firstLine="420" w:firstLineChars="200"/>
        <w:jc w:val="left"/>
        <w:rPr>
          <w:rFonts w:ascii="宋体" w:hAnsi="宋体"/>
          <w:kern w:val="0"/>
        </w:rPr>
      </w:pPr>
      <w:r>
        <w:rPr>
          <w:rFonts w:hint="eastAsia" w:ascii="宋体" w:hAnsi="宋体"/>
          <w:kern w:val="0"/>
        </w:rPr>
        <w:t>2.3 了解西方服饰礼仪要求。</w:t>
      </w:r>
    </w:p>
    <w:p>
      <w:pPr>
        <w:autoSpaceDE w:val="0"/>
        <w:adjustRightInd w:val="0"/>
        <w:snapToGrid w:val="0"/>
        <w:spacing w:line="360"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2</w:t>
      </w:r>
      <w:r>
        <w:rPr>
          <w:rFonts w:hint="eastAsia" w:ascii="宋体" w:hAnsi="宋体"/>
          <w:color w:val="000000"/>
        </w:rPr>
        <w:t>。</w:t>
      </w:r>
    </w:p>
    <w:p>
      <w:pPr>
        <w:autoSpaceDE w:val="0"/>
        <w:adjustRightInd w:val="0"/>
        <w:snapToGrid w:val="0"/>
        <w:spacing w:line="360" w:lineRule="auto"/>
        <w:ind w:firstLine="420" w:firstLineChars="200"/>
        <w:jc w:val="left"/>
      </w:pPr>
      <w:r>
        <w:rPr>
          <w:rFonts w:hint="eastAsia" w:eastAsia="黑体"/>
        </w:rPr>
        <w:t xml:space="preserve">3 </w:t>
      </w:r>
      <w:r>
        <w:rPr>
          <w:rFonts w:hint="eastAsia" w:ascii="黑体" w:hAnsi="黑体" w:eastAsia="黑体" w:cs="宋体"/>
          <w:kern w:val="0"/>
        </w:rPr>
        <w:t>西方公共礼仪（</w:t>
      </w:r>
      <w:r>
        <w:rPr>
          <w:rFonts w:hint="eastAsia" w:ascii="黑体" w:hAnsi="宋体" w:eastAsia="黑体" w:cs="宋体"/>
          <w:kern w:val="0"/>
        </w:rPr>
        <w:t>2学时）</w:t>
      </w:r>
    </w:p>
    <w:p>
      <w:pPr>
        <w:autoSpaceDE w:val="0"/>
        <w:adjustRightInd w:val="0"/>
        <w:snapToGrid w:val="0"/>
        <w:spacing w:line="352" w:lineRule="auto"/>
        <w:ind w:firstLine="420" w:firstLineChars="200"/>
        <w:jc w:val="left"/>
        <w:rPr>
          <w:rFonts w:ascii="宋体" w:hAnsi="宋体"/>
          <w:kern w:val="0"/>
        </w:rPr>
      </w:pPr>
      <w:r>
        <w:rPr>
          <w:rFonts w:hint="eastAsia" w:ascii="宋体" w:hAnsi="宋体"/>
          <w:kern w:val="0"/>
        </w:rPr>
        <w:t>3.1了解西方行路礼仪；</w:t>
      </w:r>
    </w:p>
    <w:p>
      <w:pPr>
        <w:autoSpaceDE w:val="0"/>
        <w:adjustRightInd w:val="0"/>
        <w:snapToGrid w:val="0"/>
        <w:spacing w:line="352" w:lineRule="auto"/>
        <w:ind w:firstLine="420" w:firstLineChars="200"/>
        <w:jc w:val="left"/>
      </w:pPr>
      <w:r>
        <w:rPr>
          <w:rFonts w:hint="eastAsia" w:ascii="宋体" w:hAnsi="宋体"/>
        </w:rPr>
        <w:t>3.2掌握</w:t>
      </w:r>
      <w:r>
        <w:rPr>
          <w:rFonts w:hint="eastAsia" w:ascii="宋体" w:hAnsi="宋体"/>
          <w:kern w:val="0"/>
        </w:rPr>
        <w:t>西方交通礼仪；</w:t>
      </w:r>
    </w:p>
    <w:p>
      <w:pPr>
        <w:autoSpaceDE w:val="0"/>
        <w:adjustRightInd w:val="0"/>
        <w:snapToGrid w:val="0"/>
        <w:spacing w:line="352" w:lineRule="auto"/>
        <w:ind w:firstLine="420" w:firstLineChars="200"/>
        <w:jc w:val="left"/>
        <w:rPr>
          <w:rFonts w:ascii="宋体" w:hAnsi="宋体"/>
          <w:kern w:val="0"/>
        </w:rPr>
      </w:pPr>
      <w:r>
        <w:rPr>
          <w:rFonts w:hint="eastAsia" w:ascii="宋体" w:hAnsi="宋体"/>
        </w:rPr>
        <w:t>3.3熟练掌握</w:t>
      </w:r>
      <w:r>
        <w:rPr>
          <w:rFonts w:hint="eastAsia" w:ascii="宋体" w:hAnsi="宋体"/>
          <w:kern w:val="0"/>
        </w:rPr>
        <w:t>西方公共场所礼仪。</w:t>
      </w:r>
    </w:p>
    <w:p>
      <w:pPr>
        <w:autoSpaceDE w:val="0"/>
        <w:adjustRightInd w:val="0"/>
        <w:snapToGrid w:val="0"/>
        <w:spacing w:line="352"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2</w:t>
      </w:r>
      <w:r>
        <w:rPr>
          <w:rFonts w:hint="eastAsia" w:ascii="宋体" w:hAnsi="宋体"/>
          <w:color w:val="000000"/>
        </w:rPr>
        <w:t>。</w:t>
      </w:r>
    </w:p>
    <w:p>
      <w:pPr>
        <w:autoSpaceDE w:val="0"/>
        <w:adjustRightInd w:val="0"/>
        <w:snapToGrid w:val="0"/>
        <w:spacing w:line="352" w:lineRule="auto"/>
        <w:ind w:firstLine="420" w:firstLineChars="200"/>
        <w:jc w:val="left"/>
      </w:pPr>
      <w:r>
        <w:rPr>
          <w:rFonts w:hint="eastAsia" w:eastAsia="黑体"/>
        </w:rPr>
        <w:t xml:space="preserve">4 </w:t>
      </w:r>
      <w:r>
        <w:rPr>
          <w:rFonts w:hint="eastAsia" w:ascii="黑体" w:hAnsi="黑体" w:eastAsia="黑体" w:cs="宋体"/>
          <w:kern w:val="0"/>
        </w:rPr>
        <w:t>西方社交与应酬礼仪（</w:t>
      </w:r>
      <w:r>
        <w:rPr>
          <w:rFonts w:hint="eastAsia" w:ascii="黑体" w:hAnsi="宋体" w:eastAsia="黑体" w:cs="宋体"/>
          <w:kern w:val="0"/>
        </w:rPr>
        <w:t>4</w:t>
      </w:r>
      <w:r>
        <w:rPr>
          <w:rFonts w:hint="eastAsia" w:ascii="黑体" w:hAnsi="黑体" w:eastAsia="黑体" w:cs="宋体"/>
          <w:kern w:val="0"/>
        </w:rPr>
        <w:t>学时）</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4.1熟练见面礼仪；</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4.2熟练掌握名片运用礼仪；</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4.3熟练掌握称呼礼仪；</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4.4熟练掌握餐桌礼仪；</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4.5熟练掌握接待礼仪；</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4.6 熟练掌握西方社交中男士的注意事项。（重点）</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3</w:t>
      </w:r>
      <w:r>
        <w:rPr>
          <w:rFonts w:hint="eastAsia" w:ascii="宋体" w:hAnsi="宋体"/>
          <w:color w:val="000000"/>
        </w:rPr>
        <w:t>。</w:t>
      </w:r>
    </w:p>
    <w:p>
      <w:pPr>
        <w:widowControl/>
        <w:autoSpaceDE w:val="0"/>
        <w:adjustRightInd w:val="0"/>
        <w:snapToGrid w:val="0"/>
        <w:spacing w:line="352" w:lineRule="auto"/>
        <w:ind w:firstLine="420" w:firstLineChars="200"/>
        <w:jc w:val="left"/>
        <w:rPr>
          <w:rFonts w:ascii="黑体" w:hAnsi="宋体" w:eastAsia="黑体"/>
          <w:kern w:val="0"/>
        </w:rPr>
      </w:pPr>
      <w:r>
        <w:rPr>
          <w:rFonts w:hint="eastAsia" w:ascii="黑体" w:hAnsi="宋体" w:eastAsia="黑体"/>
          <w:kern w:val="0"/>
        </w:rPr>
        <w:t>5 沟通概述</w:t>
      </w:r>
      <w:r>
        <w:rPr>
          <w:rFonts w:hint="eastAsia" w:ascii="黑体" w:hAnsi="黑体" w:eastAsia="黑体" w:cs="宋体"/>
          <w:kern w:val="0"/>
        </w:rPr>
        <w:t>（</w:t>
      </w:r>
      <w:r>
        <w:rPr>
          <w:rFonts w:hint="eastAsia" w:ascii="黑体" w:hAnsi="宋体" w:eastAsia="黑体" w:cs="宋体"/>
          <w:kern w:val="0"/>
        </w:rPr>
        <w:t>2学时）</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5.1了解沟通的基础知识；</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5.2掌握沟通原理。</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3</w:t>
      </w:r>
      <w:r>
        <w:rPr>
          <w:rFonts w:hint="eastAsia" w:ascii="宋体" w:hAnsi="宋体"/>
          <w:color w:val="000000"/>
        </w:rPr>
        <w:t>。</w:t>
      </w:r>
    </w:p>
    <w:p>
      <w:pPr>
        <w:widowControl/>
        <w:autoSpaceDE w:val="0"/>
        <w:adjustRightInd w:val="0"/>
        <w:snapToGrid w:val="0"/>
        <w:spacing w:line="352" w:lineRule="auto"/>
        <w:ind w:firstLine="420" w:firstLineChars="200"/>
        <w:jc w:val="left"/>
        <w:rPr>
          <w:rFonts w:ascii="黑体" w:hAnsi="宋体" w:eastAsia="黑体"/>
          <w:kern w:val="0"/>
        </w:rPr>
      </w:pPr>
      <w:r>
        <w:rPr>
          <w:rFonts w:hint="eastAsia" w:ascii="黑体" w:hAnsi="宋体" w:eastAsia="黑体"/>
          <w:kern w:val="0"/>
        </w:rPr>
        <w:t>6非语言沟通技巧</w:t>
      </w:r>
      <w:r>
        <w:rPr>
          <w:rFonts w:hint="eastAsia" w:ascii="黑体" w:hAnsi="黑体" w:eastAsia="黑体" w:cs="宋体"/>
          <w:kern w:val="0"/>
        </w:rPr>
        <w:t>（</w:t>
      </w:r>
      <w:r>
        <w:rPr>
          <w:rFonts w:hint="eastAsia" w:ascii="黑体" w:hAnsi="宋体" w:eastAsia="黑体" w:cs="宋体"/>
          <w:kern w:val="0"/>
        </w:rPr>
        <w:t>2学时）</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6.1了解非语言沟通的重要性；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6.2掌握体态语言和面部表情的沟通技巧；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6.3 掌握副语言沟通技巧。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3</w:t>
      </w:r>
      <w:r>
        <w:rPr>
          <w:rFonts w:hint="eastAsia" w:ascii="宋体" w:hAnsi="宋体"/>
          <w:color w:val="000000"/>
        </w:rPr>
        <w:t>。</w:t>
      </w:r>
    </w:p>
    <w:p>
      <w:pPr>
        <w:widowControl/>
        <w:autoSpaceDE w:val="0"/>
        <w:adjustRightInd w:val="0"/>
        <w:snapToGrid w:val="0"/>
        <w:spacing w:line="352" w:lineRule="auto"/>
        <w:ind w:firstLine="420" w:firstLineChars="200"/>
        <w:jc w:val="left"/>
        <w:rPr>
          <w:rFonts w:ascii="黑体" w:hAnsi="宋体" w:eastAsia="黑体"/>
          <w:kern w:val="0"/>
        </w:rPr>
      </w:pPr>
      <w:r>
        <w:rPr>
          <w:rFonts w:hint="eastAsia" w:ascii="黑体" w:hAnsi="宋体" w:eastAsia="黑体"/>
          <w:kern w:val="0"/>
        </w:rPr>
        <w:t xml:space="preserve">7 </w:t>
      </w:r>
      <w:r>
        <w:rPr>
          <w:rFonts w:hint="eastAsia" w:ascii="黑体" w:hAnsi="黑体" w:eastAsia="黑体" w:cs="宋体"/>
          <w:kern w:val="0"/>
        </w:rPr>
        <w:t>语言沟通技巧（</w:t>
      </w:r>
      <w:r>
        <w:rPr>
          <w:rFonts w:hint="eastAsia" w:ascii="黑体" w:hAnsi="宋体" w:eastAsia="黑体" w:cs="宋体"/>
          <w:kern w:val="0"/>
        </w:rPr>
        <w:t>2学时）</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7.1熟练掌握陈述的技巧；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7.2 掌握答问的技巧；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7.3 掌握问话的技巧；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kern w:val="0"/>
        </w:rPr>
        <w:t>7.4 熟练掌握倾听的技巧。</w:t>
      </w:r>
    </w:p>
    <w:p>
      <w:pPr>
        <w:widowControl/>
        <w:autoSpaceDE w:val="0"/>
        <w:adjustRightInd w:val="0"/>
        <w:snapToGrid w:val="0"/>
        <w:spacing w:line="352" w:lineRule="auto"/>
        <w:ind w:firstLine="420" w:firstLineChars="200"/>
        <w:jc w:val="left"/>
        <w:rPr>
          <w:rFonts w:ascii="宋体" w:hAnsi="宋体"/>
          <w:kern w:val="0"/>
        </w:rPr>
      </w:pPr>
      <w:r>
        <w:rPr>
          <w:rFonts w:hint="eastAsia" w:ascii="宋体" w:hAnsi="宋体"/>
          <w:color w:val="000000"/>
        </w:rPr>
        <w:t>本章节内容支撑课程目标</w:t>
      </w:r>
      <w:r>
        <w:rPr>
          <w:rFonts w:hint="eastAsia"/>
          <w:color w:val="000000"/>
        </w:rPr>
        <w:t xml:space="preserve"> 4</w:t>
      </w:r>
      <w:r>
        <w:rPr>
          <w:rFonts w:hint="eastAsia" w:ascii="宋体" w:hAnsi="宋体"/>
          <w:color w:val="000000"/>
        </w:rPr>
        <w:t>。</w:t>
      </w:r>
    </w:p>
    <w:p>
      <w:pPr>
        <w:adjustRightInd w:val="0"/>
        <w:snapToGrid w:val="0"/>
        <w:spacing w:line="352" w:lineRule="auto"/>
        <w:ind w:left="420" w:hanging="420"/>
        <w:rPr>
          <w:rFonts w:eastAsia="黑体"/>
        </w:rPr>
      </w:pPr>
      <w:r>
        <w:rPr>
          <w:rFonts w:hint="eastAsia" w:ascii="黑体" w:hAnsi="黑体" w:eastAsia="黑体"/>
        </w:rPr>
        <w:t>四、实验教学内容</w:t>
      </w:r>
    </w:p>
    <w:p>
      <w:pPr>
        <w:adjustRightInd w:val="0"/>
        <w:snapToGrid w:val="0"/>
        <w:spacing w:line="352" w:lineRule="auto"/>
        <w:ind w:left="420" w:hanging="420"/>
        <w:rPr>
          <w:rFonts w:eastAsia="黑体"/>
        </w:rPr>
      </w:pPr>
      <w:r>
        <w:rPr>
          <w:rFonts w:hint="eastAsia" w:eastAsia="黑体"/>
        </w:rPr>
        <w:t xml:space="preserve">    </w:t>
      </w:r>
      <w:r>
        <w:rPr>
          <w:rFonts w:hint="eastAsia" w:ascii="宋体" w:hAnsi="宋体"/>
        </w:rPr>
        <w:t>无</w:t>
      </w:r>
    </w:p>
    <w:p>
      <w:pPr>
        <w:adjustRightInd w:val="0"/>
        <w:snapToGrid w:val="0"/>
        <w:spacing w:line="352" w:lineRule="auto"/>
        <w:ind w:left="420" w:hanging="420"/>
        <w:rPr>
          <w:rFonts w:ascii="黑体" w:hAnsi="宋体" w:eastAsia="黑体" w:cs="宋体"/>
          <w:kern w:val="0"/>
        </w:rPr>
      </w:pPr>
      <w:r>
        <w:rPr>
          <w:rFonts w:hint="eastAsia" w:ascii="黑体" w:hAnsi="黑体" w:eastAsia="黑体"/>
        </w:rPr>
        <w:t>五、</w:t>
      </w:r>
      <w:r>
        <w:rPr>
          <w:rFonts w:hint="eastAsia" w:ascii="黑体" w:hAnsi="黑体" w:eastAsia="黑体" w:cs="宋体"/>
          <w:kern w:val="0"/>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8"/>
        <w:gridCol w:w="1821"/>
        <w:gridCol w:w="1631"/>
        <w:gridCol w:w="13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章节名称</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讲授（学时）</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实验（学时）</w:t>
            </w: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rFonts w:ascii="宋体" w:hAnsi="宋体"/>
                <w:sz w:val="18"/>
                <w:szCs w:val="18"/>
              </w:rPr>
            </w:pPr>
            <w:r>
              <w:rPr>
                <w:rFonts w:hint="eastAsia" w:ascii="宋体" w:hAnsi="宋体"/>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1 </w:t>
            </w:r>
            <w:r>
              <w:rPr>
                <w:rFonts w:ascii="宋体" w:hAnsi="宋体"/>
                <w:sz w:val="18"/>
                <w:szCs w:val="18"/>
              </w:rPr>
              <w:t>西方礼仪概述</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397"/>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2 </w:t>
            </w:r>
            <w:r>
              <w:rPr>
                <w:rFonts w:ascii="宋体" w:hAnsi="宋体"/>
                <w:sz w:val="18"/>
                <w:szCs w:val="18"/>
              </w:rPr>
              <w:t>西方个人礼仪</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3 </w:t>
            </w:r>
            <w:r>
              <w:rPr>
                <w:rFonts w:ascii="宋体" w:hAnsi="宋体"/>
                <w:sz w:val="18"/>
                <w:szCs w:val="18"/>
              </w:rPr>
              <w:t>西方公共礼仪</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4 </w:t>
            </w:r>
            <w:r>
              <w:rPr>
                <w:rFonts w:ascii="宋体" w:hAnsi="宋体"/>
                <w:sz w:val="18"/>
                <w:szCs w:val="18"/>
              </w:rPr>
              <w:t>西方社交与应酬礼仪</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4</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5 </w:t>
            </w:r>
            <w:r>
              <w:rPr>
                <w:rFonts w:ascii="宋体" w:hAnsi="宋体"/>
                <w:sz w:val="18"/>
                <w:szCs w:val="18"/>
              </w:rPr>
              <w:t>沟通技巧概述</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6 </w:t>
            </w:r>
            <w:r>
              <w:rPr>
                <w:rFonts w:ascii="宋体" w:hAnsi="宋体"/>
                <w:sz w:val="18"/>
                <w:szCs w:val="18"/>
              </w:rPr>
              <w:t>非语言沟技巧</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utoSpaceDE w:val="0"/>
              <w:adjustRightInd w:val="0"/>
              <w:snapToGrid w:val="0"/>
              <w:ind w:firstLine="270" w:firstLineChars="150"/>
              <w:rPr>
                <w:sz w:val="18"/>
                <w:szCs w:val="18"/>
              </w:rPr>
            </w:pPr>
            <w:r>
              <w:rPr>
                <w:sz w:val="18"/>
                <w:szCs w:val="18"/>
              </w:rPr>
              <w:t xml:space="preserve">7 </w:t>
            </w:r>
            <w:r>
              <w:rPr>
                <w:rFonts w:ascii="宋体" w:hAnsi="宋体"/>
                <w:sz w:val="18"/>
                <w:szCs w:val="18"/>
              </w:rPr>
              <w:t>语言沟通技巧</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2</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117" w:type="pct"/>
            <w:tcBorders>
              <w:top w:val="single" w:color="auto" w:sz="4" w:space="0"/>
              <w:left w:val="nil"/>
              <w:bottom w:val="single" w:color="auto" w:sz="4" w:space="0"/>
              <w:right w:val="single" w:color="auto" w:sz="4" w:space="0"/>
            </w:tcBorders>
            <w:vAlign w:val="center"/>
          </w:tcPr>
          <w:p>
            <w:pPr>
              <w:adjustRightInd w:val="0"/>
              <w:snapToGrid w:val="0"/>
              <w:jc w:val="center"/>
              <w:rPr>
                <w:rFonts w:ascii="宋体" w:hAnsi="宋体"/>
                <w:sz w:val="18"/>
                <w:szCs w:val="18"/>
              </w:rPr>
            </w:pPr>
            <w:r>
              <w:rPr>
                <w:rFonts w:hint="eastAsia" w:ascii="宋体" w:hAnsi="宋体"/>
                <w:sz w:val="18"/>
                <w:szCs w:val="18"/>
              </w:rPr>
              <w:t>小计</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16</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rPr>
                <w:sz w:val="18"/>
                <w:szCs w:val="18"/>
              </w:rPr>
            </w:pPr>
          </w:p>
        </w:tc>
        <w:tc>
          <w:tcPr>
            <w:tcW w:w="803" w:type="pct"/>
            <w:tcBorders>
              <w:top w:val="single" w:color="auto" w:sz="4" w:space="0"/>
              <w:left w:val="single" w:color="auto" w:sz="4" w:space="0"/>
              <w:bottom w:val="single" w:color="auto" w:sz="4" w:space="0"/>
              <w:right w:val="nil"/>
            </w:tcBorders>
            <w:vAlign w:val="center"/>
          </w:tcPr>
          <w:p>
            <w:pPr>
              <w:adjustRightInd w:val="0"/>
              <w:snapToGrid w:val="0"/>
              <w:rPr>
                <w:sz w:val="18"/>
                <w:szCs w:val="18"/>
              </w:rPr>
            </w:pPr>
            <w:r>
              <w:rPr>
                <w:sz w:val="18"/>
                <w:szCs w:val="18"/>
              </w:rPr>
              <w:t xml:space="preserve">     16</w:t>
            </w:r>
          </w:p>
        </w:tc>
      </w:tr>
    </w:tbl>
    <w:p>
      <w:pPr>
        <w:spacing w:line="360" w:lineRule="auto"/>
        <w:ind w:left="420" w:hanging="420"/>
        <w:rPr>
          <w:color w:val="0000FF"/>
          <w:szCs w:val="21"/>
        </w:rPr>
      </w:pPr>
      <w:r>
        <w:rPr>
          <w:rFonts w:hint="eastAsia" w:ascii="黑体" w:hAnsi="黑体" w:eastAsia="黑体"/>
        </w:rPr>
        <w:t>六、教材、补充教材及参考资料</w:t>
      </w:r>
    </w:p>
    <w:p>
      <w:pPr>
        <w:adjustRightInd w:val="0"/>
        <w:snapToGrid w:val="0"/>
        <w:spacing w:line="360" w:lineRule="auto"/>
      </w:pPr>
      <w:r>
        <w:rPr>
          <w:rFonts w:hint="eastAsia"/>
        </w:rPr>
        <w:tab/>
      </w:r>
      <w:r>
        <w:rPr>
          <w:rFonts w:hint="eastAsia"/>
        </w:rPr>
        <w:t xml:space="preserve">[1] </w:t>
      </w:r>
      <w:r>
        <w:rPr>
          <w:rFonts w:hint="eastAsia" w:ascii="宋体" w:hAnsi="宋体"/>
        </w:rPr>
        <w:t>饶雪玲</w:t>
      </w:r>
      <w:r>
        <w:rPr>
          <w:rFonts w:hint="eastAsia"/>
        </w:rPr>
        <w:t xml:space="preserve">. </w:t>
      </w:r>
      <w:r>
        <w:rPr>
          <w:rFonts w:hint="eastAsia" w:ascii="宋体" w:hAnsi="宋体"/>
        </w:rPr>
        <w:t>商务礼仪实务</w:t>
      </w:r>
      <w:r>
        <w:rPr>
          <w:rFonts w:hint="eastAsia"/>
        </w:rPr>
        <w:t>[M]</w:t>
      </w:r>
      <w:r>
        <w:rPr>
          <w:rFonts w:hint="eastAsia" w:ascii="宋体" w:hAnsi="宋体"/>
        </w:rPr>
        <w:t>.清化大学出版社，</w:t>
      </w:r>
      <w:r>
        <w:rPr>
          <w:rFonts w:hint="eastAsia"/>
        </w:rPr>
        <w:t>2018</w:t>
      </w:r>
      <w:r>
        <w:rPr>
          <w:rFonts w:hint="eastAsia" w:ascii="宋体" w:hAnsi="宋体"/>
        </w:rPr>
        <w:t>.</w:t>
      </w:r>
    </w:p>
    <w:p>
      <w:pPr>
        <w:adjustRightInd w:val="0"/>
        <w:snapToGrid w:val="0"/>
        <w:spacing w:line="360" w:lineRule="auto"/>
      </w:pPr>
      <w:r>
        <w:rPr>
          <w:rFonts w:hint="eastAsia"/>
        </w:rPr>
        <w:tab/>
      </w:r>
      <w:r>
        <w:rPr>
          <w:rFonts w:hint="eastAsia"/>
        </w:rPr>
        <w:t xml:space="preserve">[2] </w:t>
      </w:r>
      <w:r>
        <w:rPr>
          <w:rFonts w:hint="eastAsia" w:ascii="宋体" w:hAnsi="宋体"/>
        </w:rPr>
        <w:t>范冰.西方社会礼仪与文化</w:t>
      </w:r>
      <w:r>
        <w:rPr>
          <w:rFonts w:hint="eastAsia"/>
        </w:rPr>
        <w:t>[M]</w:t>
      </w:r>
      <w:r>
        <w:rPr>
          <w:rFonts w:hint="eastAsia" w:ascii="宋体" w:hAnsi="宋体"/>
        </w:rPr>
        <w:t>.浙江大学出版社，</w:t>
      </w:r>
      <w:r>
        <w:rPr>
          <w:rFonts w:hint="eastAsia"/>
        </w:rPr>
        <w:t>2014</w:t>
      </w:r>
      <w:r>
        <w:rPr>
          <w:rFonts w:hint="eastAsia" w:ascii="宋体" w:hAnsi="宋体"/>
        </w:rPr>
        <w:t>.</w:t>
      </w:r>
    </w:p>
    <w:p>
      <w:pPr>
        <w:adjustRightInd w:val="0"/>
        <w:snapToGrid w:val="0"/>
        <w:spacing w:line="360" w:lineRule="auto"/>
      </w:pPr>
      <w:r>
        <w:rPr>
          <w:rFonts w:hint="eastAsia"/>
        </w:rPr>
        <w:tab/>
      </w:r>
      <w:r>
        <w:rPr>
          <w:rFonts w:hint="eastAsia"/>
        </w:rPr>
        <w:t xml:space="preserve">[3] </w:t>
      </w:r>
      <w:r>
        <w:fldChar w:fldCharType="begin"/>
      </w:r>
      <w:r>
        <w:instrText xml:space="preserve"> HYPERLINK "https://book.jd.com/writer/%E5%AD%99%E9%87%91%E6%98%8E_1.html" </w:instrText>
      </w:r>
      <w:r>
        <w:fldChar w:fldCharType="separate"/>
      </w:r>
      <w:r>
        <w:rPr>
          <w:rStyle w:val="27"/>
          <w:rFonts w:ascii="宋体" w:hAnsi="宋体"/>
        </w:rPr>
        <w:t>孙金明</w:t>
      </w:r>
      <w:r>
        <w:rPr>
          <w:rStyle w:val="27"/>
          <w:rFonts w:ascii="宋体" w:hAnsi="宋体"/>
        </w:rPr>
        <w:fldChar w:fldCharType="end"/>
      </w:r>
      <w:r>
        <w:rPr>
          <w:rFonts w:ascii="宋体" w:hAnsi="宋体"/>
        </w:rPr>
        <w:t>，</w:t>
      </w:r>
      <w:r>
        <w:fldChar w:fldCharType="begin"/>
      </w:r>
      <w:r>
        <w:instrText xml:space="preserve"> HYPERLINK "https://book.jd.com/writer/%E7%8E%8B%E6%98%A5%E5%87%A4_1.html" </w:instrText>
      </w:r>
      <w:r>
        <w:fldChar w:fldCharType="separate"/>
      </w:r>
      <w:r>
        <w:rPr>
          <w:rStyle w:val="27"/>
          <w:rFonts w:ascii="宋体" w:hAnsi="宋体"/>
        </w:rPr>
        <w:t>王春凤</w:t>
      </w:r>
      <w:r>
        <w:rPr>
          <w:rStyle w:val="27"/>
          <w:rFonts w:ascii="宋体" w:hAnsi="宋体"/>
        </w:rPr>
        <w:fldChar w:fldCharType="end"/>
      </w:r>
      <w:r>
        <w:rPr>
          <w:rFonts w:hint="eastAsia" w:ascii="宋体" w:hAnsi="宋体"/>
        </w:rPr>
        <w:t>.</w:t>
      </w:r>
      <w:r>
        <w:rPr>
          <w:rFonts w:ascii="宋体" w:hAnsi="宋体"/>
        </w:rPr>
        <w:t>商务礼仪实务（附微课视频）</w:t>
      </w:r>
      <w:r>
        <w:rPr>
          <w:rFonts w:hint="eastAsia"/>
        </w:rPr>
        <w:t>[M]</w:t>
      </w:r>
      <w:r>
        <w:rPr>
          <w:rFonts w:hint="eastAsia" w:ascii="宋体" w:hAnsi="宋体"/>
        </w:rPr>
        <w:t>.人民邮电出版社，2017.</w:t>
      </w:r>
    </w:p>
    <w:p>
      <w:pPr>
        <w:adjustRightInd w:val="0"/>
        <w:snapToGrid w:val="0"/>
        <w:spacing w:line="360" w:lineRule="auto"/>
      </w:pPr>
      <w:r>
        <w:rPr>
          <w:rFonts w:hint="eastAsia"/>
        </w:rPr>
        <w:tab/>
      </w:r>
      <w:r>
        <w:rPr>
          <w:rFonts w:hint="eastAsia"/>
        </w:rPr>
        <w:t xml:space="preserve">[4] </w:t>
      </w:r>
      <w:r>
        <w:t xml:space="preserve"> </w:t>
      </w:r>
      <w:r>
        <w:rPr>
          <w:rFonts w:hint="eastAsia"/>
        </w:rPr>
        <w:t>(</w:t>
      </w:r>
      <w:r>
        <w:rPr>
          <w:rFonts w:hint="eastAsia" w:ascii="宋体" w:hAnsi="宋体"/>
        </w:rPr>
        <w:t>美</w:t>
      </w:r>
      <w:r>
        <w:rPr>
          <w:rFonts w:hint="eastAsia"/>
        </w:rPr>
        <w:t>)Mary Ellen Guffey(</w:t>
      </w:r>
      <w:r>
        <w:rPr>
          <w:rFonts w:hint="eastAsia" w:ascii="宋体" w:hAnsi="宋体"/>
        </w:rPr>
        <w:t>玛丽·埃伦·伽菲</w:t>
      </w:r>
      <w:r>
        <w:rPr>
          <w:rFonts w:hint="eastAsia"/>
        </w:rPr>
        <w:t>)</w:t>
      </w:r>
      <w:r>
        <w:rPr>
          <w:rFonts w:hint="eastAsia" w:ascii="宋体" w:hAnsi="宋体"/>
        </w:rPr>
        <w:t>.商务沟通（第</w:t>
      </w:r>
      <w:r>
        <w:rPr>
          <w:rFonts w:hint="eastAsia"/>
        </w:rPr>
        <w:t>9</w:t>
      </w:r>
      <w:r>
        <w:rPr>
          <w:rFonts w:hint="eastAsia" w:ascii="宋体" w:hAnsi="宋体"/>
        </w:rPr>
        <w:t>版）电子工业出版社，</w:t>
      </w:r>
      <w:r>
        <w:rPr>
          <w:rFonts w:hint="eastAsia"/>
        </w:rPr>
        <w:t>2019</w:t>
      </w:r>
      <w:r>
        <w:rPr>
          <w:rFonts w:hint="eastAsia" w:ascii="宋体" w:hAnsi="宋体"/>
        </w:rPr>
        <w:t>.</w:t>
      </w:r>
    </w:p>
    <w:p>
      <w:pPr>
        <w:adjustRightInd w:val="0"/>
        <w:snapToGrid w:val="0"/>
        <w:spacing w:line="360" w:lineRule="auto"/>
      </w:pPr>
      <w:r>
        <w:rPr>
          <w:rFonts w:hint="eastAsia"/>
        </w:rPr>
        <w:tab/>
      </w:r>
      <w:r>
        <w:rPr>
          <w:rFonts w:hint="eastAsia"/>
        </w:rPr>
        <w:t xml:space="preserve">[5] </w:t>
      </w:r>
      <w:r>
        <w:rPr>
          <w:rFonts w:hint="eastAsia" w:ascii="宋体" w:hAnsi="宋体"/>
        </w:rPr>
        <w:t>赵友斌等</w:t>
      </w:r>
      <w:r>
        <w:rPr>
          <w:rFonts w:hint="eastAsia"/>
        </w:rPr>
        <w:t>.</w:t>
      </w:r>
      <w:r>
        <w:rPr>
          <w:rFonts w:hint="eastAsia" w:ascii="宋体" w:hAnsi="宋体"/>
        </w:rPr>
        <w:t>西方文化与礼仪</w:t>
      </w:r>
      <w:r>
        <w:rPr>
          <w:rFonts w:hint="eastAsia"/>
        </w:rPr>
        <w:t>[M].</w:t>
      </w:r>
      <w:r>
        <w:rPr>
          <w:rFonts w:hint="eastAsia" w:ascii="宋体" w:hAnsi="宋体"/>
        </w:rPr>
        <w:t>厦门大学出版社，</w:t>
      </w:r>
      <w:r>
        <w:rPr>
          <w:rFonts w:hint="eastAsia"/>
        </w:rPr>
        <w:t>2013.</w:t>
      </w:r>
    </w:p>
    <w:p>
      <w:pPr>
        <w:widowControl/>
        <w:adjustRightInd w:val="0"/>
        <w:snapToGrid w:val="0"/>
        <w:spacing w:before="156" w:beforeLines="50" w:line="360" w:lineRule="auto"/>
        <w:jc w:val="left"/>
        <w:rPr>
          <w:rFonts w:eastAsia="黑体"/>
        </w:rPr>
      </w:pPr>
      <w:r>
        <w:rPr>
          <w:rFonts w:hint="eastAsia" w:ascii="黑体" w:hAnsi="黑体" w:eastAsia="黑体"/>
        </w:rPr>
        <w:t>七、课程目标达成评价的途径和措施</w:t>
      </w:r>
    </w:p>
    <w:p>
      <w:pPr>
        <w:autoSpaceDE w:val="0"/>
        <w:adjustRightInd w:val="0"/>
        <w:snapToGrid w:val="0"/>
        <w:spacing w:line="360" w:lineRule="auto"/>
      </w:pPr>
      <w:r>
        <w:rPr>
          <w:rFonts w:hint="eastAsia" w:ascii="宋体" w:hAnsi="宋体"/>
        </w:rPr>
        <w:tab/>
      </w:r>
      <w:r>
        <w:rPr>
          <w:rFonts w:hint="eastAsia" w:ascii="宋体" w:hAnsi="宋体"/>
        </w:rPr>
        <w:t>1、考核方式：课堂演讲，课后作业，期末考查的方式</w:t>
      </w:r>
    </w:p>
    <w:p>
      <w:pPr>
        <w:widowControl/>
        <w:autoSpaceDE w:val="0"/>
        <w:adjustRightInd w:val="0"/>
        <w:snapToGrid w:val="0"/>
        <w:spacing w:line="360" w:lineRule="auto"/>
        <w:jc w:val="left"/>
        <w:rPr>
          <w:rFonts w:ascii="宋体" w:hAnsi="宋体"/>
        </w:rPr>
      </w:pPr>
      <w:r>
        <w:rPr>
          <w:rFonts w:hint="eastAsia" w:ascii="宋体" w:hAnsi="宋体"/>
        </w:rPr>
        <w:tab/>
      </w:r>
      <w:r>
        <w:rPr>
          <w:rFonts w:hint="eastAsia" w:ascii="宋体" w:hAnsi="宋体"/>
        </w:rPr>
        <w:t>2、成绩构成：</w:t>
      </w:r>
    </w:p>
    <w:p>
      <w:pPr>
        <w:autoSpaceDE w:val="0"/>
        <w:spacing w:line="360" w:lineRule="auto"/>
        <w:ind w:firstLine="420" w:firstLineChars="200"/>
      </w:pPr>
      <w:r>
        <w:rPr>
          <w:rFonts w:hint="eastAsia" w:ascii="宋体" w:hAnsi="宋体"/>
        </w:rPr>
        <w:t>本课程通过</w:t>
      </w:r>
      <w:r>
        <w:rPr>
          <w:rFonts w:hint="eastAsia"/>
        </w:rPr>
        <w:t>“平时成绩”和“期末考</w:t>
      </w:r>
      <w:r>
        <w:rPr>
          <w:rFonts w:hint="eastAsia" w:ascii="宋体" w:hAnsi="宋体"/>
        </w:rPr>
        <w:t>查</w:t>
      </w:r>
      <w:r>
        <w:rPr>
          <w:rFonts w:hint="eastAsia"/>
        </w:rPr>
        <w:t>”两种方式对课程目标达成进行评价，考核成绩</w:t>
      </w:r>
      <w:r>
        <w:rPr>
          <w:rFonts w:hint="eastAsia" w:ascii="宋体" w:hAnsi="宋体"/>
        </w:rPr>
        <w:t>计算如下（本大纲中成绩均采用百分制）：</w:t>
      </w:r>
    </w:p>
    <w:p>
      <w:pPr>
        <w:spacing w:line="360" w:lineRule="auto"/>
        <w:ind w:left="210" w:leftChars="100"/>
        <w:jc w:val="center"/>
      </w:pPr>
      <w:r>
        <w:rPr>
          <w:rFonts w:hint="eastAsia" w:ascii="宋体" w:hAnsi="宋体"/>
          <w:sz w:val="18"/>
          <w:szCs w:val="18"/>
        </w:rPr>
        <w:t>各环节成绩评定占比</w:t>
      </w:r>
      <w:r>
        <w:rPr>
          <w:sz w:val="18"/>
          <w:szCs w:val="18"/>
        </w:rPr>
        <w:t>%</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075"/>
        <w:gridCol w:w="2074"/>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49"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rFonts w:hint="eastAsia" w:ascii="宋体" w:hAnsi="宋体"/>
                <w:sz w:val="18"/>
                <w:szCs w:val="18"/>
              </w:rPr>
              <w:t>平时到课及课堂内容笔记</w:t>
            </w:r>
            <w:r>
              <w:rPr>
                <w:rFonts w:hint="eastAsia"/>
                <w:sz w:val="18"/>
                <w:szCs w:val="18"/>
              </w:rPr>
              <w:t>（平时）</w:t>
            </w:r>
          </w:p>
        </w:tc>
        <w:tc>
          <w:tcPr>
            <w:tcW w:w="1249"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rFonts w:hint="eastAsia" w:ascii="宋体" w:hAnsi="宋体"/>
                <w:sz w:val="18"/>
                <w:szCs w:val="18"/>
              </w:rPr>
              <w:t>课堂演讲</w:t>
            </w:r>
            <w:r>
              <w:rPr>
                <w:rFonts w:hint="eastAsia"/>
                <w:sz w:val="18"/>
                <w:szCs w:val="18"/>
              </w:rPr>
              <w:t>（平时）</w:t>
            </w:r>
          </w:p>
        </w:tc>
        <w:tc>
          <w:tcPr>
            <w:tcW w:w="1249" w:type="pct"/>
            <w:tcBorders>
              <w:top w:val="single" w:color="auto" w:sz="4" w:space="0"/>
              <w:left w:val="nil"/>
              <w:bottom w:val="single" w:color="auto" w:sz="4" w:space="0"/>
              <w:right w:val="nil"/>
            </w:tcBorders>
            <w:vAlign w:val="center"/>
          </w:tcPr>
          <w:p>
            <w:pPr>
              <w:ind w:left="210" w:leftChars="100"/>
              <w:jc w:val="center"/>
              <w:rPr>
                <w:sz w:val="18"/>
                <w:szCs w:val="18"/>
              </w:rPr>
            </w:pPr>
            <w:r>
              <w:rPr>
                <w:rFonts w:hint="eastAsia" w:ascii="宋体" w:hAnsi="宋体"/>
                <w:sz w:val="18"/>
                <w:szCs w:val="18"/>
              </w:rPr>
              <w:t>课后作业</w:t>
            </w:r>
            <w:r>
              <w:rPr>
                <w:rFonts w:hint="eastAsia"/>
                <w:sz w:val="18"/>
                <w:szCs w:val="18"/>
              </w:rPr>
              <w:t>（平时）</w:t>
            </w:r>
          </w:p>
        </w:tc>
        <w:tc>
          <w:tcPr>
            <w:tcW w:w="1251" w:type="pct"/>
            <w:tcBorders>
              <w:top w:val="single" w:color="auto" w:sz="4" w:space="0"/>
              <w:left w:val="single" w:color="auto" w:sz="4" w:space="0"/>
              <w:bottom w:val="single" w:color="auto" w:sz="4" w:space="0"/>
              <w:right w:val="nil"/>
            </w:tcBorders>
            <w:vAlign w:val="center"/>
          </w:tcPr>
          <w:p>
            <w:pPr>
              <w:ind w:left="210" w:leftChars="100"/>
              <w:jc w:val="center"/>
              <w:rPr>
                <w:sz w:val="18"/>
                <w:szCs w:val="18"/>
              </w:rPr>
            </w:pPr>
            <w:r>
              <w:rPr>
                <w:rFonts w:hint="eastAsia"/>
                <w:sz w:val="18"/>
                <w:szCs w:val="18"/>
              </w:rPr>
              <w:t>期末考查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49" w:type="pct"/>
            <w:tcBorders>
              <w:top w:val="single" w:color="auto" w:sz="4" w:space="0"/>
              <w:left w:val="nil"/>
              <w:bottom w:val="single" w:color="auto" w:sz="4" w:space="0"/>
              <w:right w:val="single" w:color="auto" w:sz="4" w:space="0"/>
            </w:tcBorders>
            <w:vAlign w:val="center"/>
          </w:tcPr>
          <w:p>
            <w:pPr>
              <w:ind w:left="210" w:leftChars="100"/>
              <w:jc w:val="center"/>
              <w:rPr>
                <w:color w:val="C00000"/>
                <w:sz w:val="18"/>
                <w:szCs w:val="18"/>
              </w:rPr>
            </w:pPr>
            <w:r>
              <w:rPr>
                <w:color w:val="000000"/>
                <w:sz w:val="18"/>
                <w:szCs w:val="18"/>
              </w:rPr>
              <w:t>10</w:t>
            </w:r>
          </w:p>
        </w:tc>
        <w:tc>
          <w:tcPr>
            <w:tcW w:w="1249" w:type="pct"/>
            <w:tcBorders>
              <w:top w:val="single" w:color="auto" w:sz="4" w:space="0"/>
              <w:left w:val="nil"/>
              <w:bottom w:val="single" w:color="auto" w:sz="4" w:space="0"/>
              <w:right w:val="single" w:color="auto" w:sz="4" w:space="0"/>
            </w:tcBorders>
            <w:vAlign w:val="center"/>
          </w:tcPr>
          <w:p>
            <w:pPr>
              <w:ind w:left="210" w:leftChars="100"/>
              <w:jc w:val="center"/>
              <w:rPr>
                <w:color w:val="C00000"/>
                <w:sz w:val="18"/>
                <w:szCs w:val="18"/>
              </w:rPr>
            </w:pPr>
            <w:r>
              <w:rPr>
                <w:color w:val="000000"/>
                <w:sz w:val="18"/>
                <w:szCs w:val="18"/>
              </w:rPr>
              <w:t>20</w:t>
            </w:r>
          </w:p>
        </w:tc>
        <w:tc>
          <w:tcPr>
            <w:tcW w:w="1249" w:type="pct"/>
            <w:tcBorders>
              <w:top w:val="single" w:color="auto" w:sz="4" w:space="0"/>
              <w:left w:val="nil"/>
              <w:bottom w:val="single" w:color="auto" w:sz="4" w:space="0"/>
              <w:right w:val="nil"/>
            </w:tcBorders>
            <w:vAlign w:val="center"/>
          </w:tcPr>
          <w:p>
            <w:pPr>
              <w:ind w:left="210" w:leftChars="100"/>
              <w:jc w:val="center"/>
              <w:rPr>
                <w:color w:val="C00000"/>
                <w:sz w:val="18"/>
                <w:szCs w:val="18"/>
              </w:rPr>
            </w:pPr>
            <w:r>
              <w:rPr>
                <w:color w:val="000000"/>
                <w:sz w:val="18"/>
                <w:szCs w:val="18"/>
              </w:rPr>
              <w:t>20</w:t>
            </w:r>
          </w:p>
        </w:tc>
        <w:tc>
          <w:tcPr>
            <w:tcW w:w="1251" w:type="pct"/>
            <w:tcBorders>
              <w:top w:val="single" w:color="auto" w:sz="4" w:space="0"/>
              <w:left w:val="single" w:color="auto" w:sz="4" w:space="0"/>
              <w:bottom w:val="single" w:color="auto" w:sz="4" w:space="0"/>
              <w:right w:val="nil"/>
            </w:tcBorders>
            <w:vAlign w:val="center"/>
          </w:tcPr>
          <w:p>
            <w:pPr>
              <w:ind w:left="210" w:leftChars="100"/>
              <w:jc w:val="center"/>
              <w:rPr>
                <w:color w:val="C00000"/>
                <w:sz w:val="18"/>
                <w:szCs w:val="18"/>
              </w:rPr>
            </w:pPr>
            <w:r>
              <w:rPr>
                <w:color w:val="000000"/>
                <w:sz w:val="18"/>
                <w:szCs w:val="18"/>
              </w:rPr>
              <w:t>50</w:t>
            </w:r>
          </w:p>
        </w:tc>
      </w:tr>
    </w:tbl>
    <w:p>
      <w:pPr>
        <w:spacing w:line="360" w:lineRule="auto"/>
        <w:rPr>
          <w:b/>
          <w:bCs/>
          <w:color w:val="1D41D5"/>
          <w:szCs w:val="21"/>
        </w:rPr>
      </w:pPr>
      <w:r>
        <w:rPr>
          <w:rFonts w:hint="eastAsia"/>
        </w:rPr>
        <w:tab/>
      </w:r>
      <w:r>
        <w:rPr>
          <w:rFonts w:hint="eastAsia" w:ascii="宋体" w:hAnsi="宋体"/>
        </w:rPr>
        <w:t>指导性课程目标评价题目分数分配：</w:t>
      </w:r>
    </w:p>
    <w:tbl>
      <w:tblPr>
        <w:tblStyle w:val="22"/>
        <w:tblW w:w="4998" w:type="pct"/>
        <w:jc w:val="center"/>
        <w:tblLayout w:type="autofit"/>
        <w:tblCellMar>
          <w:top w:w="0" w:type="dxa"/>
          <w:left w:w="108" w:type="dxa"/>
          <w:bottom w:w="0" w:type="dxa"/>
          <w:right w:w="108" w:type="dxa"/>
        </w:tblCellMar>
      </w:tblPr>
      <w:tblGrid>
        <w:gridCol w:w="1496"/>
        <w:gridCol w:w="1745"/>
        <w:gridCol w:w="1621"/>
        <w:gridCol w:w="1923"/>
        <w:gridCol w:w="1518"/>
      </w:tblGrid>
      <w:tr>
        <w:tblPrEx>
          <w:tblCellMar>
            <w:top w:w="0" w:type="dxa"/>
            <w:left w:w="108" w:type="dxa"/>
            <w:bottom w:w="0" w:type="dxa"/>
            <w:right w:w="108" w:type="dxa"/>
          </w:tblCellMar>
        </w:tblPrEx>
        <w:trPr>
          <w:trHeight w:val="986" w:hRule="atLeast"/>
          <w:jc w:val="center"/>
        </w:trPr>
        <w:tc>
          <w:tcPr>
            <w:tcW w:w="900" w:type="pct"/>
            <w:tcBorders>
              <w:top w:val="single" w:color="auto" w:sz="4" w:space="0"/>
              <w:left w:val="nil"/>
              <w:bottom w:val="single" w:color="auto" w:sz="4" w:space="0"/>
              <w:right w:val="single" w:color="auto" w:sz="4" w:space="0"/>
            </w:tcBorders>
            <w:vAlign w:val="center"/>
          </w:tcPr>
          <w:p>
            <w:pPr>
              <w:widowControl/>
              <w:ind w:left="210" w:leftChars="100"/>
              <w:jc w:val="center"/>
              <w:rPr>
                <w:rFonts w:ascii="宋体" w:hAnsi="宋体"/>
                <w:kern w:val="0"/>
                <w:sz w:val="18"/>
                <w:szCs w:val="18"/>
              </w:rPr>
            </w:pPr>
            <w:r>
              <w:rPr>
                <w:rFonts w:hint="eastAsia" w:ascii="宋体" w:hAnsi="宋体"/>
                <w:kern w:val="0"/>
                <w:sz w:val="18"/>
                <w:szCs w:val="18"/>
              </w:rPr>
              <w:t>课程目标</w:t>
            </w:r>
          </w:p>
        </w:tc>
        <w:tc>
          <w:tcPr>
            <w:tcW w:w="1050" w:type="pct"/>
            <w:tcBorders>
              <w:top w:val="single" w:color="auto" w:sz="4" w:space="0"/>
              <w:left w:val="nil"/>
              <w:bottom w:val="single" w:color="auto" w:sz="4" w:space="0"/>
              <w:right w:val="single" w:color="auto" w:sz="4" w:space="0"/>
            </w:tcBorders>
            <w:vAlign w:val="center"/>
          </w:tcPr>
          <w:p>
            <w:pPr>
              <w:ind w:left="210" w:leftChars="100"/>
              <w:rPr>
                <w:sz w:val="18"/>
                <w:szCs w:val="18"/>
              </w:rPr>
            </w:pPr>
            <w:r>
              <w:rPr>
                <w:rFonts w:hint="eastAsia" w:ascii="宋体" w:hAnsi="宋体"/>
                <w:sz w:val="18"/>
                <w:szCs w:val="18"/>
              </w:rPr>
              <w:t>平时到课及课堂内容笔记</w:t>
            </w:r>
            <w:r>
              <w:rPr>
                <w:rFonts w:hint="eastAsia"/>
                <w:sz w:val="18"/>
                <w:szCs w:val="18"/>
              </w:rPr>
              <w:t>（平时）</w:t>
            </w:r>
          </w:p>
          <w:p>
            <w:pPr>
              <w:ind w:left="210" w:leftChars="100"/>
              <w:jc w:val="center"/>
              <w:rPr>
                <w:sz w:val="18"/>
                <w:szCs w:val="18"/>
              </w:rPr>
            </w:pPr>
            <w:r>
              <w:rPr>
                <w:rFonts w:hint="eastAsia"/>
                <w:sz w:val="18"/>
                <w:szCs w:val="18"/>
              </w:rPr>
              <w:t>W1</w:t>
            </w:r>
            <w:r>
              <w:rPr>
                <w:rFonts w:hint="eastAsia"/>
                <w:sz w:val="18"/>
                <w:szCs w:val="18"/>
                <w:vertAlign w:val="subscript"/>
              </w:rPr>
              <w:t>i</w:t>
            </w:r>
          </w:p>
        </w:tc>
        <w:tc>
          <w:tcPr>
            <w:tcW w:w="976" w:type="pct"/>
            <w:tcBorders>
              <w:top w:val="single" w:color="auto" w:sz="4" w:space="0"/>
              <w:left w:val="nil"/>
              <w:bottom w:val="single" w:color="auto" w:sz="4" w:space="0"/>
              <w:right w:val="single" w:color="auto" w:sz="4" w:space="0"/>
            </w:tcBorders>
            <w:vAlign w:val="center"/>
          </w:tcPr>
          <w:p>
            <w:pPr>
              <w:rPr>
                <w:sz w:val="18"/>
                <w:szCs w:val="18"/>
              </w:rPr>
            </w:pPr>
            <w:r>
              <w:rPr>
                <w:rFonts w:hint="eastAsia" w:ascii="宋体" w:hAnsi="宋体"/>
                <w:sz w:val="18"/>
                <w:szCs w:val="18"/>
              </w:rPr>
              <w:t>课堂演讲</w:t>
            </w:r>
            <w:r>
              <w:rPr>
                <w:rFonts w:hint="eastAsia"/>
                <w:sz w:val="18"/>
                <w:szCs w:val="18"/>
              </w:rPr>
              <w:t>（平时）</w:t>
            </w:r>
          </w:p>
          <w:p>
            <w:pPr>
              <w:ind w:left="210" w:leftChars="100"/>
              <w:jc w:val="center"/>
              <w:rPr>
                <w:sz w:val="18"/>
                <w:szCs w:val="18"/>
              </w:rPr>
            </w:pPr>
            <w:r>
              <w:rPr>
                <w:rFonts w:hint="eastAsia"/>
                <w:sz w:val="18"/>
                <w:szCs w:val="18"/>
              </w:rPr>
              <w:t>W2</w:t>
            </w:r>
            <w:r>
              <w:rPr>
                <w:rFonts w:hint="eastAsia"/>
                <w:sz w:val="18"/>
                <w:szCs w:val="18"/>
                <w:vertAlign w:val="subscript"/>
              </w:rPr>
              <w:t>i</w:t>
            </w:r>
          </w:p>
        </w:tc>
        <w:tc>
          <w:tcPr>
            <w:tcW w:w="1158"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rFonts w:hint="eastAsia" w:ascii="宋体" w:hAnsi="宋体"/>
                <w:sz w:val="18"/>
                <w:szCs w:val="18"/>
              </w:rPr>
              <w:t>课后作业</w:t>
            </w:r>
            <w:r>
              <w:rPr>
                <w:rFonts w:hint="eastAsia"/>
                <w:sz w:val="18"/>
                <w:szCs w:val="18"/>
              </w:rPr>
              <w:t>（平时）</w:t>
            </w:r>
          </w:p>
          <w:p>
            <w:pPr>
              <w:ind w:left="210" w:leftChars="100"/>
              <w:jc w:val="center"/>
              <w:rPr>
                <w:sz w:val="18"/>
                <w:szCs w:val="18"/>
              </w:rPr>
            </w:pPr>
            <w:r>
              <w:rPr>
                <w:rFonts w:hint="eastAsia"/>
                <w:sz w:val="18"/>
                <w:szCs w:val="18"/>
              </w:rPr>
              <w:t>W3</w:t>
            </w:r>
            <w:r>
              <w:rPr>
                <w:rFonts w:hint="eastAsia"/>
                <w:sz w:val="18"/>
                <w:szCs w:val="18"/>
                <w:vertAlign w:val="subscript"/>
              </w:rPr>
              <w:t>i</w:t>
            </w:r>
          </w:p>
        </w:tc>
        <w:tc>
          <w:tcPr>
            <w:tcW w:w="914" w:type="pct"/>
            <w:tcBorders>
              <w:top w:val="single" w:color="auto" w:sz="4" w:space="0"/>
              <w:left w:val="nil"/>
              <w:bottom w:val="single" w:color="auto" w:sz="4" w:space="0"/>
              <w:right w:val="nil"/>
            </w:tcBorders>
            <w:vAlign w:val="center"/>
          </w:tcPr>
          <w:p>
            <w:pPr>
              <w:ind w:left="210" w:leftChars="100"/>
              <w:jc w:val="center"/>
              <w:rPr>
                <w:sz w:val="18"/>
                <w:szCs w:val="18"/>
              </w:rPr>
            </w:pPr>
            <w:r>
              <w:rPr>
                <w:rFonts w:hint="eastAsia"/>
                <w:sz w:val="18"/>
                <w:szCs w:val="18"/>
              </w:rPr>
              <w:t>期末考查</w:t>
            </w:r>
          </w:p>
          <w:p>
            <w:pPr>
              <w:ind w:left="210" w:leftChars="100"/>
              <w:jc w:val="center"/>
              <w:rPr>
                <w:sz w:val="18"/>
                <w:szCs w:val="18"/>
              </w:rPr>
            </w:pPr>
            <w:r>
              <w:rPr>
                <w:rFonts w:hint="eastAsia"/>
                <w:sz w:val="18"/>
                <w:szCs w:val="18"/>
              </w:rPr>
              <w:t>W4</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900" w:type="pct"/>
            <w:tcBorders>
              <w:top w:val="nil"/>
              <w:left w:val="nil"/>
              <w:bottom w:val="single" w:color="auto" w:sz="4" w:space="0"/>
              <w:right w:val="single" w:color="auto" w:sz="4" w:space="0"/>
            </w:tcBorders>
            <w:vAlign w:val="center"/>
          </w:tcPr>
          <w:p>
            <w:pPr>
              <w:ind w:left="210" w:leftChars="100"/>
              <w:jc w:val="center"/>
              <w:rPr>
                <w:sz w:val="18"/>
                <w:szCs w:val="18"/>
              </w:rPr>
            </w:pPr>
            <w:r>
              <w:rPr>
                <w:sz w:val="18"/>
                <w:szCs w:val="18"/>
              </w:rPr>
              <w:t>1</w:t>
            </w:r>
          </w:p>
        </w:tc>
        <w:tc>
          <w:tcPr>
            <w:tcW w:w="1050"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10-20</w:t>
            </w:r>
          </w:p>
        </w:tc>
        <w:tc>
          <w:tcPr>
            <w:tcW w:w="976"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10-20</w:t>
            </w:r>
          </w:p>
        </w:tc>
        <w:tc>
          <w:tcPr>
            <w:tcW w:w="1158"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20-30</w:t>
            </w:r>
          </w:p>
        </w:tc>
        <w:tc>
          <w:tcPr>
            <w:tcW w:w="914" w:type="pct"/>
            <w:tcBorders>
              <w:top w:val="single" w:color="auto" w:sz="4" w:space="0"/>
              <w:left w:val="nil"/>
              <w:bottom w:val="single" w:color="auto" w:sz="4" w:space="0"/>
              <w:right w:val="nil"/>
            </w:tcBorders>
            <w:vAlign w:val="center"/>
          </w:tcPr>
          <w:p>
            <w:pPr>
              <w:ind w:left="210" w:leftChars="100"/>
              <w:jc w:val="center"/>
              <w:rPr>
                <w:color w:val="000000"/>
                <w:sz w:val="18"/>
                <w:szCs w:val="18"/>
              </w:rPr>
            </w:pPr>
            <w:r>
              <w:rPr>
                <w:color w:val="000000"/>
                <w:sz w:val="18"/>
                <w:szCs w:val="18"/>
              </w:rPr>
              <w:t>10-20</w:t>
            </w:r>
          </w:p>
        </w:tc>
      </w:tr>
      <w:tr>
        <w:tblPrEx>
          <w:tblCellMar>
            <w:top w:w="0" w:type="dxa"/>
            <w:left w:w="108" w:type="dxa"/>
            <w:bottom w:w="0" w:type="dxa"/>
            <w:right w:w="108" w:type="dxa"/>
          </w:tblCellMar>
        </w:tblPrEx>
        <w:trPr>
          <w:jc w:val="center"/>
        </w:trPr>
        <w:tc>
          <w:tcPr>
            <w:tcW w:w="900" w:type="pct"/>
            <w:tcBorders>
              <w:top w:val="nil"/>
              <w:left w:val="nil"/>
              <w:bottom w:val="single" w:color="auto" w:sz="4" w:space="0"/>
              <w:right w:val="single" w:color="auto" w:sz="4" w:space="0"/>
            </w:tcBorders>
            <w:vAlign w:val="center"/>
          </w:tcPr>
          <w:p>
            <w:pPr>
              <w:ind w:left="210" w:leftChars="100"/>
              <w:jc w:val="center"/>
              <w:rPr>
                <w:sz w:val="18"/>
                <w:szCs w:val="18"/>
              </w:rPr>
            </w:pPr>
            <w:r>
              <w:rPr>
                <w:sz w:val="18"/>
                <w:szCs w:val="18"/>
              </w:rPr>
              <w:t>2</w:t>
            </w:r>
          </w:p>
        </w:tc>
        <w:tc>
          <w:tcPr>
            <w:tcW w:w="1050"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30-40</w:t>
            </w:r>
          </w:p>
        </w:tc>
        <w:tc>
          <w:tcPr>
            <w:tcW w:w="976"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25-30</w:t>
            </w:r>
          </w:p>
        </w:tc>
        <w:tc>
          <w:tcPr>
            <w:tcW w:w="1158"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20-30</w:t>
            </w:r>
          </w:p>
        </w:tc>
        <w:tc>
          <w:tcPr>
            <w:tcW w:w="914" w:type="pct"/>
            <w:tcBorders>
              <w:top w:val="single" w:color="auto" w:sz="4" w:space="0"/>
              <w:left w:val="nil"/>
              <w:bottom w:val="single" w:color="auto" w:sz="4" w:space="0"/>
              <w:right w:val="nil"/>
            </w:tcBorders>
            <w:vAlign w:val="center"/>
          </w:tcPr>
          <w:p>
            <w:pPr>
              <w:ind w:left="210" w:leftChars="100"/>
              <w:jc w:val="center"/>
              <w:rPr>
                <w:color w:val="000000"/>
                <w:sz w:val="18"/>
                <w:szCs w:val="18"/>
              </w:rPr>
            </w:pPr>
            <w:r>
              <w:rPr>
                <w:color w:val="000000"/>
                <w:sz w:val="18"/>
                <w:szCs w:val="18"/>
              </w:rPr>
              <w:t>30-40</w:t>
            </w:r>
          </w:p>
        </w:tc>
      </w:tr>
      <w:tr>
        <w:tblPrEx>
          <w:tblCellMar>
            <w:top w:w="0" w:type="dxa"/>
            <w:left w:w="108" w:type="dxa"/>
            <w:bottom w:w="0" w:type="dxa"/>
            <w:right w:w="108" w:type="dxa"/>
          </w:tblCellMar>
        </w:tblPrEx>
        <w:trPr>
          <w:jc w:val="center"/>
        </w:trPr>
        <w:tc>
          <w:tcPr>
            <w:tcW w:w="900"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sz w:val="18"/>
                <w:szCs w:val="18"/>
              </w:rPr>
              <w:t>3</w:t>
            </w:r>
          </w:p>
        </w:tc>
        <w:tc>
          <w:tcPr>
            <w:tcW w:w="1050"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20-40</w:t>
            </w:r>
          </w:p>
        </w:tc>
        <w:tc>
          <w:tcPr>
            <w:tcW w:w="976"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40-50</w:t>
            </w:r>
          </w:p>
        </w:tc>
        <w:tc>
          <w:tcPr>
            <w:tcW w:w="1158"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30-40</w:t>
            </w:r>
          </w:p>
        </w:tc>
        <w:tc>
          <w:tcPr>
            <w:tcW w:w="914" w:type="pct"/>
            <w:tcBorders>
              <w:top w:val="single" w:color="auto" w:sz="4" w:space="0"/>
              <w:left w:val="nil"/>
              <w:bottom w:val="single" w:color="auto" w:sz="4" w:space="0"/>
              <w:right w:val="nil"/>
            </w:tcBorders>
            <w:vAlign w:val="center"/>
          </w:tcPr>
          <w:p>
            <w:pPr>
              <w:ind w:left="210" w:leftChars="100"/>
              <w:jc w:val="center"/>
              <w:rPr>
                <w:color w:val="000000"/>
                <w:sz w:val="18"/>
                <w:szCs w:val="18"/>
              </w:rPr>
            </w:pPr>
            <w:r>
              <w:rPr>
                <w:color w:val="000000"/>
                <w:sz w:val="18"/>
                <w:szCs w:val="18"/>
              </w:rPr>
              <w:t>20-30</w:t>
            </w:r>
          </w:p>
        </w:tc>
      </w:tr>
      <w:tr>
        <w:tblPrEx>
          <w:tblCellMar>
            <w:top w:w="0" w:type="dxa"/>
            <w:left w:w="108" w:type="dxa"/>
            <w:bottom w:w="0" w:type="dxa"/>
            <w:right w:w="108" w:type="dxa"/>
          </w:tblCellMar>
        </w:tblPrEx>
        <w:trPr>
          <w:jc w:val="center"/>
        </w:trPr>
        <w:tc>
          <w:tcPr>
            <w:tcW w:w="900"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sz w:val="18"/>
                <w:szCs w:val="18"/>
              </w:rPr>
              <w:t>4</w:t>
            </w:r>
          </w:p>
        </w:tc>
        <w:tc>
          <w:tcPr>
            <w:tcW w:w="1050"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30-40</w:t>
            </w:r>
          </w:p>
        </w:tc>
        <w:tc>
          <w:tcPr>
            <w:tcW w:w="976"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15-20</w:t>
            </w:r>
          </w:p>
        </w:tc>
        <w:tc>
          <w:tcPr>
            <w:tcW w:w="1158" w:type="pct"/>
            <w:tcBorders>
              <w:top w:val="single" w:color="auto" w:sz="4" w:space="0"/>
              <w:left w:val="nil"/>
              <w:bottom w:val="single" w:color="auto" w:sz="4" w:space="0"/>
              <w:right w:val="single" w:color="auto" w:sz="4" w:space="0"/>
            </w:tcBorders>
            <w:vAlign w:val="center"/>
          </w:tcPr>
          <w:p>
            <w:pPr>
              <w:ind w:left="210" w:leftChars="100"/>
              <w:jc w:val="center"/>
              <w:rPr>
                <w:color w:val="000000"/>
                <w:sz w:val="18"/>
                <w:szCs w:val="18"/>
              </w:rPr>
            </w:pPr>
            <w:r>
              <w:rPr>
                <w:color w:val="000000"/>
                <w:sz w:val="18"/>
                <w:szCs w:val="18"/>
              </w:rPr>
              <w:t>20-30</w:t>
            </w:r>
          </w:p>
        </w:tc>
        <w:tc>
          <w:tcPr>
            <w:tcW w:w="914" w:type="pct"/>
            <w:tcBorders>
              <w:top w:val="single" w:color="auto" w:sz="4" w:space="0"/>
              <w:left w:val="nil"/>
              <w:bottom w:val="single" w:color="auto" w:sz="4" w:space="0"/>
              <w:right w:val="nil"/>
            </w:tcBorders>
            <w:vAlign w:val="center"/>
          </w:tcPr>
          <w:p>
            <w:pPr>
              <w:ind w:left="210" w:leftChars="100"/>
              <w:jc w:val="center"/>
              <w:rPr>
                <w:color w:val="000000"/>
                <w:sz w:val="18"/>
                <w:szCs w:val="18"/>
              </w:rPr>
            </w:pPr>
            <w:r>
              <w:rPr>
                <w:color w:val="000000"/>
                <w:sz w:val="18"/>
                <w:szCs w:val="18"/>
              </w:rPr>
              <w:t>30-40</w:t>
            </w:r>
          </w:p>
        </w:tc>
      </w:tr>
    </w:tbl>
    <w:p>
      <w:pPr>
        <w:autoSpaceDE w:val="0"/>
        <w:spacing w:line="360" w:lineRule="auto"/>
        <w:ind w:firstLine="420" w:firstLineChars="200"/>
        <w:rPr>
          <w:color w:val="000000"/>
          <w:szCs w:val="21"/>
        </w:rPr>
      </w:pPr>
      <w:r>
        <w:rPr>
          <w:rFonts w:hint="eastAsia" w:ascii="宋体" w:hAnsi="宋体"/>
          <w:color w:val="000000"/>
        </w:rPr>
        <w:t>分目标达成值由每个部分对应的实际得分与题目总分数相比后，各环节加权求和得到。总课程目标达成值由每个环节的总平均分，按照各环节加权求和得到。</w:t>
      </w:r>
    </w:p>
    <w:p>
      <w:pPr>
        <w:spacing w:line="360" w:lineRule="auto"/>
        <w:ind w:left="210" w:leftChars="100" w:firstLine="420" w:firstLineChars="200"/>
      </w:pPr>
      <w:r>
        <w:rPr>
          <w:rFonts w:hint="eastAsia"/>
        </w:rPr>
        <w:t xml:space="preserve"> </w:t>
      </w:r>
    </w:p>
    <w:p>
      <w:pPr>
        <w:spacing w:line="360" w:lineRule="auto"/>
      </w:pPr>
      <w:r>
        <w:rPr>
          <w:rFonts w:hint="eastAsia" w:ascii="黑体" w:hAnsi="黑体" w:eastAsia="黑体"/>
        </w:rPr>
        <w:t>八：评价标准：</w:t>
      </w:r>
    </w:p>
    <w:tbl>
      <w:tblPr>
        <w:tblStyle w:val="22"/>
        <w:tblW w:w="4998" w:type="pct"/>
        <w:tblInd w:w="13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169"/>
        <w:gridCol w:w="2157"/>
        <w:gridCol w:w="18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9"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评价等级项目及权重</w:t>
            </w:r>
          </w:p>
        </w:tc>
        <w:tc>
          <w:tcPr>
            <w:tcW w:w="13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80-100</w:t>
            </w:r>
            <w:r>
              <w:rPr>
                <w:rFonts w:ascii="宋体" w:hAnsi="宋体"/>
                <w:sz w:val="18"/>
                <w:szCs w:val="18"/>
              </w:rPr>
              <w:t>分</w:t>
            </w:r>
          </w:p>
        </w:tc>
        <w:tc>
          <w:tcPr>
            <w:tcW w:w="12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60-79</w:t>
            </w:r>
            <w:r>
              <w:rPr>
                <w:rFonts w:ascii="宋体" w:hAnsi="宋体"/>
                <w:sz w:val="18"/>
                <w:szCs w:val="18"/>
              </w:rPr>
              <w:t>分</w:t>
            </w:r>
          </w:p>
        </w:tc>
        <w:tc>
          <w:tcPr>
            <w:tcW w:w="11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60</w:t>
            </w:r>
            <w:r>
              <w:rPr>
                <w:rFonts w:ascii="宋体" w:hAnsi="宋体"/>
                <w:sz w:val="18"/>
                <w:szCs w:val="18"/>
              </w:rPr>
              <w:t>分以下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9"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平时到课与课堂笔记（0.1</w:t>
            </w:r>
            <w:r>
              <w:rPr>
                <w:rFonts w:ascii="宋体" w:hAnsi="宋体"/>
                <w:sz w:val="18"/>
                <w:szCs w:val="18"/>
              </w:rPr>
              <w:t>）</w:t>
            </w:r>
          </w:p>
        </w:tc>
        <w:tc>
          <w:tcPr>
            <w:tcW w:w="13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基本没有缺课且有80%</w:t>
            </w:r>
            <w:r>
              <w:rPr>
                <w:rFonts w:ascii="宋体" w:hAnsi="宋体"/>
                <w:sz w:val="18"/>
                <w:szCs w:val="18"/>
              </w:rPr>
              <w:t>以上的课程内容笔记</w:t>
            </w:r>
          </w:p>
        </w:tc>
        <w:tc>
          <w:tcPr>
            <w:tcW w:w="12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缺课五分之一且有60%</w:t>
            </w:r>
            <w:r>
              <w:rPr>
                <w:rFonts w:ascii="宋体" w:hAnsi="宋体"/>
                <w:sz w:val="18"/>
                <w:szCs w:val="18"/>
              </w:rPr>
              <w:t>以上的课程内容笔记</w:t>
            </w:r>
          </w:p>
        </w:tc>
        <w:tc>
          <w:tcPr>
            <w:tcW w:w="11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缺课三分之一，没有课程内容笔记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9"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西方礼仪与沟通主题的课堂演（0.2</w:t>
            </w:r>
            <w:r>
              <w:rPr>
                <w:rFonts w:ascii="宋体" w:hAnsi="宋体"/>
                <w:sz w:val="18"/>
                <w:szCs w:val="18"/>
              </w:rPr>
              <w:t>）</w:t>
            </w:r>
          </w:p>
        </w:tc>
        <w:tc>
          <w:tcPr>
            <w:tcW w:w="13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内容新颖，时代性突出且内容丰富，主题清晰，演讲过程流畅，PPT</w:t>
            </w:r>
            <w:r>
              <w:rPr>
                <w:rFonts w:ascii="宋体" w:hAnsi="宋体"/>
                <w:sz w:val="18"/>
                <w:szCs w:val="18"/>
              </w:rPr>
              <w:t>配合好</w:t>
            </w:r>
          </w:p>
        </w:tc>
        <w:tc>
          <w:tcPr>
            <w:tcW w:w="12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内容较新颖，时代性较好且内容较丰富，主题较清晰，演讲过程较流畅，PPT</w:t>
            </w:r>
            <w:r>
              <w:rPr>
                <w:rFonts w:ascii="宋体" w:hAnsi="宋体"/>
                <w:sz w:val="18"/>
                <w:szCs w:val="18"/>
              </w:rPr>
              <w:t>配合较好</w:t>
            </w:r>
          </w:p>
        </w:tc>
        <w:tc>
          <w:tcPr>
            <w:tcW w:w="11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内容不足，准备不充分，PPT</w:t>
            </w:r>
            <w:r>
              <w:rPr>
                <w:rFonts w:ascii="宋体" w:hAnsi="宋体"/>
                <w:sz w:val="18"/>
                <w:szCs w:val="18"/>
              </w:rPr>
              <w:t>有碍演讲效果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9"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课后作业（0.2</w:t>
            </w:r>
            <w:r>
              <w:rPr>
                <w:rFonts w:ascii="宋体" w:hAnsi="宋体"/>
                <w:sz w:val="18"/>
                <w:szCs w:val="18"/>
              </w:rPr>
              <w:t>）</w:t>
            </w:r>
          </w:p>
        </w:tc>
        <w:tc>
          <w:tcPr>
            <w:tcW w:w="130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针对课程重点和难点布置作业态度认真，字迹工整，答案标准</w:t>
            </w:r>
          </w:p>
        </w:tc>
        <w:tc>
          <w:tcPr>
            <w:tcW w:w="12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作业态度较为认真，字迹较为工整，答案较为标准，无抄袭现象</w:t>
            </w:r>
          </w:p>
        </w:tc>
        <w:tc>
          <w:tcPr>
            <w:tcW w:w="11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作业态度一般，字迹潦草，答案错误，或者有抄袭现象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89"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期末考查（0.5</w:t>
            </w:r>
            <w:r>
              <w:rPr>
                <w:rFonts w:ascii="宋体" w:hAnsi="宋体"/>
                <w:sz w:val="18"/>
                <w:szCs w:val="18"/>
              </w:rPr>
              <w:t>）</w:t>
            </w:r>
          </w:p>
        </w:tc>
        <w:tc>
          <w:tcPr>
            <w:tcW w:w="3710" w:type="pct"/>
            <w:gridSpan w:val="3"/>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见综合测评评分标准及参考答案</w:t>
            </w:r>
          </w:p>
        </w:tc>
      </w:tr>
    </w:tbl>
    <w:p>
      <w:pPr>
        <w:autoSpaceDE w:val="0"/>
        <w:adjustRightInd w:val="0"/>
        <w:snapToGrid w:val="0"/>
        <w:spacing w:before="156" w:beforeLines="50" w:line="360" w:lineRule="auto"/>
        <w:ind w:firstLine="420"/>
        <w:rPr>
          <w:rFonts w:ascii="宋体" w:hAnsi="宋体"/>
        </w:rPr>
      </w:pPr>
      <w:r>
        <w:rPr>
          <w:rFonts w:hint="eastAsia" w:ascii="宋体" w:hAnsi="宋体"/>
        </w:rPr>
        <w:t>采用五级分制：90-100分为优；80-90分为良；70-80分为中；60-70分为及格；60分以下为不及格。</w:t>
      </w:r>
    </w:p>
    <w:p>
      <w:pPr>
        <w:widowControl/>
        <w:jc w:val="left"/>
        <w:rPr>
          <w:rFonts w:ascii="宋体" w:hAnsi="宋体"/>
        </w:rPr>
      </w:pPr>
      <w:r>
        <w:rPr>
          <w:rFonts w:ascii="宋体" w:hAnsi="宋体"/>
        </w:rPr>
        <w:br w:type="page"/>
      </w:r>
    </w:p>
    <w:p>
      <w:pPr>
        <w:pStyle w:val="20"/>
        <w:spacing w:before="312" w:after="468"/>
      </w:pPr>
      <w:bookmarkStart w:id="146" w:name="_Toc29417"/>
      <w:r>
        <w:rPr>
          <w:rFonts w:hint="eastAsia"/>
        </w:rPr>
        <w:t>《</w:t>
      </w:r>
      <w:r>
        <w:t>X05050001-</w:t>
      </w:r>
      <w:r>
        <w:rPr>
          <w:rFonts w:hint="eastAsia"/>
        </w:rPr>
        <w:t>模拟电子技术实验》教学大纲</w:t>
      </w:r>
      <w:bookmarkEnd w:id="146"/>
    </w:p>
    <w:p>
      <w:pPr>
        <w:adjustRightInd w:val="0"/>
        <w:snapToGrid w:val="0"/>
        <w:spacing w:line="360" w:lineRule="auto"/>
        <w:rPr>
          <w:rFonts w:cs="宋体" w:asciiTheme="minorEastAsia" w:hAnsiTheme="minorEastAsia" w:eastAsiaTheme="minorEastAsia"/>
          <w:snapToGrid w:val="0"/>
          <w:color w:val="0000FF"/>
          <w:kern w:val="0"/>
          <w:szCs w:val="21"/>
        </w:rPr>
      </w:pPr>
      <w:r>
        <w:rPr>
          <w:rFonts w:hint="eastAsia" w:eastAsia="黑体"/>
          <w:szCs w:val="21"/>
        </w:rPr>
        <w:t>课程编号：</w:t>
      </w:r>
      <w:r>
        <w:rPr>
          <w:szCs w:val="21"/>
        </w:rPr>
        <w:t>X05050001</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模拟电子技术实验</w:t>
      </w:r>
      <w:r>
        <w:rPr>
          <w:szCs w:val="21"/>
        </w:rPr>
        <w:tab/>
      </w:r>
      <w:r>
        <w:rPr>
          <w:szCs w:val="21"/>
        </w:rPr>
        <w:tab/>
      </w:r>
      <w:r>
        <w:rPr>
          <w:szCs w:val="21"/>
        </w:rPr>
        <w:tab/>
      </w:r>
      <w:r>
        <w:rPr>
          <w:szCs w:val="21"/>
        </w:rPr>
        <w:tab/>
      </w:r>
      <w:r>
        <w:rPr>
          <w:rFonts w:hint="eastAsia" w:eastAsia="黑体"/>
          <w:szCs w:val="21"/>
        </w:rPr>
        <w:t>开课单位：</w:t>
      </w:r>
      <w:r>
        <w:rPr>
          <w:rFonts w:hint="eastAsia"/>
          <w:szCs w:val="21"/>
        </w:rPr>
        <w:t>信息与通信工程学院</w:t>
      </w:r>
    </w:p>
    <w:p>
      <w:pPr>
        <w:adjustRightInd w:val="0"/>
        <w:snapToGrid w:val="0"/>
        <w:spacing w:line="360" w:lineRule="auto"/>
        <w:rPr>
          <w:rFonts w:eastAsia="黑体"/>
          <w:szCs w:val="21"/>
        </w:rPr>
      </w:pPr>
      <w:r>
        <w:rPr>
          <w:rFonts w:hint="eastAsia" w:eastAsia="黑体"/>
          <w:szCs w:val="21"/>
        </w:rPr>
        <w:t>总</w:t>
      </w:r>
      <w:r>
        <w:rPr>
          <w:rFonts w:eastAsia="黑体"/>
          <w:szCs w:val="21"/>
        </w:rPr>
        <w:t xml:space="preserve"> </w:t>
      </w:r>
      <w:r>
        <w:rPr>
          <w:rFonts w:hint="eastAsia" w:eastAsia="黑体"/>
          <w:szCs w:val="21"/>
        </w:rPr>
        <w:t>学</w:t>
      </w:r>
      <w:r>
        <w:rPr>
          <w:rFonts w:eastAsia="黑体"/>
          <w:szCs w:val="21"/>
        </w:rPr>
        <w:t xml:space="preserve"> </w:t>
      </w:r>
      <w:r>
        <w:rPr>
          <w:rFonts w:hint="eastAsia" w:eastAsia="黑体"/>
          <w:szCs w:val="21"/>
        </w:rPr>
        <w:t>时：</w:t>
      </w:r>
      <w:r>
        <w:rPr>
          <w:szCs w:val="21"/>
        </w:rPr>
        <w:t xml:space="preserve">32             </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w:t>
      </w:r>
      <w:r>
        <w:rPr>
          <w:rFonts w:eastAsia="黑体"/>
          <w:szCs w:val="21"/>
        </w:rPr>
        <w:t xml:space="preserve">    </w:t>
      </w:r>
      <w:r>
        <w:rPr>
          <w:rFonts w:hint="eastAsia" w:eastAsia="黑体"/>
          <w:szCs w:val="21"/>
        </w:rPr>
        <w:t>分：</w:t>
      </w:r>
      <w:r>
        <w:rPr>
          <w:rFonts w:eastAsia="黑体"/>
          <w:szCs w:val="21"/>
        </w:rPr>
        <w:t>2</w:t>
      </w:r>
    </w:p>
    <w:p>
      <w:pPr>
        <w:adjustRightInd w:val="0"/>
        <w:snapToGrid w:val="0"/>
        <w:spacing w:line="360" w:lineRule="auto"/>
        <w:rPr>
          <w:szCs w:val="21"/>
        </w:rPr>
      </w:pPr>
      <w:r>
        <w:rPr>
          <w:rFonts w:hint="eastAsia" w:eastAsia="黑体"/>
          <w:szCs w:val="21"/>
        </w:rPr>
        <w:t>适用专业：</w:t>
      </w:r>
      <w:r>
        <w:rPr>
          <w:rFonts w:hint="eastAsia" w:asciiTheme="minorEastAsia" w:hAnsiTheme="minorEastAsia"/>
          <w:szCs w:val="21"/>
        </w:rPr>
        <w:t>电子科学与技术</w:t>
      </w:r>
      <w:r>
        <w:rPr>
          <w:rFonts w:hint="eastAsia"/>
          <w:szCs w:val="21"/>
        </w:rPr>
        <w:t>专业</w:t>
      </w:r>
      <w:r>
        <w:rPr>
          <w:rFonts w:hint="eastAsia" w:asciiTheme="minorEastAsia" w:hAnsiTheme="minorEastAsia"/>
          <w:szCs w:val="21"/>
        </w:rPr>
        <w:t>，微电子科学与工程</w:t>
      </w:r>
      <w:r>
        <w:rPr>
          <w:rFonts w:hint="eastAsia"/>
          <w:szCs w:val="21"/>
        </w:rPr>
        <w:t>专业</w:t>
      </w:r>
      <w:r>
        <w:rPr>
          <w:rFonts w:hint="eastAsia" w:asciiTheme="minorEastAsia" w:hAnsiTheme="minorEastAsia"/>
          <w:szCs w:val="21"/>
        </w:rPr>
        <w:t>，测控技术及仪器</w:t>
      </w:r>
      <w:r>
        <w:rPr>
          <w:rFonts w:hint="eastAsia"/>
          <w:szCs w:val="21"/>
        </w:rPr>
        <w:t>专业</w:t>
      </w:r>
    </w:p>
    <w:p>
      <w:pPr>
        <w:adjustRightInd w:val="0"/>
        <w:snapToGrid w:val="0"/>
        <w:spacing w:line="360" w:lineRule="auto"/>
        <w:rPr>
          <w:rFonts w:asciiTheme="minorEastAsia" w:hAnsiTheme="minorEastAsia" w:eastAsiaTheme="minorEastAsia"/>
          <w:szCs w:val="21"/>
        </w:rPr>
      </w:pPr>
      <w:r>
        <w:rPr>
          <w:rFonts w:hint="eastAsia" w:eastAsia="黑体"/>
          <w:szCs w:val="21"/>
        </w:rPr>
        <w:t>先修课程：</w:t>
      </w:r>
      <w:r>
        <w:rPr>
          <w:rFonts w:hint="eastAsia" w:asciiTheme="minorEastAsia" w:hAnsiTheme="minorEastAsia" w:eastAsiaTheme="minorEastAsia"/>
          <w:szCs w:val="21"/>
        </w:rPr>
        <w:t>模拟电子技术A</w:t>
      </w:r>
    </w:p>
    <w:p>
      <w:pPr>
        <w:adjustRightInd w:val="0"/>
        <w:snapToGrid w:val="0"/>
        <w:spacing w:line="360" w:lineRule="auto"/>
        <w:rPr>
          <w:szCs w:val="21"/>
        </w:rPr>
      </w:pPr>
      <w:r>
        <w:rPr>
          <w:rFonts w:hint="eastAsia" w:eastAsia="黑体"/>
          <w:szCs w:val="21"/>
        </w:rPr>
        <w:t>大纲编写（修订）时间：</w:t>
      </w:r>
      <w:r>
        <w:rPr>
          <w:rFonts w:hint="eastAsia" w:asciiTheme="minorEastAsia" w:hAnsiTheme="minorEastAsia" w:eastAsiaTheme="minorEastAsia"/>
          <w:szCs w:val="21"/>
        </w:rPr>
        <w:t>2019年5月</w:t>
      </w:r>
    </w:p>
    <w:p>
      <w:pPr>
        <w:rPr>
          <w:b/>
          <w:szCs w:val="21"/>
        </w:rPr>
      </w:pPr>
    </w:p>
    <w:p>
      <w:pPr>
        <w:numPr>
          <w:ilvl w:val="0"/>
          <w:numId w:val="16"/>
        </w:numPr>
        <w:tabs>
          <w:tab w:val="left" w:pos="420"/>
        </w:tabs>
        <w:adjustRightInd w:val="0"/>
        <w:snapToGrid w:val="0"/>
        <w:spacing w:line="360" w:lineRule="auto"/>
        <w:rPr>
          <w:rFonts w:eastAsia="黑体"/>
          <w:szCs w:val="21"/>
        </w:rPr>
      </w:pPr>
      <w:r>
        <w:rPr>
          <w:rFonts w:hint="eastAsia" w:eastAsia="黑体"/>
          <w:szCs w:val="21"/>
        </w:rPr>
        <w:t>课程在教学计划中的地位、作用</w:t>
      </w:r>
    </w:p>
    <w:p>
      <w:pPr>
        <w:spacing w:line="380" w:lineRule="exact"/>
        <w:ind w:firstLine="420" w:firstLineChars="200"/>
        <w:rPr>
          <w:rFonts w:ascii="宋体" w:hAnsi="宋体" w:cs="宋体"/>
          <w:kern w:val="0"/>
          <w:szCs w:val="21"/>
        </w:rPr>
      </w:pPr>
      <w:r>
        <w:rPr>
          <w:rFonts w:hint="eastAsia" w:ascii="宋体" w:hAnsi="宋体"/>
          <w:szCs w:val="21"/>
        </w:rPr>
        <w:t>本实验课程是配合《模拟电子技术A》理论教学的实践性教学环节。课程的任务是将模拟电子技术课程的理论与实践有机地结合起来，加强学生实验基本技能的训练，培养学生实际动手、理论联系实践的能力，并通过运用新技术、新器件及EDA现代技术，提高学生工程设计能力和创新能力。</w:t>
      </w:r>
    </w:p>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p>
      <w:pPr>
        <w:tabs>
          <w:tab w:val="left" w:pos="420"/>
        </w:tabs>
        <w:spacing w:line="360" w:lineRule="auto"/>
        <w:ind w:firstLine="420" w:firstLineChars="200"/>
        <w:rPr>
          <w:color w:val="000000"/>
          <w:szCs w:val="21"/>
        </w:rPr>
      </w:pPr>
      <w:r>
        <w:rPr>
          <w:rFonts w:hint="eastAsia"/>
          <w:color w:val="000000"/>
          <w:szCs w:val="21"/>
        </w:rPr>
        <w:t>模拟电子技术实验电类专业课程目标见表</w:t>
      </w:r>
      <w:r>
        <w:rPr>
          <w:color w:val="000000"/>
          <w:szCs w:val="21"/>
        </w:rPr>
        <w:t>1</w:t>
      </w:r>
      <w:r>
        <w:rPr>
          <w:rFonts w:hint="eastAsia"/>
          <w:color w:val="000000"/>
          <w:szCs w:val="21"/>
        </w:rPr>
        <w:t>。</w:t>
      </w:r>
    </w:p>
    <w:p>
      <w:pPr>
        <w:spacing w:line="360" w:lineRule="auto"/>
        <w:jc w:val="center"/>
        <w:rPr>
          <w:sz w:val="18"/>
          <w:szCs w:val="18"/>
        </w:rPr>
      </w:pPr>
      <w:r>
        <w:rPr>
          <w:rFonts w:hint="eastAsia"/>
          <w:sz w:val="18"/>
          <w:szCs w:val="18"/>
        </w:rPr>
        <w:t>表</w:t>
      </w:r>
      <w:r>
        <w:rPr>
          <w:sz w:val="18"/>
          <w:szCs w:val="18"/>
        </w:rPr>
        <w:t xml:space="preserve">1 </w:t>
      </w:r>
      <w:r>
        <w:rPr>
          <w:rFonts w:hint="eastAsia"/>
          <w:sz w:val="18"/>
          <w:szCs w:val="18"/>
        </w:rPr>
        <w:t>课程目标支撑毕业要求（</w:t>
      </w:r>
      <w:r>
        <w:rPr>
          <w:rFonts w:hint="eastAsia"/>
          <w:color w:val="000000"/>
          <w:sz w:val="18"/>
          <w:szCs w:val="18"/>
        </w:rPr>
        <w:t>电类专业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055"/>
        <w:gridCol w:w="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before="156" w:beforeLines="50" w:line="360" w:lineRule="auto"/>
              <w:jc w:val="center"/>
              <w:rPr>
                <w:sz w:val="18"/>
                <w:szCs w:val="18"/>
              </w:rPr>
            </w:pPr>
            <w:r>
              <w:rPr>
                <w:rFonts w:hint="eastAsia"/>
                <w:sz w:val="18"/>
                <w:szCs w:val="18"/>
              </w:rPr>
              <w:t>序号</w:t>
            </w:r>
          </w:p>
        </w:tc>
        <w:tc>
          <w:tcPr>
            <w:tcW w:w="244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156" w:beforeLines="50" w:line="360" w:lineRule="auto"/>
              <w:jc w:val="center"/>
              <w:rPr>
                <w:sz w:val="18"/>
                <w:szCs w:val="18"/>
              </w:rPr>
            </w:pPr>
            <w:r>
              <w:rPr>
                <w:rFonts w:hint="eastAsia"/>
                <w:sz w:val="18"/>
                <w:szCs w:val="18"/>
              </w:rPr>
              <w:t>课程目标</w:t>
            </w:r>
          </w:p>
        </w:tc>
        <w:tc>
          <w:tcPr>
            <w:tcW w:w="2192" w:type="pct"/>
            <w:tcBorders>
              <w:top w:val="single" w:color="auto" w:sz="4" w:space="0"/>
              <w:left w:val="single" w:color="auto" w:sz="4" w:space="0"/>
              <w:bottom w:val="single" w:color="auto" w:sz="4" w:space="0"/>
              <w:right w:val="nil"/>
            </w:tcBorders>
            <w:vAlign w:val="center"/>
          </w:tcPr>
          <w:p>
            <w:pPr>
              <w:adjustRightInd w:val="0"/>
              <w:snapToGrid w:val="0"/>
              <w:spacing w:before="156" w:beforeLines="50" w:line="360" w:lineRule="auto"/>
              <w:jc w:val="center"/>
              <w:rPr>
                <w:sz w:val="18"/>
                <w:szCs w:val="18"/>
              </w:rPr>
            </w:pP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441"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能够判断、分析、寻找和排除电子线路中常见故障的能力。</w:t>
            </w:r>
          </w:p>
        </w:tc>
        <w:tc>
          <w:tcPr>
            <w:tcW w:w="2192"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毕业要求</w:t>
            </w:r>
            <w:r>
              <w:rPr>
                <w:b/>
                <w:sz w:val="18"/>
                <w:szCs w:val="18"/>
              </w:rPr>
              <w:t>2</w:t>
            </w:r>
            <w:r>
              <w:rPr>
                <w:rFonts w:hint="eastAsia"/>
                <w:b/>
                <w:sz w:val="18"/>
                <w:szCs w:val="18"/>
              </w:rPr>
              <w:t>问题分析：</w:t>
            </w:r>
            <w:r>
              <w:rPr>
                <w:rFonts w:hint="eastAsia"/>
                <w:sz w:val="18"/>
                <w:szCs w:val="18"/>
              </w:rPr>
              <w:t>能够应用工程所需的数学、自然科学知识和专业基本理论，并通过文献检索、资料查询及运用现代技术获取信息的方法，对电子、微电子或仪器类专业有关的复杂工程问题进行识别、表达和分析，得出有效结论。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441"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根据技术要求能选用合适的元器件、设计常用的小系统，并进行组装和调试，能够要求设计实验方案，以测量频率、相位、时间、脉冲波形参数、电压或电流的平均值、有效值，峰值以及电子电路主要技术指标等。</w:t>
            </w:r>
          </w:p>
        </w:tc>
        <w:tc>
          <w:tcPr>
            <w:tcW w:w="2192" w:type="pct"/>
            <w:vMerge w:val="restar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毕业要求</w:t>
            </w:r>
            <w:r>
              <w:rPr>
                <w:b/>
                <w:sz w:val="18"/>
                <w:szCs w:val="18"/>
              </w:rPr>
              <w:t>4</w:t>
            </w:r>
            <w:r>
              <w:rPr>
                <w:rFonts w:hint="eastAsia"/>
                <w:b/>
                <w:sz w:val="18"/>
                <w:szCs w:val="18"/>
              </w:rPr>
              <w:t>研究：</w:t>
            </w:r>
            <w:r>
              <w:rPr>
                <w:rFonts w:hint="eastAsia"/>
                <w:sz w:val="18"/>
                <w:szCs w:val="18"/>
              </w:rPr>
              <w:t>能够基于电子、测试领域的科学原理，采用科学方法对本专业有关的复杂工程问题进行研究，设计可行的实验方案，并对实验结果进行分析与数据处理，通过误差分析、信息综合获得有效结论。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44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ascii="宋体" w:hAnsi="宋体" w:cs="宋体"/>
                <w:kern w:val="0"/>
                <w:sz w:val="18"/>
                <w:szCs w:val="18"/>
              </w:rPr>
              <w:t>能够正确处理实验数据、分析误差；能独立撰写科学严谨、有理论分析、实事求是、文理通顺、字迹端正的报告。</w:t>
            </w:r>
          </w:p>
        </w:tc>
        <w:tc>
          <w:tcPr>
            <w:tcW w:w="0" w:type="auto"/>
            <w:vMerge w:val="continue"/>
            <w:tcBorders>
              <w:top w:val="single" w:color="auto" w:sz="4" w:space="0"/>
              <w:left w:val="single" w:color="auto" w:sz="4" w:space="0"/>
              <w:bottom w:val="single" w:color="auto" w:sz="4" w:space="0"/>
              <w:right w:val="nil"/>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441"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sz w:val="18"/>
                <w:szCs w:val="18"/>
              </w:rPr>
              <w:t>能够</w:t>
            </w:r>
            <w:r>
              <w:rPr>
                <w:rFonts w:hint="eastAsia" w:ascii="宋体" w:hAnsi="宋体" w:cs="宋体"/>
                <w:kern w:val="0"/>
                <w:sz w:val="18"/>
                <w:szCs w:val="18"/>
              </w:rPr>
              <w:t>正确使用常用电子仪器，如示波器、信号发生器、数字万用表、毫伏表、稳压电源等；学会使用半导体二极管，晶体管和集成运算放大器，集成稳压器等中、小规模集成电路，具有查阅电子器件手册的能力；能够熟练使用EDA。</w:t>
            </w:r>
          </w:p>
        </w:tc>
        <w:tc>
          <w:tcPr>
            <w:tcW w:w="2192"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毕业要求</w:t>
            </w:r>
            <w:r>
              <w:rPr>
                <w:b/>
                <w:sz w:val="18"/>
                <w:szCs w:val="18"/>
              </w:rPr>
              <w:t>5</w:t>
            </w:r>
            <w:r>
              <w:rPr>
                <w:rFonts w:hint="eastAsia"/>
                <w:b/>
                <w:sz w:val="18"/>
                <w:szCs w:val="18"/>
              </w:rPr>
              <w:t>使用现代工具：</w:t>
            </w:r>
            <w:r>
              <w:rPr>
                <w:rFonts w:hint="eastAsia"/>
                <w:sz w:val="18"/>
                <w:szCs w:val="18"/>
              </w:rPr>
              <w:t>掌握本专业相关的技术、资源、现代工程工具和信息技术工具的开发、选择与使用方法，能够对复杂工程问题进行预测与模拟，得到有效结果，并能够理解其局限性。</w:t>
            </w:r>
          </w:p>
        </w:tc>
      </w:tr>
    </w:tbl>
    <w:p>
      <w:pPr>
        <w:tabs>
          <w:tab w:val="left" w:pos="420"/>
        </w:tabs>
        <w:spacing w:line="360" w:lineRule="auto"/>
        <w:ind w:firstLine="420" w:firstLineChars="200"/>
        <w:rPr>
          <w:color w:val="000000"/>
          <w:szCs w:val="21"/>
        </w:rPr>
      </w:pPr>
    </w:p>
    <w:p>
      <w:pPr>
        <w:tabs>
          <w:tab w:val="left" w:pos="420"/>
        </w:tabs>
        <w:spacing w:line="360" w:lineRule="auto"/>
        <w:ind w:firstLine="420" w:firstLineChars="200"/>
        <w:rPr>
          <w:color w:val="000000"/>
          <w:szCs w:val="21"/>
        </w:rPr>
      </w:pPr>
      <w:r>
        <w:rPr>
          <w:rFonts w:hint="eastAsia"/>
          <w:szCs w:val="21"/>
        </w:rPr>
        <w:t>基于</w:t>
      </w:r>
      <w:r>
        <w:rPr>
          <w:rFonts w:hint="eastAsia"/>
          <w:color w:val="000000"/>
          <w:szCs w:val="21"/>
        </w:rPr>
        <w:t>模拟电子技术实验电类专业课程目标细分至电子科学与技术、测控技术与仪器、微电子科学与工程专业课程目标分别见表</w:t>
      </w:r>
      <w:r>
        <w:rPr>
          <w:color w:val="000000"/>
          <w:szCs w:val="21"/>
        </w:rPr>
        <w:t>2</w:t>
      </w:r>
      <w:r>
        <w:rPr>
          <w:rFonts w:hint="eastAsia"/>
          <w:color w:val="000000"/>
          <w:szCs w:val="21"/>
        </w:rPr>
        <w:t>、表</w:t>
      </w:r>
      <w:r>
        <w:rPr>
          <w:color w:val="000000"/>
          <w:szCs w:val="21"/>
        </w:rPr>
        <w:t>3</w:t>
      </w:r>
      <w:r>
        <w:rPr>
          <w:rFonts w:hint="eastAsia"/>
          <w:color w:val="000000"/>
          <w:szCs w:val="21"/>
        </w:rPr>
        <w:t>和表</w:t>
      </w:r>
      <w:r>
        <w:rPr>
          <w:color w:val="000000"/>
          <w:szCs w:val="21"/>
        </w:rPr>
        <w:t>4</w:t>
      </w:r>
      <w:r>
        <w:rPr>
          <w:rFonts w:hint="eastAsia"/>
          <w:color w:val="000000"/>
          <w:szCs w:val="21"/>
        </w:rPr>
        <w:t>。</w:t>
      </w:r>
    </w:p>
    <w:p>
      <w:pPr>
        <w:spacing w:line="360" w:lineRule="auto"/>
        <w:jc w:val="center"/>
        <w:rPr>
          <w:sz w:val="18"/>
          <w:szCs w:val="18"/>
        </w:rPr>
      </w:pPr>
      <w:r>
        <w:rPr>
          <w:rFonts w:hint="eastAsia"/>
          <w:sz w:val="18"/>
          <w:szCs w:val="18"/>
        </w:rPr>
        <w:t>表</w:t>
      </w:r>
      <w:r>
        <w:rPr>
          <w:sz w:val="18"/>
          <w:szCs w:val="18"/>
        </w:rPr>
        <w:t>2</w:t>
      </w:r>
      <w:r>
        <w:rPr>
          <w:rFonts w:hint="eastAsia"/>
          <w:sz w:val="18"/>
          <w:szCs w:val="18"/>
        </w:rPr>
        <w:t>课程目标支撑毕业要求（</w:t>
      </w:r>
      <w:r>
        <w:rPr>
          <w:rFonts w:hint="eastAsia"/>
          <w:color w:val="000000"/>
          <w:sz w:val="18"/>
          <w:szCs w:val="18"/>
        </w:rPr>
        <w:t>电子科学与技术</w:t>
      </w:r>
      <w:r>
        <w:rPr>
          <w:rFonts w:hint="eastAsia"/>
          <w:sz w:val="18"/>
          <w:szCs w:val="18"/>
        </w:rPr>
        <w:t>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序号</w:t>
            </w:r>
          </w:p>
        </w:tc>
        <w:tc>
          <w:tcPr>
            <w:tcW w:w="2345" w:type="pct"/>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课程目标</w:t>
            </w:r>
          </w:p>
        </w:tc>
        <w:tc>
          <w:tcPr>
            <w:tcW w:w="2288" w:type="pct"/>
            <w:tcBorders>
              <w:top w:val="single" w:color="auto" w:sz="4" w:space="0"/>
              <w:left w:val="single" w:color="auto" w:sz="4" w:space="0"/>
              <w:bottom w:val="single" w:color="auto" w:sz="4" w:space="0"/>
              <w:right w:val="nil"/>
            </w:tcBorders>
            <w:vAlign w:val="center"/>
          </w:tcPr>
          <w:p>
            <w:pPr>
              <w:spacing w:before="156" w:beforeLines="50" w:line="360" w:lineRule="auto"/>
              <w:jc w:val="center"/>
              <w:rPr>
                <w:sz w:val="18"/>
                <w:szCs w:val="18"/>
              </w:rPr>
            </w:pP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能够判断、分析、寻找和排除电子线路中常见故障的能力。</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2-3 </w:t>
            </w:r>
            <w:r>
              <w:rPr>
                <w:rFonts w:hint="eastAsia"/>
                <w:b/>
                <w:sz w:val="18"/>
                <w:szCs w:val="18"/>
              </w:rPr>
              <w:t>结论判断：</w:t>
            </w:r>
            <w:r>
              <w:rPr>
                <w:rFonts w:hint="eastAsia"/>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根据技术要求能选用合适的元器件、设计常用的小系统，并进行组装和调试，能够要求设计实验方案，以测量频率、相位、时间、脉冲波形参数、电压或电流的平均值、有效值，峰值以及电子电路主要技术指标等。</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4-2</w:t>
            </w:r>
            <w:r>
              <w:rPr>
                <w:rFonts w:hint="eastAsia"/>
                <w:b/>
                <w:sz w:val="18"/>
                <w:szCs w:val="18"/>
              </w:rPr>
              <w:t>实验设计能力：</w:t>
            </w:r>
            <w:r>
              <w:rPr>
                <w:rFonts w:hint="eastAsia"/>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345"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ascii="宋体" w:hAnsi="宋体" w:cs="宋体"/>
                <w:kern w:val="0"/>
                <w:sz w:val="18"/>
                <w:szCs w:val="18"/>
              </w:rPr>
              <w:t>能够正确处理实验数据、分析误差；能独立撰写科学严谨、有理论分析、实事求是、文理通顺、字迹端正的报告。</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4-3 </w:t>
            </w:r>
            <w:r>
              <w:rPr>
                <w:rFonts w:hint="eastAsia"/>
                <w:b/>
                <w:sz w:val="18"/>
                <w:szCs w:val="18"/>
              </w:rPr>
              <w:t>实验结果分析</w:t>
            </w:r>
            <w:r>
              <w:rPr>
                <w:rFonts w:hint="eastAsia"/>
                <w:sz w:val="18"/>
                <w:szCs w:val="18"/>
              </w:rPr>
              <w:t>：能正确采集、整理、综合实验数据及相关信息，对多因素实验结果进行关联处理，得到有效结论，提出优化方案。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sz w:val="18"/>
                <w:szCs w:val="18"/>
              </w:rPr>
              <w:t>能够</w:t>
            </w:r>
            <w:r>
              <w:rPr>
                <w:rFonts w:hint="eastAsia" w:ascii="宋体" w:hAnsi="宋体" w:cs="宋体"/>
                <w:kern w:val="0"/>
                <w:sz w:val="18"/>
                <w:szCs w:val="18"/>
              </w:rPr>
              <w:t>正确使用常用电子仪器，如示波器、信号发生器、数字万用表、毫伏表、稳压电源等；学会使用半导体二极管，晶体管和集成运算放大器，集成稳压器等中、小规模集成电路，具有查阅电子器件手册的能力；能够熟练使用EDA。</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5-2</w:t>
            </w:r>
            <w:r>
              <w:rPr>
                <w:rFonts w:hint="eastAsia"/>
                <w:b/>
                <w:sz w:val="18"/>
                <w:szCs w:val="18"/>
              </w:rPr>
              <w:t>专业工具使用：</w:t>
            </w:r>
            <w:r>
              <w:rPr>
                <w:rFonts w:hint="eastAsia"/>
                <w:sz w:val="18"/>
                <w:szCs w:val="18"/>
              </w:rPr>
              <w:t>能使用工具对电路系统、协议等进行设计和仿真，确定功能和相关设计参数。</w:t>
            </w:r>
          </w:p>
        </w:tc>
      </w:tr>
    </w:tbl>
    <w:p>
      <w:pPr>
        <w:spacing w:line="360" w:lineRule="auto"/>
        <w:rPr>
          <w:szCs w:val="21"/>
        </w:rPr>
      </w:pPr>
    </w:p>
    <w:p>
      <w:pPr>
        <w:spacing w:line="360" w:lineRule="auto"/>
        <w:jc w:val="center"/>
        <w:rPr>
          <w:sz w:val="18"/>
          <w:szCs w:val="18"/>
        </w:rPr>
      </w:pPr>
      <w:r>
        <w:rPr>
          <w:rFonts w:hint="eastAsia"/>
          <w:sz w:val="18"/>
          <w:szCs w:val="18"/>
        </w:rPr>
        <w:t>表</w:t>
      </w:r>
      <w:r>
        <w:rPr>
          <w:sz w:val="18"/>
          <w:szCs w:val="18"/>
        </w:rPr>
        <w:t xml:space="preserve">3 </w:t>
      </w:r>
      <w:r>
        <w:rPr>
          <w:rFonts w:hint="eastAsia"/>
          <w:sz w:val="18"/>
          <w:szCs w:val="18"/>
        </w:rPr>
        <w:t>课程目标支撑毕业要求（测控技术与仪器专业）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序号</w:t>
            </w:r>
          </w:p>
        </w:tc>
        <w:tc>
          <w:tcPr>
            <w:tcW w:w="2345" w:type="pct"/>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课程目标</w:t>
            </w:r>
          </w:p>
        </w:tc>
        <w:tc>
          <w:tcPr>
            <w:tcW w:w="2288" w:type="pct"/>
            <w:tcBorders>
              <w:top w:val="single" w:color="auto" w:sz="4" w:space="0"/>
              <w:left w:val="single" w:color="auto" w:sz="4" w:space="0"/>
              <w:bottom w:val="single" w:color="auto" w:sz="4" w:space="0"/>
              <w:right w:val="nil"/>
            </w:tcBorders>
            <w:vAlign w:val="center"/>
          </w:tcPr>
          <w:p>
            <w:pPr>
              <w:spacing w:before="156" w:beforeLines="50" w:line="360" w:lineRule="auto"/>
              <w:jc w:val="center"/>
              <w:rPr>
                <w:sz w:val="18"/>
                <w:szCs w:val="18"/>
              </w:rPr>
            </w:pP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能够判断、分析、寻找和排除电子线路中常见故障的能力。</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2-3 </w:t>
            </w:r>
            <w:r>
              <w:rPr>
                <w:rFonts w:hint="eastAsia"/>
                <w:b/>
                <w:sz w:val="18"/>
                <w:szCs w:val="18"/>
              </w:rPr>
              <w:t>结论判断：</w:t>
            </w:r>
            <w:r>
              <w:rPr>
                <w:rFonts w:hint="eastAsia"/>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根据技术要求能选用合适的元器件、设计常用的小系统，并进行组装和调试，能够要求设计实验方案，以测量频率、相位、时间、脉冲波形参数、电压或电流的平均值、有效值，峰值以及电子电路主要技术指标等。</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4-2</w:t>
            </w:r>
            <w:r>
              <w:rPr>
                <w:rFonts w:hint="eastAsia"/>
                <w:b/>
                <w:sz w:val="18"/>
                <w:szCs w:val="18"/>
              </w:rPr>
              <w:t>实验设计能力：</w:t>
            </w:r>
            <w:r>
              <w:rPr>
                <w:rFonts w:hint="eastAsia"/>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345"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ascii="宋体" w:hAnsi="宋体" w:cs="宋体"/>
                <w:kern w:val="0"/>
                <w:sz w:val="18"/>
                <w:szCs w:val="18"/>
              </w:rPr>
              <w:t>能够正确处理实验数据、分析误差；能独立撰写科学严谨、有理论分析、实事求是、文理通顺、字迹端正的报告。</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4-3 </w:t>
            </w:r>
            <w:r>
              <w:rPr>
                <w:rFonts w:hint="eastAsia"/>
                <w:b/>
                <w:sz w:val="18"/>
                <w:szCs w:val="18"/>
              </w:rPr>
              <w:t>实验结果分析</w:t>
            </w:r>
            <w:r>
              <w:rPr>
                <w:rFonts w:hint="eastAsia"/>
                <w:sz w:val="18"/>
                <w:szCs w:val="18"/>
              </w:rPr>
              <w:t>：能正确采集、整理、综合实验数据及相关信息，对多因素实验结果进行关联处理，得到有效结论，提出优化方案。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sz w:val="18"/>
                <w:szCs w:val="18"/>
              </w:rPr>
              <w:t>能够</w:t>
            </w:r>
            <w:r>
              <w:rPr>
                <w:rFonts w:hint="eastAsia" w:ascii="宋体" w:hAnsi="宋体" w:cs="宋体"/>
                <w:kern w:val="0"/>
                <w:sz w:val="18"/>
                <w:szCs w:val="18"/>
              </w:rPr>
              <w:t>正确使用常用电子仪器，如示波器、信号发生器、数字万用表、毫伏表、稳压电源等；学会使用半导体二极管，晶体管和集成运算放大器，集成稳压器等中、小规模集成电路，具有查阅电子器件手册的能力；能够熟练使用EDA。</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5-2</w:t>
            </w:r>
            <w:r>
              <w:rPr>
                <w:rFonts w:hint="eastAsia"/>
                <w:b/>
                <w:sz w:val="18"/>
                <w:szCs w:val="18"/>
              </w:rPr>
              <w:t>专业工具使用：</w:t>
            </w:r>
            <w:r>
              <w:rPr>
                <w:rFonts w:hint="eastAsia"/>
                <w:sz w:val="18"/>
                <w:szCs w:val="18"/>
              </w:rPr>
              <w:t>能使用工具对电路系统、协议等进行设计和仿真，确定功能和相关设计参数。</w:t>
            </w:r>
          </w:p>
        </w:tc>
      </w:tr>
    </w:tbl>
    <w:p>
      <w:pPr>
        <w:spacing w:line="360" w:lineRule="auto"/>
        <w:rPr>
          <w:szCs w:val="21"/>
        </w:rPr>
      </w:pPr>
    </w:p>
    <w:p>
      <w:pPr>
        <w:spacing w:line="360" w:lineRule="auto"/>
        <w:jc w:val="center"/>
        <w:rPr>
          <w:sz w:val="18"/>
          <w:szCs w:val="18"/>
        </w:rPr>
      </w:pPr>
      <w:r>
        <w:rPr>
          <w:rFonts w:hint="eastAsia"/>
          <w:sz w:val="18"/>
          <w:szCs w:val="18"/>
        </w:rPr>
        <w:t>表</w:t>
      </w:r>
      <w:r>
        <w:rPr>
          <w:sz w:val="18"/>
          <w:szCs w:val="18"/>
        </w:rPr>
        <w:t xml:space="preserve">4 </w:t>
      </w:r>
      <w:r>
        <w:rPr>
          <w:rFonts w:hint="eastAsia"/>
          <w:sz w:val="18"/>
          <w:szCs w:val="18"/>
        </w:rPr>
        <w:t>课程目标支撑毕业要求（微电子科学与工程专业）</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序号</w:t>
            </w:r>
          </w:p>
        </w:tc>
        <w:tc>
          <w:tcPr>
            <w:tcW w:w="2345" w:type="pct"/>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sz w:val="18"/>
                <w:szCs w:val="18"/>
              </w:rPr>
            </w:pPr>
            <w:r>
              <w:rPr>
                <w:rFonts w:hint="eastAsia"/>
                <w:sz w:val="18"/>
                <w:szCs w:val="18"/>
              </w:rPr>
              <w:t>课程目标</w:t>
            </w:r>
          </w:p>
        </w:tc>
        <w:tc>
          <w:tcPr>
            <w:tcW w:w="2288" w:type="pct"/>
            <w:tcBorders>
              <w:top w:val="single" w:color="auto" w:sz="4" w:space="0"/>
              <w:left w:val="single" w:color="auto" w:sz="4" w:space="0"/>
              <w:bottom w:val="single" w:color="auto" w:sz="4" w:space="0"/>
              <w:right w:val="nil"/>
            </w:tcBorders>
            <w:vAlign w:val="center"/>
          </w:tcPr>
          <w:p>
            <w:pPr>
              <w:spacing w:before="156" w:beforeLines="50" w:line="360" w:lineRule="auto"/>
              <w:jc w:val="center"/>
              <w:rPr>
                <w:sz w:val="18"/>
                <w:szCs w:val="18"/>
              </w:rPr>
            </w:pPr>
            <w:r>
              <w:rPr>
                <w:rFonts w:hint="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1</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能够判断、分析、寻找和排除电子线路中常见故障的能力。</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2-3 </w:t>
            </w:r>
            <w:r>
              <w:rPr>
                <w:rFonts w:hint="eastAsia"/>
                <w:b/>
                <w:sz w:val="18"/>
                <w:szCs w:val="18"/>
              </w:rPr>
              <w:t>结论判断：</w:t>
            </w:r>
            <w:r>
              <w:rPr>
                <w:rFonts w:hint="eastAsia"/>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2</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根据技术要求能选用合适的元器件、设计常用的小系统，并进行组装和调试，能够要求设计实验方案，以测量频率、相位、时间、脉冲波形参数、电压或电流的平均值、有效值，峰值以及电子电路主要技术指标等。</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4-2</w:t>
            </w:r>
            <w:r>
              <w:rPr>
                <w:rFonts w:hint="eastAsia"/>
                <w:b/>
                <w:sz w:val="18"/>
                <w:szCs w:val="18"/>
              </w:rPr>
              <w:t>实验设计能力：</w:t>
            </w:r>
            <w:r>
              <w:rPr>
                <w:rFonts w:hint="eastAsia"/>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3</w:t>
            </w:r>
          </w:p>
        </w:tc>
        <w:tc>
          <w:tcPr>
            <w:tcW w:w="2345"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sz w:val="18"/>
                <w:szCs w:val="18"/>
              </w:rPr>
            </w:pPr>
            <w:r>
              <w:rPr>
                <w:rFonts w:hint="eastAsia" w:ascii="宋体" w:hAnsi="宋体" w:cs="宋体"/>
                <w:kern w:val="0"/>
                <w:sz w:val="18"/>
                <w:szCs w:val="18"/>
              </w:rPr>
              <w:t>能够正确处理实验数据、分析误差；能独立撰写科学严谨、有理论分析、实事求是、文理通顺、字迹端正的报告。</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 xml:space="preserve">4-3 </w:t>
            </w:r>
            <w:r>
              <w:rPr>
                <w:rFonts w:hint="eastAsia"/>
                <w:b/>
                <w:sz w:val="18"/>
                <w:szCs w:val="18"/>
              </w:rPr>
              <w:t>实验结果分析</w:t>
            </w:r>
            <w:r>
              <w:rPr>
                <w:rFonts w:hint="eastAsia"/>
                <w:sz w:val="18"/>
                <w:szCs w:val="18"/>
              </w:rPr>
              <w:t>：能正确采集、整理、综合实验数据及相关信息，对多因素实验结果进行关联处理，得到有效结论，提出优化方案。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sz w:val="18"/>
                <w:szCs w:val="18"/>
              </w:rPr>
              <w:t>4</w:t>
            </w:r>
          </w:p>
        </w:tc>
        <w:tc>
          <w:tcPr>
            <w:tcW w:w="2345" w:type="pct"/>
            <w:tcBorders>
              <w:top w:val="single" w:color="auto" w:sz="4" w:space="0"/>
              <w:left w:val="single" w:color="auto" w:sz="4" w:space="0"/>
              <w:bottom w:val="single" w:color="auto" w:sz="4" w:space="0"/>
              <w:right w:val="single" w:color="auto" w:sz="4" w:space="0"/>
            </w:tcBorders>
          </w:tcPr>
          <w:p>
            <w:pPr>
              <w:widowControl/>
              <w:adjustRightInd w:val="0"/>
              <w:snapToGrid w:val="0"/>
              <w:spacing w:line="360" w:lineRule="auto"/>
              <w:jc w:val="left"/>
              <w:rPr>
                <w:rFonts w:ascii="宋体" w:hAnsi="宋体" w:cs="宋体"/>
                <w:kern w:val="0"/>
                <w:sz w:val="18"/>
                <w:szCs w:val="18"/>
              </w:rPr>
            </w:pPr>
            <w:r>
              <w:rPr>
                <w:rFonts w:hint="eastAsia"/>
                <w:sz w:val="18"/>
                <w:szCs w:val="18"/>
              </w:rPr>
              <w:t>能够</w:t>
            </w:r>
            <w:r>
              <w:rPr>
                <w:rFonts w:hint="eastAsia" w:ascii="宋体" w:hAnsi="宋体" w:cs="宋体"/>
                <w:kern w:val="0"/>
                <w:sz w:val="18"/>
                <w:szCs w:val="18"/>
              </w:rPr>
              <w:t>正确使用常用电子仪器，如示波器、信号发生器、数字万用表、毫伏表、稳压电源等；学会使用半导体二极管，晶体管和集成运算放大器，集成稳压器等中、小规模集成电路，具有查阅电子器件手册的能力；能够熟练使用EDA。</w:t>
            </w:r>
          </w:p>
        </w:tc>
        <w:tc>
          <w:tcPr>
            <w:tcW w:w="2288" w:type="pct"/>
            <w:tcBorders>
              <w:top w:val="single" w:color="auto" w:sz="4" w:space="0"/>
              <w:left w:val="single" w:color="auto" w:sz="4" w:space="0"/>
              <w:bottom w:val="single" w:color="auto" w:sz="4" w:space="0"/>
              <w:right w:val="nil"/>
            </w:tcBorders>
          </w:tcPr>
          <w:p>
            <w:pPr>
              <w:adjustRightInd w:val="0"/>
              <w:snapToGrid w:val="0"/>
              <w:spacing w:line="360" w:lineRule="auto"/>
              <w:rPr>
                <w:sz w:val="18"/>
                <w:szCs w:val="18"/>
              </w:rPr>
            </w:pPr>
            <w:r>
              <w:rPr>
                <w:rFonts w:hint="eastAsia"/>
                <w:b/>
                <w:sz w:val="18"/>
                <w:szCs w:val="18"/>
              </w:rPr>
              <w:t>指标点</w:t>
            </w:r>
            <w:r>
              <w:rPr>
                <w:b/>
                <w:sz w:val="18"/>
                <w:szCs w:val="18"/>
              </w:rPr>
              <w:t>5-2</w:t>
            </w:r>
            <w:r>
              <w:rPr>
                <w:rFonts w:hint="eastAsia"/>
                <w:b/>
                <w:sz w:val="18"/>
                <w:szCs w:val="18"/>
              </w:rPr>
              <w:t>专业工具使用：</w:t>
            </w:r>
            <w:r>
              <w:rPr>
                <w:rFonts w:hint="eastAsia"/>
                <w:sz w:val="18"/>
                <w:szCs w:val="18"/>
              </w:rPr>
              <w:t>能使用工具对电路系统、协议等进行设计和仿真，确定功能和相关设计参数。</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w:t>
      </w:r>
      <w:r>
        <w:rPr>
          <w:rFonts w:eastAsia="黑体"/>
          <w:szCs w:val="21"/>
        </w:rPr>
        <w:t xml:space="preserve"> </w:t>
      </w:r>
      <w:r>
        <w:rPr>
          <w:rFonts w:hint="eastAsia" w:eastAsia="黑体"/>
          <w:szCs w:val="21"/>
        </w:rPr>
        <w:t>基本要求</w:t>
      </w:r>
      <w:r>
        <w:rPr>
          <w:rFonts w:eastAsia="黑体"/>
          <w:szCs w:val="21"/>
        </w:rPr>
        <w:t xml:space="preserve"> </w:t>
      </w:r>
    </w:p>
    <w:p>
      <w:pPr>
        <w:numPr>
          <w:ilvl w:val="0"/>
          <w:numId w:val="19"/>
        </w:numPr>
        <w:adjustRightInd w:val="0"/>
        <w:snapToGrid w:val="0"/>
        <w:spacing w:line="360" w:lineRule="auto"/>
        <w:ind w:firstLine="420" w:firstLineChars="200"/>
        <w:rPr>
          <w:rFonts w:asciiTheme="minorEastAsia" w:hAnsi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本课程为</w:t>
      </w:r>
      <w:r>
        <w:rPr>
          <w:rFonts w:hint="eastAsia" w:asciiTheme="minorEastAsia" w:hAnsiTheme="minorEastAsia"/>
          <w:color w:val="000000" w:themeColor="text1"/>
          <w:szCs w:val="21"/>
          <w14:textFill>
            <w14:solidFill>
              <w14:schemeClr w14:val="tx1"/>
            </w14:solidFill>
          </w14:textFill>
        </w:rPr>
        <w:t>工程实践类课程</w:t>
      </w:r>
      <w:r>
        <w:rPr>
          <w:rFonts w:hint="eastAsia"/>
          <w:color w:val="000000" w:themeColor="text1"/>
          <w:szCs w:val="21"/>
          <w14:textFill>
            <w14:solidFill>
              <w14:schemeClr w14:val="tx1"/>
            </w14:solidFill>
          </w14:textFill>
        </w:rPr>
        <w:t>，是</w:t>
      </w:r>
      <w:r>
        <w:rPr>
          <w:rFonts w:hint="eastAsia" w:ascii="宋体" w:hAnsi="宋体"/>
          <w:szCs w:val="21"/>
        </w:rPr>
        <w:t>配合《模拟电子技术A》理论教学的实践性教学环节，</w:t>
      </w:r>
      <w:r>
        <w:rPr>
          <w:rFonts w:hint="eastAsia"/>
          <w:color w:val="000000" w:themeColor="text1"/>
          <w:szCs w:val="21"/>
          <w14:textFill>
            <w14:solidFill>
              <w14:schemeClr w14:val="tx1"/>
            </w14:solidFill>
          </w14:textFill>
        </w:rPr>
        <w:t>要求先修</w:t>
      </w:r>
      <w:r>
        <w:rPr>
          <w:rFonts w:hint="eastAsia" w:asciiTheme="minorEastAsia" w:hAnsiTheme="minorEastAsia"/>
          <w:color w:val="000000" w:themeColor="text1"/>
          <w:szCs w:val="21"/>
          <w14:textFill>
            <w14:solidFill>
              <w14:schemeClr w14:val="tx1"/>
            </w14:solidFill>
          </w14:textFill>
        </w:rPr>
        <w:t>《模拟电子技术A》。可以将理论课程和实验课程置于同一学期，理论学习四周以后可以开始实验，需要保证先理论内容后实验内容的顺序。</w:t>
      </w:r>
    </w:p>
    <w:p>
      <w:pPr>
        <w:adjustRightInd w:val="0"/>
        <w:snapToGrid w:val="0"/>
        <w:spacing w:line="360" w:lineRule="auto"/>
        <w:rPr>
          <w:szCs w:val="21"/>
        </w:rPr>
      </w:pPr>
      <w:r>
        <w:rPr>
          <w:color w:val="FF0000"/>
          <w:szCs w:val="21"/>
        </w:rPr>
        <w:t xml:space="preserve">    </w:t>
      </w:r>
      <w:r>
        <w:rPr>
          <w:szCs w:val="21"/>
        </w:rPr>
        <w:t>2</w:t>
      </w:r>
      <w:r>
        <w:rPr>
          <w:rFonts w:hint="eastAsia"/>
          <w:szCs w:val="21"/>
        </w:rPr>
        <w:t>、为了</w:t>
      </w:r>
      <w:r>
        <w:rPr>
          <w:rFonts w:hint="eastAsia" w:ascii="宋体" w:hAnsi="宋体"/>
          <w:szCs w:val="21"/>
        </w:rPr>
        <w:t>提高学生工程实践能力和EDA工具的应用能力，</w:t>
      </w:r>
      <w:r>
        <w:rPr>
          <w:rFonts w:hint="eastAsia"/>
          <w:szCs w:val="21"/>
        </w:rPr>
        <w:t>实验内容分为硬件实验和软件实验两部分。</w:t>
      </w:r>
    </w:p>
    <w:p>
      <w:pPr>
        <w:spacing w:line="360" w:lineRule="auto"/>
        <w:ind w:firstLine="420" w:firstLineChars="200"/>
        <w:rPr>
          <w:szCs w:val="21"/>
        </w:rPr>
      </w:pPr>
      <w:r>
        <w:rPr>
          <w:szCs w:val="21"/>
        </w:rPr>
        <w:t>3</w:t>
      </w:r>
      <w:r>
        <w:rPr>
          <w:rFonts w:hint="eastAsia"/>
          <w:szCs w:val="21"/>
        </w:rPr>
        <w:t>、实验教学注重循序渐进，实验分为验证性、设计性和综合性三个层次。</w:t>
      </w:r>
    </w:p>
    <w:p>
      <w:pPr>
        <w:spacing w:line="360" w:lineRule="auto"/>
        <w:ind w:firstLine="420" w:firstLineChars="200"/>
        <w:rPr>
          <w:szCs w:val="21"/>
        </w:rPr>
      </w:pPr>
      <w:r>
        <w:rPr>
          <w:szCs w:val="21"/>
        </w:rPr>
        <w:t>4</w:t>
      </w:r>
      <w:r>
        <w:rPr>
          <w:rFonts w:hint="eastAsia"/>
          <w:szCs w:val="21"/>
        </w:rPr>
        <w:t>、深度和广度说明：为了更好地培养学生的创新意识和综合应用能力，只开设必要的验证性实验，尽量多开设设计性和综合性实验。。</w:t>
      </w:r>
    </w:p>
    <w:p>
      <w:pPr>
        <w:spacing w:line="360" w:lineRule="auto"/>
        <w:ind w:firstLine="420" w:firstLineChars="200"/>
        <w:rPr>
          <w:szCs w:val="21"/>
        </w:rPr>
      </w:pPr>
      <w:r>
        <w:rPr>
          <w:szCs w:val="21"/>
        </w:rPr>
        <w:t>5</w:t>
      </w:r>
      <w:r>
        <w:rPr>
          <w:rFonts w:hint="eastAsia"/>
          <w:szCs w:val="21"/>
        </w:rPr>
        <w:t>、偏差说明：为了鼓励教师引入个人授课风格或者适应技术发展的紧迫性，本课程允许教师授课内容做适当调整，最大正偏差为</w:t>
      </w:r>
      <w:r>
        <w:rPr>
          <w:szCs w:val="21"/>
        </w:rPr>
        <w:t>10%</w:t>
      </w:r>
      <w:r>
        <w:rPr>
          <w:rFonts w:hint="eastAsia"/>
          <w:szCs w:val="21"/>
        </w:rPr>
        <w:t>，不允许负偏差。正偏差通过压缩同等内容的学时数来完成。特殊情况，最大正偏差和置换偏差累计可达到</w:t>
      </w:r>
      <w:r>
        <w:rPr>
          <w:szCs w:val="21"/>
        </w:rPr>
        <w:t>20%</w:t>
      </w:r>
      <w:r>
        <w:rPr>
          <w:rFonts w:hint="eastAsia"/>
          <w:szCs w:val="21"/>
        </w:rPr>
        <w:t>，但在开课前要申请专业责任人批准。（正偏差指大纲知识点不变，新增知识点；负偏差是大纲知识点减少；置换偏差是指大纲中部分知识点被其它类似知识点替换）。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rFonts w:ascii="宋体" w:hAnsi="宋体"/>
          <w:szCs w:val="21"/>
        </w:rPr>
      </w:pPr>
      <w:r>
        <w:rPr>
          <w:rFonts w:hint="eastAsia" w:ascii="宋体" w:hAnsi="宋体" w:cs="宋体"/>
          <w:color w:val="000000" w:themeColor="text1"/>
          <w:szCs w:val="27"/>
          <w14:textFill>
            <w14:solidFill>
              <w14:schemeClr w14:val="tx1"/>
            </w14:solidFill>
          </w14:textFill>
        </w:rPr>
        <w:t>本课程教学内容包括：</w:t>
      </w:r>
      <w:r>
        <w:rPr>
          <w:rFonts w:hint="eastAsia" w:ascii="宋体" w:hAnsi="宋体"/>
          <w:szCs w:val="21"/>
        </w:rPr>
        <w:t>利用模拟电子技术基本理论知识，设计和实现实用电路，提高综合应用能力和实验研究能力。熟悉</w:t>
      </w:r>
      <w:r>
        <w:rPr>
          <w:szCs w:val="21"/>
        </w:rPr>
        <w:t>Multisim</w:t>
      </w:r>
      <w:r>
        <w:rPr>
          <w:rFonts w:hint="eastAsia" w:ascii="宋体" w:hAnsi="宋体"/>
          <w:szCs w:val="21"/>
        </w:rPr>
        <w:t>仿真软件，通过对所设计电路的计算机仿真，提高EDA工具的应用能力。</w:t>
      </w:r>
    </w:p>
    <w:p>
      <w:pPr>
        <w:tabs>
          <w:tab w:val="left" w:pos="420"/>
        </w:tabs>
        <w:adjustRightInd w:val="0"/>
        <w:snapToGrid w:val="0"/>
        <w:spacing w:line="360" w:lineRule="auto"/>
        <w:ind w:left="420" w:leftChars="200"/>
        <w:rPr>
          <w:rFonts w:cs="宋体"/>
          <w:bCs/>
          <w:snapToGrid w:val="0"/>
          <w:kern w:val="0"/>
          <w:szCs w:val="21"/>
        </w:rPr>
      </w:pPr>
      <w:r>
        <w:rPr>
          <w:rFonts w:hint="eastAsia" w:cs="宋体"/>
          <w:bCs/>
          <w:snapToGrid w:val="0"/>
          <w:kern w:val="0"/>
          <w:szCs w:val="21"/>
        </w:rPr>
        <w:t>教学方法：讲授法、演示法与讨论法相结合。</w:t>
      </w:r>
    </w:p>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实验环节主要硬件环节和软件环节，</w:t>
      </w:r>
      <w:r>
        <w:rPr>
          <w:rFonts w:cs="宋体"/>
          <w:kern w:val="0"/>
          <w:szCs w:val="21"/>
        </w:rPr>
        <w:t>28</w:t>
      </w:r>
      <w:r>
        <w:rPr>
          <w:rFonts w:hint="eastAsia" w:cs="宋体"/>
          <w:kern w:val="0"/>
          <w:szCs w:val="21"/>
        </w:rPr>
        <w:t>个学时进行实验教学，</w:t>
      </w:r>
      <w:r>
        <w:rPr>
          <w:rFonts w:cs="宋体"/>
          <w:kern w:val="0"/>
          <w:szCs w:val="21"/>
        </w:rPr>
        <w:t>4</w:t>
      </w:r>
      <w:r>
        <w:rPr>
          <w:rFonts w:hint="eastAsia" w:cs="宋体"/>
          <w:kern w:val="0"/>
          <w:szCs w:val="21"/>
        </w:rPr>
        <w:t>学时进行实验能力测试。</w:t>
      </w:r>
      <w:r>
        <w:rPr>
          <w:rFonts w:cs="宋体"/>
          <w:kern w:val="0"/>
          <w:szCs w:val="21"/>
        </w:rPr>
        <w:t>16</w:t>
      </w:r>
      <w:r>
        <w:rPr>
          <w:rFonts w:hint="eastAsia" w:cs="宋体"/>
          <w:kern w:val="0"/>
          <w:szCs w:val="21"/>
        </w:rPr>
        <w:t>学时硬件，</w:t>
      </w:r>
      <w:r>
        <w:rPr>
          <w:rFonts w:cs="宋体"/>
          <w:kern w:val="0"/>
          <w:szCs w:val="21"/>
        </w:rPr>
        <w:t>12</w:t>
      </w:r>
      <w:r>
        <w:rPr>
          <w:rFonts w:hint="eastAsia" w:cs="宋体"/>
          <w:kern w:val="0"/>
          <w:szCs w:val="21"/>
        </w:rPr>
        <w:t>学时软件实践。</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实验一（硬件）常用电子仪器使用与半导体分立元器件性能参数测试（4学时）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w:t>
      </w:r>
      <w:r>
        <w:rPr>
          <w:rFonts w:hint="eastAsia"/>
          <w:szCs w:val="21"/>
        </w:rPr>
        <w:t>学习电子电路中常用的电子仪器及主要技术指标</w:t>
      </w:r>
      <w:r>
        <w:rPr>
          <w:rFonts w:hint="eastAsia" w:ascii="宋体" w:hAnsi="宋体"/>
          <w:szCs w:val="21"/>
        </w:rPr>
        <w:t>、</w:t>
      </w:r>
      <w:r>
        <w:rPr>
          <w:rFonts w:hint="eastAsia"/>
          <w:szCs w:val="21"/>
        </w:rPr>
        <w:t>性能和使用方法；</w:t>
      </w:r>
      <w:r>
        <w:rPr>
          <w:rFonts w:hint="eastAsia" w:ascii="宋体"/>
          <w:szCs w:val="21"/>
        </w:rPr>
        <w:t>熟练掌握用数字万用表测试常用的半导体电子元器件诸如电阻、二极管、晶体管的方法。</w:t>
      </w:r>
    </w:p>
    <w:p>
      <w:pPr>
        <w:adjustRightInd w:val="0"/>
        <w:snapToGrid w:val="0"/>
        <w:spacing w:line="360" w:lineRule="auto"/>
        <w:ind w:firstLine="420" w:firstLineChars="200"/>
        <w:jc w:val="left"/>
        <w:rPr>
          <w:rFonts w:ascii="宋体" w:hAnsi="宋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w:t>
      </w:r>
      <w:r>
        <w:rPr>
          <w:rFonts w:hint="eastAsia" w:ascii="宋体" w:hAnsi="宋体" w:cs="宋体"/>
          <w:kern w:val="0"/>
          <w:szCs w:val="21"/>
        </w:rPr>
        <w:t>正确使用常用电子仪器，如数字万用表、参数测试仪、稳压电源等；</w:t>
      </w:r>
    </w:p>
    <w:p>
      <w:pPr>
        <w:adjustRightInd w:val="0"/>
        <w:snapToGrid w:val="0"/>
        <w:spacing w:line="360" w:lineRule="auto"/>
        <w:ind w:firstLine="420" w:firstLineChars="200"/>
        <w:jc w:val="left"/>
        <w:rPr>
          <w:rFonts w:ascii="宋体"/>
          <w:szCs w:val="21"/>
        </w:rPr>
      </w:pPr>
      <w:r>
        <w:rPr>
          <w:rFonts w:hint="eastAsia" w:ascii="宋体"/>
          <w:szCs w:val="21"/>
        </w:rPr>
        <w:t>2、</w:t>
      </w:r>
      <w:r>
        <w:rPr>
          <w:rFonts w:hint="eastAsia" w:ascii="宋体" w:hAnsi="宋体" w:cs="宋体"/>
          <w:kern w:val="0"/>
          <w:szCs w:val="21"/>
        </w:rPr>
        <w:t>正确使用实验箱及简易面包板等；</w:t>
      </w:r>
    </w:p>
    <w:p>
      <w:pPr>
        <w:adjustRightInd w:val="0"/>
        <w:snapToGrid w:val="0"/>
        <w:spacing w:line="360" w:lineRule="auto"/>
        <w:ind w:firstLine="420" w:firstLineChars="200"/>
        <w:jc w:val="left"/>
        <w:rPr>
          <w:rFonts w:ascii="宋体"/>
          <w:szCs w:val="21"/>
        </w:rPr>
      </w:pPr>
      <w:r>
        <w:rPr>
          <w:rFonts w:hint="eastAsia" w:ascii="宋体"/>
          <w:szCs w:val="21"/>
        </w:rPr>
        <w:t xml:space="preserve">3、掌握示波器的基本原理，学习用示波器测量交流信号的幅度、周期及频率的方法； </w:t>
      </w:r>
    </w:p>
    <w:p>
      <w:pPr>
        <w:adjustRightInd w:val="0"/>
        <w:snapToGrid w:val="0"/>
        <w:spacing w:line="360" w:lineRule="auto"/>
        <w:ind w:firstLine="420" w:firstLineChars="200"/>
        <w:jc w:val="left"/>
        <w:rPr>
          <w:rFonts w:ascii="宋体"/>
          <w:szCs w:val="21"/>
        </w:rPr>
      </w:pPr>
      <w:r>
        <w:rPr>
          <w:rFonts w:hint="eastAsia" w:ascii="宋体"/>
          <w:szCs w:val="21"/>
        </w:rPr>
        <w:t>4、掌握低频信号发生器和低频毫伏表的工作原理</w:t>
      </w:r>
      <w:r>
        <w:rPr>
          <w:rFonts w:hint="eastAsia" w:ascii="宋体" w:hAnsi="宋体" w:cs="宋体"/>
          <w:kern w:val="0"/>
          <w:szCs w:val="21"/>
        </w:rPr>
        <w:t>；</w:t>
      </w:r>
    </w:p>
    <w:p>
      <w:pPr>
        <w:adjustRightInd w:val="0"/>
        <w:snapToGrid w:val="0"/>
        <w:spacing w:line="360" w:lineRule="auto"/>
        <w:ind w:firstLine="420" w:firstLineChars="200"/>
        <w:jc w:val="left"/>
        <w:rPr>
          <w:rFonts w:ascii="宋体"/>
          <w:szCs w:val="21"/>
        </w:rPr>
      </w:pPr>
      <w:r>
        <w:rPr>
          <w:rFonts w:hint="eastAsia" w:ascii="宋体"/>
          <w:szCs w:val="21"/>
        </w:rPr>
        <w:t>5、掌握用数字万用表合理测量电阻的方法，了解色环电阻标称值的判读法；</w:t>
      </w:r>
    </w:p>
    <w:p>
      <w:pPr>
        <w:adjustRightInd w:val="0"/>
        <w:snapToGrid w:val="0"/>
        <w:spacing w:line="360" w:lineRule="auto"/>
        <w:ind w:firstLine="420" w:firstLineChars="200"/>
        <w:jc w:val="left"/>
        <w:rPr>
          <w:rFonts w:ascii="宋体"/>
          <w:szCs w:val="21"/>
        </w:rPr>
      </w:pPr>
      <w:r>
        <w:rPr>
          <w:rFonts w:hint="eastAsia" w:ascii="宋体"/>
          <w:szCs w:val="21"/>
        </w:rPr>
        <w:t>6、掌握用数字万用表测试二极管的极性、判别二极管材质；</w:t>
      </w:r>
    </w:p>
    <w:p>
      <w:pPr>
        <w:adjustRightInd w:val="0"/>
        <w:snapToGrid w:val="0"/>
        <w:spacing w:line="360" w:lineRule="auto"/>
        <w:ind w:firstLine="420" w:firstLineChars="200"/>
        <w:jc w:val="left"/>
        <w:rPr>
          <w:rFonts w:ascii="宋体"/>
          <w:szCs w:val="21"/>
        </w:rPr>
      </w:pPr>
      <w:r>
        <w:rPr>
          <w:rFonts w:hint="eastAsia" w:ascii="宋体"/>
          <w:szCs w:val="21"/>
        </w:rPr>
        <w:t>7、掌握用数字万用表测试晶体三极管极性、类型与材质的方法。</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实验二（硬件）基本放大电路实验（4学时）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w:t>
      </w:r>
      <w:r>
        <w:rPr>
          <w:rFonts w:hint="eastAsia" w:ascii="宋体"/>
          <w:szCs w:val="21"/>
        </w:rPr>
        <w:t>学习检查、测量、调整放大器静态工作点的方法。研究偏置电路对放大器静态工作点的影响及静态工作点设置不当产生的波形失真。观察输入、输出波形的相位关系，进一步熟悉常用仪器的使用。</w:t>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1、掌握基本放大电路的静工作点的测量方法；</w:t>
      </w:r>
    </w:p>
    <w:p>
      <w:pPr>
        <w:adjustRightInd w:val="0"/>
        <w:snapToGrid w:val="0"/>
        <w:spacing w:line="360" w:lineRule="auto"/>
        <w:ind w:firstLine="420" w:firstLineChars="200"/>
        <w:jc w:val="left"/>
        <w:rPr>
          <w:rFonts w:ascii="宋体"/>
          <w:szCs w:val="21"/>
        </w:rPr>
      </w:pPr>
      <w:r>
        <w:rPr>
          <w:rFonts w:hint="eastAsia" w:ascii="宋体"/>
          <w:szCs w:val="21"/>
        </w:rPr>
        <w:t>2、掌握基本放大电路的电压放大倍数的测量方法；</w:t>
      </w:r>
    </w:p>
    <w:p>
      <w:pPr>
        <w:adjustRightInd w:val="0"/>
        <w:snapToGrid w:val="0"/>
        <w:spacing w:line="360" w:lineRule="auto"/>
        <w:ind w:firstLine="420" w:firstLineChars="200"/>
        <w:jc w:val="left"/>
        <w:rPr>
          <w:rFonts w:ascii="宋体"/>
          <w:szCs w:val="21"/>
        </w:rPr>
      </w:pPr>
      <w:r>
        <w:rPr>
          <w:rFonts w:hint="eastAsia" w:ascii="宋体"/>
          <w:szCs w:val="21"/>
        </w:rPr>
        <w:t>3、掌握放大电路输入、输出电阻的测量方法；</w:t>
      </w:r>
    </w:p>
    <w:p>
      <w:pPr>
        <w:adjustRightInd w:val="0"/>
        <w:snapToGrid w:val="0"/>
        <w:spacing w:line="360" w:lineRule="auto"/>
        <w:ind w:firstLine="420" w:firstLineChars="200"/>
        <w:jc w:val="left"/>
        <w:rPr>
          <w:rFonts w:ascii="宋体"/>
          <w:szCs w:val="21"/>
        </w:rPr>
      </w:pPr>
      <w:r>
        <w:rPr>
          <w:rFonts w:hint="eastAsia" w:ascii="宋体"/>
          <w:szCs w:val="21"/>
        </w:rPr>
        <w:t>4、了解放大电路不失真输出的最大临界输入电压的调试测量方法；</w:t>
      </w:r>
    </w:p>
    <w:p>
      <w:pPr>
        <w:adjustRightInd w:val="0"/>
        <w:snapToGrid w:val="0"/>
        <w:spacing w:line="360" w:lineRule="auto"/>
        <w:ind w:firstLine="420" w:firstLineChars="200"/>
        <w:jc w:val="left"/>
        <w:rPr>
          <w:rFonts w:ascii="宋体"/>
          <w:szCs w:val="21"/>
        </w:rPr>
      </w:pPr>
      <w:r>
        <w:rPr>
          <w:rFonts w:hint="eastAsia" w:ascii="宋体"/>
          <w:szCs w:val="21"/>
        </w:rPr>
        <w:t>5、了解电路元器件参数改变对静态工作点及电压放大倍数的影响；</w:t>
      </w:r>
    </w:p>
    <w:p>
      <w:pPr>
        <w:adjustRightInd w:val="0"/>
        <w:snapToGrid w:val="0"/>
        <w:spacing w:line="360" w:lineRule="auto"/>
        <w:ind w:firstLine="420" w:firstLineChars="200"/>
        <w:jc w:val="left"/>
        <w:rPr>
          <w:rFonts w:ascii="宋体"/>
          <w:szCs w:val="21"/>
        </w:rPr>
      </w:pPr>
      <w:r>
        <w:rPr>
          <w:rFonts w:hint="eastAsia" w:ascii="宋体"/>
          <w:szCs w:val="21"/>
        </w:rPr>
        <w:t>6、了解负载变化对电路放大倍数的影响。</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实验三（软件） Multisim仿真软件的使用（4学时）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内容：了解EDA技术的发展，应用概述，熟悉Multisim仿真软件的使用。</w:t>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1、掌握Multisim软件的基本操作界面、元器件调用，常用仪表的设置；</w:t>
      </w:r>
    </w:p>
    <w:p>
      <w:pPr>
        <w:adjustRightInd w:val="0"/>
        <w:snapToGrid w:val="0"/>
        <w:spacing w:line="360" w:lineRule="auto"/>
        <w:ind w:firstLine="420" w:firstLineChars="200"/>
        <w:jc w:val="left"/>
        <w:rPr>
          <w:rFonts w:ascii="宋体"/>
          <w:szCs w:val="21"/>
        </w:rPr>
      </w:pPr>
      <w:r>
        <w:rPr>
          <w:rFonts w:hint="eastAsia" w:ascii="宋体"/>
          <w:szCs w:val="21"/>
        </w:rPr>
        <w:t>2、以晶体管共射放大电路为例，通过电路静态工作点、电压放大倍数，输入电阻、输出电阻的测试，掌握示波器、函数信号发生器、直流表、交流表等虚拟仪器的使用，掌握利用Multisim软件进行静态和动态测试的方法</w:t>
      </w:r>
      <w:r>
        <w:rPr>
          <w:rFonts w:hint="eastAsia" w:ascii="宋体" w:hAnsi="宋体" w:cs="宋体"/>
          <w:kern w:val="0"/>
          <w:szCs w:val="21"/>
        </w:rPr>
        <w:t>；</w:t>
      </w:r>
    </w:p>
    <w:p>
      <w:pPr>
        <w:adjustRightInd w:val="0"/>
        <w:snapToGrid w:val="0"/>
        <w:spacing w:line="360" w:lineRule="auto"/>
        <w:ind w:firstLine="420" w:firstLineChars="200"/>
        <w:jc w:val="left"/>
        <w:rPr>
          <w:rFonts w:ascii="宋体"/>
          <w:szCs w:val="21"/>
        </w:rPr>
      </w:pPr>
      <w:r>
        <w:rPr>
          <w:rFonts w:hint="eastAsia" w:ascii="宋体"/>
          <w:szCs w:val="21"/>
        </w:rPr>
        <w:t>3、掌握失真度分析仪的使用方法。</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实验四（硬件）差动放大电路实验（2学时）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w:t>
      </w:r>
      <w:r>
        <w:rPr>
          <w:rFonts w:hint="eastAsia"/>
          <w:szCs w:val="21"/>
        </w:rPr>
        <w:t>根据题目要求，根据实验电路</w:t>
      </w:r>
      <w:r>
        <w:rPr>
          <w:rFonts w:hint="eastAsia" w:ascii="宋体" w:hAnsi="宋体"/>
          <w:szCs w:val="21"/>
        </w:rPr>
        <w:t>图装接电路，测量静态工作点和差模、共模电压放大倍数。</w:t>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1、掌握差动放大电路的工作原理，利用实验箱正确连接电路；</w:t>
      </w:r>
    </w:p>
    <w:p>
      <w:pPr>
        <w:adjustRightInd w:val="0"/>
        <w:snapToGrid w:val="0"/>
        <w:spacing w:line="360" w:lineRule="auto"/>
        <w:ind w:firstLine="420" w:firstLineChars="200"/>
        <w:jc w:val="left"/>
        <w:rPr>
          <w:rFonts w:ascii="宋体"/>
          <w:szCs w:val="21"/>
        </w:rPr>
      </w:pPr>
      <w:r>
        <w:rPr>
          <w:rFonts w:hint="eastAsia" w:ascii="宋体"/>
          <w:szCs w:val="21"/>
        </w:rPr>
        <w:t>2、了解静态工作点调零方法，了解</w:t>
      </w:r>
      <w:r>
        <w:rPr>
          <w:rFonts w:hint="eastAsia" w:ascii="宋体"/>
          <w:position w:val="-12"/>
          <w:szCs w:val="21"/>
        </w:rPr>
        <w:object>
          <v:shape id="_x0000_i1047" o:spt="75" type="#_x0000_t75" style="height:18pt;width:15pt;" o:ole="t" filled="f" o:preferrelative="t" stroked="f" coordsize="21600,21600">
            <v:path/>
            <v:fill on="f" focussize="0,0"/>
            <v:stroke on="f" joinstyle="miter"/>
            <v:imagedata r:id="rId199" o:title=""/>
            <o:lock v:ext="edit" aspectratio="t"/>
            <w10:wrap type="none"/>
            <w10:anchorlock/>
          </v:shape>
          <o:OLEObject Type="Embed" ProgID="Equation.3" ShapeID="_x0000_i1047" DrawAspect="Content" ObjectID="_1468075747" r:id="rId198">
            <o:LockedField>false</o:LockedField>
          </o:OLEObject>
        </w:object>
      </w:r>
      <w:r>
        <w:rPr>
          <w:rFonts w:hint="eastAsia" w:ascii="宋体"/>
          <w:szCs w:val="21"/>
        </w:rPr>
        <w:t>对共模信号的抑制作用；</w:t>
      </w:r>
    </w:p>
    <w:p>
      <w:pPr>
        <w:adjustRightInd w:val="0"/>
        <w:snapToGrid w:val="0"/>
        <w:spacing w:line="360" w:lineRule="auto"/>
        <w:ind w:firstLine="420" w:firstLineChars="200"/>
        <w:jc w:val="left"/>
        <w:rPr>
          <w:rFonts w:ascii="宋体"/>
          <w:szCs w:val="21"/>
        </w:rPr>
      </w:pPr>
      <w:r>
        <w:rPr>
          <w:rFonts w:hint="eastAsia" w:ascii="宋体"/>
          <w:szCs w:val="21"/>
        </w:rPr>
        <w:t>3、正确测试多种输入输出模式下的差模电压放大倍数。</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 xml:space="preserve">实验五（硬件） </w:t>
      </w:r>
      <w:r>
        <w:rPr>
          <w:rFonts w:hint="eastAsia" w:ascii="宋体" w:hAnsi="宋体" w:cs="宋体"/>
          <w:kern w:val="0"/>
          <w:szCs w:val="21"/>
        </w:rPr>
        <w:t xml:space="preserve"> </w:t>
      </w:r>
      <w:r>
        <w:rPr>
          <w:rFonts w:hint="eastAsia" w:ascii="黑体" w:eastAsia="黑体"/>
          <w:szCs w:val="21"/>
        </w:rPr>
        <w:t>负反馈放大电路实验一——电压并联负反馈（2学时）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w:t>
      </w:r>
      <w:r>
        <w:rPr>
          <w:rFonts w:hint="eastAsia"/>
          <w:szCs w:val="21"/>
        </w:rPr>
        <w:t>根据题目要求，选用实验电路</w:t>
      </w:r>
      <w:r>
        <w:rPr>
          <w:rFonts w:hint="eastAsia" w:ascii="宋体" w:hAnsi="宋体"/>
          <w:szCs w:val="21"/>
        </w:rPr>
        <w:t>图安装连接电路，</w:t>
      </w:r>
      <w:r>
        <w:rPr>
          <w:rFonts w:hint="eastAsia" w:ascii="宋体" w:hAnsi="宋体" w:cs="宋体"/>
          <w:kern w:val="0"/>
          <w:szCs w:val="21"/>
        </w:rPr>
        <w:t>测量放大电路的电压放大倍数、输入电阻、输出电阻等性能指标。</w:t>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1、加深理解负反馈放大电路的工作原理及负反馈对放大电路性能的影响；</w:t>
      </w:r>
    </w:p>
    <w:p>
      <w:pPr>
        <w:adjustRightInd w:val="0"/>
        <w:snapToGrid w:val="0"/>
        <w:spacing w:line="360" w:lineRule="auto"/>
        <w:ind w:firstLine="420" w:firstLineChars="200"/>
        <w:jc w:val="left"/>
        <w:rPr>
          <w:rFonts w:ascii="宋体"/>
          <w:szCs w:val="21"/>
        </w:rPr>
      </w:pPr>
      <w:r>
        <w:rPr>
          <w:rFonts w:hint="eastAsia" w:ascii="宋体"/>
          <w:szCs w:val="21"/>
        </w:rPr>
        <w:t>2、正确使用集成运放uA741，设计并连接具有深度负反馈的反相比例放大电路；</w:t>
      </w:r>
    </w:p>
    <w:p>
      <w:pPr>
        <w:adjustRightInd w:val="0"/>
        <w:snapToGrid w:val="0"/>
        <w:spacing w:line="360" w:lineRule="auto"/>
        <w:ind w:firstLine="420"/>
        <w:jc w:val="left"/>
        <w:rPr>
          <w:rFonts w:ascii="宋体"/>
          <w:szCs w:val="21"/>
        </w:rPr>
      </w:pPr>
      <w:r>
        <w:rPr>
          <w:rFonts w:hint="eastAsia" w:ascii="宋体"/>
          <w:szCs w:val="21"/>
        </w:rPr>
        <w:t>3、正确测量负反馈放大电路的闭环增益、输入电阻、输出电阻、上限频率等参数，了解放大电路的增益带宽积。</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实验六（硬件）  比例、求和运算电路实验（2学时）</w:t>
      </w:r>
    </w:p>
    <w:p>
      <w:pPr>
        <w:adjustRightInd w:val="0"/>
        <w:snapToGrid w:val="0"/>
        <w:spacing w:line="360" w:lineRule="auto"/>
        <w:ind w:firstLine="420" w:firstLineChars="200"/>
        <w:rPr>
          <w:rFonts w:ascii="宋体" w:hAnsi="宋体"/>
          <w:szCs w:val="21"/>
        </w:rPr>
      </w:pPr>
      <w:r>
        <w:rPr>
          <w:rFonts w:hint="eastAsia" w:ascii="宋体" w:hAnsi="宋体"/>
          <w:szCs w:val="21"/>
        </w:rPr>
        <w:t>内容：比例运算电路实验；</w:t>
      </w:r>
      <w:r>
        <w:rPr>
          <w:rFonts w:hint="eastAsia" w:ascii="宋体"/>
          <w:szCs w:val="21"/>
        </w:rPr>
        <w:t>求和运算电路实验（可根据实际情况从实验指导书所列的设计性实验题目中选做一个或多个）。</w:t>
      </w:r>
      <w:r>
        <w:rPr>
          <w:rFonts w:hint="eastAsia" w:ascii="宋体"/>
          <w:szCs w:val="21"/>
        </w:rPr>
        <w:tab/>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jc w:val="left"/>
        <w:rPr>
          <w:rFonts w:ascii="宋体"/>
          <w:szCs w:val="21"/>
        </w:rPr>
      </w:pPr>
      <w:r>
        <w:rPr>
          <w:rFonts w:hint="eastAsia" w:ascii="宋体"/>
          <w:szCs w:val="21"/>
        </w:rPr>
        <w:t xml:space="preserve">    1、熟悉由集成运算放大器组成的基本比例运算电路的运算关系，掌握集成比例运算电路的调试和实验方法，验证理论分析结果；</w:t>
      </w:r>
    </w:p>
    <w:p>
      <w:pPr>
        <w:adjustRightInd w:val="0"/>
        <w:snapToGrid w:val="0"/>
        <w:spacing w:line="360" w:lineRule="auto"/>
        <w:ind w:firstLine="420"/>
        <w:jc w:val="left"/>
        <w:rPr>
          <w:rFonts w:ascii="宋体"/>
          <w:szCs w:val="21"/>
        </w:rPr>
      </w:pPr>
      <w:r>
        <w:rPr>
          <w:rFonts w:hint="eastAsia" w:ascii="宋体"/>
          <w:szCs w:val="21"/>
        </w:rPr>
        <w:t>2、加深对集成运算电路各元件之间，输入输出之间函数关系的理解。通过设计计算，学会选择求和运算电路中个别元件参数。</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rPr>
          <w:rFonts w:ascii="黑体" w:eastAsia="黑体"/>
          <w:szCs w:val="21"/>
        </w:rPr>
      </w:pPr>
      <w:r>
        <w:rPr>
          <w:rFonts w:hint="eastAsia" w:ascii="黑体" w:eastAsia="黑体"/>
          <w:szCs w:val="21"/>
        </w:rPr>
        <w:t>实验七（软件）  负反馈放大电路实验二（2学时）——电流串联负反馈</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w:t>
      </w:r>
      <w:r>
        <w:rPr>
          <w:rFonts w:hint="eastAsia"/>
          <w:szCs w:val="21"/>
        </w:rPr>
        <w:t>根据题目要求，选用实验电路</w:t>
      </w:r>
      <w:r>
        <w:rPr>
          <w:rFonts w:hint="eastAsia" w:ascii="宋体" w:hAnsi="宋体"/>
          <w:szCs w:val="21"/>
        </w:rPr>
        <w:t>图安装连接电路，</w:t>
      </w:r>
      <w:r>
        <w:rPr>
          <w:rFonts w:hint="eastAsia" w:ascii="宋体" w:hAnsi="宋体" w:cs="宋体"/>
          <w:kern w:val="0"/>
          <w:szCs w:val="21"/>
        </w:rPr>
        <w:t>测量放大电路的电压放大倍数、输入电阻、输出电阻等性能指标。</w:t>
      </w:r>
    </w:p>
    <w:p>
      <w:pPr>
        <w:adjustRightInd w:val="0"/>
        <w:snapToGrid w:val="0"/>
        <w:spacing w:line="360" w:lineRule="auto"/>
        <w:ind w:firstLine="420" w:firstLineChars="200"/>
        <w:jc w:val="left"/>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1、加深理解负反馈放大电路的工作原理及负反馈对放大电路性能的影响；</w:t>
      </w:r>
    </w:p>
    <w:p>
      <w:pPr>
        <w:adjustRightInd w:val="0"/>
        <w:snapToGrid w:val="0"/>
        <w:spacing w:line="360" w:lineRule="auto"/>
        <w:ind w:firstLine="420" w:firstLineChars="200"/>
        <w:jc w:val="left"/>
        <w:rPr>
          <w:rFonts w:ascii="宋体"/>
          <w:szCs w:val="21"/>
        </w:rPr>
      </w:pPr>
      <w:r>
        <w:rPr>
          <w:rFonts w:hint="eastAsia" w:ascii="宋体"/>
          <w:szCs w:val="21"/>
        </w:rPr>
        <w:t>2、正确使用集成运放uA741，设计并连接具有深度负反馈的电流串联负反馈放大电路；</w:t>
      </w:r>
    </w:p>
    <w:p>
      <w:pPr>
        <w:adjustRightInd w:val="0"/>
        <w:snapToGrid w:val="0"/>
        <w:spacing w:line="360" w:lineRule="auto"/>
        <w:ind w:firstLine="420"/>
        <w:jc w:val="left"/>
        <w:rPr>
          <w:rFonts w:ascii="宋体"/>
          <w:szCs w:val="21"/>
        </w:rPr>
      </w:pPr>
      <w:r>
        <w:rPr>
          <w:rFonts w:hint="eastAsia" w:ascii="宋体"/>
          <w:szCs w:val="21"/>
        </w:rPr>
        <w:t>3、正确测量负反馈放大电路的闭环增益、输入电阻、输出电阻、上限频率等参数，了解放大电路的增益带宽积。</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rPr>
          <w:rFonts w:ascii="黑体" w:eastAsia="黑体"/>
          <w:szCs w:val="21"/>
        </w:rPr>
      </w:pPr>
      <w:r>
        <w:rPr>
          <w:rFonts w:hint="eastAsia" w:ascii="黑体" w:eastAsia="黑体"/>
          <w:szCs w:val="21"/>
        </w:rPr>
        <w:t>实验八（硬件） 积分运算电路实验（2学时）</w:t>
      </w:r>
    </w:p>
    <w:p>
      <w:pPr>
        <w:adjustRightInd w:val="0"/>
        <w:snapToGrid w:val="0"/>
        <w:spacing w:line="360" w:lineRule="auto"/>
        <w:ind w:firstLine="420" w:firstLineChars="200"/>
        <w:rPr>
          <w:rFonts w:ascii="宋体" w:hAnsi="宋体"/>
          <w:szCs w:val="21"/>
        </w:rPr>
      </w:pPr>
      <w:r>
        <w:rPr>
          <w:rFonts w:hint="eastAsia" w:ascii="宋体" w:hAnsi="宋体"/>
          <w:szCs w:val="21"/>
        </w:rPr>
        <w:t>内容：求和积分器；积分-微分电路实验</w:t>
      </w:r>
      <w:r>
        <w:rPr>
          <w:rFonts w:hint="eastAsia" w:ascii="宋体"/>
          <w:szCs w:val="21"/>
        </w:rPr>
        <w:t>（可根据实际情况从实验指导书所列的设计性实验题目中选做一个或多个）</w:t>
      </w:r>
      <w:r>
        <w:rPr>
          <w:rFonts w:hint="eastAsia" w:ascii="宋体" w:hAnsi="宋体"/>
          <w:szCs w:val="21"/>
        </w:rPr>
        <w:t>。</w:t>
      </w:r>
      <w:r>
        <w:rPr>
          <w:rFonts w:hint="eastAsia" w:ascii="宋体"/>
          <w:szCs w:val="21"/>
        </w:rPr>
        <w:tab/>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rFonts w:ascii="宋体"/>
          <w:szCs w:val="21"/>
        </w:rPr>
      </w:pPr>
      <w:r>
        <w:rPr>
          <w:rFonts w:hint="eastAsia" w:ascii="宋体"/>
          <w:szCs w:val="21"/>
        </w:rPr>
        <w:t>1、通过积分运算电路设计性实验，学会简单积分电路的设计及调试方法；</w:t>
      </w:r>
    </w:p>
    <w:p>
      <w:pPr>
        <w:adjustRightInd w:val="0"/>
        <w:snapToGrid w:val="0"/>
        <w:spacing w:line="360" w:lineRule="auto"/>
        <w:ind w:firstLine="420" w:firstLineChars="200"/>
        <w:rPr>
          <w:rFonts w:ascii="宋体"/>
          <w:szCs w:val="21"/>
        </w:rPr>
      </w:pPr>
      <w:r>
        <w:rPr>
          <w:rFonts w:hint="eastAsia" w:ascii="宋体"/>
          <w:szCs w:val="21"/>
        </w:rPr>
        <w:t>2、通过改变积分电路参数进一步理解参数选择的重要性；</w:t>
      </w:r>
    </w:p>
    <w:p>
      <w:pPr>
        <w:adjustRightInd w:val="0"/>
        <w:snapToGrid w:val="0"/>
        <w:spacing w:line="360" w:lineRule="auto"/>
        <w:ind w:firstLine="420" w:firstLineChars="200"/>
        <w:rPr>
          <w:rFonts w:ascii="宋体"/>
          <w:szCs w:val="21"/>
        </w:rPr>
      </w:pPr>
      <w:r>
        <w:rPr>
          <w:rFonts w:hint="eastAsia" w:ascii="宋体"/>
          <w:szCs w:val="21"/>
        </w:rPr>
        <w:t>3、了解引起积分器运算误差的因素，初步掌握减小误差的方法。</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1</w:t>
      </w:r>
      <w:r>
        <w:rPr>
          <w:rFonts w:hint="eastAsia" w:cs="宋体"/>
          <w:bCs/>
          <w:snapToGrid w:val="0"/>
          <w:kern w:val="0"/>
          <w:szCs w:val="21"/>
        </w:rPr>
        <w:t>、</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firstLine="420" w:firstLineChars="200"/>
        <w:rPr>
          <w:rFonts w:ascii="黑体" w:eastAsia="黑体"/>
          <w:szCs w:val="21"/>
        </w:rPr>
      </w:pPr>
      <w:r>
        <w:rPr>
          <w:rFonts w:hint="eastAsia" w:ascii="黑体" w:eastAsia="黑体"/>
          <w:szCs w:val="21"/>
        </w:rPr>
        <w:t>实验九（软件）有源滤波电路实验（2学时）</w:t>
      </w:r>
    </w:p>
    <w:p>
      <w:pPr>
        <w:adjustRightInd w:val="0"/>
        <w:snapToGrid w:val="0"/>
        <w:spacing w:line="360" w:lineRule="auto"/>
        <w:ind w:firstLine="420" w:firstLineChars="200"/>
        <w:rPr>
          <w:rFonts w:ascii="宋体" w:hAnsi="宋体"/>
          <w:szCs w:val="21"/>
        </w:rPr>
      </w:pPr>
      <w:r>
        <w:rPr>
          <w:rFonts w:hint="eastAsia" w:ascii="宋体" w:hAnsi="宋体"/>
          <w:szCs w:val="21"/>
        </w:rPr>
        <w:t>内容：根据所设计任务需要的指标，确定电路形式，列出电路传递函数，计算电路中各元件参数，分析和检查元件参数的误差项，进行复算，看是否满足设计指标，最后装接电路</w:t>
      </w:r>
      <w:r>
        <w:rPr>
          <w:rFonts w:hint="eastAsia" w:ascii="宋体"/>
          <w:szCs w:val="21"/>
        </w:rPr>
        <w:t>（可根据实际情况从实验指导书所列的设计性实验题目中选做一个或多个）</w:t>
      </w:r>
      <w:r>
        <w:rPr>
          <w:rFonts w:hint="eastAsia" w:ascii="宋体" w:hAnsi="宋体"/>
          <w:szCs w:val="21"/>
        </w:rPr>
        <w:t>。</w:t>
      </w:r>
      <w:r>
        <w:rPr>
          <w:rFonts w:hint="eastAsia" w:ascii="宋体"/>
          <w:szCs w:val="21"/>
        </w:rPr>
        <w:tab/>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rFonts w:ascii="宋体"/>
          <w:szCs w:val="21"/>
        </w:rPr>
      </w:pPr>
      <w:r>
        <w:rPr>
          <w:rFonts w:hint="eastAsia" w:ascii="宋体"/>
          <w:szCs w:val="21"/>
        </w:rPr>
        <w:t>1、</w:t>
      </w:r>
      <w:r>
        <w:rPr>
          <w:rFonts w:hint="eastAsia" w:ascii="宋体" w:hAnsi="宋体"/>
          <w:szCs w:val="21"/>
        </w:rPr>
        <w:t>熟悉用运放、电阻和电容组成的有源低通滤波、高通滤波和带通、带阻滤波器；</w:t>
      </w:r>
    </w:p>
    <w:p>
      <w:pPr>
        <w:adjustRightInd w:val="0"/>
        <w:snapToGrid w:val="0"/>
        <w:spacing w:line="360" w:lineRule="auto"/>
        <w:ind w:firstLine="420" w:firstLineChars="200"/>
        <w:rPr>
          <w:rFonts w:ascii="宋体"/>
          <w:szCs w:val="21"/>
        </w:rPr>
      </w:pPr>
      <w:r>
        <w:rPr>
          <w:rFonts w:hint="eastAsia" w:ascii="宋体"/>
          <w:szCs w:val="21"/>
        </w:rPr>
        <w:t>2、掌握低通、高通等基本二阶RC有源滤波器快速设计方法；</w:t>
      </w:r>
    </w:p>
    <w:p>
      <w:pPr>
        <w:adjustRightInd w:val="0"/>
        <w:snapToGrid w:val="0"/>
        <w:spacing w:line="360" w:lineRule="auto"/>
        <w:ind w:firstLine="420" w:firstLineChars="200"/>
        <w:rPr>
          <w:rFonts w:ascii="宋体"/>
          <w:szCs w:val="21"/>
        </w:rPr>
      </w:pPr>
      <w:r>
        <w:rPr>
          <w:rFonts w:hint="eastAsia" w:ascii="宋体"/>
          <w:szCs w:val="21"/>
        </w:rPr>
        <w:t>3、学会波特图仪的使用方法，掌握滤波器的调试和幅频响应的测量方法。</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rPr>
          <w:rFonts w:ascii="黑体" w:eastAsia="黑体"/>
          <w:szCs w:val="21"/>
        </w:rPr>
      </w:pPr>
      <w:r>
        <w:rPr>
          <w:rFonts w:hint="eastAsia" w:ascii="黑体" w:eastAsia="黑体"/>
          <w:szCs w:val="21"/>
        </w:rPr>
        <w:t>实验十（硬件）  波形产生电路实验（2学时）</w:t>
      </w:r>
    </w:p>
    <w:p>
      <w:pPr>
        <w:adjustRightInd w:val="0"/>
        <w:snapToGrid w:val="0"/>
        <w:spacing w:line="360" w:lineRule="auto"/>
        <w:ind w:firstLine="420" w:firstLineChars="200"/>
        <w:rPr>
          <w:rFonts w:ascii="宋体" w:hAnsi="宋体"/>
          <w:szCs w:val="21"/>
        </w:rPr>
      </w:pPr>
      <w:r>
        <w:rPr>
          <w:rFonts w:hint="eastAsia" w:ascii="宋体" w:hAnsi="宋体"/>
          <w:szCs w:val="21"/>
        </w:rPr>
        <w:t>内容：</w:t>
      </w:r>
      <w:r>
        <w:rPr>
          <w:rFonts w:hint="eastAsia" w:ascii="宋体"/>
          <w:szCs w:val="21"/>
        </w:rPr>
        <w:t>通过对集成运算放大器组成的RC正弦波振荡电路的实验设计，确定元件参数的选择，熟悉波形发生电路的电路组成以及理论设计与实验调整相结合的设计方法（可根据实际情况从实验指导书所列的设计性实验题目中选做一个或多个）。</w:t>
      </w:r>
      <w:r>
        <w:rPr>
          <w:rFonts w:hint="eastAsia" w:ascii="宋体"/>
          <w:szCs w:val="21"/>
        </w:rPr>
        <w:tab/>
      </w:r>
      <w:r>
        <w:rPr>
          <w:rFonts w:hint="eastAsia" w:ascii="宋体"/>
          <w:szCs w:val="21"/>
        </w:rPr>
        <w:tab/>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rFonts w:ascii="宋体"/>
          <w:szCs w:val="21"/>
        </w:rPr>
      </w:pPr>
      <w:r>
        <w:rPr>
          <w:rFonts w:hint="eastAsia" w:ascii="宋体"/>
          <w:szCs w:val="21"/>
        </w:rPr>
        <w:t>1、集成运算放大器在振荡电路方面的应用；</w:t>
      </w:r>
    </w:p>
    <w:p>
      <w:pPr>
        <w:adjustRightInd w:val="0"/>
        <w:snapToGrid w:val="0"/>
        <w:spacing w:line="360" w:lineRule="auto"/>
        <w:ind w:firstLine="420" w:firstLineChars="200"/>
        <w:rPr>
          <w:rFonts w:ascii="宋体"/>
          <w:szCs w:val="21"/>
        </w:rPr>
      </w:pPr>
      <w:r>
        <w:rPr>
          <w:rFonts w:hint="eastAsia" w:ascii="宋体"/>
          <w:szCs w:val="21"/>
        </w:rPr>
        <w:t>2、通过设计性实验，全面掌握波形发生电路理论设计与实验调整相结合的设计方法。</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rPr>
          <w:rFonts w:ascii="黑体" w:eastAsia="黑体"/>
          <w:szCs w:val="21"/>
        </w:rPr>
      </w:pPr>
      <w:r>
        <w:rPr>
          <w:rFonts w:hint="eastAsia" w:ascii="黑体" w:eastAsia="黑体"/>
          <w:szCs w:val="21"/>
        </w:rPr>
        <w:t>实验十一 （软件） 功率放大电路实验（2学时）</w:t>
      </w:r>
    </w:p>
    <w:p>
      <w:pPr>
        <w:adjustRightInd w:val="0"/>
        <w:snapToGrid w:val="0"/>
        <w:spacing w:line="360" w:lineRule="auto"/>
        <w:ind w:firstLine="420" w:firstLineChars="200"/>
        <w:rPr>
          <w:rFonts w:ascii="宋体" w:hAnsi="宋体"/>
          <w:szCs w:val="21"/>
        </w:rPr>
      </w:pPr>
      <w:r>
        <w:rPr>
          <w:rFonts w:hint="eastAsia" w:ascii="宋体" w:hAnsi="宋体"/>
          <w:szCs w:val="21"/>
        </w:rPr>
        <w:t>内容：掌握低频功率放大器的性能特点和工作原理，熟悉OTL功率放大的构成及消除交越失真的方法。</w:t>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rFonts w:ascii="宋体"/>
          <w:szCs w:val="21"/>
        </w:rPr>
      </w:pPr>
      <w:r>
        <w:rPr>
          <w:rFonts w:hint="eastAsia" w:ascii="宋体"/>
          <w:szCs w:val="21"/>
        </w:rPr>
        <w:t>1、</w:t>
      </w:r>
      <w:r>
        <w:rPr>
          <w:rFonts w:hint="eastAsia" w:ascii="宋体" w:hAnsi="宋体"/>
          <w:szCs w:val="21"/>
        </w:rPr>
        <w:t>熟悉“OTL”功率放大器的工作原理，学会静态工作点的调整和基本参数的测试方法；</w:t>
      </w:r>
    </w:p>
    <w:p>
      <w:pPr>
        <w:adjustRightInd w:val="0"/>
        <w:snapToGrid w:val="0"/>
        <w:spacing w:line="360" w:lineRule="auto"/>
        <w:ind w:firstLine="420" w:firstLineChars="200"/>
        <w:rPr>
          <w:rFonts w:ascii="宋体"/>
          <w:szCs w:val="21"/>
        </w:rPr>
      </w:pPr>
      <w:r>
        <w:rPr>
          <w:rFonts w:hint="eastAsia" w:ascii="宋体"/>
          <w:szCs w:val="21"/>
        </w:rPr>
        <w:t>2、进一步理解功率放大电路多数采用甲乙类推挽功率放大电路，而不采用乙类推挽功率放大电路的原因。</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实验十二（硬件考试）（2学时）</w:t>
      </w:r>
    </w:p>
    <w:p>
      <w:pPr>
        <w:adjustRightInd w:val="0"/>
        <w:snapToGrid w:val="0"/>
        <w:spacing w:line="360" w:lineRule="auto"/>
        <w:ind w:firstLine="420" w:firstLineChars="200"/>
        <w:jc w:val="left"/>
        <w:rPr>
          <w:rFonts w:ascii="宋体" w:hAnsi="宋体"/>
          <w:szCs w:val="21"/>
        </w:rPr>
      </w:pPr>
      <w:r>
        <w:rPr>
          <w:rFonts w:hint="eastAsia" w:ascii="宋体" w:hAnsi="宋体"/>
          <w:szCs w:val="21"/>
        </w:rPr>
        <w:t>内容：从试题库抽取进行考试，考查学生硬件实验的掌握程度，对仪器使用的熟练程度，以及实验方法的研究及设计能力。</w:t>
      </w:r>
    </w:p>
    <w:p>
      <w:pPr>
        <w:adjustRightInd w:val="0"/>
        <w:snapToGrid w:val="0"/>
        <w:spacing w:line="360" w:lineRule="auto"/>
        <w:ind w:firstLine="420" w:firstLineChars="200"/>
        <w:rPr>
          <w:rFonts w:ascii="宋体" w:hAnsi="宋体"/>
          <w:szCs w:val="21"/>
        </w:rPr>
      </w:pPr>
      <w:r>
        <w:rPr>
          <w:rFonts w:hint="eastAsia" w:ascii="宋体" w:hAnsi="宋体"/>
          <w:szCs w:val="21"/>
        </w:rPr>
        <w:t>基本要求：</w:t>
      </w:r>
    </w:p>
    <w:p>
      <w:pPr>
        <w:pStyle w:val="31"/>
        <w:widowControl/>
        <w:numPr>
          <w:ilvl w:val="0"/>
          <w:numId w:val="20"/>
        </w:numPr>
        <w:adjustRightInd w:val="0"/>
        <w:snapToGrid w:val="0"/>
        <w:spacing w:line="360" w:lineRule="auto"/>
        <w:ind w:firstLineChars="0"/>
        <w:jc w:val="left"/>
        <w:rPr>
          <w:rFonts w:cs="宋体"/>
          <w:kern w:val="0"/>
          <w:szCs w:val="21"/>
        </w:rPr>
      </w:pPr>
      <w:r>
        <w:rPr>
          <w:rFonts w:hint="eastAsia" w:cs="宋体"/>
          <w:kern w:val="0"/>
          <w:szCs w:val="21"/>
        </w:rPr>
        <w:t>掌握常用小系统的设计方法；</w:t>
      </w:r>
    </w:p>
    <w:p>
      <w:pPr>
        <w:pStyle w:val="31"/>
        <w:widowControl/>
        <w:numPr>
          <w:ilvl w:val="0"/>
          <w:numId w:val="20"/>
        </w:numPr>
        <w:adjustRightInd w:val="0"/>
        <w:snapToGrid w:val="0"/>
        <w:spacing w:line="360" w:lineRule="auto"/>
        <w:ind w:firstLineChars="0"/>
        <w:jc w:val="left"/>
        <w:rPr>
          <w:rFonts w:cs="宋体"/>
          <w:kern w:val="0"/>
          <w:szCs w:val="21"/>
        </w:rPr>
      </w:pPr>
      <w:r>
        <w:rPr>
          <w:rFonts w:hint="eastAsia" w:cs="宋体"/>
          <w:kern w:val="0"/>
          <w:szCs w:val="21"/>
        </w:rPr>
        <w:t>能够选用合适的元器件并进行组装和调试所设计的系统；</w:t>
      </w:r>
    </w:p>
    <w:p>
      <w:pPr>
        <w:pStyle w:val="31"/>
        <w:widowControl/>
        <w:numPr>
          <w:ilvl w:val="0"/>
          <w:numId w:val="20"/>
        </w:numPr>
        <w:adjustRightInd w:val="0"/>
        <w:snapToGrid w:val="0"/>
        <w:spacing w:line="360" w:lineRule="auto"/>
        <w:ind w:firstLineChars="0"/>
        <w:jc w:val="left"/>
        <w:rPr>
          <w:rFonts w:cs="宋体"/>
          <w:kern w:val="0"/>
          <w:szCs w:val="21"/>
        </w:rPr>
      </w:pPr>
      <w:r>
        <w:rPr>
          <w:rFonts w:hint="eastAsia" w:ascii="宋体" w:hAnsi="宋体" w:cs="宋体"/>
          <w:kern w:val="0"/>
          <w:sz w:val="18"/>
          <w:szCs w:val="18"/>
        </w:rPr>
        <w:t>能够按照要求设计实验方案，用以测量电子电路的主要技术指标；</w:t>
      </w:r>
    </w:p>
    <w:p>
      <w:pPr>
        <w:pStyle w:val="31"/>
        <w:widowControl/>
        <w:numPr>
          <w:ilvl w:val="0"/>
          <w:numId w:val="20"/>
        </w:numPr>
        <w:adjustRightInd w:val="0"/>
        <w:snapToGrid w:val="0"/>
        <w:spacing w:line="360" w:lineRule="auto"/>
        <w:ind w:firstLineChars="0"/>
        <w:jc w:val="left"/>
        <w:rPr>
          <w:rFonts w:cs="宋体"/>
          <w:kern w:val="0"/>
          <w:szCs w:val="21"/>
        </w:rPr>
      </w:pPr>
      <w:r>
        <w:rPr>
          <w:rFonts w:hint="eastAsia" w:ascii="宋体" w:hAnsi="宋体" w:cs="宋体"/>
          <w:kern w:val="0"/>
          <w:sz w:val="18"/>
          <w:szCs w:val="18"/>
        </w:rPr>
        <w:t>能够根据撰写出合理的实验报告并对实验结果进行分析。</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p>
    <w:p>
      <w:pPr>
        <w:adjustRightInd w:val="0"/>
        <w:snapToGrid w:val="0"/>
        <w:spacing w:line="360" w:lineRule="auto"/>
        <w:ind w:firstLine="420" w:firstLineChars="200"/>
        <w:jc w:val="left"/>
        <w:rPr>
          <w:rFonts w:ascii="黑体" w:eastAsia="黑体"/>
          <w:szCs w:val="21"/>
        </w:rPr>
      </w:pPr>
      <w:r>
        <w:rPr>
          <w:rFonts w:hint="eastAsia" w:ascii="黑体" w:eastAsia="黑体"/>
          <w:szCs w:val="21"/>
        </w:rPr>
        <w:t>实验十三（软件考试）（2学时）</w:t>
      </w:r>
    </w:p>
    <w:p>
      <w:pPr>
        <w:adjustRightInd w:val="0"/>
        <w:snapToGrid w:val="0"/>
        <w:spacing w:line="360" w:lineRule="auto"/>
        <w:ind w:firstLine="420" w:firstLineChars="200"/>
        <w:jc w:val="left"/>
        <w:rPr>
          <w:rFonts w:ascii="宋体"/>
          <w:szCs w:val="21"/>
        </w:rPr>
      </w:pPr>
      <w:r>
        <w:rPr>
          <w:rFonts w:hint="eastAsia" w:ascii="宋体" w:hAnsi="宋体"/>
          <w:szCs w:val="21"/>
        </w:rPr>
        <w:t>从试题库抽取进行考试，</w:t>
      </w:r>
      <w:r>
        <w:rPr>
          <w:rFonts w:hint="eastAsia" w:ascii="宋体"/>
          <w:szCs w:val="21"/>
        </w:rPr>
        <w:t>考查学生软件实验的掌握程度，对仿真软件的熟悉程度，以及用软件对电路进行仿真和研究分析的能力。</w:t>
      </w:r>
    </w:p>
    <w:p>
      <w:pPr>
        <w:adjustRightInd w:val="0"/>
        <w:snapToGrid w:val="0"/>
        <w:spacing w:line="360" w:lineRule="auto"/>
        <w:ind w:firstLine="420" w:firstLineChars="200"/>
        <w:jc w:val="left"/>
        <w:rPr>
          <w:rFonts w:ascii="宋体"/>
          <w:szCs w:val="21"/>
        </w:rPr>
      </w:pPr>
      <w:r>
        <w:rPr>
          <w:rFonts w:hint="eastAsia" w:ascii="宋体"/>
          <w:szCs w:val="21"/>
        </w:rPr>
        <w:t>基本要求：</w:t>
      </w:r>
    </w:p>
    <w:p>
      <w:pPr>
        <w:adjustRightInd w:val="0"/>
        <w:snapToGrid w:val="0"/>
        <w:spacing w:line="360" w:lineRule="auto"/>
        <w:ind w:firstLine="420" w:firstLineChars="200"/>
        <w:jc w:val="left"/>
        <w:rPr>
          <w:rFonts w:ascii="宋体"/>
          <w:szCs w:val="21"/>
        </w:rPr>
      </w:pPr>
      <w:r>
        <w:rPr>
          <w:rFonts w:hint="eastAsia" w:ascii="宋体"/>
          <w:szCs w:val="21"/>
        </w:rPr>
        <w:t>1、能够掌握软件的使用；</w:t>
      </w:r>
    </w:p>
    <w:p>
      <w:pPr>
        <w:adjustRightInd w:val="0"/>
        <w:snapToGrid w:val="0"/>
        <w:spacing w:line="360" w:lineRule="auto"/>
        <w:ind w:firstLine="420" w:firstLineChars="200"/>
        <w:jc w:val="left"/>
        <w:rPr>
          <w:rFonts w:ascii="宋体"/>
          <w:szCs w:val="21"/>
        </w:rPr>
      </w:pPr>
      <w:r>
        <w:rPr>
          <w:rFonts w:hint="eastAsia" w:ascii="宋体"/>
          <w:szCs w:val="21"/>
        </w:rPr>
        <w:t>2、能够用软件进行电路仿真；</w:t>
      </w:r>
    </w:p>
    <w:p>
      <w:pPr>
        <w:adjustRightInd w:val="0"/>
        <w:snapToGrid w:val="0"/>
        <w:spacing w:line="360" w:lineRule="auto"/>
        <w:ind w:firstLine="420" w:firstLineChars="200"/>
        <w:jc w:val="left"/>
        <w:rPr>
          <w:rFonts w:ascii="宋体"/>
          <w:szCs w:val="21"/>
        </w:rPr>
      </w:pPr>
      <w:r>
        <w:rPr>
          <w:rFonts w:hint="eastAsia" w:ascii="宋体"/>
          <w:szCs w:val="21"/>
        </w:rPr>
        <w:t>3、能够对仿真的过程和结果撰写实验报告，并对仿真结果的进行合理分析。</w:t>
      </w:r>
    </w:p>
    <w:p>
      <w:pPr>
        <w:adjustRightInd w:val="0"/>
        <w:snapToGrid w:val="0"/>
        <w:spacing w:line="360" w:lineRule="auto"/>
        <w:ind w:left="426"/>
        <w:rPr>
          <w:rFonts w:eastAsia="黑体"/>
          <w:szCs w:val="21"/>
        </w:rPr>
      </w:pPr>
      <w:r>
        <w:rPr>
          <w:rFonts w:hint="eastAsia" w:cs="宋体"/>
          <w:bCs/>
          <w:snapToGrid w:val="0"/>
          <w:kern w:val="0"/>
          <w:szCs w:val="21"/>
        </w:rPr>
        <w:t>本实验支撑课程目标</w:t>
      </w:r>
      <w:r>
        <w:rPr>
          <w:rFonts w:cs="宋体"/>
          <w:bCs/>
          <w:snapToGrid w:val="0"/>
          <w:kern w:val="0"/>
          <w:szCs w:val="21"/>
        </w:rPr>
        <w:t>2</w:t>
      </w:r>
      <w:r>
        <w:rPr>
          <w:rFonts w:hint="eastAsia" w:cs="宋体"/>
          <w:bCs/>
          <w:snapToGrid w:val="0"/>
          <w:kern w:val="0"/>
          <w:szCs w:val="21"/>
        </w:rPr>
        <w:t>、</w:t>
      </w:r>
      <w:r>
        <w:rPr>
          <w:rFonts w:cs="宋体"/>
          <w:bCs/>
          <w:snapToGrid w:val="0"/>
          <w:kern w:val="0"/>
          <w:szCs w:val="21"/>
        </w:rPr>
        <w:t>3</w:t>
      </w:r>
      <w:r>
        <w:rPr>
          <w:rFonts w:hint="eastAsia" w:cs="宋体"/>
          <w:bCs/>
          <w:snapToGrid w:val="0"/>
          <w:kern w:val="0"/>
          <w:szCs w:val="21"/>
        </w:rPr>
        <w:t>、</w:t>
      </w:r>
      <w:r>
        <w:rPr>
          <w:rFonts w:cs="宋体"/>
          <w:bCs/>
          <w:snapToGrid w:val="0"/>
          <w:kern w:val="0"/>
          <w:szCs w:val="21"/>
        </w:rPr>
        <w:t>4</w:t>
      </w:r>
      <w:r>
        <w:rPr>
          <w:rFonts w:hint="eastAsia" w:cs="宋体"/>
          <w:bCs/>
          <w:snapToGrid w:val="0"/>
          <w:kern w:val="0"/>
          <w:szCs w:val="21"/>
        </w:rPr>
        <w:t>。</w:t>
      </w:r>
      <w:r>
        <w:rPr>
          <w:rFonts w:cs="宋体"/>
          <w:bCs/>
          <w:snapToGrid w:val="0"/>
          <w:kern w:val="0"/>
          <w:szCs w:val="21"/>
        </w:rPr>
        <w:tab/>
      </w:r>
      <w:r>
        <w:rPr>
          <w:rFonts w:cs="宋体"/>
          <w:bCs/>
          <w:snapToGrid w:val="0"/>
          <w:kern w:val="0"/>
          <w:szCs w:val="21"/>
        </w:rPr>
        <w:tab/>
      </w:r>
      <w:r>
        <w:rPr>
          <w:rFonts w:cs="宋体"/>
          <w:bCs/>
          <w:snapToGrid w:val="0"/>
          <w:color w:val="FF0000"/>
          <w:kern w:val="0"/>
          <w:szCs w:val="21"/>
        </w:rPr>
        <w:tab/>
      </w:r>
      <w:r>
        <w:rPr>
          <w:rFonts w:cs="宋体"/>
          <w:bCs/>
          <w:snapToGrid w:val="0"/>
          <w:color w:val="FF0000"/>
          <w:kern w:val="0"/>
          <w:szCs w:val="21"/>
        </w:rPr>
        <w:tab/>
      </w:r>
      <w:r>
        <w:rPr>
          <w:rFonts w:cs="宋体"/>
          <w:bCs/>
          <w:snapToGrid w:val="0"/>
          <w:color w:val="FF0000"/>
          <w:kern w:val="0"/>
          <w:szCs w:val="21"/>
        </w:rPr>
        <w:tab/>
      </w:r>
      <w:r>
        <w:rPr>
          <w:rFonts w:cs="宋体"/>
          <w:bCs/>
          <w:snapToGrid w:val="0"/>
          <w:color w:val="FF0000"/>
          <w:kern w:val="0"/>
          <w:szCs w:val="21"/>
        </w:rPr>
        <w:tab/>
      </w:r>
    </w:p>
    <w:p>
      <w:pPr>
        <w:widowControl/>
        <w:spacing w:line="360" w:lineRule="auto"/>
        <w:jc w:val="left"/>
        <w:rPr>
          <w:rFonts w:ascii="黑体" w:hAnsi="宋体" w:eastAsia="黑体" w:cs="宋体"/>
          <w:kern w:val="0"/>
          <w:szCs w:val="21"/>
        </w:rPr>
      </w:pPr>
    </w:p>
    <w:p>
      <w:pPr>
        <w:widowControl/>
        <w:spacing w:line="360" w:lineRule="auto"/>
        <w:jc w:val="left"/>
        <w:rPr>
          <w:rFonts w:ascii="黑体" w:hAnsi="黑体" w:eastAsia="黑体"/>
          <w:color w:val="0000FF"/>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1420"/>
        <w:gridCol w:w="1444"/>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知识点及内容</w:t>
            </w:r>
          </w:p>
        </w:tc>
        <w:tc>
          <w:tcPr>
            <w:tcW w:w="855"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讲授（学时）</w:t>
            </w:r>
          </w:p>
        </w:tc>
        <w:tc>
          <w:tcPr>
            <w:tcW w:w="86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实验（学时）</w:t>
            </w:r>
          </w:p>
        </w:tc>
        <w:tc>
          <w:tcPr>
            <w:tcW w:w="804"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widowControl/>
              <w:ind w:left="283" w:leftChars="135"/>
              <w:rPr>
                <w:rFonts w:cs="宋体"/>
                <w:snapToGrid w:val="0"/>
                <w:kern w:val="0"/>
                <w:sz w:val="18"/>
                <w:szCs w:val="18"/>
              </w:rPr>
            </w:pPr>
            <w:r>
              <w:rPr>
                <w:rFonts w:hint="eastAsia" w:cs="宋体"/>
                <w:bCs/>
                <w:snapToGrid w:val="0"/>
                <w:kern w:val="0"/>
                <w:sz w:val="18"/>
                <w:szCs w:val="18"/>
              </w:rPr>
              <w:t>实验一（硬件）常用电子仪器使用与半导体分立元器件性能参数测试</w:t>
            </w:r>
          </w:p>
        </w:tc>
        <w:tc>
          <w:tcPr>
            <w:tcW w:w="855"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4</w:t>
            </w:r>
          </w:p>
        </w:tc>
        <w:tc>
          <w:tcPr>
            <w:tcW w:w="804" w:type="pct"/>
            <w:tcBorders>
              <w:top w:val="single" w:color="auto" w:sz="4" w:space="0"/>
              <w:left w:val="single" w:color="auto" w:sz="4" w:space="0"/>
              <w:bottom w:val="single" w:color="auto" w:sz="4" w:space="0"/>
              <w:right w:val="nil"/>
            </w:tcBorders>
            <w:vAlign w:val="center"/>
          </w:tcPr>
          <w:p>
            <w:pPr>
              <w:widowControl/>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实验二（硬件）基本放大电路实验</w:t>
            </w:r>
          </w:p>
        </w:tc>
        <w:tc>
          <w:tcPr>
            <w:tcW w:w="855"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4</w:t>
            </w:r>
          </w:p>
        </w:tc>
        <w:tc>
          <w:tcPr>
            <w:tcW w:w="804" w:type="pct"/>
            <w:tcBorders>
              <w:top w:val="single" w:color="auto" w:sz="4" w:space="0"/>
              <w:left w:val="single" w:color="auto" w:sz="4" w:space="0"/>
              <w:bottom w:val="single" w:color="auto" w:sz="4" w:space="0"/>
              <w:right w:val="nil"/>
            </w:tcBorders>
            <w:vAlign w:val="center"/>
          </w:tcPr>
          <w:p>
            <w:pPr>
              <w:widowControl/>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实验三（软件）</w:t>
            </w:r>
            <w:r>
              <w:rPr>
                <w:rFonts w:cs="宋体"/>
                <w:bCs/>
                <w:snapToGrid w:val="0"/>
                <w:kern w:val="0"/>
                <w:sz w:val="18"/>
                <w:szCs w:val="18"/>
              </w:rPr>
              <w:t xml:space="preserve">  Multisim</w:t>
            </w:r>
            <w:r>
              <w:rPr>
                <w:rFonts w:hint="eastAsia" w:cs="宋体"/>
                <w:bCs/>
                <w:snapToGrid w:val="0"/>
                <w:kern w:val="0"/>
                <w:sz w:val="18"/>
                <w:szCs w:val="18"/>
              </w:rPr>
              <w:t>仿真软件的使用</w:t>
            </w:r>
          </w:p>
        </w:tc>
        <w:tc>
          <w:tcPr>
            <w:tcW w:w="855"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cs="宋体"/>
                <w:kern w:val="0"/>
                <w:sz w:val="18"/>
                <w:szCs w:val="18"/>
              </w:rPr>
              <w:t>4</w:t>
            </w:r>
          </w:p>
        </w:tc>
        <w:tc>
          <w:tcPr>
            <w:tcW w:w="804" w:type="pct"/>
            <w:tcBorders>
              <w:top w:val="single" w:color="auto" w:sz="4" w:space="0"/>
              <w:left w:val="single" w:color="auto" w:sz="4" w:space="0"/>
              <w:bottom w:val="single" w:color="auto" w:sz="4" w:space="0"/>
              <w:right w:val="nil"/>
            </w:tcBorders>
            <w:vAlign w:val="center"/>
          </w:tcPr>
          <w:p>
            <w:pPr>
              <w:widowControl/>
              <w:jc w:val="center"/>
              <w:rPr>
                <w:rFonts w:cs="宋体"/>
                <w:kern w:val="0"/>
                <w:sz w:val="18"/>
                <w:szCs w:val="18"/>
              </w:rPr>
            </w:pPr>
            <w:r>
              <w:rPr>
                <w:rFonts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实验四（硬件）差动放大电路实验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left="260" w:leftChars="124"/>
              <w:rPr>
                <w:rFonts w:cs="宋体"/>
                <w:bCs/>
                <w:snapToGrid w:val="0"/>
                <w:kern w:val="0"/>
                <w:sz w:val="18"/>
                <w:szCs w:val="18"/>
              </w:rPr>
            </w:pPr>
            <w:r>
              <w:rPr>
                <w:rFonts w:hint="eastAsia" w:cs="宋体"/>
                <w:bCs/>
                <w:snapToGrid w:val="0"/>
                <w:kern w:val="0"/>
                <w:sz w:val="18"/>
                <w:szCs w:val="18"/>
              </w:rPr>
              <w:t>实验五（硬件）</w:t>
            </w:r>
            <w:r>
              <w:rPr>
                <w:rFonts w:cs="宋体"/>
                <w:bCs/>
                <w:snapToGrid w:val="0"/>
                <w:kern w:val="0"/>
                <w:sz w:val="18"/>
                <w:szCs w:val="18"/>
              </w:rPr>
              <w:t xml:space="preserve">  </w:t>
            </w:r>
            <w:r>
              <w:rPr>
                <w:rFonts w:hint="eastAsia" w:cs="宋体"/>
                <w:bCs/>
                <w:snapToGrid w:val="0"/>
                <w:kern w:val="0"/>
                <w:sz w:val="18"/>
                <w:szCs w:val="18"/>
              </w:rPr>
              <w:t>负反馈放大电路实验一—电压并联负反馈</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实验六（硬件）</w:t>
            </w:r>
            <w:r>
              <w:rPr>
                <w:rFonts w:cs="宋体"/>
                <w:bCs/>
                <w:snapToGrid w:val="0"/>
                <w:kern w:val="0"/>
                <w:sz w:val="18"/>
                <w:szCs w:val="18"/>
              </w:rPr>
              <w:t xml:space="preserve">  </w:t>
            </w:r>
            <w:r>
              <w:rPr>
                <w:rFonts w:hint="eastAsia" w:cs="宋体"/>
                <w:bCs/>
                <w:snapToGrid w:val="0"/>
                <w:kern w:val="0"/>
                <w:sz w:val="18"/>
                <w:szCs w:val="18"/>
              </w:rPr>
              <w:t>比例、求和运算电路实验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left="361" w:leftChars="172"/>
              <w:rPr>
                <w:rFonts w:cs="宋体"/>
                <w:bCs/>
                <w:snapToGrid w:val="0"/>
                <w:kern w:val="0"/>
                <w:sz w:val="18"/>
                <w:szCs w:val="18"/>
              </w:rPr>
            </w:pPr>
            <w:r>
              <w:rPr>
                <w:rFonts w:hint="eastAsia" w:cs="宋体"/>
                <w:bCs/>
                <w:snapToGrid w:val="0"/>
                <w:kern w:val="0"/>
                <w:sz w:val="18"/>
                <w:szCs w:val="18"/>
              </w:rPr>
              <w:t>实验七（软件）</w:t>
            </w:r>
            <w:r>
              <w:rPr>
                <w:rFonts w:cs="宋体"/>
                <w:bCs/>
                <w:snapToGrid w:val="0"/>
                <w:kern w:val="0"/>
                <w:sz w:val="18"/>
                <w:szCs w:val="18"/>
              </w:rPr>
              <w:t xml:space="preserve">  </w:t>
            </w:r>
            <w:r>
              <w:rPr>
                <w:rFonts w:hint="eastAsia" w:cs="宋体"/>
                <w:bCs/>
                <w:snapToGrid w:val="0"/>
                <w:kern w:val="0"/>
                <w:sz w:val="18"/>
                <w:szCs w:val="18"/>
              </w:rPr>
              <w:t>负反馈放大电路实验二—电流串联负反馈</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实验八（硬件）</w:t>
            </w:r>
            <w:r>
              <w:rPr>
                <w:rFonts w:cs="宋体"/>
                <w:bCs/>
                <w:snapToGrid w:val="0"/>
                <w:kern w:val="0"/>
                <w:sz w:val="18"/>
                <w:szCs w:val="18"/>
              </w:rPr>
              <w:t xml:space="preserve"> </w:t>
            </w:r>
            <w:r>
              <w:rPr>
                <w:rFonts w:hint="eastAsia" w:cs="宋体"/>
                <w:bCs/>
                <w:snapToGrid w:val="0"/>
                <w:kern w:val="0"/>
                <w:sz w:val="18"/>
                <w:szCs w:val="18"/>
              </w:rPr>
              <w:t>积分运算电路实验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实验九（软件）有源滤波电路实验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实验十（硬件）</w:t>
            </w:r>
            <w:r>
              <w:rPr>
                <w:rFonts w:cs="宋体"/>
                <w:bCs/>
                <w:snapToGrid w:val="0"/>
                <w:kern w:val="0"/>
                <w:sz w:val="18"/>
                <w:szCs w:val="18"/>
              </w:rPr>
              <w:t xml:space="preserve">  </w:t>
            </w:r>
            <w:r>
              <w:rPr>
                <w:rFonts w:hint="eastAsia" w:cs="宋体"/>
                <w:bCs/>
                <w:snapToGrid w:val="0"/>
                <w:kern w:val="0"/>
                <w:sz w:val="18"/>
                <w:szCs w:val="18"/>
              </w:rPr>
              <w:t>波形产生电路实验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实验十一</w:t>
            </w:r>
            <w:r>
              <w:rPr>
                <w:rFonts w:cs="宋体"/>
                <w:bCs/>
                <w:snapToGrid w:val="0"/>
                <w:kern w:val="0"/>
                <w:sz w:val="18"/>
                <w:szCs w:val="18"/>
              </w:rPr>
              <w:t xml:space="preserve"> </w:t>
            </w:r>
            <w:r>
              <w:rPr>
                <w:rFonts w:hint="eastAsia" w:cs="宋体"/>
                <w:bCs/>
                <w:snapToGrid w:val="0"/>
                <w:kern w:val="0"/>
                <w:sz w:val="18"/>
                <w:szCs w:val="18"/>
              </w:rPr>
              <w:t>（软件）</w:t>
            </w:r>
            <w:r>
              <w:rPr>
                <w:rFonts w:cs="宋体"/>
                <w:bCs/>
                <w:snapToGrid w:val="0"/>
                <w:kern w:val="0"/>
                <w:sz w:val="18"/>
                <w:szCs w:val="18"/>
              </w:rPr>
              <w:t xml:space="preserve"> </w:t>
            </w:r>
            <w:r>
              <w:rPr>
                <w:rFonts w:hint="eastAsia" w:cs="宋体"/>
                <w:bCs/>
                <w:snapToGrid w:val="0"/>
                <w:kern w:val="0"/>
                <w:sz w:val="18"/>
                <w:szCs w:val="18"/>
              </w:rPr>
              <w:t>功率放大电路实验</w:t>
            </w:r>
          </w:p>
        </w:tc>
        <w:tc>
          <w:tcPr>
            <w:tcW w:w="855" w:type="pct"/>
            <w:tcBorders>
              <w:top w:val="single" w:color="auto" w:sz="4" w:space="0"/>
              <w:left w:val="single" w:color="auto" w:sz="4" w:space="0"/>
              <w:bottom w:val="single" w:color="auto" w:sz="4" w:space="0"/>
              <w:right w:val="single" w:color="auto" w:sz="4" w:space="0"/>
            </w:tcBorders>
            <w:vAlign w:val="center"/>
          </w:tcPr>
          <w:p>
            <w:pPr>
              <w:ind w:firstLine="360" w:firstLineChars="20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实验十二（硬件考试）</w:t>
            </w:r>
          </w:p>
        </w:tc>
        <w:tc>
          <w:tcPr>
            <w:tcW w:w="855"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282" w:firstLineChars="157"/>
              <w:rPr>
                <w:rFonts w:cs="宋体"/>
                <w:bCs/>
                <w:snapToGrid w:val="0"/>
                <w:kern w:val="0"/>
                <w:sz w:val="18"/>
                <w:szCs w:val="18"/>
              </w:rPr>
            </w:pPr>
            <w:r>
              <w:rPr>
                <w:rFonts w:hint="eastAsia" w:cs="宋体"/>
                <w:bCs/>
                <w:snapToGrid w:val="0"/>
                <w:kern w:val="0"/>
                <w:sz w:val="18"/>
                <w:szCs w:val="18"/>
              </w:rPr>
              <w:t>实验十三（软件考试）</w:t>
            </w:r>
          </w:p>
        </w:tc>
        <w:tc>
          <w:tcPr>
            <w:tcW w:w="855" w:type="pct"/>
            <w:tcBorders>
              <w:top w:val="single" w:color="auto" w:sz="4" w:space="0"/>
              <w:left w:val="single" w:color="auto" w:sz="4" w:space="0"/>
              <w:bottom w:val="single" w:color="auto" w:sz="4" w:space="0"/>
              <w:right w:val="single" w:color="auto" w:sz="4" w:space="0"/>
            </w:tcBorders>
            <w:vAlign w:val="center"/>
          </w:tcPr>
          <w:p>
            <w:pPr>
              <w:ind w:firstLine="450" w:firstLineChars="250"/>
              <w:rPr>
                <w:rFonts w:cs="宋体"/>
                <w:bCs/>
                <w:snapToGrid w:val="0"/>
                <w:kern w:val="0"/>
                <w:sz w:val="18"/>
                <w:szCs w:val="18"/>
              </w:rPr>
            </w:pPr>
            <w:r>
              <w:rPr>
                <w:rFonts w:cs="宋体"/>
                <w:bCs/>
                <w:snapToGrid w:val="0"/>
                <w:kern w:val="0"/>
                <w:sz w:val="18"/>
                <w:szCs w:val="18"/>
              </w:rPr>
              <w:t xml:space="preserve"> 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c>
          <w:tcPr>
            <w:tcW w:w="804" w:type="pct"/>
            <w:tcBorders>
              <w:top w:val="single" w:color="auto" w:sz="4" w:space="0"/>
              <w:left w:val="single" w:color="auto" w:sz="4" w:space="0"/>
              <w:bottom w:val="single" w:color="auto" w:sz="4" w:space="0"/>
              <w:right w:val="nil"/>
            </w:tcBorders>
            <w:vAlign w:val="center"/>
          </w:tcPr>
          <w:p>
            <w:pPr>
              <w:ind w:firstLine="540" w:firstLineChars="300"/>
              <w:rPr>
                <w:rFonts w:cs="宋体"/>
                <w:bCs/>
                <w:snapToGrid w:val="0"/>
                <w:kern w:val="0"/>
                <w:sz w:val="18"/>
                <w:szCs w:val="18"/>
              </w:rPr>
            </w:pPr>
            <w:r>
              <w:rPr>
                <w:rFonts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ind w:firstLine="1710" w:firstLineChars="950"/>
              <w:jc w:val="left"/>
              <w:rPr>
                <w:rFonts w:cs="宋体"/>
                <w:bCs/>
                <w:snapToGrid w:val="0"/>
                <w:kern w:val="0"/>
                <w:sz w:val="18"/>
                <w:szCs w:val="18"/>
              </w:rPr>
            </w:pPr>
            <w:r>
              <w:rPr>
                <w:rFonts w:hint="eastAsia" w:cs="宋体"/>
                <w:bCs/>
                <w:snapToGrid w:val="0"/>
                <w:kern w:val="0"/>
                <w:sz w:val="18"/>
                <w:szCs w:val="18"/>
              </w:rPr>
              <w:t>合</w:t>
            </w:r>
            <w:r>
              <w:rPr>
                <w:rFonts w:cs="宋体"/>
                <w:bCs/>
                <w:snapToGrid w:val="0"/>
                <w:kern w:val="0"/>
                <w:sz w:val="18"/>
                <w:szCs w:val="18"/>
              </w:rPr>
              <w:t xml:space="preserve"> </w:t>
            </w:r>
            <w:r>
              <w:rPr>
                <w:rFonts w:hint="eastAsia" w:cs="宋体"/>
                <w:bCs/>
                <w:snapToGrid w:val="0"/>
                <w:kern w:val="0"/>
                <w:sz w:val="18"/>
                <w:szCs w:val="18"/>
              </w:rPr>
              <w:t>计</w:t>
            </w:r>
          </w:p>
        </w:tc>
        <w:tc>
          <w:tcPr>
            <w:tcW w:w="855" w:type="pct"/>
            <w:tcBorders>
              <w:top w:val="single" w:color="auto" w:sz="4" w:space="0"/>
              <w:left w:val="single" w:color="auto" w:sz="4" w:space="0"/>
              <w:bottom w:val="single" w:color="auto" w:sz="4" w:space="0"/>
              <w:right w:val="single" w:color="auto" w:sz="4" w:space="0"/>
            </w:tcBorders>
            <w:vAlign w:val="center"/>
          </w:tcPr>
          <w:p>
            <w:pPr>
              <w:ind w:firstLine="540" w:firstLineChars="300"/>
              <w:rPr>
                <w:rFonts w:cs="宋体"/>
                <w:bCs/>
                <w:snapToGrid w:val="0"/>
                <w:kern w:val="0"/>
                <w:sz w:val="18"/>
                <w:szCs w:val="18"/>
              </w:rPr>
            </w:pPr>
            <w:r>
              <w:rPr>
                <w:rFonts w:cs="宋体"/>
                <w:bCs/>
                <w:snapToGrid w:val="0"/>
                <w:kern w:val="0"/>
                <w:sz w:val="18"/>
                <w:szCs w:val="18"/>
              </w:rPr>
              <w:t>0</w:t>
            </w:r>
          </w:p>
        </w:tc>
        <w:tc>
          <w:tcPr>
            <w:tcW w:w="869" w:type="pct"/>
            <w:tcBorders>
              <w:top w:val="single" w:color="auto" w:sz="4" w:space="0"/>
              <w:left w:val="single" w:color="auto" w:sz="4" w:space="0"/>
              <w:bottom w:val="single" w:color="auto" w:sz="4" w:space="0"/>
              <w:right w:val="single" w:color="auto" w:sz="4" w:space="0"/>
            </w:tcBorders>
            <w:vAlign w:val="center"/>
          </w:tcPr>
          <w:p>
            <w:pPr>
              <w:ind w:firstLine="450" w:firstLineChars="250"/>
              <w:rPr>
                <w:rFonts w:cs="宋体"/>
                <w:bCs/>
                <w:snapToGrid w:val="0"/>
                <w:kern w:val="0"/>
                <w:sz w:val="18"/>
                <w:szCs w:val="18"/>
              </w:rPr>
            </w:pPr>
            <w:r>
              <w:rPr>
                <w:rFonts w:cs="宋体"/>
                <w:bCs/>
                <w:snapToGrid w:val="0"/>
                <w:kern w:val="0"/>
                <w:sz w:val="18"/>
                <w:szCs w:val="18"/>
              </w:rPr>
              <w:t>32</w:t>
            </w:r>
          </w:p>
        </w:tc>
        <w:tc>
          <w:tcPr>
            <w:tcW w:w="804" w:type="pct"/>
            <w:tcBorders>
              <w:top w:val="single" w:color="auto" w:sz="4" w:space="0"/>
              <w:left w:val="single" w:color="auto" w:sz="4" w:space="0"/>
              <w:bottom w:val="single" w:color="auto" w:sz="4" w:space="0"/>
              <w:right w:val="nil"/>
            </w:tcBorders>
            <w:vAlign w:val="center"/>
          </w:tcPr>
          <w:p>
            <w:pPr>
              <w:ind w:firstLine="450" w:firstLineChars="250"/>
              <w:rPr>
                <w:rFonts w:cs="宋体"/>
                <w:bCs/>
                <w:snapToGrid w:val="0"/>
                <w:kern w:val="0"/>
                <w:sz w:val="18"/>
                <w:szCs w:val="18"/>
              </w:rPr>
            </w:pPr>
            <w:r>
              <w:rPr>
                <w:rFonts w:cs="宋体"/>
                <w:bCs/>
                <w:snapToGrid w:val="0"/>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rFonts w:ascii="宋体" w:hAnsi="宋体"/>
          <w:szCs w:val="21"/>
        </w:rPr>
      </w:pPr>
      <w:r>
        <w:rPr>
          <w:szCs w:val="21"/>
        </w:rPr>
        <w:t>1</w:t>
      </w:r>
      <w:r>
        <w:rPr>
          <w:rFonts w:hint="eastAsia"/>
          <w:szCs w:val="21"/>
        </w:rPr>
        <w:t>、</w:t>
      </w:r>
      <w:r>
        <w:rPr>
          <w:rFonts w:hint="eastAsia" w:ascii="宋体" w:hAnsi="宋体"/>
          <w:szCs w:val="21"/>
        </w:rPr>
        <w:t>毕满清主编，《模拟电子技术基础(第2版)》，</w:t>
      </w:r>
      <w:r>
        <w:rPr>
          <w:szCs w:val="21"/>
        </w:rPr>
        <w:t>ISBN 978-7-121-25393-5</w:t>
      </w:r>
      <w:r>
        <w:rPr>
          <w:rFonts w:hint="eastAsia"/>
          <w:szCs w:val="21"/>
        </w:rPr>
        <w:t>，</w:t>
      </w:r>
      <w:r>
        <w:rPr>
          <w:rFonts w:hint="eastAsia" w:ascii="宋体" w:hAnsi="宋体"/>
          <w:szCs w:val="21"/>
        </w:rPr>
        <w:t>电子工业出版社。</w:t>
      </w:r>
    </w:p>
    <w:p>
      <w:pPr>
        <w:widowControl/>
        <w:spacing w:line="360" w:lineRule="auto"/>
        <w:rPr>
          <w:rFonts w:eastAsia="黑体"/>
          <w:szCs w:val="24"/>
        </w:rPr>
      </w:pPr>
      <w:r>
        <w:rPr>
          <w:szCs w:val="21"/>
        </w:rPr>
        <w:t xml:space="preserve">    2</w:t>
      </w:r>
      <w:r>
        <w:rPr>
          <w:rFonts w:hint="eastAsia"/>
          <w:szCs w:val="21"/>
        </w:rPr>
        <w:t>、</w:t>
      </w:r>
      <w:r>
        <w:rPr>
          <w:rFonts w:hint="eastAsia" w:ascii="宋体" w:hAnsi="宋体"/>
          <w:szCs w:val="21"/>
        </w:rPr>
        <w:t>毕满清主编，《</w:t>
      </w:r>
      <w:r>
        <w:rPr>
          <w:rFonts w:hint="eastAsia" w:ascii="宋体" w:hAnsi="宋体" w:cs="宋体"/>
          <w:color w:val="000000"/>
          <w:szCs w:val="21"/>
          <w:lang w:val="zh-CN"/>
        </w:rPr>
        <w:t>电子技术实验与课程设计</w:t>
      </w:r>
      <w:r>
        <w:rPr>
          <w:rFonts w:hint="eastAsia" w:ascii="宋体" w:hAnsi="宋体" w:cs="宋体"/>
          <w:szCs w:val="21"/>
          <w:lang w:val="zh-CN"/>
        </w:rPr>
        <w:t>（第</w:t>
      </w:r>
      <w:r>
        <w:rPr>
          <w:rFonts w:hint="eastAsia" w:ascii="宋体" w:hAnsi="宋体" w:cs="宋体"/>
          <w:szCs w:val="21"/>
        </w:rPr>
        <w:t>4</w:t>
      </w:r>
      <w:r>
        <w:rPr>
          <w:rFonts w:hint="eastAsia" w:ascii="宋体" w:hAnsi="宋体" w:cs="宋体"/>
          <w:szCs w:val="21"/>
          <w:lang w:val="zh-CN"/>
        </w:rPr>
        <w:t>版）</w:t>
      </w:r>
      <w:r>
        <w:rPr>
          <w:rFonts w:hint="eastAsia" w:ascii="宋体" w:hAnsi="宋体"/>
          <w:szCs w:val="21"/>
        </w:rPr>
        <w:t>》，</w:t>
      </w:r>
      <w:r>
        <w:rPr>
          <w:szCs w:val="21"/>
        </w:rPr>
        <w:t>ISBN</w:t>
      </w:r>
      <w:r>
        <w:rPr>
          <w:rFonts w:hint="eastAsia"/>
          <w:szCs w:val="21"/>
        </w:rPr>
        <w:t>：</w:t>
      </w:r>
      <w:r>
        <w:rPr>
          <w:szCs w:val="21"/>
        </w:rPr>
        <w:t>9787111428725</w:t>
      </w:r>
      <w:r>
        <w:rPr>
          <w:rFonts w:hint="eastAsia"/>
          <w:szCs w:val="21"/>
        </w:rPr>
        <w:t>，</w:t>
      </w:r>
      <w:r>
        <w:rPr>
          <w:rFonts w:hint="eastAsia" w:ascii="宋体" w:hAnsi="宋体" w:cs="宋体"/>
          <w:color w:val="000000"/>
          <w:szCs w:val="21"/>
          <w:lang w:val="zh-CN"/>
        </w:rPr>
        <w:t>机械工业出版社</w:t>
      </w:r>
      <w:r>
        <w:rPr>
          <w:rFonts w:hint="eastAsia"/>
          <w:szCs w:val="21"/>
        </w:rPr>
        <w:t>。</w:t>
      </w:r>
      <w:r>
        <w:rPr>
          <w:szCs w:val="21"/>
        </w:rPr>
        <w:t xml:space="preserve">   </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color w:val="000000" w:themeColor="text1"/>
          <w:szCs w:val="21"/>
          <w14:textFill>
            <w14:solidFill>
              <w14:schemeClr w14:val="tx1"/>
            </w14:solidFill>
          </w14:textFill>
        </w:rPr>
      </w:pPr>
      <w:r>
        <w:rPr>
          <w:szCs w:val="21"/>
        </w:rPr>
        <w:t>1</w:t>
      </w:r>
      <w:r>
        <w:rPr>
          <w:rFonts w:hint="eastAsia"/>
          <w:szCs w:val="21"/>
        </w:rPr>
        <w:t>、考核目标：</w:t>
      </w:r>
      <w:r>
        <w:rPr>
          <w:rFonts w:hint="eastAsia"/>
          <w:color w:val="000000" w:themeColor="text1"/>
          <w:szCs w:val="21"/>
          <w14:textFill>
            <w14:solidFill>
              <w14:schemeClr w14:val="tx1"/>
            </w14:solidFill>
          </w14:textFill>
        </w:rPr>
        <w:t>既要考核学生对模拟电子技术基本原理、基本概念的理解，又要检测学生对模拟电子技术基本原理的运用程度，重点考核学生的实际操作能力。</w:t>
      </w:r>
      <w:r>
        <w:rPr>
          <w:rFonts w:hint="eastAsia" w:ascii="宋体" w:hAnsi="宋体"/>
          <w:color w:val="000000"/>
          <w:szCs w:val="21"/>
        </w:rPr>
        <w:t>另外还要考核EDA工具的应用能力。</w:t>
      </w:r>
      <w:r>
        <w:rPr>
          <w:color w:val="000000" w:themeColor="text1"/>
          <w:szCs w:val="21"/>
          <w14:textFill>
            <w14:solidFill>
              <w14:schemeClr w14:val="tx1"/>
            </w14:solidFill>
          </w14:textFill>
        </w:rPr>
        <w:t xml:space="preserve"> </w:t>
      </w:r>
    </w:p>
    <w:p>
      <w:pPr>
        <w:spacing w:line="360" w:lineRule="auto"/>
        <w:ind w:firstLine="420" w:firstLineChars="200"/>
        <w:rPr>
          <w:color w:val="FF0000"/>
          <w:szCs w:val="21"/>
        </w:rPr>
      </w:pPr>
      <w:r>
        <w:rPr>
          <w:szCs w:val="21"/>
        </w:rPr>
        <w:t>2</w:t>
      </w:r>
      <w:r>
        <w:rPr>
          <w:rFonts w:hint="eastAsia"/>
          <w:szCs w:val="21"/>
        </w:rPr>
        <w:t>、考核方式：</w:t>
      </w:r>
      <w:r>
        <w:rPr>
          <w:rFonts w:hint="eastAsia"/>
          <w:color w:val="000000" w:themeColor="text1"/>
          <w:szCs w:val="21"/>
          <w14:textFill>
            <w14:solidFill>
              <w14:schemeClr w14:val="tx1"/>
            </w14:solidFill>
          </w14:textFill>
        </w:rPr>
        <w:t>预习报告</w:t>
      </w:r>
      <w:r>
        <w:rPr>
          <w:rFonts w:hint="eastAsia" w:ascii="宋体" w:hAnsi="宋体" w:cs="宋体"/>
          <w:color w:val="000000"/>
          <w:kern w:val="0"/>
          <w:szCs w:val="21"/>
          <w:lang w:val="zh-CN"/>
        </w:rPr>
        <w:t>、实验操作</w:t>
      </w:r>
      <w:r>
        <w:rPr>
          <w:rFonts w:hint="eastAsia" w:ascii="宋体" w:hAnsi="宋体" w:cs="宋体"/>
          <w:color w:val="000000"/>
          <w:kern w:val="0"/>
          <w:szCs w:val="21"/>
        </w:rPr>
        <w:t>、</w:t>
      </w:r>
      <w:r>
        <w:rPr>
          <w:rFonts w:hint="eastAsia" w:ascii="宋体" w:hAnsi="宋体" w:cs="宋体"/>
          <w:color w:val="000000"/>
          <w:kern w:val="0"/>
          <w:szCs w:val="21"/>
          <w:lang w:val="zh-CN"/>
        </w:rPr>
        <w:t>实验报告</w:t>
      </w:r>
      <w:r>
        <w:rPr>
          <w:rFonts w:hint="eastAsia"/>
          <w:color w:val="000000" w:themeColor="text1"/>
          <w:szCs w:val="21"/>
          <w14:textFill>
            <w14:solidFill>
              <w14:schemeClr w14:val="tx1"/>
            </w14:solidFill>
          </w14:textFill>
        </w:rPr>
        <w:t>和测试。</w:t>
      </w:r>
    </w:p>
    <w:p>
      <w:pPr>
        <w:spacing w:line="360" w:lineRule="auto"/>
        <w:ind w:firstLine="420" w:firstLineChars="200"/>
        <w:rPr>
          <w:szCs w:val="21"/>
        </w:rPr>
      </w:pPr>
      <w:r>
        <w:rPr>
          <w:szCs w:val="21"/>
        </w:rPr>
        <w:t>3</w:t>
      </w:r>
      <w:r>
        <w:rPr>
          <w:rFonts w:hint="eastAsia"/>
          <w:szCs w:val="21"/>
        </w:rPr>
        <w:t>、评价环节对课程目标达成贡献率及支撑材料：</w:t>
      </w:r>
      <w:r>
        <w:rPr>
          <w:szCs w:val="21"/>
        </w:rPr>
        <w:t xml:space="preserve"> </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384"/>
        <w:gridCol w:w="1384"/>
        <w:gridCol w:w="1384"/>
        <w:gridCol w:w="1385"/>
        <w:gridCol w:w="13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nil"/>
              <w:bottom w:val="single" w:color="auto" w:sz="4" w:space="0"/>
              <w:right w:val="single" w:color="auto" w:sz="4" w:space="0"/>
            </w:tcBorders>
            <w:vAlign w:val="center"/>
          </w:tcPr>
          <w:p>
            <w:pPr>
              <w:jc w:val="center"/>
              <w:rPr>
                <w:szCs w:val="21"/>
              </w:rPr>
            </w:pPr>
          </w:p>
        </w:tc>
        <w:tc>
          <w:tcPr>
            <w:tcW w:w="2499" w:type="pct"/>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平时成绩</w:t>
            </w:r>
          </w:p>
        </w:tc>
        <w:tc>
          <w:tcPr>
            <w:tcW w:w="1667" w:type="pct"/>
            <w:gridSpan w:val="2"/>
            <w:tcBorders>
              <w:top w:val="single" w:color="auto" w:sz="4" w:space="0"/>
              <w:left w:val="single" w:color="auto" w:sz="4" w:space="0"/>
              <w:bottom w:val="single" w:color="auto" w:sz="4" w:space="0"/>
              <w:right w:val="nil"/>
            </w:tcBorders>
            <w:vAlign w:val="center"/>
          </w:tcPr>
          <w:p>
            <w:pPr>
              <w:jc w:val="center"/>
              <w:rPr>
                <w:szCs w:val="21"/>
              </w:rPr>
            </w:pPr>
            <w:r>
              <w:rPr>
                <w:rFonts w:hint="eastAsia" w:ascii="宋体" w:hAnsi="宋体" w:cs="宋体"/>
                <w:color w:val="000000"/>
                <w:kern w:val="0"/>
                <w:sz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预习报告</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实验操作</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实验报告</w:t>
            </w:r>
          </w:p>
        </w:tc>
        <w:tc>
          <w:tcPr>
            <w:tcW w:w="8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硬件</w:t>
            </w:r>
          </w:p>
        </w:tc>
        <w:tc>
          <w:tcPr>
            <w:tcW w:w="834" w:type="pct"/>
            <w:tcBorders>
              <w:top w:val="single" w:color="auto" w:sz="4" w:space="0"/>
              <w:left w:val="single" w:color="auto" w:sz="4" w:space="0"/>
              <w:bottom w:val="single" w:color="auto" w:sz="4" w:space="0"/>
              <w:right w:val="nil"/>
            </w:tcBorders>
            <w:vAlign w:val="center"/>
          </w:tcPr>
          <w:p>
            <w:pPr>
              <w:jc w:val="center"/>
              <w:rPr>
                <w:szCs w:val="21"/>
              </w:rPr>
            </w:pPr>
            <w:r>
              <w:rPr>
                <w:rFonts w:hint="eastAsia" w:ascii="宋体" w:hAnsi="宋体" w:cs="宋体"/>
                <w:color w:val="000000"/>
                <w:kern w:val="0"/>
                <w:sz w:val="18"/>
              </w:rPr>
              <w:t>软件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课程目标达成的贡献率</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pPr>
            <w:r>
              <w:t>0.15</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t>0.20</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t>0.15</w:t>
            </w:r>
          </w:p>
        </w:tc>
        <w:tc>
          <w:tcPr>
            <w:tcW w:w="8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0.25</w:t>
            </w:r>
          </w:p>
        </w:tc>
        <w:tc>
          <w:tcPr>
            <w:tcW w:w="834" w:type="pct"/>
            <w:tcBorders>
              <w:top w:val="single" w:color="auto" w:sz="4" w:space="0"/>
              <w:left w:val="single" w:color="auto" w:sz="4" w:space="0"/>
              <w:bottom w:val="single" w:color="auto" w:sz="4" w:space="0"/>
              <w:right w:val="nil"/>
            </w:tcBorders>
            <w:vAlign w:val="center"/>
          </w:tcPr>
          <w:p>
            <w:pPr>
              <w:jc w:val="center"/>
              <w:rPr>
                <w:szCs w:val="21"/>
              </w:rPr>
            </w:pPr>
            <w:r>
              <w:rPr>
                <w:szCs w:val="21"/>
              </w:rPr>
              <w:t>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预习报告</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出勤记录表，典型实验操作流程视频或学生实验操作图片</w:t>
            </w:r>
          </w:p>
        </w:tc>
        <w:tc>
          <w:tcPr>
            <w:tcW w:w="83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实验评价标准，实验课堂记录，典型实验报告</w:t>
            </w:r>
          </w:p>
        </w:tc>
        <w:tc>
          <w:tcPr>
            <w:tcW w:w="8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color w:val="000000"/>
                <w:kern w:val="0"/>
                <w:sz w:val="18"/>
              </w:rPr>
              <w:t>硬件测试评价标准及验收报告</w:t>
            </w:r>
          </w:p>
        </w:tc>
        <w:tc>
          <w:tcPr>
            <w:tcW w:w="834" w:type="pct"/>
            <w:tcBorders>
              <w:top w:val="single" w:color="auto" w:sz="4" w:space="0"/>
              <w:left w:val="single" w:color="auto" w:sz="4" w:space="0"/>
              <w:bottom w:val="single" w:color="auto" w:sz="4" w:space="0"/>
              <w:right w:val="nil"/>
            </w:tcBorders>
            <w:vAlign w:val="center"/>
          </w:tcPr>
          <w:p>
            <w:pPr>
              <w:jc w:val="center"/>
              <w:rPr>
                <w:szCs w:val="21"/>
              </w:rPr>
            </w:pPr>
            <w:r>
              <w:rPr>
                <w:rFonts w:hint="eastAsia" w:ascii="宋体" w:hAnsi="宋体" w:cs="宋体"/>
                <w:color w:val="000000"/>
                <w:kern w:val="0"/>
                <w:sz w:val="18"/>
              </w:rPr>
              <w:t>软件测试评价标准及验收报告</w:t>
            </w:r>
          </w:p>
        </w:tc>
      </w:tr>
    </w:tbl>
    <w:p>
      <w:pPr>
        <w:spacing w:line="360" w:lineRule="auto"/>
        <w:ind w:firstLine="420" w:firstLineChars="200"/>
        <w:rPr>
          <w:szCs w:val="21"/>
        </w:rPr>
      </w:pPr>
    </w:p>
    <w:p>
      <w:pPr>
        <w:spacing w:line="360" w:lineRule="auto"/>
        <w:ind w:firstLine="420" w:firstLineChars="200"/>
        <w:rPr>
          <w:b/>
          <w:bCs/>
          <w:color w:val="1D41D5"/>
          <w:szCs w:val="21"/>
        </w:rPr>
      </w:pPr>
      <w:r>
        <w:rPr>
          <w:rFonts w:hint="eastAsia"/>
          <w:szCs w:val="21"/>
        </w:rPr>
        <w:t>指导性课程目标评价题目分数分配：</w:t>
      </w:r>
      <w:r>
        <w:rPr>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174"/>
        <w:gridCol w:w="1146"/>
        <w:gridCol w:w="1244"/>
        <w:gridCol w:w="1380"/>
        <w:gridCol w:w="1656"/>
        <w:gridCol w:w="1706"/>
      </w:tblGrid>
      <w:tr>
        <w:tblPrEx>
          <w:tblCellMar>
            <w:top w:w="0" w:type="dxa"/>
            <w:left w:w="108" w:type="dxa"/>
            <w:bottom w:w="0" w:type="dxa"/>
            <w:right w:w="108" w:type="dxa"/>
          </w:tblCellMar>
        </w:tblPrEx>
        <w:trPr>
          <w:trHeight w:val="986" w:hRule="atLeast"/>
          <w:jc w:val="center"/>
        </w:trPr>
        <w:tc>
          <w:tcPr>
            <w:tcW w:w="70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68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预习报告</w:t>
            </w:r>
          </w:p>
          <w:p>
            <w:pPr>
              <w:jc w:val="center"/>
              <w:rPr>
                <w:sz w:val="18"/>
                <w:szCs w:val="18"/>
              </w:rPr>
            </w:pPr>
            <w:r>
              <w:rPr>
                <w:sz w:val="18"/>
                <w:szCs w:val="18"/>
              </w:rPr>
              <w:t>W1</w:t>
            </w:r>
            <w:r>
              <w:rPr>
                <w:sz w:val="18"/>
                <w:szCs w:val="18"/>
                <w:vertAlign w:val="subscript"/>
              </w:rPr>
              <w:t>i</w:t>
            </w: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实验操作</w:t>
            </w:r>
          </w:p>
          <w:p>
            <w:pPr>
              <w:jc w:val="center"/>
              <w:rPr>
                <w:sz w:val="18"/>
                <w:szCs w:val="18"/>
              </w:rPr>
            </w:pPr>
            <w:r>
              <w:rPr>
                <w:sz w:val="18"/>
                <w:szCs w:val="18"/>
              </w:rPr>
              <w:t>W2</w:t>
            </w:r>
            <w:r>
              <w:rPr>
                <w:sz w:val="18"/>
                <w:szCs w:val="18"/>
                <w:vertAlign w:val="subscript"/>
              </w:rPr>
              <w:t>i</w:t>
            </w:r>
          </w:p>
        </w:tc>
        <w:tc>
          <w:tcPr>
            <w:tcW w:w="83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实验报告</w:t>
            </w:r>
          </w:p>
          <w:p>
            <w:pPr>
              <w:jc w:val="center"/>
              <w:rPr>
                <w:sz w:val="18"/>
                <w:szCs w:val="18"/>
              </w:rPr>
            </w:pPr>
            <w:r>
              <w:rPr>
                <w:sz w:val="18"/>
                <w:szCs w:val="18"/>
              </w:rPr>
              <w:t>W3</w:t>
            </w:r>
            <w:r>
              <w:rPr>
                <w:sz w:val="18"/>
                <w:szCs w:val="18"/>
                <w:vertAlign w:val="subscript"/>
              </w:rPr>
              <w:t>i</w:t>
            </w:r>
          </w:p>
        </w:tc>
        <w:tc>
          <w:tcPr>
            <w:tcW w:w="99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硬件期末考试成绩</w:t>
            </w:r>
          </w:p>
          <w:p>
            <w:pPr>
              <w:jc w:val="center"/>
              <w:rPr>
                <w:sz w:val="18"/>
                <w:szCs w:val="18"/>
              </w:rPr>
            </w:pPr>
            <w:r>
              <w:rPr>
                <w:sz w:val="18"/>
                <w:szCs w:val="18"/>
              </w:rPr>
              <w:t>W</w:t>
            </w:r>
            <w:r>
              <w:rPr>
                <w:b/>
                <w:sz w:val="18"/>
                <w:szCs w:val="18"/>
              </w:rPr>
              <w:t>5</w:t>
            </w:r>
            <w:r>
              <w:rPr>
                <w:b/>
                <w:sz w:val="18"/>
                <w:szCs w:val="18"/>
                <w:vertAlign w:val="subscript"/>
              </w:rPr>
              <w:t>i</w:t>
            </w:r>
          </w:p>
        </w:tc>
        <w:tc>
          <w:tcPr>
            <w:tcW w:w="1027"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软件期末考试成绩</w:t>
            </w:r>
          </w:p>
          <w:p>
            <w:pPr>
              <w:jc w:val="center"/>
              <w:rPr>
                <w:sz w:val="18"/>
                <w:szCs w:val="18"/>
              </w:rPr>
            </w:pPr>
            <w:r>
              <w:rPr>
                <w:sz w:val="18"/>
                <w:szCs w:val="18"/>
              </w:rPr>
              <w:t>W6</w:t>
            </w:r>
            <w:r>
              <w:rPr>
                <w:sz w:val="18"/>
                <w:szCs w:val="18"/>
                <w:vertAlign w:val="subscript"/>
              </w:rPr>
              <w:t>i</w:t>
            </w:r>
          </w:p>
        </w:tc>
      </w:tr>
      <w:tr>
        <w:tblPrEx>
          <w:tblCellMar>
            <w:top w:w="0" w:type="dxa"/>
            <w:left w:w="108" w:type="dxa"/>
            <w:bottom w:w="0" w:type="dxa"/>
            <w:right w:w="108" w:type="dxa"/>
          </w:tblCellMar>
        </w:tblPrEx>
        <w:trPr>
          <w:jc w:val="center"/>
        </w:trPr>
        <w:tc>
          <w:tcPr>
            <w:tcW w:w="706" w:type="pct"/>
            <w:tcBorders>
              <w:top w:val="nil"/>
              <w:left w:val="nil"/>
              <w:bottom w:val="single" w:color="auto" w:sz="4" w:space="0"/>
              <w:right w:val="single" w:color="auto" w:sz="4" w:space="0"/>
            </w:tcBorders>
            <w:vAlign w:val="center"/>
          </w:tcPr>
          <w:p>
            <w:pPr>
              <w:jc w:val="center"/>
              <w:rPr>
                <w:b/>
                <w:sz w:val="18"/>
                <w:szCs w:val="18"/>
              </w:rPr>
            </w:pPr>
            <w:r>
              <w:rPr>
                <w:b/>
                <w:sz w:val="18"/>
                <w:szCs w:val="18"/>
              </w:rPr>
              <w:t>1</w:t>
            </w:r>
          </w:p>
        </w:tc>
        <w:tc>
          <w:tcPr>
            <w:tcW w:w="68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10-15</w:t>
            </w:r>
          </w:p>
        </w:tc>
        <w:tc>
          <w:tcPr>
            <w:tcW w:w="831"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20-25</w:t>
            </w:r>
          </w:p>
        </w:tc>
        <w:tc>
          <w:tcPr>
            <w:tcW w:w="997"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5-10</w:t>
            </w:r>
          </w:p>
        </w:tc>
        <w:tc>
          <w:tcPr>
            <w:tcW w:w="102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5-10</w:t>
            </w:r>
          </w:p>
        </w:tc>
      </w:tr>
      <w:tr>
        <w:tblPrEx>
          <w:tblCellMar>
            <w:top w:w="0" w:type="dxa"/>
            <w:left w:w="108" w:type="dxa"/>
            <w:bottom w:w="0" w:type="dxa"/>
            <w:right w:w="108" w:type="dxa"/>
          </w:tblCellMar>
        </w:tblPrEx>
        <w:trPr>
          <w:jc w:val="center"/>
        </w:trPr>
        <w:tc>
          <w:tcPr>
            <w:tcW w:w="706"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2</w:t>
            </w:r>
          </w:p>
        </w:tc>
        <w:tc>
          <w:tcPr>
            <w:tcW w:w="68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50-60</w:t>
            </w:r>
          </w:p>
        </w:tc>
        <w:tc>
          <w:tcPr>
            <w:tcW w:w="749" w:type="pct"/>
            <w:tcBorders>
              <w:top w:val="single" w:color="auto" w:sz="4" w:space="0"/>
              <w:left w:val="single" w:color="auto" w:sz="4" w:space="0"/>
              <w:bottom w:val="single" w:color="auto" w:sz="4" w:space="0"/>
              <w:right w:val="single" w:color="auto" w:sz="4" w:space="0"/>
            </w:tcBorders>
            <w:vAlign w:val="center"/>
          </w:tcPr>
          <w:p>
            <w:pPr>
              <w:ind w:firstLine="361" w:firstLineChars="200"/>
              <w:rPr>
                <w:b/>
                <w:sz w:val="18"/>
                <w:szCs w:val="18"/>
              </w:rPr>
            </w:pPr>
            <w:r>
              <w:rPr>
                <w:b/>
                <w:sz w:val="18"/>
                <w:szCs w:val="18"/>
              </w:rPr>
              <w:t>20-25</w:t>
            </w:r>
          </w:p>
        </w:tc>
        <w:tc>
          <w:tcPr>
            <w:tcW w:w="831"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20-25</w:t>
            </w:r>
          </w:p>
        </w:tc>
        <w:tc>
          <w:tcPr>
            <w:tcW w:w="997"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30-35</w:t>
            </w:r>
          </w:p>
        </w:tc>
        <w:tc>
          <w:tcPr>
            <w:tcW w:w="102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30-35</w:t>
            </w:r>
          </w:p>
        </w:tc>
      </w:tr>
      <w:tr>
        <w:tblPrEx>
          <w:tblCellMar>
            <w:top w:w="0" w:type="dxa"/>
            <w:left w:w="108" w:type="dxa"/>
            <w:bottom w:w="0" w:type="dxa"/>
            <w:right w:w="108" w:type="dxa"/>
          </w:tblCellMar>
        </w:tblPrEx>
        <w:trPr>
          <w:jc w:val="center"/>
        </w:trPr>
        <w:tc>
          <w:tcPr>
            <w:tcW w:w="706"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3</w:t>
            </w:r>
          </w:p>
        </w:tc>
        <w:tc>
          <w:tcPr>
            <w:tcW w:w="68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40-50</w:t>
            </w: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p>
        </w:tc>
        <w:tc>
          <w:tcPr>
            <w:tcW w:w="831"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40-45</w:t>
            </w:r>
          </w:p>
        </w:tc>
        <w:tc>
          <w:tcPr>
            <w:tcW w:w="997"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15-20</w:t>
            </w:r>
          </w:p>
        </w:tc>
        <w:tc>
          <w:tcPr>
            <w:tcW w:w="102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15-20</w:t>
            </w:r>
          </w:p>
        </w:tc>
      </w:tr>
      <w:tr>
        <w:tblPrEx>
          <w:tblCellMar>
            <w:top w:w="0" w:type="dxa"/>
            <w:left w:w="108" w:type="dxa"/>
            <w:bottom w:w="0" w:type="dxa"/>
            <w:right w:w="108" w:type="dxa"/>
          </w:tblCellMar>
        </w:tblPrEx>
        <w:trPr>
          <w:jc w:val="center"/>
        </w:trPr>
        <w:tc>
          <w:tcPr>
            <w:tcW w:w="706" w:type="pct"/>
            <w:tcBorders>
              <w:top w:val="single" w:color="auto" w:sz="4" w:space="0"/>
              <w:left w:val="nil"/>
              <w:bottom w:val="single" w:color="auto" w:sz="4" w:space="0"/>
              <w:right w:val="single" w:color="auto" w:sz="4" w:space="0"/>
            </w:tcBorders>
            <w:vAlign w:val="center"/>
          </w:tcPr>
          <w:p>
            <w:pPr>
              <w:jc w:val="center"/>
              <w:rPr>
                <w:b/>
                <w:sz w:val="18"/>
                <w:szCs w:val="18"/>
              </w:rPr>
            </w:pPr>
            <w:r>
              <w:rPr>
                <w:b/>
                <w:sz w:val="18"/>
                <w:szCs w:val="18"/>
              </w:rPr>
              <w:t>4</w:t>
            </w:r>
          </w:p>
        </w:tc>
        <w:tc>
          <w:tcPr>
            <w:tcW w:w="68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p>
        </w:tc>
        <w:tc>
          <w:tcPr>
            <w:tcW w:w="749"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b/>
                <w:sz w:val="18"/>
                <w:szCs w:val="18"/>
              </w:rPr>
              <w:t>60-70</w:t>
            </w:r>
          </w:p>
        </w:tc>
        <w:tc>
          <w:tcPr>
            <w:tcW w:w="831"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15-20</w:t>
            </w:r>
          </w:p>
        </w:tc>
        <w:tc>
          <w:tcPr>
            <w:tcW w:w="997" w:type="pct"/>
            <w:tcBorders>
              <w:top w:val="single" w:color="auto" w:sz="4" w:space="0"/>
              <w:left w:val="single" w:color="auto" w:sz="4" w:space="0"/>
              <w:bottom w:val="single" w:color="auto" w:sz="4" w:space="0"/>
              <w:right w:val="single" w:color="auto" w:sz="4" w:space="0"/>
            </w:tcBorders>
          </w:tcPr>
          <w:p>
            <w:pPr>
              <w:jc w:val="center"/>
              <w:rPr>
                <w:b/>
                <w:sz w:val="18"/>
                <w:szCs w:val="18"/>
              </w:rPr>
            </w:pPr>
            <w:r>
              <w:rPr>
                <w:b/>
                <w:sz w:val="18"/>
                <w:szCs w:val="18"/>
              </w:rPr>
              <w:t>40-45</w:t>
            </w:r>
          </w:p>
        </w:tc>
        <w:tc>
          <w:tcPr>
            <w:tcW w:w="1027" w:type="pct"/>
            <w:tcBorders>
              <w:top w:val="single" w:color="auto" w:sz="4" w:space="0"/>
              <w:left w:val="single" w:color="auto" w:sz="4" w:space="0"/>
              <w:bottom w:val="single" w:color="auto" w:sz="4" w:space="0"/>
              <w:right w:val="nil"/>
            </w:tcBorders>
            <w:vAlign w:val="center"/>
          </w:tcPr>
          <w:p>
            <w:pPr>
              <w:jc w:val="center"/>
              <w:rPr>
                <w:b/>
                <w:sz w:val="18"/>
                <w:szCs w:val="18"/>
              </w:rPr>
            </w:pPr>
            <w:r>
              <w:rPr>
                <w:b/>
                <w:sz w:val="18"/>
                <w:szCs w:val="18"/>
              </w:rPr>
              <w:t>40-45</w:t>
            </w:r>
          </w:p>
        </w:tc>
      </w:tr>
    </w:tbl>
    <w:p>
      <w:pPr>
        <w:spacing w:line="360" w:lineRule="auto"/>
        <w:rPr>
          <w:color w:val="0000FF"/>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hint="eastAsia" w:eastAsia="黑体"/>
          <w:szCs w:val="24"/>
        </w:rPr>
        <w:t>九、覆盖课程目标达成评价的知识点及权重</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7"/>
        <w:gridCol w:w="1148"/>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知识点</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权重</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支撑课程目标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1、</w:t>
            </w:r>
            <w:r>
              <w:rPr>
                <w:bCs/>
                <w:snapToGrid w:val="0"/>
                <w:kern w:val="0"/>
                <w:sz w:val="18"/>
                <w:szCs w:val="18"/>
              </w:rPr>
              <w:t>（硬件）常用电子仪器使用与半导体分立元器件性能参数测试</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0.14</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2、</w:t>
            </w:r>
            <w:r>
              <w:rPr>
                <w:bCs/>
                <w:snapToGrid w:val="0"/>
                <w:kern w:val="0"/>
                <w:sz w:val="18"/>
                <w:szCs w:val="18"/>
              </w:rPr>
              <w:t>（硬件）基本放大电路实验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0.14</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3、（软件） Multisim仿真软件的使用</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0.14</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4、（硬件）差动放大电路实验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5、（硬件）负反馈放大电路实验一——电压并联负反馈</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6、（硬件）比例、求和运算电路实验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7、（软件）负反馈放大电路实验二——电流串联负反馈</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8、（硬件）积分运算电路实验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9、（软件）有源滤波电路实验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10、（硬件）波形产生电路实验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11、（软件） 功率放大电路实验</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12、硬件测试</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top w:val="single" w:color="auto" w:sz="4" w:space="0"/>
              <w:left w:val="nil"/>
              <w:bottom w:val="single" w:color="auto" w:sz="4" w:space="0"/>
              <w:right w:val="single" w:color="auto" w:sz="4" w:space="0"/>
            </w:tcBorders>
            <w:vAlign w:val="center"/>
          </w:tcPr>
          <w:p>
            <w:pPr>
              <w:adjustRightInd w:val="0"/>
              <w:snapToGrid w:val="0"/>
              <w:ind w:firstLine="140" w:firstLineChars="78"/>
              <w:rPr>
                <w:sz w:val="18"/>
                <w:szCs w:val="18"/>
              </w:rPr>
            </w:pPr>
            <w:r>
              <w:rPr>
                <w:sz w:val="18"/>
                <w:szCs w:val="18"/>
              </w:rPr>
              <w:t>13、软件测试</w:t>
            </w:r>
          </w:p>
        </w:tc>
        <w:tc>
          <w:tcPr>
            <w:tcW w:w="69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0.06</w:t>
            </w:r>
          </w:p>
        </w:tc>
        <w:tc>
          <w:tcPr>
            <w:tcW w:w="1048"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2、3、4</w:t>
            </w:r>
          </w:p>
        </w:tc>
      </w:tr>
    </w:tbl>
    <w:p>
      <w:pPr>
        <w:spacing w:line="360" w:lineRule="auto"/>
        <w:rPr>
          <w:szCs w:val="21"/>
        </w:rPr>
      </w:pPr>
    </w:p>
    <w:p>
      <w:pPr>
        <w:spacing w:line="360" w:lineRule="auto"/>
        <w:rPr>
          <w:szCs w:val="21"/>
        </w:rPr>
      </w:pPr>
      <w:r>
        <w:rPr>
          <w:rFonts w:hint="eastAsia"/>
          <w:szCs w:val="21"/>
        </w:rPr>
        <w:t>不可以申请免修。</w:t>
      </w:r>
    </w:p>
    <w:p>
      <w:pPr>
        <w:tabs>
          <w:tab w:val="left" w:pos="420"/>
        </w:tabs>
        <w:adjustRightInd w:val="0"/>
        <w:snapToGrid w:val="0"/>
        <w:spacing w:line="360" w:lineRule="auto"/>
        <w:rPr>
          <w:rFonts w:eastAsia="黑体"/>
          <w:szCs w:val="24"/>
        </w:rPr>
      </w:pPr>
    </w:p>
    <w:p>
      <w:pPr>
        <w:tabs>
          <w:tab w:val="left" w:pos="420"/>
        </w:tabs>
        <w:adjustRightInd w:val="0"/>
        <w:snapToGrid w:val="0"/>
        <w:spacing w:line="360" w:lineRule="auto"/>
        <w:rPr>
          <w:rFonts w:eastAsia="黑体"/>
          <w:szCs w:val="24"/>
        </w:rPr>
      </w:pPr>
      <w:r>
        <w:rPr>
          <w:rFonts w:hint="eastAsia" w:eastAsia="黑体"/>
          <w:szCs w:val="24"/>
        </w:rPr>
        <w:t>十、各环节评价标准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本课程允许教师在各评价环节根据具体情况采取多样化、个性化的考核手段，其评价标准应当在《授课计划》中明确并向学生公布，教学过程中的考核评价应当严格按照标准完成。</w:t>
      </w:r>
    </w:p>
    <w:p>
      <w:pPr>
        <w:tabs>
          <w:tab w:val="left" w:pos="420"/>
        </w:tabs>
        <w:adjustRightInd w:val="0"/>
        <w:snapToGrid w:val="0"/>
        <w:spacing w:line="360" w:lineRule="auto"/>
        <w:ind w:left="420" w:hanging="420"/>
        <w:rPr>
          <w:rFonts w:eastAsia="黑体"/>
          <w:szCs w:val="24"/>
        </w:rPr>
      </w:pPr>
      <w:r>
        <w:rPr>
          <w:rFonts w:hint="eastAsia" w:eastAsia="黑体"/>
          <w:szCs w:val="24"/>
        </w:rPr>
        <w:t>十一、课程目标达成评价结果用于持续改进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ind w:firstLine="420" w:firstLineChars="200"/>
        <w:rPr>
          <w:szCs w:val="21"/>
        </w:rPr>
      </w:pPr>
    </w:p>
    <w:p>
      <w:pPr>
        <w:spacing w:line="360" w:lineRule="auto"/>
        <w:ind w:firstLine="420" w:firstLineChars="200"/>
        <w:rPr>
          <w:szCs w:val="21"/>
        </w:rPr>
      </w:pPr>
    </w:p>
    <w:p>
      <w:pPr>
        <w:widowControl/>
        <w:jc w:val="left"/>
        <w:rPr>
          <w:szCs w:val="21"/>
        </w:rPr>
      </w:pPr>
      <w:r>
        <w:rPr>
          <w:szCs w:val="21"/>
        </w:rPr>
        <w:br w:type="page"/>
      </w:r>
    </w:p>
    <w:p>
      <w:pPr>
        <w:pStyle w:val="20"/>
        <w:spacing w:before="312" w:after="468"/>
      </w:pPr>
      <w:bookmarkStart w:id="147" w:name="_Toc11358"/>
      <w:r>
        <w:rPr>
          <w:rFonts w:hint="eastAsia"/>
        </w:rPr>
        <w:t>《</w:t>
      </w:r>
      <w:r>
        <w:rPr>
          <w:rFonts w:hint="eastAsia"/>
          <w:szCs w:val="28"/>
        </w:rPr>
        <w:t>X05050003-</w:t>
      </w:r>
      <w:r>
        <w:rPr>
          <w:rFonts w:hint="eastAsia"/>
        </w:rPr>
        <w:t>数字电子技术实验》教学大纲</w:t>
      </w:r>
      <w:bookmarkEnd w:id="147"/>
    </w:p>
    <w:p>
      <w:pPr>
        <w:adjustRightInd w:val="0"/>
        <w:snapToGrid w:val="0"/>
        <w:spacing w:line="360" w:lineRule="auto"/>
        <w:ind w:firstLine="283" w:firstLineChars="135"/>
        <w:rPr>
          <w:rFonts w:cs="宋体" w:asciiTheme="minorEastAsia" w:hAnsiTheme="minorEastAsia" w:eastAsiaTheme="minorEastAsia"/>
          <w:snapToGrid w:val="0"/>
          <w:color w:val="0000FF"/>
          <w:kern w:val="0"/>
          <w:szCs w:val="21"/>
        </w:rPr>
      </w:pPr>
      <w:r>
        <w:rPr>
          <w:rFonts w:hint="eastAsia" w:eastAsia="黑体"/>
          <w:szCs w:val="21"/>
        </w:rPr>
        <w:t>课程编号：</w:t>
      </w:r>
      <w:r>
        <w:rPr>
          <w:rFonts w:hint="eastAsia"/>
          <w:szCs w:val="21"/>
        </w:rPr>
        <w:t>X05050003</w:t>
      </w:r>
    </w:p>
    <w:p>
      <w:pPr>
        <w:adjustRightInd w:val="0"/>
        <w:snapToGrid w:val="0"/>
        <w:spacing w:line="360" w:lineRule="auto"/>
        <w:ind w:firstLine="283" w:firstLineChars="135"/>
        <w:rPr>
          <w:snapToGrid w:val="0"/>
          <w:kern w:val="0"/>
          <w:szCs w:val="21"/>
        </w:rPr>
      </w:pPr>
      <w:r>
        <w:rPr>
          <w:rFonts w:hint="eastAsia" w:eastAsia="黑体"/>
          <w:szCs w:val="21"/>
        </w:rPr>
        <w:t>课程名称：</w:t>
      </w:r>
      <w:r>
        <w:rPr>
          <w:rFonts w:hint="eastAsia"/>
          <w:szCs w:val="21"/>
        </w:rPr>
        <w:t>数字电子技术实验</w:t>
      </w:r>
      <w:r>
        <w:rPr>
          <w:szCs w:val="21"/>
        </w:rPr>
        <w:tab/>
      </w:r>
      <w:r>
        <w:rPr>
          <w:szCs w:val="21"/>
        </w:rPr>
        <w:tab/>
      </w:r>
      <w:r>
        <w:rPr>
          <w:szCs w:val="21"/>
        </w:rPr>
        <w:tab/>
      </w:r>
      <w:r>
        <w:rPr>
          <w:szCs w:val="21"/>
        </w:rPr>
        <w:tab/>
      </w:r>
      <w:r>
        <w:rPr>
          <w:rFonts w:hint="eastAsia" w:eastAsia="黑体"/>
          <w:szCs w:val="21"/>
        </w:rPr>
        <w:t>开课单位：</w:t>
      </w:r>
      <w:r>
        <w:rPr>
          <w:rFonts w:hint="eastAsia"/>
          <w:szCs w:val="21"/>
        </w:rPr>
        <w:t>信息与通信工程学院</w:t>
      </w:r>
      <w:r>
        <w:rPr>
          <w:rFonts w:eastAsia="黑体"/>
          <w:szCs w:val="21"/>
        </w:rPr>
        <w:tab/>
      </w:r>
    </w:p>
    <w:p>
      <w:pPr>
        <w:adjustRightInd w:val="0"/>
        <w:snapToGrid w:val="0"/>
        <w:spacing w:line="360" w:lineRule="auto"/>
        <w:ind w:firstLine="283" w:firstLineChars="135"/>
        <w:rPr>
          <w:rFonts w:eastAsia="黑体"/>
          <w:szCs w:val="21"/>
        </w:rPr>
      </w:pPr>
      <w:r>
        <w:rPr>
          <w:rFonts w:hint="eastAsia" w:eastAsia="黑体"/>
          <w:szCs w:val="21"/>
        </w:rPr>
        <w:t>总</w:t>
      </w:r>
      <w:r>
        <w:rPr>
          <w:rFonts w:eastAsia="黑体"/>
          <w:szCs w:val="21"/>
        </w:rPr>
        <w:t xml:space="preserve"> </w:t>
      </w:r>
      <w:r>
        <w:rPr>
          <w:rFonts w:hint="eastAsia" w:eastAsia="黑体"/>
          <w:szCs w:val="21"/>
        </w:rPr>
        <w:t>学</w:t>
      </w:r>
      <w:r>
        <w:rPr>
          <w:rFonts w:eastAsia="黑体"/>
          <w:szCs w:val="21"/>
        </w:rPr>
        <w:t xml:space="preserve"> </w:t>
      </w:r>
      <w:r>
        <w:rPr>
          <w:rFonts w:hint="eastAsia" w:eastAsia="黑体"/>
          <w:szCs w:val="21"/>
        </w:rPr>
        <w:t>时：</w:t>
      </w:r>
      <w:r>
        <w:rPr>
          <w:rFonts w:hint="eastAsia"/>
          <w:szCs w:val="21"/>
        </w:rPr>
        <w:t xml:space="preserve">24            </w:t>
      </w:r>
      <w:r>
        <w:rPr>
          <w:rFonts w:eastAsia="黑体"/>
          <w:szCs w:val="21"/>
        </w:rPr>
        <w:tab/>
      </w:r>
      <w:r>
        <w:rPr>
          <w:rFonts w:eastAsia="黑体"/>
          <w:szCs w:val="21"/>
        </w:rPr>
        <w:tab/>
      </w:r>
      <w:r>
        <w:rPr>
          <w:rFonts w:eastAsia="黑体"/>
          <w:szCs w:val="21"/>
        </w:rPr>
        <w:tab/>
      </w:r>
      <w:r>
        <w:rPr>
          <w:rFonts w:hint="eastAsia" w:eastAsia="黑体"/>
          <w:szCs w:val="21"/>
        </w:rPr>
        <w:t xml:space="preserve">      </w:t>
      </w:r>
      <w:r>
        <w:rPr>
          <w:rFonts w:eastAsia="黑体"/>
          <w:szCs w:val="21"/>
        </w:rPr>
        <w:tab/>
      </w:r>
      <w:r>
        <w:rPr>
          <w:rFonts w:hint="eastAsia" w:eastAsia="黑体"/>
          <w:szCs w:val="21"/>
        </w:rPr>
        <w:t>学</w:t>
      </w:r>
      <w:r>
        <w:rPr>
          <w:rFonts w:eastAsia="黑体"/>
          <w:szCs w:val="21"/>
        </w:rPr>
        <w:t xml:space="preserve">    </w:t>
      </w:r>
      <w:r>
        <w:rPr>
          <w:rFonts w:hint="eastAsia" w:eastAsia="黑体"/>
          <w:szCs w:val="21"/>
        </w:rPr>
        <w:t>分：1.5</w:t>
      </w:r>
    </w:p>
    <w:p>
      <w:pPr>
        <w:adjustRightInd w:val="0"/>
        <w:snapToGrid w:val="0"/>
        <w:spacing w:line="360" w:lineRule="auto"/>
        <w:ind w:firstLine="283" w:firstLineChars="135"/>
        <w:rPr>
          <w:szCs w:val="21"/>
        </w:rPr>
      </w:pPr>
      <w:r>
        <w:rPr>
          <w:rFonts w:hint="eastAsia" w:eastAsia="黑体"/>
          <w:szCs w:val="21"/>
        </w:rPr>
        <w:t>适用专业：</w:t>
      </w:r>
      <w:r>
        <w:rPr>
          <w:rFonts w:hint="eastAsia" w:asciiTheme="minorEastAsia" w:hAnsiTheme="minorEastAsia"/>
          <w:szCs w:val="21"/>
        </w:rPr>
        <w:t>电子科学与技术</w:t>
      </w:r>
      <w:r>
        <w:rPr>
          <w:rFonts w:hint="eastAsia"/>
          <w:szCs w:val="21"/>
        </w:rPr>
        <w:t>专业</w:t>
      </w:r>
      <w:r>
        <w:rPr>
          <w:rFonts w:hint="eastAsia" w:asciiTheme="minorEastAsia" w:hAnsiTheme="minorEastAsia"/>
          <w:szCs w:val="21"/>
        </w:rPr>
        <w:t>，微电子科学与工程</w:t>
      </w:r>
      <w:r>
        <w:rPr>
          <w:rFonts w:hint="eastAsia"/>
          <w:szCs w:val="21"/>
        </w:rPr>
        <w:t>专业</w:t>
      </w:r>
      <w:r>
        <w:rPr>
          <w:rFonts w:hint="eastAsia" w:asciiTheme="minorEastAsia" w:hAnsiTheme="minorEastAsia"/>
          <w:szCs w:val="21"/>
        </w:rPr>
        <w:t>，测控技术及仪器</w:t>
      </w:r>
      <w:r>
        <w:rPr>
          <w:rFonts w:hint="eastAsia"/>
          <w:szCs w:val="21"/>
        </w:rPr>
        <w:t>专业</w:t>
      </w:r>
    </w:p>
    <w:p>
      <w:pPr>
        <w:adjustRightInd w:val="0"/>
        <w:snapToGrid w:val="0"/>
        <w:spacing w:line="360" w:lineRule="auto"/>
        <w:ind w:firstLine="283" w:firstLineChars="135"/>
        <w:rPr>
          <w:szCs w:val="21"/>
        </w:rPr>
      </w:pPr>
      <w:r>
        <w:rPr>
          <w:rFonts w:hint="eastAsia" w:eastAsia="黑体"/>
          <w:szCs w:val="21"/>
        </w:rPr>
        <w:t>先修课程：</w:t>
      </w:r>
      <w:r>
        <w:rPr>
          <w:rFonts w:hint="eastAsia"/>
          <w:szCs w:val="21"/>
        </w:rPr>
        <w:t>数字电子技术A</w:t>
      </w:r>
    </w:p>
    <w:p>
      <w:pPr>
        <w:adjustRightInd w:val="0"/>
        <w:snapToGrid w:val="0"/>
        <w:spacing w:line="360" w:lineRule="auto"/>
        <w:ind w:firstLine="283" w:firstLineChars="135"/>
        <w:rPr>
          <w:szCs w:val="21"/>
        </w:rPr>
      </w:pPr>
      <w:r>
        <w:rPr>
          <w:rFonts w:hint="eastAsia" w:eastAsia="黑体"/>
          <w:szCs w:val="21"/>
        </w:rPr>
        <w:t>大纲编写（修订）时间：</w:t>
      </w:r>
      <w:r>
        <w:rPr>
          <w:rFonts w:hint="eastAsia"/>
          <w:szCs w:val="21"/>
        </w:rPr>
        <w:t>201</w:t>
      </w:r>
      <w:r>
        <w:rPr>
          <w:szCs w:val="21"/>
        </w:rPr>
        <w:t>9</w:t>
      </w:r>
      <w:r>
        <w:rPr>
          <w:rFonts w:hint="eastAsia"/>
          <w:szCs w:val="21"/>
        </w:rPr>
        <w:t>年</w:t>
      </w:r>
      <w:r>
        <w:rPr>
          <w:szCs w:val="21"/>
        </w:rPr>
        <w:t>5</w:t>
      </w:r>
      <w:r>
        <w:rPr>
          <w:rFonts w:hint="eastAsia"/>
          <w:szCs w:val="21"/>
        </w:rPr>
        <w:t>月</w:t>
      </w:r>
    </w:p>
    <w:p>
      <w:pPr>
        <w:rPr>
          <w:b/>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spacing w:line="360" w:lineRule="auto"/>
        <w:ind w:firstLine="420" w:firstLineChars="200"/>
        <w:rPr>
          <w:rFonts w:ascii="宋体" w:hAnsi="宋体" w:cs="宋体"/>
          <w:kern w:val="0"/>
          <w:szCs w:val="21"/>
        </w:rPr>
      </w:pPr>
      <w:r>
        <w:rPr>
          <w:rFonts w:hint="eastAsia" w:ascii="宋体" w:hAnsi="宋体"/>
          <w:szCs w:val="21"/>
        </w:rPr>
        <w:t>本课程是</w:t>
      </w:r>
      <w:r>
        <w:rPr>
          <w:rFonts w:ascii="宋体" w:hAnsi="宋体"/>
          <w:szCs w:val="21"/>
        </w:rPr>
        <w:t>配合</w:t>
      </w:r>
      <w:r>
        <w:rPr>
          <w:rFonts w:hint="eastAsia" w:ascii="宋体" w:hAnsi="宋体" w:cs="宋体"/>
          <w:color w:val="000000"/>
          <w:szCs w:val="21"/>
          <w:lang w:val="zh-CN"/>
        </w:rPr>
        <w:t>《</w:t>
      </w:r>
      <w:r>
        <w:rPr>
          <w:rFonts w:hint="eastAsia" w:ascii="宋体" w:hAnsi="宋体"/>
          <w:szCs w:val="21"/>
        </w:rPr>
        <w:t>数字电子</w:t>
      </w:r>
      <w:r>
        <w:rPr>
          <w:rFonts w:ascii="宋体" w:hAnsi="宋体"/>
          <w:szCs w:val="21"/>
        </w:rPr>
        <w:t>技术</w:t>
      </w:r>
      <w:r>
        <w:rPr>
          <w:rFonts w:hint="eastAsia" w:ascii="宋体" w:hAnsi="宋体"/>
          <w:szCs w:val="21"/>
        </w:rPr>
        <w:t>A</w:t>
      </w:r>
      <w:r>
        <w:rPr>
          <w:rFonts w:hint="eastAsia" w:ascii="宋体" w:hAnsi="宋体" w:cs="宋体"/>
          <w:color w:val="000000"/>
          <w:szCs w:val="21"/>
          <w:lang w:val="zh-CN"/>
        </w:rPr>
        <w:t>》</w:t>
      </w:r>
      <w:r>
        <w:rPr>
          <w:rFonts w:ascii="宋体" w:hAnsi="宋体"/>
          <w:szCs w:val="21"/>
        </w:rPr>
        <w:t>理论教学的</w:t>
      </w:r>
      <w:r>
        <w:rPr>
          <w:rFonts w:hint="eastAsia" w:ascii="宋体" w:hAnsi="宋体"/>
          <w:szCs w:val="21"/>
        </w:rPr>
        <w:t>实践</w:t>
      </w:r>
      <w:r>
        <w:rPr>
          <w:rFonts w:ascii="宋体" w:hAnsi="宋体"/>
          <w:szCs w:val="21"/>
        </w:rPr>
        <w:t>性教学环节。</w:t>
      </w:r>
      <w:r>
        <w:rPr>
          <w:rFonts w:hint="eastAsia" w:ascii="宋体" w:hAnsi="宋体"/>
          <w:szCs w:val="21"/>
        </w:rPr>
        <w:t>课程的</w:t>
      </w:r>
      <w:r>
        <w:rPr>
          <w:rFonts w:hint="eastAsia" w:ascii="宋体" w:hAnsi="宋体" w:cs="宋体"/>
          <w:kern w:val="0"/>
          <w:szCs w:val="21"/>
        </w:rPr>
        <w:t>任务是将数字电子技术</w:t>
      </w:r>
      <w:r>
        <w:rPr>
          <w:rFonts w:hint="eastAsia" w:ascii="宋体" w:hAnsi="宋体"/>
          <w:szCs w:val="21"/>
        </w:rPr>
        <w:t>课程</w:t>
      </w:r>
      <w:r>
        <w:rPr>
          <w:rFonts w:hint="eastAsia" w:ascii="宋体" w:hAnsi="宋体" w:cs="宋体"/>
          <w:kern w:val="0"/>
          <w:szCs w:val="21"/>
        </w:rPr>
        <w:t>的理论与实践有机地结合起来，加强学生实验基本技能的训练，培养学生实际动手、理论联系实践的能力，并通过运用新技术、新器件及EDA现代技术，提高学生工程设计能力和创新能力。</w:t>
      </w:r>
    </w:p>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p>
      <w:pPr>
        <w:tabs>
          <w:tab w:val="left" w:pos="420"/>
        </w:tabs>
        <w:spacing w:line="360" w:lineRule="auto"/>
        <w:ind w:firstLine="420" w:firstLineChars="200"/>
        <w:rPr>
          <w:color w:val="000000"/>
          <w:szCs w:val="21"/>
        </w:rPr>
      </w:pPr>
      <w:r>
        <w:rPr>
          <w:rFonts w:hint="eastAsia"/>
          <w:color w:val="000000"/>
          <w:szCs w:val="21"/>
        </w:rPr>
        <w:t>数字电子技术实验电类专业课程目标见表1。</w:t>
      </w:r>
    </w:p>
    <w:p>
      <w:pPr>
        <w:spacing w:line="360" w:lineRule="auto"/>
        <w:jc w:val="center"/>
        <w:rPr>
          <w:sz w:val="18"/>
          <w:szCs w:val="18"/>
        </w:rPr>
      </w:pPr>
      <w:r>
        <w:rPr>
          <w:sz w:val="18"/>
          <w:szCs w:val="18"/>
        </w:rPr>
        <w:t>表</w:t>
      </w:r>
      <w:r>
        <w:rPr>
          <w:rFonts w:hint="eastAsia"/>
          <w:sz w:val="18"/>
          <w:szCs w:val="18"/>
        </w:rPr>
        <w:t>1电类专业</w:t>
      </w:r>
      <w:r>
        <w:rPr>
          <w:sz w:val="18"/>
          <w:szCs w:val="18"/>
        </w:rPr>
        <w:t>课程目标</w:t>
      </w:r>
      <w:r>
        <w:rPr>
          <w:rFonts w:hint="eastAsia"/>
          <w:sz w:val="18"/>
          <w:szCs w:val="18"/>
        </w:rPr>
        <w:t>支撑</w:t>
      </w:r>
      <w:r>
        <w:rPr>
          <w:sz w:val="18"/>
          <w:szCs w:val="18"/>
        </w:rPr>
        <w:t>毕业要求</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4052"/>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439" w:type="pct"/>
            <w:vAlign w:val="center"/>
          </w:tcPr>
          <w:p>
            <w:pPr>
              <w:spacing w:line="360" w:lineRule="auto"/>
              <w:jc w:val="center"/>
              <w:rPr>
                <w:sz w:val="18"/>
                <w:szCs w:val="18"/>
              </w:rPr>
            </w:pPr>
            <w:r>
              <w:rPr>
                <w:sz w:val="18"/>
                <w:szCs w:val="18"/>
              </w:rPr>
              <w:t>课程目标</w:t>
            </w:r>
          </w:p>
        </w:tc>
        <w:tc>
          <w:tcPr>
            <w:tcW w:w="2194" w:type="pct"/>
            <w:tcBorders>
              <w:right w:val="nil"/>
            </w:tcBorders>
            <w:vAlign w:val="center"/>
          </w:tcPr>
          <w:p>
            <w:pPr>
              <w:spacing w:line="360" w:lineRule="auto"/>
              <w:jc w:val="center"/>
              <w:rPr>
                <w:sz w:val="18"/>
                <w:szCs w:val="18"/>
              </w:rPr>
            </w:pPr>
            <w:r>
              <w:rPr>
                <w:sz w:val="18"/>
                <w:szCs w:val="18"/>
              </w:rPr>
              <w:t>支撑毕业要求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1</w:t>
            </w:r>
          </w:p>
        </w:tc>
        <w:tc>
          <w:tcPr>
            <w:tcW w:w="2439"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能够正确使用常用电子仪器，如示波器、信号发生器、数字万用表等；正确使用常用电子仪器，如示波器、信号发生器、数字万用表等；能够正确处理实验数据；</w:t>
            </w:r>
          </w:p>
        </w:tc>
        <w:tc>
          <w:tcPr>
            <w:tcW w:w="2194" w:type="pct"/>
            <w:tcBorders>
              <w:right w:val="nil"/>
            </w:tcBorders>
          </w:tcPr>
          <w:p>
            <w:pPr>
              <w:adjustRightInd w:val="0"/>
              <w:snapToGrid w:val="0"/>
              <w:spacing w:line="360" w:lineRule="auto"/>
              <w:rPr>
                <w:sz w:val="18"/>
                <w:szCs w:val="18"/>
              </w:rPr>
            </w:pPr>
            <w:r>
              <w:rPr>
                <w:rFonts w:hint="eastAsia"/>
                <w:b/>
                <w:sz w:val="18"/>
                <w:szCs w:val="18"/>
              </w:rPr>
              <w:t>毕业要求2问题分析：</w:t>
            </w:r>
            <w:r>
              <w:rPr>
                <w:rFonts w:hint="eastAsia"/>
                <w:sz w:val="18"/>
                <w:szCs w:val="18"/>
              </w:rPr>
              <w:t>能够应用工程所需的数学、自然科学知识和专业基本理论，并通过文献检索、资料查询及运用现代技术获取信息的方法，对电子、微电子或仪器类专业有关的复杂工程问题进行识别、表达和分析，得出有效结论。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2439"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能够使用门电路、触发器、数据选择器、译码器、移位寄存器、计数器及七段译码器等中、小规模集成电路；能够应用EDA技术，</w:t>
            </w:r>
            <w:r>
              <w:rPr>
                <w:rFonts w:ascii="宋体" w:hAnsi="宋体" w:cs="宋体"/>
                <w:kern w:val="0"/>
                <w:sz w:val="18"/>
                <w:szCs w:val="18"/>
              </w:rPr>
              <w:t>熟悉一种</w:t>
            </w:r>
            <w:r>
              <w:rPr>
                <w:rFonts w:hint="eastAsia" w:ascii="宋体" w:hAnsi="宋体" w:cs="宋体"/>
                <w:kern w:val="0"/>
                <w:sz w:val="18"/>
                <w:szCs w:val="18"/>
              </w:rPr>
              <w:t>可编程器件的编程</w:t>
            </w:r>
            <w:r>
              <w:rPr>
                <w:rFonts w:ascii="宋体" w:hAnsi="宋体" w:cs="宋体"/>
                <w:kern w:val="0"/>
                <w:sz w:val="18"/>
                <w:szCs w:val="18"/>
              </w:rPr>
              <w:t>软件</w:t>
            </w:r>
            <w:r>
              <w:rPr>
                <w:rFonts w:hint="eastAsia" w:ascii="宋体" w:hAnsi="宋体" w:cs="宋体"/>
                <w:kern w:val="0"/>
                <w:sz w:val="18"/>
                <w:szCs w:val="18"/>
              </w:rPr>
              <w:t>；能够根据设计要求选用合适的元器件、设计常用的小系统，并进行组装和调试；</w:t>
            </w:r>
          </w:p>
        </w:tc>
        <w:tc>
          <w:tcPr>
            <w:tcW w:w="2194" w:type="pct"/>
            <w:vMerge w:val="restart"/>
            <w:tcBorders>
              <w:right w:val="nil"/>
            </w:tcBorders>
          </w:tcPr>
          <w:p>
            <w:pPr>
              <w:adjustRightInd w:val="0"/>
              <w:snapToGrid w:val="0"/>
              <w:spacing w:line="360" w:lineRule="auto"/>
              <w:rPr>
                <w:sz w:val="18"/>
                <w:szCs w:val="18"/>
              </w:rPr>
            </w:pPr>
            <w:r>
              <w:rPr>
                <w:rFonts w:hint="eastAsia"/>
                <w:b/>
                <w:sz w:val="18"/>
                <w:szCs w:val="18"/>
              </w:rPr>
              <w:t>毕业要求4研究：</w:t>
            </w:r>
            <w:r>
              <w:rPr>
                <w:rFonts w:hint="eastAsia"/>
                <w:sz w:val="18"/>
                <w:szCs w:val="18"/>
              </w:rPr>
              <w:t>能够基于电子、测试领域的科学原理，采用科学方法对本专业有关的复杂工程问题进行研究，设计可行的实验方案，并对实验结果进行分析与数据处理，通过误差分析、信息综合获得有效结论。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2439"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能够查阅电子器件手册；能够初步分析、寻找和排除电子线路中常见故障；能够正确分析实验误差；能独立撰写科学严谨、有理论分析、实事求是、文理通顺、字迹端正的报告。</w:t>
            </w:r>
          </w:p>
        </w:tc>
        <w:tc>
          <w:tcPr>
            <w:tcW w:w="2194" w:type="pct"/>
            <w:vMerge w:val="continue"/>
            <w:tcBorders>
              <w:right w:val="nil"/>
            </w:tcBorders>
          </w:tcPr>
          <w:p>
            <w:pPr>
              <w:adjustRightInd w:val="0"/>
              <w:snapToGrid w:val="0"/>
              <w:spacing w:line="360" w:lineRule="auto"/>
              <w:rPr>
                <w:rFonts w:ascii="宋体" w:hAnsi="宋体" w:cs="宋体"/>
                <w:kern w:val="0"/>
                <w:sz w:val="18"/>
                <w:szCs w:val="18"/>
              </w:rPr>
            </w:pPr>
          </w:p>
        </w:tc>
      </w:tr>
    </w:tbl>
    <w:p>
      <w:pPr>
        <w:spacing w:line="360" w:lineRule="auto"/>
        <w:ind w:firstLine="420" w:firstLineChars="200"/>
        <w:rPr>
          <w:szCs w:val="21"/>
        </w:rPr>
      </w:pPr>
      <w:r>
        <w:rPr>
          <w:rFonts w:hint="eastAsia"/>
          <w:color w:val="000000"/>
          <w:szCs w:val="21"/>
        </w:rPr>
        <w:t>根据数字电子技术实验电类专业课程目标细化至电子科学与技术、测控技术与仪器、微电子科学与工程专业课程目标分别见表2、表3和表4。</w:t>
      </w:r>
    </w:p>
    <w:p>
      <w:pPr>
        <w:spacing w:line="360" w:lineRule="auto"/>
        <w:jc w:val="center"/>
        <w:rPr>
          <w:sz w:val="18"/>
          <w:szCs w:val="18"/>
        </w:rPr>
      </w:pPr>
      <w:r>
        <w:rPr>
          <w:sz w:val="18"/>
          <w:szCs w:val="18"/>
        </w:rPr>
        <w:t>表</w:t>
      </w:r>
      <w:r>
        <w:rPr>
          <w:rFonts w:hint="eastAsia"/>
          <w:sz w:val="18"/>
          <w:szCs w:val="18"/>
        </w:rPr>
        <w:t xml:space="preserve">2 </w:t>
      </w:r>
      <w:r>
        <w:rPr>
          <w:sz w:val="18"/>
          <w:szCs w:val="18"/>
        </w:rPr>
        <w:t>课程目标</w:t>
      </w:r>
      <w:r>
        <w:rPr>
          <w:rFonts w:hint="eastAsia"/>
          <w:sz w:val="18"/>
          <w:szCs w:val="18"/>
        </w:rPr>
        <w:t>支撑</w:t>
      </w:r>
      <w:r>
        <w:rPr>
          <w:sz w:val="18"/>
          <w:szCs w:val="18"/>
        </w:rPr>
        <w:t>毕业要求</w:t>
      </w:r>
      <w:r>
        <w:rPr>
          <w:rFonts w:hint="eastAsia"/>
          <w:sz w:val="18"/>
          <w:szCs w:val="18"/>
        </w:rPr>
        <w:t>（</w:t>
      </w:r>
      <w:r>
        <w:rPr>
          <w:rFonts w:hint="eastAsia"/>
          <w:color w:val="000000"/>
          <w:sz w:val="18"/>
          <w:szCs w:val="18"/>
        </w:rPr>
        <w:t>电子科学与技术</w:t>
      </w:r>
      <w:r>
        <w:rPr>
          <w:sz w:val="18"/>
          <w:szCs w:val="18"/>
        </w:rPr>
        <w:t>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1</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能够正确使用常用电子仪器，如示波器、信号发生器、数字万用表等；正确使用常用电子仪器，如示波器、信号发生器、数字万用表等；能够正确处理实验数据</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指标点2-3 结论判断：</w:t>
            </w:r>
            <w:r>
              <w:rPr>
                <w:rFonts w:hint="eastAsia" w:ascii="宋体" w:hAnsi="宋体" w:cs="宋体"/>
                <w:kern w:val="0"/>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能够使用门电路、触发器、数据选择器、译码器、移位寄存器、计数器及七段译码器等中、小规模集成电路；能够应用EDA技术，</w:t>
            </w:r>
            <w:r>
              <w:rPr>
                <w:rFonts w:ascii="宋体" w:hAnsi="宋体" w:cs="宋体"/>
                <w:kern w:val="0"/>
                <w:sz w:val="18"/>
                <w:szCs w:val="18"/>
              </w:rPr>
              <w:t>熟悉一种</w:t>
            </w:r>
            <w:r>
              <w:rPr>
                <w:rFonts w:hint="eastAsia" w:ascii="宋体" w:hAnsi="宋体" w:cs="宋体"/>
                <w:kern w:val="0"/>
                <w:sz w:val="18"/>
                <w:szCs w:val="18"/>
              </w:rPr>
              <w:t>可编程器件的编程</w:t>
            </w:r>
            <w:r>
              <w:rPr>
                <w:rFonts w:ascii="宋体" w:hAnsi="宋体" w:cs="宋体"/>
                <w:kern w:val="0"/>
                <w:sz w:val="18"/>
                <w:szCs w:val="18"/>
              </w:rPr>
              <w:t>软件</w:t>
            </w:r>
            <w:r>
              <w:rPr>
                <w:rFonts w:hint="eastAsia" w:ascii="宋体" w:hAnsi="宋体" w:cs="宋体"/>
                <w:kern w:val="0"/>
                <w:sz w:val="18"/>
                <w:szCs w:val="18"/>
              </w:rPr>
              <w:t>；能够根据设计要求选用合适的元器件、设计常用的小系统，并进行组装和调试；</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指标点4-2实验设计能力：</w:t>
            </w:r>
            <w:r>
              <w:rPr>
                <w:rFonts w:hint="eastAsia" w:ascii="宋体" w:hAnsi="宋体" w:cs="宋体"/>
                <w:kern w:val="0"/>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能够查阅电子器件手册；能够初步分析、寻找和排除电子线路中常见故障；能够正确分析实验误差；能独立撰写科学严谨、有理论分析、实事求是、文理通顺、字迹端正的报告。</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指标点4-3 实验结果分析：</w:t>
            </w:r>
            <w:r>
              <w:rPr>
                <w:rFonts w:hint="eastAsia" w:ascii="宋体" w:hAnsi="宋体" w:cs="宋体"/>
                <w:kern w:val="0"/>
                <w:sz w:val="18"/>
                <w:szCs w:val="18"/>
              </w:rPr>
              <w:t>能正确采集、整理、综合实验数据及相关信息，对多因素实验结果进行关联处理，得到有效结论，提出优化方案。</w:t>
            </w:r>
          </w:p>
        </w:tc>
      </w:tr>
    </w:tbl>
    <w:p>
      <w:pPr>
        <w:spacing w:line="360" w:lineRule="auto"/>
        <w:rPr>
          <w:sz w:val="18"/>
          <w:szCs w:val="18"/>
        </w:rPr>
      </w:pPr>
    </w:p>
    <w:p>
      <w:pPr>
        <w:spacing w:line="360" w:lineRule="auto"/>
        <w:jc w:val="center"/>
        <w:rPr>
          <w:sz w:val="18"/>
          <w:szCs w:val="18"/>
        </w:rPr>
      </w:pPr>
      <w:r>
        <w:rPr>
          <w:sz w:val="18"/>
          <w:szCs w:val="18"/>
        </w:rPr>
        <w:t>表</w:t>
      </w:r>
      <w:r>
        <w:rPr>
          <w:rFonts w:hint="eastAsia"/>
          <w:sz w:val="18"/>
          <w:szCs w:val="18"/>
        </w:rPr>
        <w:t xml:space="preserve">3 </w:t>
      </w:r>
      <w:r>
        <w:rPr>
          <w:sz w:val="18"/>
          <w:szCs w:val="18"/>
        </w:rPr>
        <w:t>课程目标</w:t>
      </w:r>
      <w:r>
        <w:rPr>
          <w:rFonts w:hint="eastAsia"/>
          <w:sz w:val="18"/>
          <w:szCs w:val="18"/>
        </w:rPr>
        <w:t>支撑</w:t>
      </w:r>
      <w:r>
        <w:rPr>
          <w:sz w:val="18"/>
          <w:szCs w:val="18"/>
        </w:rPr>
        <w:t>毕业要求</w:t>
      </w:r>
      <w:r>
        <w:rPr>
          <w:rFonts w:hint="eastAsia"/>
          <w:sz w:val="18"/>
          <w:szCs w:val="18"/>
        </w:rPr>
        <w:t>（测控技术与仪器</w:t>
      </w:r>
      <w:r>
        <w:rPr>
          <w:sz w:val="18"/>
          <w:szCs w:val="18"/>
        </w:rPr>
        <w:t>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1</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能够正确使用常用电子仪器，如示波器、信号发生器、数字万用表等；正确使用常用电子仪器，如示波器、信号发生器、数字万用表等；能够正确处理实验数据</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指标点2-3 结论判断：</w:t>
            </w:r>
            <w:r>
              <w:rPr>
                <w:rFonts w:hint="eastAsia" w:ascii="宋体" w:hAnsi="宋体" w:cs="宋体"/>
                <w:kern w:val="0"/>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能够使用门电路、触发器、数据选择器、译码器、移位寄存器、计数器及七段译码器等中、小规模集成电路；能够应用EDA技术，</w:t>
            </w:r>
            <w:r>
              <w:rPr>
                <w:rFonts w:ascii="宋体" w:hAnsi="宋体" w:cs="宋体"/>
                <w:kern w:val="0"/>
                <w:sz w:val="18"/>
                <w:szCs w:val="18"/>
              </w:rPr>
              <w:t>熟悉一种</w:t>
            </w:r>
            <w:r>
              <w:rPr>
                <w:rFonts w:hint="eastAsia" w:ascii="宋体" w:hAnsi="宋体" w:cs="宋体"/>
                <w:kern w:val="0"/>
                <w:sz w:val="18"/>
                <w:szCs w:val="18"/>
              </w:rPr>
              <w:t>可编程器件的编程</w:t>
            </w:r>
            <w:r>
              <w:rPr>
                <w:rFonts w:ascii="宋体" w:hAnsi="宋体" w:cs="宋体"/>
                <w:kern w:val="0"/>
                <w:sz w:val="18"/>
                <w:szCs w:val="18"/>
              </w:rPr>
              <w:t>软件</w:t>
            </w:r>
            <w:r>
              <w:rPr>
                <w:rFonts w:hint="eastAsia" w:ascii="宋体" w:hAnsi="宋体" w:cs="宋体"/>
                <w:kern w:val="0"/>
                <w:sz w:val="18"/>
                <w:szCs w:val="18"/>
              </w:rPr>
              <w:t>；能够根据设计要求选用合适的元器件、设计常用的小系统，并进行组装和调试；</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指标点4-2实验设计能力：</w:t>
            </w:r>
            <w:r>
              <w:rPr>
                <w:rFonts w:hint="eastAsia" w:ascii="宋体" w:hAnsi="宋体" w:cs="宋体"/>
                <w:kern w:val="0"/>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能够查阅电子器件手册；能够初步分析、寻找和排除电子线路中常见故障；能够正确分析实验误差；能独立撰写科学严谨、有理论分析、实事求是、文理通顺、字迹端正的报告。</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指标点4-3 实验结果分析：</w:t>
            </w:r>
            <w:r>
              <w:rPr>
                <w:rFonts w:hint="eastAsia" w:ascii="宋体" w:hAnsi="宋体" w:cs="宋体"/>
                <w:kern w:val="0"/>
                <w:sz w:val="18"/>
                <w:szCs w:val="18"/>
              </w:rPr>
              <w:t>能正确采集、整理、综合实验数据及相关信息，对多因素实验结果进行关联处理，得到有效结论，提出优化方案。</w:t>
            </w:r>
          </w:p>
        </w:tc>
      </w:tr>
    </w:tbl>
    <w:p>
      <w:pPr>
        <w:spacing w:line="360" w:lineRule="auto"/>
        <w:rPr>
          <w:szCs w:val="21"/>
        </w:rPr>
      </w:pPr>
    </w:p>
    <w:p>
      <w:pPr>
        <w:spacing w:line="360" w:lineRule="auto"/>
        <w:rPr>
          <w:szCs w:val="21"/>
        </w:rPr>
      </w:pPr>
    </w:p>
    <w:p>
      <w:pPr>
        <w:spacing w:line="360" w:lineRule="auto"/>
        <w:rPr>
          <w:szCs w:val="21"/>
        </w:rPr>
      </w:pPr>
    </w:p>
    <w:p>
      <w:pPr>
        <w:spacing w:line="360" w:lineRule="auto"/>
        <w:jc w:val="center"/>
        <w:rPr>
          <w:sz w:val="18"/>
          <w:szCs w:val="18"/>
        </w:rPr>
      </w:pPr>
      <w:r>
        <w:rPr>
          <w:sz w:val="18"/>
          <w:szCs w:val="18"/>
        </w:rPr>
        <w:t>表</w:t>
      </w:r>
      <w:r>
        <w:rPr>
          <w:rFonts w:hint="eastAsia"/>
          <w:sz w:val="18"/>
          <w:szCs w:val="18"/>
        </w:rPr>
        <w:t xml:space="preserve">4 </w:t>
      </w:r>
      <w:r>
        <w:rPr>
          <w:sz w:val="18"/>
          <w:szCs w:val="18"/>
        </w:rPr>
        <w:t>课程目标</w:t>
      </w:r>
      <w:r>
        <w:rPr>
          <w:rFonts w:hint="eastAsia"/>
          <w:sz w:val="18"/>
          <w:szCs w:val="18"/>
        </w:rPr>
        <w:t>支撑</w:t>
      </w:r>
      <w:r>
        <w:rPr>
          <w:sz w:val="18"/>
          <w:szCs w:val="18"/>
        </w:rPr>
        <w:t>毕业要求</w:t>
      </w:r>
      <w:r>
        <w:rPr>
          <w:rFonts w:hint="eastAsia"/>
          <w:sz w:val="18"/>
          <w:szCs w:val="18"/>
        </w:rPr>
        <w:t>（微电子科学与工程</w:t>
      </w:r>
      <w:r>
        <w:rPr>
          <w:sz w:val="18"/>
          <w:szCs w:val="18"/>
        </w:rPr>
        <w:t>专业</w:t>
      </w:r>
      <w:r>
        <w:rPr>
          <w:rFonts w:hint="eastAsia"/>
          <w:sz w:val="18"/>
          <w:szCs w:val="18"/>
        </w:rPr>
        <w:t>）</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tcBorders>
              <w:right w:val="nil"/>
            </w:tcBorders>
            <w:vAlign w:val="center"/>
          </w:tcPr>
          <w:p>
            <w:pPr>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1</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能够正确使用常用电子仪器，如示波器、信号发生器、数字万用表等；正确使用常用电子仪器，如示波器、信号发生器、数字万用表等；能够正确处理实验数据</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指标点2-3 结论判断：</w:t>
            </w:r>
            <w:r>
              <w:rPr>
                <w:rFonts w:hint="eastAsia" w:ascii="宋体" w:hAnsi="宋体" w:cs="宋体"/>
                <w:kern w:val="0"/>
                <w:sz w:val="18"/>
                <w:szCs w:val="18"/>
              </w:rPr>
              <w:t>能够应用专业知识和原理分析判断结论的有效性。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2</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能够使用门电路、触发器、数据选择器、译码器、移位寄存器、计数器及七段译码器等中、小规模集成电路；能够应用EDA技术，</w:t>
            </w:r>
            <w:r>
              <w:rPr>
                <w:rFonts w:ascii="宋体" w:hAnsi="宋体" w:cs="宋体"/>
                <w:kern w:val="0"/>
                <w:sz w:val="18"/>
                <w:szCs w:val="18"/>
              </w:rPr>
              <w:t>熟悉一种</w:t>
            </w:r>
            <w:r>
              <w:rPr>
                <w:rFonts w:hint="eastAsia" w:ascii="宋体" w:hAnsi="宋体" w:cs="宋体"/>
                <w:kern w:val="0"/>
                <w:sz w:val="18"/>
                <w:szCs w:val="18"/>
              </w:rPr>
              <w:t>可编程器件的编程</w:t>
            </w:r>
            <w:r>
              <w:rPr>
                <w:rFonts w:ascii="宋体" w:hAnsi="宋体" w:cs="宋体"/>
                <w:kern w:val="0"/>
                <w:sz w:val="18"/>
                <w:szCs w:val="18"/>
              </w:rPr>
              <w:t>软件</w:t>
            </w:r>
            <w:r>
              <w:rPr>
                <w:rFonts w:hint="eastAsia" w:ascii="宋体" w:hAnsi="宋体" w:cs="宋体"/>
                <w:kern w:val="0"/>
                <w:sz w:val="18"/>
                <w:szCs w:val="18"/>
              </w:rPr>
              <w:t>；能够根据设计要求选用合适的元器件、设计常用的小系统，并进行组装和调试；</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指标点4-2实验设计能力：</w:t>
            </w:r>
            <w:r>
              <w:rPr>
                <w:rFonts w:hint="eastAsia" w:ascii="宋体" w:hAnsi="宋体" w:cs="宋体"/>
                <w:kern w:val="0"/>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Borders>
              <w:left w:val="nil"/>
            </w:tcBorders>
            <w:vAlign w:val="center"/>
          </w:tcPr>
          <w:p>
            <w:pPr>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3</w:t>
            </w:r>
          </w:p>
        </w:tc>
        <w:tc>
          <w:tcPr>
            <w:tcW w:w="2345" w:type="pct"/>
          </w:tcPr>
          <w:p>
            <w:pPr>
              <w:widowControl/>
              <w:adjustRightInd w:val="0"/>
              <w:snapToGrid w:val="0"/>
              <w:spacing w:line="360" w:lineRule="auto"/>
              <w:jc w:val="left"/>
              <w:rPr>
                <w:rFonts w:ascii="宋体" w:hAnsi="宋体" w:cs="宋体"/>
                <w:kern w:val="0"/>
                <w:sz w:val="18"/>
                <w:szCs w:val="18"/>
              </w:rPr>
            </w:pPr>
            <w:r>
              <w:rPr>
                <w:rFonts w:hint="eastAsia" w:ascii="宋体" w:hAnsi="宋体" w:cs="宋体"/>
                <w:kern w:val="0"/>
                <w:sz w:val="18"/>
                <w:szCs w:val="18"/>
              </w:rPr>
              <w:t>能够查阅电子器件手册；能够初步分析、寻找和排除电子线路中常见故障；能够正确分析实验误差；能独立撰写科学严谨、有理论分析、实事求是、文理通顺、字迹端正的报告。</w:t>
            </w:r>
          </w:p>
        </w:tc>
        <w:tc>
          <w:tcPr>
            <w:tcW w:w="2288" w:type="pct"/>
            <w:tcBorders>
              <w:right w:val="nil"/>
            </w:tcBorders>
          </w:tcPr>
          <w:p>
            <w:pPr>
              <w:adjustRightInd w:val="0"/>
              <w:snapToGrid w:val="0"/>
              <w:spacing w:line="360" w:lineRule="auto"/>
              <w:rPr>
                <w:rFonts w:ascii="宋体" w:hAnsi="宋体" w:cs="宋体"/>
                <w:kern w:val="0"/>
                <w:sz w:val="18"/>
                <w:szCs w:val="18"/>
              </w:rPr>
            </w:pPr>
            <w:r>
              <w:rPr>
                <w:rFonts w:hint="eastAsia" w:ascii="宋体" w:hAnsi="宋体" w:cs="宋体"/>
                <w:b/>
                <w:kern w:val="0"/>
                <w:sz w:val="18"/>
                <w:szCs w:val="18"/>
              </w:rPr>
              <w:t>指标点4-3 实验结果分析：</w:t>
            </w:r>
            <w:r>
              <w:rPr>
                <w:rFonts w:hint="eastAsia" w:ascii="宋体" w:hAnsi="宋体" w:cs="宋体"/>
                <w:kern w:val="0"/>
                <w:sz w:val="18"/>
                <w:szCs w:val="18"/>
              </w:rPr>
              <w:t>能正确采集、整理、综合实验数据及相关信息，对多因素实验结果进行关联处理，得到有效结论，提出优化方案。</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 xml:space="preserve">三、 基本要求 </w:t>
      </w:r>
    </w:p>
    <w:p>
      <w:pPr>
        <w:tabs>
          <w:tab w:val="left" w:pos="0"/>
        </w:tabs>
        <w:adjustRightInd w:val="0"/>
        <w:snapToGrid w:val="0"/>
        <w:spacing w:line="360" w:lineRule="auto"/>
        <w:ind w:firstLine="426"/>
        <w:rPr>
          <w:rFonts w:eastAsia="黑体"/>
          <w:szCs w:val="21"/>
        </w:rPr>
      </w:pPr>
      <w:r>
        <w:rPr>
          <w:rFonts w:hint="eastAsia" w:eastAsia="黑体"/>
          <w:szCs w:val="21"/>
        </w:rPr>
        <w:t>1、</w:t>
      </w:r>
      <w:r>
        <w:rPr>
          <w:rFonts w:hint="eastAsia"/>
          <w:color w:val="000000" w:themeColor="text1"/>
          <w:szCs w:val="21"/>
          <w14:textFill>
            <w14:solidFill>
              <w14:schemeClr w14:val="tx1"/>
            </w14:solidFill>
          </w14:textFill>
        </w:rPr>
        <w:t>本课程为专业基础课程，是</w:t>
      </w:r>
      <w:r>
        <w:rPr>
          <w:rFonts w:ascii="宋体" w:hAnsi="宋体"/>
          <w:szCs w:val="21"/>
        </w:rPr>
        <w:t>配合</w:t>
      </w:r>
      <w:r>
        <w:rPr>
          <w:rFonts w:hint="eastAsia" w:ascii="宋体" w:hAnsi="宋体"/>
          <w:szCs w:val="21"/>
        </w:rPr>
        <w:t>《数字电子</w:t>
      </w:r>
      <w:r>
        <w:rPr>
          <w:rFonts w:ascii="宋体" w:hAnsi="宋体"/>
          <w:szCs w:val="21"/>
        </w:rPr>
        <w:t>技</w:t>
      </w:r>
      <w:r>
        <w:rPr>
          <w:rFonts w:hint="eastAsia" w:ascii="宋体" w:hAnsi="宋体"/>
          <w:szCs w:val="21"/>
        </w:rPr>
        <w:t>术A》</w:t>
      </w:r>
      <w:r>
        <w:rPr>
          <w:rFonts w:ascii="宋体" w:hAnsi="宋体"/>
          <w:szCs w:val="21"/>
        </w:rPr>
        <w:t>理论教学的</w:t>
      </w:r>
      <w:r>
        <w:rPr>
          <w:rFonts w:hint="eastAsia" w:ascii="宋体" w:hAnsi="宋体"/>
          <w:szCs w:val="21"/>
        </w:rPr>
        <w:t>实践</w:t>
      </w:r>
      <w:r>
        <w:rPr>
          <w:rFonts w:ascii="宋体" w:hAnsi="宋体"/>
          <w:szCs w:val="21"/>
        </w:rPr>
        <w:t>性教学环节</w:t>
      </w:r>
      <w:r>
        <w:rPr>
          <w:rFonts w:hint="eastAsia" w:ascii="宋体" w:hAnsi="宋体"/>
          <w:szCs w:val="21"/>
        </w:rPr>
        <w:t>，</w:t>
      </w:r>
      <w:r>
        <w:rPr>
          <w:rFonts w:hint="eastAsia"/>
          <w:color w:val="000000" w:themeColor="text1"/>
          <w:szCs w:val="21"/>
          <w14:textFill>
            <w14:solidFill>
              <w14:schemeClr w14:val="tx1"/>
            </w14:solidFill>
          </w14:textFill>
        </w:rPr>
        <w:t>要求先修</w:t>
      </w:r>
      <w:r>
        <w:rPr>
          <w:rFonts w:hint="eastAsia" w:asciiTheme="minorEastAsia" w:hAnsiTheme="minorEastAsia"/>
          <w:color w:val="000000" w:themeColor="text1"/>
          <w:szCs w:val="21"/>
          <w14:textFill>
            <w14:solidFill>
              <w14:schemeClr w14:val="tx1"/>
            </w14:solidFill>
          </w14:textFill>
        </w:rPr>
        <w:t>《数字电子技术A》。可以将理论课程和实验课程置于同一学期，理论学习三周以后可以开始实验，需要保证先理论内容后实验内容的顺序。</w:t>
      </w:r>
    </w:p>
    <w:p>
      <w:pPr>
        <w:spacing w:line="360" w:lineRule="auto"/>
        <w:rPr>
          <w:szCs w:val="21"/>
        </w:rPr>
      </w:pPr>
      <w:r>
        <w:rPr>
          <w:rFonts w:hint="eastAsia"/>
          <w:color w:val="FF0000"/>
          <w:szCs w:val="21"/>
        </w:rPr>
        <w:t xml:space="preserve">    </w:t>
      </w:r>
      <w:r>
        <w:rPr>
          <w:rFonts w:hint="eastAsia"/>
          <w:szCs w:val="21"/>
        </w:rPr>
        <w:t>2、为了</w:t>
      </w:r>
      <w:r>
        <w:rPr>
          <w:rFonts w:hint="eastAsia" w:ascii="宋体" w:hAnsi="宋体"/>
          <w:szCs w:val="21"/>
        </w:rPr>
        <w:t>提高学生工程实践能力和EDA工具的应用能力，</w:t>
      </w:r>
      <w:r>
        <w:rPr>
          <w:rFonts w:hint="eastAsia"/>
          <w:szCs w:val="21"/>
        </w:rPr>
        <w:t>实验内容分为硬件实验和软件实验两部分。</w:t>
      </w:r>
    </w:p>
    <w:p>
      <w:pPr>
        <w:spacing w:line="360" w:lineRule="auto"/>
        <w:ind w:firstLine="420" w:firstLineChars="200"/>
        <w:rPr>
          <w:color w:val="000000"/>
          <w:szCs w:val="21"/>
        </w:rPr>
      </w:pPr>
      <w:r>
        <w:rPr>
          <w:rFonts w:hint="eastAsia"/>
          <w:szCs w:val="21"/>
        </w:rPr>
        <w:t>3、实验教学注重循序渐进，实验分为验证性、设计性和综合性三个层次。</w:t>
      </w:r>
    </w:p>
    <w:p>
      <w:pPr>
        <w:spacing w:line="360" w:lineRule="auto"/>
        <w:ind w:firstLine="420" w:firstLineChars="200"/>
        <w:rPr>
          <w:szCs w:val="21"/>
        </w:rPr>
      </w:pPr>
      <w:r>
        <w:rPr>
          <w:rFonts w:hint="eastAsia"/>
          <w:szCs w:val="21"/>
        </w:rPr>
        <w:t>4、深度和广度说明：为了更好地培养学生的创新意识和综合应用能力，只开设必要的验证性实验，尽量多开设设计性和综合性实验。</w:t>
      </w:r>
    </w:p>
    <w:p>
      <w:pPr>
        <w:spacing w:line="360" w:lineRule="auto"/>
        <w:ind w:firstLine="420" w:firstLineChars="200"/>
        <w:rPr>
          <w:szCs w:val="21"/>
        </w:rPr>
      </w:pPr>
      <w:r>
        <w:rPr>
          <w:rFonts w:hint="eastAsia"/>
          <w:szCs w:val="21"/>
        </w:rPr>
        <w:t>5</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rFonts w:ascii="宋体" w:hAnsi="宋体"/>
          <w:color w:val="000000"/>
          <w:szCs w:val="21"/>
        </w:rPr>
      </w:pPr>
      <w:r>
        <w:rPr>
          <w:rFonts w:hint="eastAsia" w:ascii="宋体" w:hAnsi="宋体" w:cs="宋体"/>
          <w:color w:val="000000" w:themeColor="text1"/>
          <w:szCs w:val="27"/>
          <w14:textFill>
            <w14:solidFill>
              <w14:schemeClr w14:val="tx1"/>
            </w14:solidFill>
          </w14:textFill>
        </w:rPr>
        <w:t>本课程教学内容包括：</w:t>
      </w:r>
      <w:r>
        <w:rPr>
          <w:rFonts w:ascii="宋体" w:hAnsi="宋体"/>
          <w:color w:val="000000"/>
          <w:szCs w:val="21"/>
        </w:rPr>
        <w:t>利用数字电子</w:t>
      </w:r>
      <w:r>
        <w:rPr>
          <w:rFonts w:hint="eastAsia" w:ascii="宋体" w:hAnsi="宋体"/>
          <w:color w:val="000000"/>
          <w:szCs w:val="21"/>
        </w:rPr>
        <w:t>技术</w:t>
      </w:r>
      <w:r>
        <w:rPr>
          <w:rFonts w:ascii="宋体" w:hAnsi="宋体"/>
          <w:color w:val="000000"/>
          <w:szCs w:val="21"/>
        </w:rPr>
        <w:t>基本理论知识</w:t>
      </w:r>
      <w:r>
        <w:rPr>
          <w:rFonts w:hint="eastAsia" w:ascii="宋体" w:hAnsi="宋体"/>
          <w:color w:val="000000"/>
          <w:szCs w:val="21"/>
        </w:rPr>
        <w:t>，</w:t>
      </w:r>
      <w:r>
        <w:rPr>
          <w:rFonts w:ascii="宋体" w:hAnsi="宋体"/>
          <w:color w:val="000000"/>
          <w:szCs w:val="21"/>
        </w:rPr>
        <w:t>设计</w:t>
      </w:r>
      <w:r>
        <w:rPr>
          <w:rFonts w:hint="eastAsia" w:ascii="宋体" w:hAnsi="宋体"/>
          <w:color w:val="000000"/>
          <w:szCs w:val="21"/>
        </w:rPr>
        <w:t>和实现</w:t>
      </w:r>
      <w:r>
        <w:rPr>
          <w:rFonts w:ascii="宋体" w:hAnsi="宋体"/>
          <w:color w:val="000000"/>
          <w:szCs w:val="21"/>
        </w:rPr>
        <w:t>实用电路，提高综合应用能力和实验研究能力。通过用在系统可编程件设计小型数字系统，熟悉一种</w:t>
      </w:r>
      <w:r>
        <w:rPr>
          <w:rFonts w:hint="eastAsia" w:ascii="宋体" w:hAnsi="宋体"/>
          <w:color w:val="000000"/>
          <w:szCs w:val="21"/>
        </w:rPr>
        <w:t>可编程器件的编程</w:t>
      </w:r>
      <w:r>
        <w:rPr>
          <w:rFonts w:ascii="宋体" w:hAnsi="宋体"/>
          <w:color w:val="000000"/>
          <w:szCs w:val="21"/>
        </w:rPr>
        <w:t>软件。通过</w:t>
      </w:r>
      <w:r>
        <w:rPr>
          <w:rFonts w:hint="eastAsia" w:ascii="宋体" w:hAnsi="宋体"/>
          <w:color w:val="000000"/>
          <w:szCs w:val="21"/>
        </w:rPr>
        <w:t>对所设计电路的计算机仿真，提高EDA工具的应用能力。</w:t>
      </w:r>
    </w:p>
    <w:p>
      <w:pPr>
        <w:spacing w:line="360" w:lineRule="auto"/>
        <w:ind w:firstLine="420" w:firstLineChars="200"/>
        <w:rPr>
          <w:rFonts w:cs="宋体"/>
          <w:bCs/>
          <w:snapToGrid w:val="0"/>
          <w:kern w:val="0"/>
          <w:szCs w:val="21"/>
        </w:rPr>
      </w:pPr>
      <w:r>
        <w:rPr>
          <w:rFonts w:hint="eastAsia" w:cs="宋体"/>
          <w:bCs/>
          <w:snapToGrid w:val="0"/>
          <w:kern w:val="0"/>
          <w:szCs w:val="21"/>
        </w:rPr>
        <w:t>教学方法：讲授法、演示法与讨论法相结合。</w:t>
      </w:r>
    </w:p>
    <w:p>
      <w:pPr>
        <w:spacing w:line="360" w:lineRule="auto"/>
        <w:ind w:firstLine="420" w:firstLineChars="200"/>
        <w:rPr>
          <w:rFonts w:cs="宋体"/>
          <w:bCs/>
          <w:snapToGrid w:val="0"/>
          <w:color w:val="FF0000"/>
          <w:kern w:val="0"/>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实验环节主要硬件环节和软件环节，14个学时进行硬件实验教学，8学时进行软件实验学习，2个学时硬件使用能力测试。</w:t>
      </w:r>
    </w:p>
    <w:p>
      <w:pPr>
        <w:spacing w:line="360" w:lineRule="auto"/>
        <w:ind w:firstLine="420" w:firstLineChars="200"/>
        <w:rPr>
          <w:rFonts w:ascii="黑体" w:eastAsia="黑体"/>
          <w:szCs w:val="21"/>
        </w:rPr>
      </w:pPr>
      <w:r>
        <w:rPr>
          <w:rFonts w:hint="eastAsia" w:ascii="黑体" w:eastAsia="黑体"/>
          <w:szCs w:val="21"/>
        </w:rPr>
        <w:t>实验一</w:t>
      </w:r>
      <w:r>
        <w:rPr>
          <w:rFonts w:ascii="黑体" w:eastAsia="黑体"/>
          <w:szCs w:val="21"/>
        </w:rPr>
        <w:t xml:space="preserve"> </w:t>
      </w:r>
      <w:r>
        <w:rPr>
          <w:rFonts w:hint="eastAsia" w:ascii="黑体" w:eastAsia="黑体"/>
          <w:szCs w:val="21"/>
        </w:rPr>
        <w:t xml:space="preserve"> (硬件) 门电路逻辑功能及参数的测试（2学时）</w:t>
      </w:r>
    </w:p>
    <w:p>
      <w:pPr>
        <w:tabs>
          <w:tab w:val="left" w:pos="2700"/>
        </w:tabs>
        <w:spacing w:line="360" w:lineRule="auto"/>
        <w:ind w:firstLine="420" w:firstLineChars="200"/>
        <w:rPr>
          <w:rFonts w:ascii="宋体" w:hAnsi="宋体" w:cs="宋体"/>
          <w:kern w:val="0"/>
          <w:szCs w:val="21"/>
        </w:rPr>
      </w:pPr>
      <w:r>
        <w:rPr>
          <w:rFonts w:hint="eastAsia" w:ascii="宋体" w:hAnsi="宋体"/>
          <w:szCs w:val="21"/>
        </w:rPr>
        <w:t>内容：</w:t>
      </w:r>
      <w:r>
        <w:rPr>
          <w:szCs w:val="21"/>
        </w:rPr>
        <w:t>ＴＴＬ</w:t>
      </w:r>
      <w:r>
        <w:rPr>
          <w:kern w:val="0"/>
          <w:szCs w:val="21"/>
        </w:rPr>
        <w:t>门电</w:t>
      </w:r>
      <w:r>
        <w:rPr>
          <w:rFonts w:hint="eastAsia" w:ascii="宋体" w:hAnsi="宋体" w:cs="宋体"/>
          <w:kern w:val="0"/>
          <w:szCs w:val="21"/>
        </w:rPr>
        <w:t>路逻辑功能及参数的测试</w:t>
      </w:r>
    </w:p>
    <w:p>
      <w:pPr>
        <w:snapToGrid w:val="0"/>
        <w:spacing w:line="360" w:lineRule="auto"/>
        <w:ind w:firstLine="420" w:firstLineChars="200"/>
        <w:rPr>
          <w:rFonts w:ascii="宋体" w:hAnsi="宋体"/>
          <w:szCs w:val="21"/>
        </w:rPr>
      </w:pPr>
      <w:r>
        <w:rPr>
          <w:rFonts w:hint="eastAsia" w:ascii="宋体" w:hAnsi="宋体"/>
          <w:szCs w:val="21"/>
        </w:rPr>
        <w:t>基本要求：</w:t>
      </w:r>
    </w:p>
    <w:p>
      <w:pPr>
        <w:snapToGrid w:val="0"/>
        <w:spacing w:line="360" w:lineRule="auto"/>
        <w:ind w:firstLine="420" w:firstLineChars="200"/>
        <w:rPr>
          <w:rFonts w:ascii="宋体" w:hAnsi="宋体" w:cs="宋体"/>
          <w:kern w:val="0"/>
          <w:szCs w:val="21"/>
        </w:rPr>
      </w:pPr>
      <w:r>
        <w:rPr>
          <w:rFonts w:hint="eastAsia" w:ascii="宋体"/>
          <w:szCs w:val="21"/>
        </w:rPr>
        <w:t>1、</w:t>
      </w:r>
      <w:r>
        <w:rPr>
          <w:rFonts w:hint="eastAsia" w:ascii="宋体" w:hAnsi="宋体"/>
          <w:szCs w:val="21"/>
          <w:lang w:val="zh-CN"/>
        </w:rPr>
        <w:t>熟悉数字实验电路实验装置的结构、基本功能和使用方法；</w:t>
      </w:r>
    </w:p>
    <w:p>
      <w:pPr>
        <w:snapToGrid w:val="0"/>
        <w:spacing w:line="360" w:lineRule="auto"/>
        <w:ind w:firstLine="420" w:firstLineChars="200"/>
        <w:rPr>
          <w:rFonts w:ascii="宋体"/>
          <w:szCs w:val="21"/>
        </w:rPr>
      </w:pPr>
      <w:r>
        <w:rPr>
          <w:rFonts w:hint="eastAsia" w:ascii="宋体"/>
          <w:szCs w:val="21"/>
        </w:rPr>
        <w:t>2、</w:t>
      </w:r>
      <w:r>
        <w:rPr>
          <w:rFonts w:hint="eastAsia" w:ascii="宋体" w:hAnsi="宋体"/>
          <w:szCs w:val="21"/>
          <w:lang w:val="zh-CN"/>
        </w:rPr>
        <w:t>了解集成电路的外引脚排列及使用方法；</w:t>
      </w:r>
    </w:p>
    <w:p>
      <w:pPr>
        <w:snapToGrid w:val="0"/>
        <w:spacing w:line="360" w:lineRule="auto"/>
        <w:ind w:firstLine="420" w:firstLineChars="200"/>
        <w:rPr>
          <w:szCs w:val="21"/>
        </w:rPr>
      </w:pPr>
      <w:r>
        <w:rPr>
          <w:rFonts w:hint="eastAsia" w:ascii="宋体"/>
          <w:szCs w:val="21"/>
        </w:rPr>
        <w:t>3、</w:t>
      </w:r>
      <w:r>
        <w:rPr>
          <w:rFonts w:hint="eastAsia"/>
          <w:szCs w:val="21"/>
        </w:rPr>
        <w:t>掌握TTL、CMOS集成门电路的逻辑功能和主要参数的测试方法。</w:t>
      </w:r>
    </w:p>
    <w:p>
      <w:pPr>
        <w:adjustRightInd w:val="0"/>
        <w:snapToGrid w:val="0"/>
        <w:spacing w:line="360" w:lineRule="auto"/>
        <w:ind w:left="426"/>
        <w:rPr>
          <w:rFonts w:eastAsia="黑体"/>
          <w:szCs w:val="21"/>
        </w:rPr>
      </w:pPr>
      <w:r>
        <w:rPr>
          <w:rFonts w:cs="宋体"/>
          <w:bCs/>
          <w:snapToGrid w:val="0"/>
          <w:kern w:val="0"/>
          <w:szCs w:val="21"/>
        </w:rPr>
        <w:t>本实验支撑课程目标</w:t>
      </w:r>
      <w:r>
        <w:rPr>
          <w:rFonts w:hint="eastAsia" w:cs="宋体"/>
          <w:bCs/>
          <w:snapToGrid w:val="0"/>
          <w:kern w:val="0"/>
          <w:szCs w:val="21"/>
        </w:rPr>
        <w:t>2。</w:t>
      </w:r>
    </w:p>
    <w:p>
      <w:pPr>
        <w:spacing w:line="360" w:lineRule="auto"/>
        <w:rPr>
          <w:rFonts w:ascii="黑体" w:eastAsia="黑体"/>
          <w:szCs w:val="21"/>
        </w:rPr>
      </w:pPr>
      <w:r>
        <w:rPr>
          <w:rFonts w:hint="eastAsia" w:ascii="黑体" w:eastAsia="黑体"/>
          <w:szCs w:val="21"/>
        </w:rPr>
        <w:t xml:space="preserve">    实验二 (硬件)TTL集电极开路（OC）门和三态（3S）门逻辑功能测试和应用（2学时）</w:t>
      </w:r>
    </w:p>
    <w:p>
      <w:pPr>
        <w:tabs>
          <w:tab w:val="left" w:pos="2700"/>
        </w:tabs>
        <w:spacing w:line="360" w:lineRule="auto"/>
        <w:ind w:firstLine="315" w:firstLineChars="150"/>
        <w:rPr>
          <w:rFonts w:ascii="宋体" w:hAnsi="宋体" w:cs="宋体"/>
          <w:kern w:val="0"/>
          <w:szCs w:val="21"/>
        </w:rPr>
      </w:pPr>
      <w:r>
        <w:rPr>
          <w:rFonts w:hint="eastAsia" w:ascii="宋体" w:hAnsi="宋体" w:cs="宋体"/>
          <w:kern w:val="0"/>
          <w:szCs w:val="21"/>
        </w:rPr>
        <w:t xml:space="preserve"> 内容：TTL集电极开路（OC）门和三态（3S）门逻辑功能的测试与应用。</w:t>
      </w:r>
    </w:p>
    <w:p>
      <w:pPr>
        <w:spacing w:line="360" w:lineRule="auto"/>
        <w:ind w:firstLine="315" w:firstLineChars="150"/>
        <w:rPr>
          <w:szCs w:val="21"/>
        </w:rPr>
      </w:pPr>
      <w:r>
        <w:rPr>
          <w:rFonts w:hint="eastAsia"/>
          <w:szCs w:val="21"/>
        </w:rPr>
        <w:t xml:space="preserve"> 基本要求：</w:t>
      </w:r>
    </w:p>
    <w:p>
      <w:pPr>
        <w:spacing w:line="360" w:lineRule="auto"/>
        <w:ind w:firstLine="315" w:firstLineChars="150"/>
        <w:rPr>
          <w:szCs w:val="21"/>
        </w:rPr>
      </w:pPr>
      <w:r>
        <w:rPr>
          <w:rFonts w:hint="eastAsia"/>
          <w:szCs w:val="21"/>
        </w:rPr>
        <w:t xml:space="preserve"> 1、熟悉TTL集电极开路门和三态门电路的特点与功能；</w:t>
      </w:r>
    </w:p>
    <w:p>
      <w:pPr>
        <w:spacing w:line="360" w:lineRule="auto"/>
        <w:ind w:firstLine="315" w:firstLineChars="150"/>
        <w:rPr>
          <w:szCs w:val="21"/>
        </w:rPr>
      </w:pPr>
      <w:r>
        <w:rPr>
          <w:rFonts w:hint="eastAsia"/>
          <w:szCs w:val="21"/>
        </w:rPr>
        <w:t xml:space="preserve"> 2、掌握集电极开路门和三态门电路的一般应用。</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2。</w:t>
      </w:r>
    </w:p>
    <w:p>
      <w:pPr>
        <w:snapToGrid w:val="0"/>
        <w:spacing w:line="360" w:lineRule="auto"/>
        <w:rPr>
          <w:rFonts w:ascii="黑体" w:eastAsia="黑体"/>
          <w:szCs w:val="21"/>
        </w:rPr>
      </w:pPr>
      <w:r>
        <w:rPr>
          <w:rFonts w:hint="eastAsia" w:ascii="黑体" w:eastAsia="黑体"/>
          <w:szCs w:val="21"/>
        </w:rPr>
        <w:t xml:space="preserve">    实验三</w:t>
      </w:r>
      <w:r>
        <w:rPr>
          <w:rFonts w:ascii="黑体" w:eastAsia="黑体"/>
          <w:szCs w:val="21"/>
        </w:rPr>
        <w:t xml:space="preserve"> </w:t>
      </w:r>
      <w:r>
        <w:rPr>
          <w:rFonts w:hint="eastAsia" w:ascii="黑体" w:eastAsia="黑体"/>
          <w:szCs w:val="21"/>
        </w:rPr>
        <w:t>(硬件)</w:t>
      </w:r>
      <w:r>
        <w:rPr>
          <w:rFonts w:ascii="黑体" w:eastAsia="黑体"/>
          <w:szCs w:val="21"/>
        </w:rPr>
        <w:t xml:space="preserve"> </w:t>
      </w:r>
      <w:r>
        <w:rPr>
          <w:rFonts w:hint="eastAsia" w:ascii="黑体" w:eastAsia="黑体"/>
          <w:szCs w:val="21"/>
        </w:rPr>
        <w:t>SSI组合逻辑电路实验（2学时）</w:t>
      </w:r>
    </w:p>
    <w:p>
      <w:pPr>
        <w:spacing w:line="360" w:lineRule="auto"/>
        <w:ind w:left="359" w:leftChars="171" w:firstLine="105" w:firstLineChars="50"/>
        <w:rPr>
          <w:szCs w:val="21"/>
        </w:rPr>
      </w:pPr>
      <w:r>
        <w:rPr>
          <w:rFonts w:hint="eastAsia"/>
          <w:szCs w:val="21"/>
        </w:rPr>
        <w:t>内容：利用SSI门电路解决与实际生活相关的组合逻辑问题，设计出电路。</w:t>
      </w:r>
    </w:p>
    <w:p>
      <w:pPr>
        <w:spacing w:line="360" w:lineRule="auto"/>
        <w:ind w:firstLine="315" w:firstLineChars="150"/>
        <w:rPr>
          <w:szCs w:val="21"/>
        </w:rPr>
      </w:pPr>
      <w:r>
        <w:rPr>
          <w:rFonts w:hint="eastAsia"/>
          <w:szCs w:val="21"/>
        </w:rPr>
        <w:t xml:space="preserve"> 基本要求：</w:t>
      </w:r>
    </w:p>
    <w:p>
      <w:pPr>
        <w:spacing w:line="360" w:lineRule="auto"/>
        <w:ind w:firstLine="315" w:firstLineChars="150"/>
        <w:rPr>
          <w:szCs w:val="21"/>
        </w:rPr>
      </w:pPr>
      <w:r>
        <w:rPr>
          <w:rFonts w:hint="eastAsia"/>
          <w:szCs w:val="21"/>
        </w:rPr>
        <w:t xml:space="preserve"> 1、学习用SSI门进行组合逻辑电路设计的基本步骤；</w:t>
      </w:r>
    </w:p>
    <w:p>
      <w:pPr>
        <w:spacing w:line="360" w:lineRule="auto"/>
        <w:ind w:firstLine="315" w:firstLineChars="150"/>
        <w:rPr>
          <w:szCs w:val="21"/>
        </w:rPr>
      </w:pPr>
      <w:r>
        <w:rPr>
          <w:rFonts w:hint="eastAsia"/>
          <w:szCs w:val="21"/>
        </w:rPr>
        <w:t xml:space="preserve"> 2、培养用数字电子技术分析实际问题和解决问题的能力；</w:t>
      </w:r>
    </w:p>
    <w:p>
      <w:pPr>
        <w:spacing w:line="360" w:lineRule="auto"/>
        <w:ind w:firstLine="315" w:firstLineChars="150"/>
        <w:rPr>
          <w:bCs/>
          <w:szCs w:val="21"/>
        </w:rPr>
      </w:pPr>
      <w:r>
        <w:rPr>
          <w:rFonts w:hint="eastAsia"/>
          <w:bCs/>
          <w:szCs w:val="21"/>
        </w:rPr>
        <w:t xml:space="preserve"> 3、培养学生使用外用表排查连接线路中错误的能力。</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2。</w:t>
      </w:r>
    </w:p>
    <w:p>
      <w:pPr>
        <w:spacing w:line="360" w:lineRule="auto"/>
        <w:rPr>
          <w:rFonts w:ascii="黑体" w:eastAsia="黑体"/>
          <w:szCs w:val="21"/>
        </w:rPr>
      </w:pPr>
      <w:r>
        <w:rPr>
          <w:rFonts w:hint="eastAsia" w:ascii="黑体" w:eastAsia="黑体"/>
          <w:szCs w:val="21"/>
        </w:rPr>
        <w:t xml:space="preserve">    实验四 (硬件)MSI组合逻辑电路设计与实验（2学时）</w:t>
      </w:r>
    </w:p>
    <w:p>
      <w:pPr>
        <w:snapToGrid w:val="0"/>
        <w:spacing w:line="360" w:lineRule="auto"/>
        <w:ind w:left="17" w:leftChars="8"/>
        <w:rPr>
          <w:rFonts w:ascii="宋体" w:hAnsi="宋体"/>
          <w:szCs w:val="21"/>
          <w:lang w:val="zh-CN"/>
        </w:rPr>
      </w:pPr>
      <w:r>
        <w:rPr>
          <w:rFonts w:hint="eastAsia" w:ascii="宋体" w:hAnsi="宋体"/>
          <w:szCs w:val="21"/>
        </w:rPr>
        <w:t xml:space="preserve">    </w:t>
      </w:r>
      <w:r>
        <w:rPr>
          <w:rFonts w:hint="eastAsia" w:ascii="宋体" w:hAnsi="宋体"/>
          <w:szCs w:val="21"/>
          <w:lang w:val="zh-CN"/>
        </w:rPr>
        <w:t>内容：用MSI组合逻辑器件</w:t>
      </w:r>
      <w:r>
        <w:rPr>
          <w:rFonts w:hint="eastAsia"/>
          <w:szCs w:val="21"/>
        </w:rPr>
        <w:t>解决与</w:t>
      </w:r>
      <w:r>
        <w:rPr>
          <w:rFonts w:hint="eastAsia" w:ascii="宋体" w:hAnsi="宋体"/>
          <w:szCs w:val="21"/>
          <w:lang w:val="zh-CN"/>
        </w:rPr>
        <w:t>实际生活相关的</w:t>
      </w:r>
      <w:r>
        <w:rPr>
          <w:rFonts w:hint="eastAsia"/>
          <w:szCs w:val="21"/>
        </w:rPr>
        <w:t>组合逻辑问题，体会用中规模器件实现组合逻辑电路的便利与简单。</w:t>
      </w:r>
    </w:p>
    <w:p>
      <w:pPr>
        <w:snapToGrid w:val="0"/>
        <w:spacing w:line="360" w:lineRule="auto"/>
        <w:ind w:firstLine="105" w:firstLineChars="50"/>
        <w:rPr>
          <w:rFonts w:ascii="宋体" w:hAnsi="宋体"/>
          <w:szCs w:val="21"/>
          <w:lang w:val="zh-CN"/>
        </w:rPr>
      </w:pPr>
      <w:r>
        <w:rPr>
          <w:rFonts w:hint="eastAsia" w:ascii="宋体" w:hAnsi="宋体"/>
          <w:szCs w:val="21"/>
          <w:lang w:val="zh-CN"/>
        </w:rPr>
        <w:t xml:space="preserve">   基本要求：</w:t>
      </w:r>
    </w:p>
    <w:p>
      <w:pPr>
        <w:snapToGrid w:val="0"/>
        <w:spacing w:line="360" w:lineRule="auto"/>
        <w:ind w:firstLine="105" w:firstLineChars="50"/>
        <w:rPr>
          <w:rFonts w:ascii="宋体" w:hAnsi="宋体"/>
          <w:szCs w:val="21"/>
        </w:rPr>
      </w:pPr>
      <w:r>
        <w:rPr>
          <w:rFonts w:hint="eastAsia" w:ascii="宋体" w:hAnsi="宋体"/>
          <w:szCs w:val="21"/>
          <w:lang w:val="zh-CN"/>
        </w:rPr>
        <w:t xml:space="preserve">   1、译码器、数据选择器、数值比较器及全加器的应用；</w:t>
      </w:r>
    </w:p>
    <w:p>
      <w:pPr>
        <w:snapToGrid w:val="0"/>
        <w:spacing w:line="360" w:lineRule="auto"/>
        <w:ind w:firstLine="105" w:firstLineChars="50"/>
        <w:rPr>
          <w:rFonts w:ascii="宋体" w:hAnsi="宋体"/>
          <w:szCs w:val="21"/>
        </w:rPr>
      </w:pPr>
      <w:r>
        <w:rPr>
          <w:rFonts w:hint="eastAsia" w:ascii="宋体" w:hAnsi="宋体"/>
          <w:szCs w:val="21"/>
        </w:rPr>
        <w:t xml:space="preserve">   2、掌握组合电路的设计方法和检测方法，检测所设计组合电路的逻辑功能是否正确。</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1、2。</w:t>
      </w:r>
    </w:p>
    <w:p>
      <w:pPr>
        <w:adjustRightInd w:val="0"/>
        <w:snapToGrid w:val="0"/>
        <w:spacing w:line="360" w:lineRule="auto"/>
        <w:rPr>
          <w:rFonts w:ascii="黑体" w:eastAsia="黑体"/>
          <w:szCs w:val="21"/>
        </w:rPr>
      </w:pPr>
      <w:r>
        <w:rPr>
          <w:rFonts w:hint="eastAsia" w:ascii="黑体" w:eastAsia="黑体"/>
          <w:szCs w:val="21"/>
        </w:rPr>
        <w:t xml:space="preserve">    实验五</w:t>
      </w:r>
      <w:r>
        <w:rPr>
          <w:rFonts w:ascii="黑体" w:eastAsia="黑体"/>
          <w:szCs w:val="21"/>
        </w:rPr>
        <w:t xml:space="preserve"> </w:t>
      </w:r>
      <w:r>
        <w:rPr>
          <w:rFonts w:hint="eastAsia" w:ascii="黑体" w:eastAsia="黑体"/>
          <w:szCs w:val="21"/>
        </w:rPr>
        <w:t xml:space="preserve"> (软件) Quartus</w:t>
      </w:r>
      <w:r>
        <w:rPr>
          <w:rFonts w:ascii="黑体" w:eastAsia="黑体"/>
          <w:szCs w:val="21"/>
        </w:rPr>
        <w:t>II</w:t>
      </w:r>
      <w:r>
        <w:rPr>
          <w:rFonts w:hint="eastAsia" w:ascii="黑体" w:eastAsia="黑体"/>
          <w:szCs w:val="21"/>
        </w:rPr>
        <w:t xml:space="preserve"> 软件的使用（4学时）</w:t>
      </w:r>
    </w:p>
    <w:p>
      <w:pPr>
        <w:autoSpaceDE w:val="0"/>
        <w:autoSpaceDN w:val="0"/>
        <w:adjustRightInd w:val="0"/>
        <w:snapToGrid w:val="0"/>
        <w:spacing w:line="360" w:lineRule="auto"/>
        <w:ind w:firstLine="210" w:firstLineChars="100"/>
        <w:rPr>
          <w:rFonts w:ascii="宋体" w:hAnsi="宋体"/>
          <w:szCs w:val="21"/>
        </w:rPr>
      </w:pPr>
      <w:r>
        <w:rPr>
          <w:rFonts w:hint="eastAsia" w:ascii="宋体" w:hAnsi="宋体"/>
          <w:szCs w:val="21"/>
        </w:rPr>
        <w:t xml:space="preserve">  内容：利用</w:t>
      </w:r>
      <w:r>
        <w:rPr>
          <w:rFonts w:hint="eastAsia" w:ascii="黑体" w:eastAsia="黑体"/>
          <w:szCs w:val="21"/>
        </w:rPr>
        <w:t>Quartus</w:t>
      </w:r>
      <w:r>
        <w:rPr>
          <w:rFonts w:ascii="宋体" w:hAnsi="宋体"/>
          <w:szCs w:val="21"/>
        </w:rPr>
        <w:t>II</w:t>
      </w:r>
      <w:r>
        <w:rPr>
          <w:rFonts w:hint="eastAsia" w:ascii="宋体" w:hAnsi="宋体"/>
          <w:szCs w:val="21"/>
        </w:rPr>
        <w:t>软件，设计组合逻辑电路和时序逻辑电路并进行功能仿真。最后在实验箱上实现具体电路。（仅介绍原理图输入方式）</w:t>
      </w:r>
    </w:p>
    <w:p>
      <w:pPr>
        <w:adjustRightInd w:val="0"/>
        <w:snapToGrid w:val="0"/>
        <w:spacing w:line="360" w:lineRule="auto"/>
        <w:ind w:firstLine="105" w:firstLineChars="50"/>
        <w:rPr>
          <w:rFonts w:ascii="黑体" w:eastAsia="黑体"/>
          <w:szCs w:val="21"/>
        </w:rPr>
      </w:pPr>
      <w:r>
        <w:rPr>
          <w:rFonts w:hint="eastAsia" w:ascii="宋体" w:hAnsi="宋体"/>
          <w:szCs w:val="21"/>
        </w:rPr>
        <w:t xml:space="preserve">   基本要求：</w:t>
      </w:r>
    </w:p>
    <w:p>
      <w:pPr>
        <w:adjustRightInd w:val="0"/>
        <w:snapToGrid w:val="0"/>
        <w:spacing w:line="360" w:lineRule="auto"/>
        <w:ind w:firstLine="105" w:firstLineChars="50"/>
        <w:rPr>
          <w:rFonts w:ascii="宋体" w:hAnsi="宋体"/>
          <w:szCs w:val="21"/>
        </w:rPr>
      </w:pPr>
      <w:r>
        <w:rPr>
          <w:rFonts w:hint="eastAsia" w:ascii="宋体"/>
          <w:szCs w:val="21"/>
        </w:rPr>
        <w:t xml:space="preserve">   1、进一步</w:t>
      </w:r>
      <w:r>
        <w:rPr>
          <w:rFonts w:hint="eastAsia" w:ascii="宋体" w:hAnsi="宋体"/>
          <w:szCs w:val="21"/>
        </w:rPr>
        <w:t>掌握组合逻辑电路和时序逻辑电路的分析、设计及测试方法；</w:t>
      </w:r>
    </w:p>
    <w:p>
      <w:pPr>
        <w:adjustRightInd w:val="0"/>
        <w:snapToGrid w:val="0"/>
        <w:spacing w:line="360" w:lineRule="auto"/>
        <w:ind w:firstLine="105" w:firstLineChars="50"/>
        <w:rPr>
          <w:rFonts w:ascii="宋体" w:hAnsi="宋体"/>
          <w:szCs w:val="21"/>
        </w:rPr>
      </w:pPr>
      <w:r>
        <w:rPr>
          <w:rFonts w:hint="eastAsia" w:ascii="宋体" w:hAnsi="宋体"/>
          <w:szCs w:val="21"/>
        </w:rPr>
        <w:t xml:space="preserve">   2、</w:t>
      </w:r>
      <w:r>
        <w:rPr>
          <w:rFonts w:hint="eastAsia"/>
          <w:szCs w:val="21"/>
        </w:rPr>
        <w:t>掌握大规模可编程逻辑器件实现组合逻辑功能和时序逻辑功能设计过程和设计方法；</w:t>
      </w:r>
    </w:p>
    <w:p>
      <w:pPr>
        <w:adjustRightInd w:val="0"/>
        <w:snapToGrid w:val="0"/>
        <w:spacing w:line="360" w:lineRule="auto"/>
        <w:ind w:firstLine="105" w:firstLineChars="50"/>
        <w:rPr>
          <w:rFonts w:ascii="宋体" w:hAnsi="宋体"/>
          <w:szCs w:val="21"/>
        </w:rPr>
      </w:pPr>
      <w:r>
        <w:rPr>
          <w:rFonts w:hint="eastAsia" w:ascii="宋体"/>
          <w:szCs w:val="21"/>
        </w:rPr>
        <w:t xml:space="preserve">   3、</w:t>
      </w:r>
      <w:r>
        <w:rPr>
          <w:rFonts w:hint="eastAsia" w:ascii="宋体" w:hAnsi="宋体"/>
          <w:szCs w:val="21"/>
        </w:rPr>
        <w:t>掌握利用</w:t>
      </w:r>
      <w:r>
        <w:rPr>
          <w:rFonts w:hint="eastAsia" w:ascii="黑体" w:eastAsia="黑体"/>
          <w:szCs w:val="21"/>
        </w:rPr>
        <w:t>Quartus</w:t>
      </w:r>
      <w:r>
        <w:rPr>
          <w:rFonts w:ascii="宋体" w:hAnsi="宋体"/>
          <w:szCs w:val="21"/>
        </w:rPr>
        <w:t>II</w:t>
      </w:r>
      <w:r>
        <w:rPr>
          <w:rFonts w:hint="eastAsia" w:ascii="宋体" w:hAnsi="宋体"/>
          <w:szCs w:val="21"/>
        </w:rPr>
        <w:t>软件进行数字电路设计的基本方法。</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2、3。</w:t>
      </w:r>
    </w:p>
    <w:p>
      <w:pPr>
        <w:adjustRightInd w:val="0"/>
        <w:snapToGrid w:val="0"/>
        <w:spacing w:line="360" w:lineRule="auto"/>
        <w:ind w:firstLine="105" w:firstLineChars="50"/>
        <w:rPr>
          <w:rFonts w:ascii="黑体" w:eastAsia="黑体"/>
          <w:szCs w:val="21"/>
        </w:rPr>
      </w:pPr>
      <w:r>
        <w:rPr>
          <w:rFonts w:hint="eastAsia" w:ascii="黑体" w:eastAsia="黑体"/>
          <w:szCs w:val="21"/>
        </w:rPr>
        <w:t xml:space="preserve">   实验六</w:t>
      </w:r>
      <w:r>
        <w:rPr>
          <w:rFonts w:ascii="黑体" w:eastAsia="黑体"/>
          <w:szCs w:val="21"/>
        </w:rPr>
        <w:t xml:space="preserve">  </w:t>
      </w:r>
      <w:r>
        <w:rPr>
          <w:rFonts w:hint="eastAsia" w:ascii="黑体" w:eastAsia="黑体"/>
          <w:szCs w:val="21"/>
        </w:rPr>
        <w:t>(硬件)触发器实验（2学时）</w:t>
      </w:r>
    </w:p>
    <w:p>
      <w:p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内容：</w:t>
      </w:r>
      <w:r>
        <w:rPr>
          <w:rFonts w:hint="eastAsia"/>
          <w:szCs w:val="21"/>
        </w:rPr>
        <w:t>基本RS、D、JK触发器的逻辑功能测试及使用方法。</w:t>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rFonts w:ascii="宋体"/>
          <w:szCs w:val="21"/>
        </w:rPr>
      </w:pPr>
      <w:r>
        <w:rPr>
          <w:rFonts w:hint="eastAsia" w:ascii="宋体"/>
          <w:szCs w:val="21"/>
        </w:rPr>
        <w:t>1、</w:t>
      </w:r>
      <w:r>
        <w:rPr>
          <w:rFonts w:hint="eastAsia" w:ascii="宋体" w:hAnsi="宋体"/>
          <w:szCs w:val="21"/>
        </w:rPr>
        <w:t>掌握基本RS、JK、D、T和T′触发器的逻辑功能，掌握触发器的使用方法和逻辑功能测试方法；</w:t>
      </w:r>
    </w:p>
    <w:p>
      <w:pPr>
        <w:adjustRightInd w:val="0"/>
        <w:snapToGrid w:val="0"/>
        <w:spacing w:line="360" w:lineRule="auto"/>
        <w:ind w:firstLine="420" w:firstLineChars="200"/>
        <w:rPr>
          <w:rFonts w:ascii="宋体" w:hAnsi="宋体"/>
          <w:szCs w:val="21"/>
        </w:rPr>
      </w:pPr>
      <w:r>
        <w:rPr>
          <w:rFonts w:hint="eastAsia" w:ascii="宋体"/>
          <w:szCs w:val="21"/>
        </w:rPr>
        <w:t>2、</w:t>
      </w:r>
      <w:r>
        <w:rPr>
          <w:rFonts w:hint="eastAsia" w:ascii="宋体" w:hAnsi="宋体"/>
          <w:szCs w:val="21"/>
        </w:rPr>
        <w:t>熟悉JK、D触发器转构成T和T′触发器方法和JK、D触发器之间相互转换的方法。</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1、2、3。</w:t>
      </w:r>
    </w:p>
    <w:p>
      <w:pPr>
        <w:adjustRightInd w:val="0"/>
        <w:snapToGrid w:val="0"/>
        <w:spacing w:line="360" w:lineRule="auto"/>
        <w:rPr>
          <w:rFonts w:ascii="黑体" w:eastAsia="黑体"/>
          <w:szCs w:val="21"/>
        </w:rPr>
      </w:pPr>
      <w:r>
        <w:rPr>
          <w:rFonts w:hint="eastAsia" w:ascii="黑体" w:eastAsia="黑体"/>
          <w:szCs w:val="21"/>
        </w:rPr>
        <w:t xml:space="preserve">    实验七</w:t>
      </w:r>
      <w:r>
        <w:rPr>
          <w:rFonts w:ascii="黑体" w:eastAsia="黑体"/>
          <w:szCs w:val="21"/>
        </w:rPr>
        <w:t xml:space="preserve"> </w:t>
      </w:r>
      <w:r>
        <w:rPr>
          <w:rFonts w:hint="eastAsia" w:ascii="黑体" w:eastAsia="黑体"/>
          <w:szCs w:val="21"/>
        </w:rPr>
        <w:t>(硬件)</w:t>
      </w:r>
      <w:r>
        <w:rPr>
          <w:rFonts w:ascii="黑体" w:eastAsia="黑体"/>
          <w:szCs w:val="21"/>
        </w:rPr>
        <w:t xml:space="preserve"> </w:t>
      </w:r>
      <w:r>
        <w:rPr>
          <w:rFonts w:hint="eastAsia" w:ascii="黑体" w:eastAsia="黑体"/>
          <w:szCs w:val="21"/>
        </w:rPr>
        <w:t>计数器设计实验（2学时）</w:t>
      </w:r>
    </w:p>
    <w:p>
      <w:pPr>
        <w:tabs>
          <w:tab w:val="left" w:pos="2856"/>
        </w:tabs>
        <w:adjustRightInd w:val="0"/>
        <w:snapToGrid w:val="0"/>
        <w:spacing w:line="360" w:lineRule="auto"/>
        <w:ind w:firstLine="420" w:firstLineChars="200"/>
        <w:rPr>
          <w:rFonts w:ascii="宋体" w:hAnsi="宋体"/>
          <w:szCs w:val="21"/>
        </w:rPr>
      </w:pPr>
      <w:r>
        <w:rPr>
          <w:rFonts w:hint="eastAsia" w:ascii="宋体" w:hAnsi="宋体"/>
          <w:szCs w:val="21"/>
        </w:rPr>
        <w:t>内容：计数器实验。</w:t>
      </w:r>
    </w:p>
    <w:p>
      <w:pPr>
        <w:adjustRightInd w:val="0"/>
        <w:snapToGrid w:val="0"/>
        <w:spacing w:line="360" w:lineRule="auto"/>
        <w:ind w:firstLine="420" w:firstLineChars="200"/>
        <w:rPr>
          <w:rFonts w:ascii="黑体" w:eastAsia="黑体"/>
          <w:szCs w:val="21"/>
        </w:rPr>
      </w:pPr>
      <w:r>
        <w:rPr>
          <w:rFonts w:hint="eastAsia" w:ascii="宋体" w:hAnsi="宋体"/>
          <w:szCs w:val="21"/>
        </w:rPr>
        <w:t>基本要求：</w:t>
      </w:r>
    </w:p>
    <w:p>
      <w:pPr>
        <w:adjustRightInd w:val="0"/>
        <w:snapToGrid w:val="0"/>
        <w:spacing w:line="360" w:lineRule="auto"/>
        <w:ind w:firstLine="420" w:firstLineChars="200"/>
        <w:rPr>
          <w:szCs w:val="21"/>
        </w:rPr>
      </w:pPr>
      <w:r>
        <w:rPr>
          <w:rFonts w:hint="eastAsia" w:ascii="宋体"/>
          <w:szCs w:val="21"/>
        </w:rPr>
        <w:t>通过实验，</w:t>
      </w:r>
      <w:r>
        <w:rPr>
          <w:rFonts w:hint="eastAsia"/>
          <w:szCs w:val="21"/>
        </w:rPr>
        <w:t>掌握集成计数器的使用及功能测试方法。</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1、2、3。</w:t>
      </w:r>
    </w:p>
    <w:p>
      <w:pPr>
        <w:adjustRightInd w:val="0"/>
        <w:snapToGrid w:val="0"/>
        <w:spacing w:line="360" w:lineRule="auto"/>
        <w:rPr>
          <w:rFonts w:ascii="黑体" w:eastAsia="黑体"/>
          <w:szCs w:val="21"/>
        </w:rPr>
      </w:pPr>
      <w:r>
        <w:rPr>
          <w:rFonts w:hint="eastAsia" w:ascii="黑体" w:eastAsia="黑体"/>
          <w:szCs w:val="21"/>
        </w:rPr>
        <w:t xml:space="preserve">    实验八</w:t>
      </w:r>
      <w:r>
        <w:rPr>
          <w:rFonts w:ascii="黑体" w:eastAsia="黑体"/>
          <w:szCs w:val="21"/>
        </w:rPr>
        <w:t xml:space="preserve"> </w:t>
      </w:r>
      <w:r>
        <w:rPr>
          <w:rFonts w:hint="eastAsia" w:ascii="黑体" w:eastAsia="黑体"/>
          <w:szCs w:val="21"/>
        </w:rPr>
        <w:t>(软件)</w:t>
      </w:r>
      <w:r>
        <w:rPr>
          <w:rFonts w:ascii="黑体" w:eastAsia="黑体"/>
          <w:szCs w:val="21"/>
        </w:rPr>
        <w:t xml:space="preserve"> </w:t>
      </w:r>
      <w:r>
        <w:rPr>
          <w:rFonts w:hint="eastAsia" w:ascii="黑体" w:eastAsia="黑体"/>
          <w:szCs w:val="21"/>
        </w:rPr>
        <w:t>时序逻辑电路的设计（EDA）（4学时）</w:t>
      </w:r>
    </w:p>
    <w:p>
      <w:pPr>
        <w:tabs>
          <w:tab w:val="left" w:pos="2856"/>
        </w:tabs>
        <w:adjustRightInd w:val="0"/>
        <w:snapToGrid w:val="0"/>
        <w:spacing w:line="360" w:lineRule="auto"/>
        <w:ind w:firstLine="420" w:firstLineChars="200"/>
        <w:rPr>
          <w:rFonts w:ascii="宋体" w:hAnsi="宋体"/>
          <w:szCs w:val="21"/>
        </w:rPr>
      </w:pPr>
      <w:r>
        <w:rPr>
          <w:rFonts w:hint="eastAsia" w:ascii="宋体" w:hAnsi="宋体"/>
          <w:szCs w:val="21"/>
        </w:rPr>
        <w:t>内容：</w:t>
      </w:r>
    </w:p>
    <w:p>
      <w:pPr>
        <w:tabs>
          <w:tab w:val="left" w:pos="2856"/>
        </w:tabs>
        <w:adjustRightInd w:val="0"/>
        <w:snapToGrid w:val="0"/>
        <w:spacing w:line="360" w:lineRule="auto"/>
        <w:rPr>
          <w:rFonts w:ascii="宋体" w:hAnsi="宋体"/>
          <w:bCs/>
          <w:szCs w:val="21"/>
        </w:rPr>
      </w:pPr>
      <w:r>
        <w:rPr>
          <w:rFonts w:hint="eastAsia" w:ascii="宋体" w:hAnsi="宋体"/>
          <w:bCs/>
          <w:szCs w:val="21"/>
        </w:rPr>
        <w:t xml:space="preserve">    1</w:t>
      </w:r>
      <w:r>
        <w:rPr>
          <w:rFonts w:hint="eastAsia" w:ascii="宋体"/>
          <w:szCs w:val="21"/>
        </w:rPr>
        <w:t>、</w:t>
      </w:r>
      <w:r>
        <w:rPr>
          <w:rFonts w:hint="eastAsia" w:ascii="宋体" w:hAnsi="宋体"/>
          <w:bCs/>
          <w:szCs w:val="21"/>
        </w:rPr>
        <w:t>利用时序</w:t>
      </w:r>
      <w:r>
        <w:rPr>
          <w:rFonts w:ascii="宋体" w:hAnsi="宋体"/>
          <w:bCs/>
          <w:szCs w:val="21"/>
        </w:rPr>
        <w:t>MSI</w:t>
      </w:r>
      <w:r>
        <w:rPr>
          <w:rFonts w:hint="eastAsia" w:ascii="宋体" w:hAnsi="宋体"/>
          <w:bCs/>
          <w:szCs w:val="21"/>
        </w:rPr>
        <w:t>器件设计出时序逻辑电路，并在可编程逻辑器件上实现；</w:t>
      </w:r>
    </w:p>
    <w:p>
      <w:pPr>
        <w:tabs>
          <w:tab w:val="left" w:pos="2856"/>
        </w:tabs>
        <w:adjustRightInd w:val="0"/>
        <w:snapToGrid w:val="0"/>
        <w:spacing w:line="360" w:lineRule="auto"/>
        <w:rPr>
          <w:rFonts w:ascii="宋体" w:hAnsi="宋体"/>
          <w:szCs w:val="21"/>
        </w:rPr>
      </w:pPr>
      <w:r>
        <w:rPr>
          <w:rFonts w:hint="eastAsia" w:ascii="宋体" w:hAnsi="宋体"/>
          <w:bCs/>
          <w:szCs w:val="21"/>
        </w:rPr>
        <w:t xml:space="preserve">    2</w:t>
      </w:r>
      <w:r>
        <w:rPr>
          <w:rFonts w:hint="eastAsia" w:ascii="宋体"/>
          <w:szCs w:val="21"/>
        </w:rPr>
        <w:t>、</w:t>
      </w:r>
      <w:r>
        <w:rPr>
          <w:rFonts w:hint="eastAsia" w:ascii="宋体" w:hAnsi="宋体"/>
          <w:bCs/>
          <w:szCs w:val="21"/>
        </w:rPr>
        <w:t>介绍</w:t>
      </w:r>
      <w:r>
        <w:rPr>
          <w:rFonts w:hint="eastAsia" w:ascii="黑体" w:eastAsia="黑体"/>
          <w:szCs w:val="21"/>
        </w:rPr>
        <w:t>开发可编程逻辑器件的</w:t>
      </w:r>
      <w:r>
        <w:rPr>
          <w:rFonts w:hint="eastAsia" w:ascii="宋体" w:hAnsi="宋体"/>
          <w:bCs/>
          <w:szCs w:val="21"/>
        </w:rPr>
        <w:t>另一种输入方法——VHDL语言，并用VHDL语言设计组合逻辑电路和时序逻辑电路。</w:t>
      </w:r>
    </w:p>
    <w:p>
      <w:pPr>
        <w:adjustRightInd w:val="0"/>
        <w:snapToGrid w:val="0"/>
        <w:spacing w:line="360" w:lineRule="auto"/>
        <w:ind w:firstLine="315" w:firstLineChars="150"/>
        <w:rPr>
          <w:rFonts w:ascii="宋体" w:hAnsi="宋体"/>
          <w:bCs/>
          <w:szCs w:val="21"/>
        </w:rPr>
      </w:pPr>
      <w:r>
        <w:rPr>
          <w:rFonts w:hint="eastAsia" w:ascii="宋体" w:hAnsi="宋体"/>
          <w:bCs/>
          <w:szCs w:val="21"/>
        </w:rPr>
        <w:t xml:space="preserve"> 基本要求：</w:t>
      </w:r>
    </w:p>
    <w:p>
      <w:pPr>
        <w:adjustRightInd w:val="0"/>
        <w:snapToGrid w:val="0"/>
        <w:spacing w:line="360" w:lineRule="auto"/>
        <w:ind w:firstLine="420" w:firstLineChars="200"/>
        <w:rPr>
          <w:rFonts w:ascii="宋体" w:hAnsi="宋体"/>
          <w:bCs/>
          <w:szCs w:val="21"/>
        </w:rPr>
      </w:pPr>
      <w:r>
        <w:rPr>
          <w:rFonts w:hint="eastAsia" w:ascii="宋体" w:hAnsi="宋体"/>
          <w:bCs/>
          <w:szCs w:val="21"/>
        </w:rPr>
        <w:t>1、进一步掌握</w:t>
      </w:r>
      <w:r>
        <w:rPr>
          <w:rFonts w:ascii="宋体" w:hAnsi="宋体"/>
          <w:bCs/>
          <w:szCs w:val="21"/>
        </w:rPr>
        <w:t>Quartus II</w:t>
      </w:r>
      <w:r>
        <w:rPr>
          <w:rFonts w:hint="eastAsia" w:ascii="宋体" w:hAnsi="宋体"/>
          <w:bCs/>
          <w:szCs w:val="21"/>
        </w:rPr>
        <w:t>软件的使用；</w:t>
      </w:r>
    </w:p>
    <w:p>
      <w:pPr>
        <w:adjustRightInd w:val="0"/>
        <w:snapToGrid w:val="0"/>
        <w:spacing w:line="360" w:lineRule="auto"/>
        <w:ind w:firstLine="420" w:firstLineChars="200"/>
        <w:rPr>
          <w:rFonts w:ascii="宋体" w:hAnsi="宋体"/>
          <w:bCs/>
          <w:szCs w:val="21"/>
        </w:rPr>
      </w:pPr>
      <w:r>
        <w:rPr>
          <w:rFonts w:hint="eastAsia" w:ascii="宋体" w:hAnsi="宋体"/>
          <w:bCs/>
          <w:szCs w:val="21"/>
        </w:rPr>
        <w:t>2、进一步掌握利用</w:t>
      </w:r>
      <w:r>
        <w:rPr>
          <w:rFonts w:ascii="宋体" w:hAnsi="宋体"/>
          <w:bCs/>
          <w:szCs w:val="21"/>
        </w:rPr>
        <w:t>MSI</w:t>
      </w:r>
      <w:r>
        <w:rPr>
          <w:rFonts w:hint="eastAsia" w:ascii="宋体" w:hAnsi="宋体"/>
          <w:bCs/>
          <w:szCs w:val="21"/>
        </w:rPr>
        <w:t>、可编程器件设计时序逻辑电路的特点、方法；</w:t>
      </w:r>
    </w:p>
    <w:p>
      <w:pPr>
        <w:adjustRightInd w:val="0"/>
        <w:snapToGrid w:val="0"/>
        <w:spacing w:line="360" w:lineRule="auto"/>
        <w:ind w:firstLine="420" w:firstLineChars="200"/>
        <w:rPr>
          <w:rFonts w:ascii="宋体" w:hAnsi="宋体"/>
          <w:bCs/>
          <w:szCs w:val="21"/>
        </w:rPr>
      </w:pPr>
      <w:r>
        <w:rPr>
          <w:rFonts w:hint="eastAsia" w:ascii="宋体" w:hAnsi="宋体"/>
          <w:bCs/>
          <w:szCs w:val="21"/>
        </w:rPr>
        <w:t>3、进一步提高排除数字电路故障的能力；</w:t>
      </w:r>
    </w:p>
    <w:p>
      <w:pPr>
        <w:tabs>
          <w:tab w:val="left" w:pos="2856"/>
        </w:tabs>
        <w:adjustRightInd w:val="0"/>
        <w:snapToGrid w:val="0"/>
        <w:spacing w:line="360" w:lineRule="auto"/>
        <w:ind w:firstLine="420" w:firstLineChars="200"/>
        <w:rPr>
          <w:rFonts w:ascii="宋体" w:hAnsi="宋体"/>
          <w:bCs/>
          <w:szCs w:val="21"/>
        </w:rPr>
      </w:pPr>
      <w:r>
        <w:rPr>
          <w:rFonts w:hint="eastAsia" w:ascii="黑体" w:eastAsia="黑体"/>
          <w:szCs w:val="21"/>
        </w:rPr>
        <w:t>4、</w:t>
      </w:r>
      <w:r>
        <w:rPr>
          <w:rFonts w:hint="eastAsia" w:ascii="宋体" w:hAnsi="宋体"/>
          <w:bCs/>
          <w:szCs w:val="21"/>
        </w:rPr>
        <w:t>初步学会运用VHDL语言设计组合逻辑电路和时序逻辑电路。</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1、2、3。</w:t>
      </w:r>
    </w:p>
    <w:p>
      <w:pPr>
        <w:adjustRightInd w:val="0"/>
        <w:snapToGrid w:val="0"/>
        <w:spacing w:line="360" w:lineRule="auto"/>
        <w:rPr>
          <w:rFonts w:ascii="黑体" w:eastAsia="黑体"/>
          <w:szCs w:val="21"/>
        </w:rPr>
      </w:pPr>
      <w:r>
        <w:rPr>
          <w:rFonts w:hint="eastAsia" w:ascii="黑体" w:eastAsia="黑体"/>
          <w:szCs w:val="21"/>
        </w:rPr>
        <w:t xml:space="preserve">    实验九 (硬件) 555定时器应用（2学时）</w:t>
      </w:r>
    </w:p>
    <w:p>
      <w:pPr>
        <w:tabs>
          <w:tab w:val="left" w:pos="2856"/>
        </w:tabs>
        <w:spacing w:line="360" w:lineRule="auto"/>
        <w:ind w:firstLine="420" w:firstLineChars="200"/>
        <w:rPr>
          <w:rFonts w:ascii="宋体" w:hAnsi="宋体"/>
          <w:szCs w:val="21"/>
        </w:rPr>
      </w:pPr>
      <w:r>
        <w:rPr>
          <w:rFonts w:hint="eastAsia" w:ascii="宋体" w:hAnsi="宋体"/>
          <w:szCs w:val="21"/>
        </w:rPr>
        <w:t>内容：555定时器构成单稳态触发器及施密特触发器</w:t>
      </w:r>
      <w:r>
        <w:rPr>
          <w:rFonts w:hint="eastAsia" w:ascii="宋体"/>
          <w:szCs w:val="21"/>
        </w:rPr>
        <w:t>（可根据实际情况从实验指导书所列的设计性实验题目中选做一个或多个）</w:t>
      </w:r>
      <w:r>
        <w:rPr>
          <w:rFonts w:hint="eastAsia" w:ascii="宋体" w:hAnsi="宋体"/>
          <w:szCs w:val="21"/>
        </w:rPr>
        <w:t>。</w:t>
      </w:r>
    </w:p>
    <w:p>
      <w:pPr>
        <w:snapToGrid w:val="0"/>
        <w:spacing w:line="360" w:lineRule="auto"/>
        <w:ind w:firstLine="420" w:firstLineChars="200"/>
        <w:rPr>
          <w:rFonts w:ascii="黑体" w:eastAsia="黑体"/>
          <w:szCs w:val="21"/>
        </w:rPr>
      </w:pPr>
      <w:r>
        <w:rPr>
          <w:rFonts w:hint="eastAsia" w:ascii="宋体" w:hAnsi="宋体"/>
          <w:szCs w:val="21"/>
        </w:rPr>
        <w:t>基本要求：</w:t>
      </w:r>
    </w:p>
    <w:p>
      <w:pPr>
        <w:snapToGrid w:val="0"/>
        <w:spacing w:line="360" w:lineRule="auto"/>
        <w:ind w:firstLine="420" w:firstLineChars="200"/>
        <w:rPr>
          <w:rFonts w:ascii="宋体" w:hAnsi="宋体"/>
          <w:szCs w:val="21"/>
          <w:lang w:val="zh-CN"/>
        </w:rPr>
      </w:pPr>
      <w:r>
        <w:rPr>
          <w:rFonts w:hint="eastAsia" w:ascii="宋体"/>
          <w:szCs w:val="21"/>
        </w:rPr>
        <w:t>1、通过实验，</w:t>
      </w:r>
      <w:r>
        <w:rPr>
          <w:rFonts w:hint="eastAsia" w:ascii="宋体" w:hAnsi="宋体"/>
          <w:szCs w:val="21"/>
          <w:lang w:val="zh-CN"/>
        </w:rPr>
        <w:t>学会利用基本定时电路555构成</w:t>
      </w:r>
      <w:r>
        <w:rPr>
          <w:rFonts w:hint="eastAsia" w:ascii="宋体" w:hAnsi="宋体"/>
          <w:szCs w:val="21"/>
        </w:rPr>
        <w:t>多谐振荡器、单稳态触发器和施密特触发器</w:t>
      </w:r>
      <w:r>
        <w:rPr>
          <w:rFonts w:hint="eastAsia" w:ascii="宋体" w:hAnsi="宋体"/>
          <w:szCs w:val="21"/>
          <w:lang w:val="zh-CN"/>
        </w:rPr>
        <w:t>的方法；</w:t>
      </w:r>
    </w:p>
    <w:p>
      <w:pPr>
        <w:snapToGrid w:val="0"/>
        <w:spacing w:line="360" w:lineRule="auto"/>
        <w:ind w:firstLine="420" w:firstLineChars="200"/>
        <w:rPr>
          <w:szCs w:val="21"/>
        </w:rPr>
      </w:pPr>
      <w:r>
        <w:rPr>
          <w:rFonts w:hint="eastAsia" w:ascii="宋体" w:hAnsi="宋体"/>
          <w:szCs w:val="21"/>
          <w:lang w:val="zh-CN"/>
        </w:rPr>
        <w:t>2、</w:t>
      </w:r>
      <w:r>
        <w:rPr>
          <w:rFonts w:hint="eastAsia"/>
          <w:szCs w:val="21"/>
        </w:rPr>
        <w:t>进一步提高排除数字电路故障的能力。</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2、3。</w:t>
      </w:r>
    </w:p>
    <w:p>
      <w:pPr>
        <w:snapToGrid w:val="0"/>
        <w:spacing w:line="360" w:lineRule="auto"/>
        <w:rPr>
          <w:rFonts w:ascii="黑体" w:eastAsia="黑体"/>
          <w:szCs w:val="21"/>
        </w:rPr>
      </w:pPr>
      <w:r>
        <w:rPr>
          <w:rFonts w:hint="eastAsia" w:ascii="黑体" w:eastAsia="黑体"/>
          <w:szCs w:val="21"/>
        </w:rPr>
        <w:t xml:space="preserve">    实验十(硬件) 硬件考试（2学时）</w:t>
      </w:r>
    </w:p>
    <w:p>
      <w:pPr>
        <w:adjustRightInd w:val="0"/>
        <w:snapToGrid w:val="0"/>
        <w:spacing w:line="360" w:lineRule="auto"/>
        <w:ind w:firstLine="420" w:firstLineChars="200"/>
        <w:jc w:val="left"/>
        <w:rPr>
          <w:rFonts w:ascii="宋体"/>
          <w:szCs w:val="21"/>
        </w:rPr>
      </w:pPr>
      <w:r>
        <w:rPr>
          <w:rFonts w:hint="eastAsia" w:ascii="宋体" w:hAnsi="宋体"/>
          <w:szCs w:val="21"/>
        </w:rPr>
        <w:t>从试题库抽取进行考试，考查学生硬件实验的掌握程度，对仪器使用的熟练程度，以及实验方法的研究及设计能力。</w:t>
      </w:r>
    </w:p>
    <w:p>
      <w:pPr>
        <w:adjustRightInd w:val="0"/>
        <w:snapToGrid w:val="0"/>
        <w:spacing w:line="360" w:lineRule="auto"/>
        <w:ind w:firstLine="420" w:firstLineChars="200"/>
        <w:rPr>
          <w:rFonts w:eastAsia="黑体"/>
          <w:szCs w:val="21"/>
        </w:rPr>
      </w:pPr>
      <w:r>
        <w:rPr>
          <w:rFonts w:cs="宋体"/>
          <w:bCs/>
          <w:snapToGrid w:val="0"/>
          <w:kern w:val="0"/>
          <w:szCs w:val="21"/>
        </w:rPr>
        <w:t>本实验支撑课程目标</w:t>
      </w:r>
      <w:r>
        <w:rPr>
          <w:rFonts w:hint="eastAsia" w:cs="宋体"/>
          <w:bCs/>
          <w:snapToGrid w:val="0"/>
          <w:kern w:val="0"/>
          <w:szCs w:val="21"/>
        </w:rPr>
        <w:t>1、2、3。</w:t>
      </w:r>
    </w:p>
    <w:p>
      <w:pPr>
        <w:widowControl/>
        <w:spacing w:line="360" w:lineRule="auto"/>
        <w:jc w:val="left"/>
        <w:rPr>
          <w:rFonts w:ascii="黑体" w:hAnsi="宋体" w:eastAsia="黑体" w:cs="宋体"/>
          <w:kern w:val="0"/>
          <w:szCs w:val="21"/>
        </w:rPr>
      </w:pPr>
    </w:p>
    <w:p>
      <w:pPr>
        <w:widowControl/>
        <w:spacing w:line="360" w:lineRule="auto"/>
        <w:jc w:val="left"/>
        <w:rPr>
          <w:rFonts w:ascii="黑体" w:hAnsi="黑体" w:eastAsia="黑体"/>
          <w:color w:val="0000FF"/>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1420"/>
        <w:gridCol w:w="1444"/>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jc w:val="center"/>
              <w:rPr>
                <w:sz w:val="18"/>
                <w:szCs w:val="18"/>
              </w:rPr>
            </w:pPr>
            <w:r>
              <w:rPr>
                <w:rFonts w:hint="eastAsia"/>
                <w:sz w:val="18"/>
                <w:szCs w:val="18"/>
              </w:rPr>
              <w:t>知识点及内容</w:t>
            </w:r>
          </w:p>
        </w:tc>
        <w:tc>
          <w:tcPr>
            <w:tcW w:w="855" w:type="pct"/>
            <w:vAlign w:val="center"/>
          </w:tcPr>
          <w:p>
            <w:pPr>
              <w:adjustRightInd w:val="0"/>
              <w:snapToGrid w:val="0"/>
              <w:jc w:val="center"/>
              <w:rPr>
                <w:sz w:val="18"/>
                <w:szCs w:val="18"/>
              </w:rPr>
            </w:pPr>
            <w:r>
              <w:rPr>
                <w:rFonts w:hint="eastAsia"/>
                <w:sz w:val="18"/>
                <w:szCs w:val="18"/>
              </w:rPr>
              <w:t>讲授（学时）</w:t>
            </w:r>
          </w:p>
        </w:tc>
        <w:tc>
          <w:tcPr>
            <w:tcW w:w="869" w:type="pct"/>
            <w:vAlign w:val="center"/>
          </w:tcPr>
          <w:p>
            <w:pPr>
              <w:adjustRightInd w:val="0"/>
              <w:snapToGrid w:val="0"/>
              <w:jc w:val="center"/>
              <w:rPr>
                <w:sz w:val="18"/>
                <w:szCs w:val="18"/>
              </w:rPr>
            </w:pPr>
            <w:r>
              <w:rPr>
                <w:rFonts w:hint="eastAsia"/>
                <w:sz w:val="18"/>
                <w:szCs w:val="18"/>
              </w:rPr>
              <w:t>实验（学时）</w:t>
            </w:r>
          </w:p>
        </w:tc>
        <w:tc>
          <w:tcPr>
            <w:tcW w:w="804" w:type="pct"/>
            <w:tcBorders>
              <w:right w:val="nil"/>
            </w:tcBorders>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widowControl/>
              <w:adjustRightInd w:val="0"/>
              <w:snapToGrid w:val="0"/>
              <w:rPr>
                <w:rFonts w:cs="宋体"/>
                <w:bCs/>
                <w:snapToGrid w:val="0"/>
                <w:kern w:val="0"/>
                <w:sz w:val="18"/>
                <w:szCs w:val="18"/>
              </w:rPr>
            </w:pPr>
            <w:r>
              <w:rPr>
                <w:rFonts w:hint="eastAsia" w:cs="宋体"/>
                <w:bCs/>
                <w:snapToGrid w:val="0"/>
                <w:kern w:val="0"/>
                <w:sz w:val="18"/>
                <w:szCs w:val="18"/>
              </w:rPr>
              <w:t>实验一（硬件）门电路逻辑功能及参数的测试</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ind w:left="630" w:hanging="630" w:hangingChars="350"/>
              <w:rPr>
                <w:rFonts w:cs="宋体"/>
                <w:bCs/>
                <w:snapToGrid w:val="0"/>
                <w:kern w:val="0"/>
                <w:sz w:val="18"/>
                <w:szCs w:val="18"/>
              </w:rPr>
            </w:pPr>
            <w:r>
              <w:rPr>
                <w:rFonts w:hint="eastAsia" w:cs="宋体"/>
                <w:bCs/>
                <w:snapToGrid w:val="0"/>
                <w:kern w:val="0"/>
                <w:sz w:val="18"/>
                <w:szCs w:val="18"/>
              </w:rPr>
              <w:t>实验二 （硬件）TTL集电极开路（OC）门和三态（3S）门逻辑功能测试和应用</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实验三 （硬件）SSI组合逻辑电路实验</w:t>
            </w:r>
          </w:p>
        </w:tc>
        <w:tc>
          <w:tcPr>
            <w:tcW w:w="855"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69"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04" w:type="pct"/>
            <w:tcBorders>
              <w:right w:val="nil"/>
            </w:tcBorders>
            <w:vAlign w:val="center"/>
          </w:tcPr>
          <w:p>
            <w:pPr>
              <w:widowControl/>
              <w:adjustRightInd w:val="0"/>
              <w:snapToGrid w:val="0"/>
              <w:jc w:val="center"/>
              <w:rPr>
                <w:rFonts w:cs="宋体"/>
                <w:kern w:val="0"/>
                <w:sz w:val="18"/>
                <w:szCs w:val="18"/>
              </w:rPr>
            </w:pPr>
            <w:r>
              <w:rPr>
                <w:rFonts w:hint="eastAsia"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实验四（硬件）MSI组合逻辑电路设计与实验</w:t>
            </w:r>
          </w:p>
        </w:tc>
        <w:tc>
          <w:tcPr>
            <w:tcW w:w="855"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实验五 （软件） Quartus</w:t>
            </w:r>
            <w:r>
              <w:rPr>
                <w:rFonts w:cs="宋体"/>
                <w:bCs/>
                <w:snapToGrid w:val="0"/>
                <w:kern w:val="0"/>
                <w:sz w:val="18"/>
                <w:szCs w:val="18"/>
              </w:rPr>
              <w:t>II</w:t>
            </w:r>
            <w:r>
              <w:rPr>
                <w:rFonts w:hint="eastAsia" w:cs="宋体"/>
                <w:bCs/>
                <w:snapToGrid w:val="0"/>
                <w:kern w:val="0"/>
                <w:sz w:val="18"/>
                <w:szCs w:val="18"/>
              </w:rPr>
              <w:t xml:space="preserve"> 软件的使用</w:t>
            </w:r>
            <w:r>
              <w:rPr>
                <w:rFonts w:cs="宋体"/>
                <w:bCs/>
                <w:snapToGrid w:val="0"/>
                <w:kern w:val="0"/>
                <w:sz w:val="18"/>
                <w:szCs w:val="18"/>
              </w:rPr>
              <w:t xml:space="preserve"> </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4</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实验六（硬件）触发器实验</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bCs/>
                <w:snapToGrid w:val="0"/>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实验七（硬件）计数器设计实验</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bCs/>
                <w:snapToGrid w:val="0"/>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实验八（软件）时序逻辑电路的设计（EDA）</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bCs/>
                <w:snapToGrid w:val="0"/>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4</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rPr>
                <w:rFonts w:cs="宋体"/>
                <w:bCs/>
                <w:snapToGrid w:val="0"/>
                <w:kern w:val="0"/>
                <w:sz w:val="18"/>
                <w:szCs w:val="18"/>
              </w:rPr>
            </w:pPr>
            <w:r>
              <w:rPr>
                <w:rFonts w:hint="eastAsia" w:cs="宋体"/>
                <w:bCs/>
                <w:snapToGrid w:val="0"/>
                <w:kern w:val="0"/>
                <w:sz w:val="18"/>
                <w:szCs w:val="18"/>
              </w:rPr>
              <w:t>实验九（硬件） 555定时器应用</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bCs/>
                <w:snapToGrid w:val="0"/>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jc w:val="left"/>
              <w:rPr>
                <w:rFonts w:cs="宋体"/>
                <w:bCs/>
                <w:snapToGrid w:val="0"/>
                <w:kern w:val="0"/>
                <w:sz w:val="18"/>
                <w:szCs w:val="18"/>
              </w:rPr>
            </w:pPr>
            <w:r>
              <w:rPr>
                <w:rFonts w:hint="eastAsia" w:cs="宋体"/>
                <w:bCs/>
                <w:snapToGrid w:val="0"/>
                <w:kern w:val="0"/>
                <w:sz w:val="18"/>
                <w:szCs w:val="18"/>
              </w:rPr>
              <w:t>实验十（硬件）硬件考试</w:t>
            </w:r>
          </w:p>
        </w:tc>
        <w:tc>
          <w:tcPr>
            <w:tcW w:w="855" w:type="pct"/>
            <w:vAlign w:val="center"/>
          </w:tcPr>
          <w:p>
            <w:pPr>
              <w:adjustRightInd w:val="0"/>
              <w:snapToGrid w:val="0"/>
              <w:ind w:firstLine="360" w:firstLineChars="200"/>
              <w:rPr>
                <w:rFonts w:cs="宋体"/>
                <w:bCs/>
                <w:snapToGrid w:val="0"/>
                <w:kern w:val="0"/>
                <w:sz w:val="18"/>
                <w:szCs w:val="18"/>
              </w:rPr>
            </w:pPr>
            <w:r>
              <w:rPr>
                <w:rFonts w:hint="eastAsia" w:cs="宋体"/>
                <w:bCs/>
                <w:snapToGrid w:val="0"/>
                <w:kern w:val="0"/>
                <w:sz w:val="18"/>
                <w:szCs w:val="18"/>
              </w:rPr>
              <w:t xml:space="preserve">  0</w:t>
            </w:r>
          </w:p>
        </w:tc>
        <w:tc>
          <w:tcPr>
            <w:tcW w:w="869"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c>
          <w:tcPr>
            <w:tcW w:w="804" w:type="pct"/>
            <w:tcBorders>
              <w:right w:val="nil"/>
            </w:tcBorders>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left w:val="nil"/>
            </w:tcBorders>
            <w:vAlign w:val="center"/>
          </w:tcPr>
          <w:p>
            <w:pPr>
              <w:adjustRightInd w:val="0"/>
              <w:snapToGrid w:val="0"/>
              <w:ind w:firstLine="1710" w:firstLineChars="950"/>
              <w:jc w:val="left"/>
              <w:rPr>
                <w:rFonts w:cs="宋体"/>
                <w:bCs/>
                <w:snapToGrid w:val="0"/>
                <w:kern w:val="0"/>
                <w:sz w:val="18"/>
                <w:szCs w:val="18"/>
              </w:rPr>
            </w:pPr>
            <w:r>
              <w:rPr>
                <w:rFonts w:hint="eastAsia" w:cs="宋体"/>
                <w:bCs/>
                <w:snapToGrid w:val="0"/>
                <w:kern w:val="0"/>
                <w:sz w:val="18"/>
                <w:szCs w:val="18"/>
              </w:rPr>
              <w:t>合 计</w:t>
            </w:r>
          </w:p>
        </w:tc>
        <w:tc>
          <w:tcPr>
            <w:tcW w:w="855" w:type="pct"/>
            <w:vAlign w:val="center"/>
          </w:tcPr>
          <w:p>
            <w:pPr>
              <w:adjustRightInd w:val="0"/>
              <w:snapToGrid w:val="0"/>
              <w:ind w:firstLine="540" w:firstLineChars="300"/>
              <w:rPr>
                <w:rFonts w:cs="宋体"/>
                <w:bCs/>
                <w:snapToGrid w:val="0"/>
                <w:kern w:val="0"/>
                <w:sz w:val="18"/>
                <w:szCs w:val="18"/>
              </w:rPr>
            </w:pPr>
            <w:r>
              <w:rPr>
                <w:rFonts w:hint="eastAsia" w:cs="宋体"/>
                <w:bCs/>
                <w:snapToGrid w:val="0"/>
                <w:kern w:val="0"/>
                <w:sz w:val="18"/>
                <w:szCs w:val="18"/>
              </w:rPr>
              <w:t>0</w:t>
            </w:r>
          </w:p>
        </w:tc>
        <w:tc>
          <w:tcPr>
            <w:tcW w:w="869" w:type="pct"/>
            <w:vAlign w:val="center"/>
          </w:tcPr>
          <w:p>
            <w:pPr>
              <w:adjustRightInd w:val="0"/>
              <w:snapToGrid w:val="0"/>
              <w:ind w:firstLine="450" w:firstLineChars="250"/>
              <w:rPr>
                <w:rFonts w:cs="宋体"/>
                <w:bCs/>
                <w:snapToGrid w:val="0"/>
                <w:kern w:val="0"/>
                <w:sz w:val="18"/>
                <w:szCs w:val="18"/>
              </w:rPr>
            </w:pPr>
            <w:r>
              <w:rPr>
                <w:rFonts w:hint="eastAsia" w:cs="宋体"/>
                <w:bCs/>
                <w:snapToGrid w:val="0"/>
                <w:kern w:val="0"/>
                <w:sz w:val="18"/>
                <w:szCs w:val="18"/>
              </w:rPr>
              <w:t>24</w:t>
            </w:r>
          </w:p>
        </w:tc>
        <w:tc>
          <w:tcPr>
            <w:tcW w:w="804" w:type="pct"/>
            <w:tcBorders>
              <w:right w:val="nil"/>
            </w:tcBorders>
            <w:vAlign w:val="center"/>
          </w:tcPr>
          <w:p>
            <w:pPr>
              <w:adjustRightInd w:val="0"/>
              <w:snapToGrid w:val="0"/>
              <w:ind w:firstLine="450" w:firstLineChars="250"/>
              <w:rPr>
                <w:rFonts w:cs="宋体"/>
                <w:bCs/>
                <w:snapToGrid w:val="0"/>
                <w:kern w:val="0"/>
                <w:sz w:val="18"/>
                <w:szCs w:val="18"/>
              </w:rPr>
            </w:pPr>
            <w:r>
              <w:rPr>
                <w:rFonts w:hint="eastAsia" w:cs="宋体"/>
                <w:bCs/>
                <w:snapToGrid w:val="0"/>
                <w:kern w:val="0"/>
                <w:sz w:val="18"/>
                <w:szCs w:val="18"/>
              </w:rPr>
              <w:t>24</w:t>
            </w:r>
          </w:p>
        </w:tc>
      </w:tr>
    </w:tbl>
    <w:p>
      <w:pPr>
        <w:tabs>
          <w:tab w:val="left" w:pos="420"/>
        </w:tabs>
        <w:spacing w:line="360" w:lineRule="auto"/>
        <w:rPr>
          <w:rFonts w:eastAsia="黑体"/>
          <w:szCs w:val="24"/>
        </w:rPr>
      </w:pPr>
    </w:p>
    <w:p>
      <w:pPr>
        <w:tabs>
          <w:tab w:val="left" w:pos="420"/>
        </w:tabs>
        <w:spacing w:line="360" w:lineRule="auto"/>
        <w:rPr>
          <w:rFonts w:eastAsia="黑体"/>
          <w:szCs w:val="24"/>
        </w:rPr>
      </w:pPr>
      <w:r>
        <w:rPr>
          <w:rFonts w:hint="eastAsia" w:eastAsia="黑体"/>
          <w:szCs w:val="24"/>
        </w:rPr>
        <w:t>七、教材、补充教材及参考资料</w:t>
      </w:r>
    </w:p>
    <w:p>
      <w:pPr>
        <w:spacing w:line="360" w:lineRule="auto"/>
        <w:ind w:firstLine="420" w:firstLineChars="200"/>
        <w:rPr>
          <w:rFonts w:ascii="宋体" w:hAnsi="宋体"/>
          <w:szCs w:val="21"/>
        </w:rPr>
      </w:pPr>
      <w:r>
        <w:rPr>
          <w:rFonts w:hint="eastAsia"/>
          <w:szCs w:val="21"/>
        </w:rPr>
        <w:t>1、</w:t>
      </w:r>
      <w:r>
        <w:rPr>
          <w:rFonts w:hint="eastAsia" w:ascii="宋体" w:hAnsi="宋体"/>
          <w:szCs w:val="21"/>
        </w:rPr>
        <w:t>韩焱主编，《数字电子技术基础(第2版)》，</w:t>
      </w:r>
      <w:r>
        <w:rPr>
          <w:rFonts w:hint="eastAsia"/>
          <w:szCs w:val="21"/>
        </w:rPr>
        <w:t>ISBN 978-7-121-21641-1，</w:t>
      </w:r>
      <w:r>
        <w:rPr>
          <w:rFonts w:hint="eastAsia" w:ascii="宋体" w:hAnsi="宋体"/>
          <w:szCs w:val="21"/>
        </w:rPr>
        <w:t>电子工业出版社。</w:t>
      </w:r>
    </w:p>
    <w:p>
      <w:pPr>
        <w:tabs>
          <w:tab w:val="left" w:pos="420"/>
        </w:tabs>
        <w:spacing w:line="360" w:lineRule="auto"/>
        <w:rPr>
          <w:rFonts w:eastAsia="黑体"/>
          <w:szCs w:val="24"/>
        </w:rPr>
      </w:pPr>
      <w:r>
        <w:rPr>
          <w:rFonts w:hint="eastAsia"/>
          <w:szCs w:val="21"/>
        </w:rPr>
        <w:t xml:space="preserve">    2、</w:t>
      </w:r>
      <w:r>
        <w:rPr>
          <w:rFonts w:hint="eastAsia" w:ascii="宋体" w:hAnsi="宋体"/>
          <w:szCs w:val="21"/>
        </w:rPr>
        <w:t>毕满清主编，《</w:t>
      </w:r>
      <w:r>
        <w:rPr>
          <w:rFonts w:hint="eastAsia" w:ascii="宋体" w:hAnsi="宋体" w:cs="宋体"/>
          <w:color w:val="000000"/>
          <w:szCs w:val="21"/>
          <w:lang w:val="zh-CN"/>
        </w:rPr>
        <w:t>电子技术实验与课程设计</w:t>
      </w:r>
      <w:r>
        <w:rPr>
          <w:rFonts w:hint="eastAsia" w:ascii="宋体" w:hAnsi="宋体" w:cs="宋体"/>
          <w:szCs w:val="21"/>
          <w:lang w:val="zh-CN"/>
        </w:rPr>
        <w:t>（第</w:t>
      </w:r>
      <w:r>
        <w:rPr>
          <w:rFonts w:hint="eastAsia" w:ascii="宋体" w:hAnsi="宋体" w:cs="宋体"/>
          <w:szCs w:val="21"/>
        </w:rPr>
        <w:t>4</w:t>
      </w:r>
      <w:r>
        <w:rPr>
          <w:rFonts w:hint="eastAsia" w:ascii="宋体" w:hAnsi="宋体" w:cs="宋体"/>
          <w:szCs w:val="21"/>
          <w:lang w:val="zh-CN"/>
        </w:rPr>
        <w:t>版）</w:t>
      </w:r>
      <w:r>
        <w:rPr>
          <w:rFonts w:hint="eastAsia" w:ascii="宋体" w:hAnsi="宋体"/>
          <w:szCs w:val="21"/>
        </w:rPr>
        <w:t>》，</w:t>
      </w:r>
      <w:r>
        <w:rPr>
          <w:rFonts w:hint="eastAsia"/>
          <w:szCs w:val="21"/>
        </w:rPr>
        <w:t>ISBN：9787111428725，</w:t>
      </w:r>
      <w:r>
        <w:rPr>
          <w:rFonts w:hint="eastAsia" w:ascii="宋体" w:hAnsi="宋体" w:cs="宋体"/>
          <w:color w:val="000000"/>
          <w:szCs w:val="21"/>
          <w:lang w:val="zh-CN"/>
        </w:rPr>
        <w:t>机械工业出版社</w:t>
      </w:r>
      <w:r>
        <w:rPr>
          <w:rFonts w:hint="eastAsia"/>
          <w:szCs w:val="21"/>
        </w:rPr>
        <w:t>。</w:t>
      </w:r>
      <w:r>
        <w:rPr>
          <w:rFonts w:hint="eastAsia" w:ascii="宋体" w:hAnsi="宋体"/>
          <w:szCs w:val="21"/>
        </w:rPr>
        <w:t xml:space="preserve">    </w:t>
      </w:r>
    </w:p>
    <w:p>
      <w:pPr>
        <w:widowControl/>
        <w:spacing w:line="360" w:lineRule="auto"/>
        <w:rPr>
          <w:rFonts w:eastAsia="黑体"/>
          <w:szCs w:val="24"/>
        </w:rPr>
      </w:pPr>
      <w:r>
        <w:rPr>
          <w:rFonts w:hint="eastAsia"/>
          <w:szCs w:val="21"/>
        </w:rPr>
        <w:t xml:space="preserve">   </w:t>
      </w: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color w:val="000000" w:themeColor="text1"/>
          <w:szCs w:val="21"/>
          <w14:textFill>
            <w14:solidFill>
              <w14:schemeClr w14:val="tx1"/>
            </w14:solidFill>
          </w14:textFill>
        </w:rPr>
      </w:pPr>
      <w:r>
        <w:rPr>
          <w:szCs w:val="21"/>
        </w:rPr>
        <w:t>1</w:t>
      </w:r>
      <w:r>
        <w:rPr>
          <w:rFonts w:hint="eastAsia"/>
          <w:szCs w:val="21"/>
        </w:rPr>
        <w:t>、考核目标：</w:t>
      </w:r>
      <w:r>
        <w:rPr>
          <w:rFonts w:hint="eastAsia"/>
          <w:color w:val="000000" w:themeColor="text1"/>
          <w:szCs w:val="21"/>
          <w14:textFill>
            <w14:solidFill>
              <w14:schemeClr w14:val="tx1"/>
            </w14:solidFill>
          </w14:textFill>
        </w:rPr>
        <w:t>既要考核学生对模拟电子技术基本原理、基本概念的理解，又要检测学生对模拟电子技术基本原理的运用程度，重点考核学生的实际操作能力。</w:t>
      </w:r>
      <w:r>
        <w:rPr>
          <w:rFonts w:hint="eastAsia" w:ascii="宋体" w:hAnsi="宋体"/>
          <w:color w:val="000000"/>
          <w:szCs w:val="21"/>
        </w:rPr>
        <w:t>另外还要考核EDA工具的应用能力。</w:t>
      </w:r>
      <w:r>
        <w:rPr>
          <w:color w:val="000000" w:themeColor="text1"/>
          <w:szCs w:val="21"/>
          <w14:textFill>
            <w14:solidFill>
              <w14:schemeClr w14:val="tx1"/>
            </w14:solidFill>
          </w14:textFill>
        </w:rPr>
        <w:t xml:space="preserve"> </w:t>
      </w:r>
    </w:p>
    <w:p>
      <w:pPr>
        <w:spacing w:line="360" w:lineRule="auto"/>
        <w:ind w:firstLine="420" w:firstLineChars="200"/>
        <w:rPr>
          <w:color w:val="FF0000"/>
          <w:szCs w:val="21"/>
        </w:rPr>
      </w:pPr>
      <w:r>
        <w:rPr>
          <w:szCs w:val="21"/>
        </w:rPr>
        <w:t>2</w:t>
      </w:r>
      <w:r>
        <w:rPr>
          <w:rFonts w:hint="eastAsia"/>
          <w:szCs w:val="21"/>
        </w:rPr>
        <w:t>、考核方式：</w:t>
      </w:r>
      <w:r>
        <w:rPr>
          <w:rFonts w:hint="eastAsia"/>
          <w:color w:val="000000" w:themeColor="text1"/>
          <w:szCs w:val="21"/>
          <w14:textFill>
            <w14:solidFill>
              <w14:schemeClr w14:val="tx1"/>
            </w14:solidFill>
          </w14:textFill>
        </w:rPr>
        <w:t>预习报告</w:t>
      </w:r>
      <w:r>
        <w:rPr>
          <w:rFonts w:hint="eastAsia" w:ascii="宋体" w:hAnsi="宋体" w:cs="宋体"/>
          <w:color w:val="000000"/>
          <w:kern w:val="0"/>
          <w:szCs w:val="21"/>
          <w:lang w:val="zh-CN"/>
        </w:rPr>
        <w:t>、实验操作</w:t>
      </w:r>
      <w:r>
        <w:rPr>
          <w:rFonts w:hint="eastAsia" w:ascii="宋体" w:hAnsi="宋体" w:cs="宋体"/>
          <w:color w:val="000000"/>
          <w:kern w:val="0"/>
          <w:szCs w:val="21"/>
        </w:rPr>
        <w:t>、</w:t>
      </w:r>
      <w:r>
        <w:rPr>
          <w:rFonts w:hint="eastAsia" w:ascii="宋体" w:hAnsi="宋体" w:cs="宋体"/>
          <w:color w:val="000000"/>
          <w:kern w:val="0"/>
          <w:szCs w:val="21"/>
          <w:lang w:val="zh-CN"/>
        </w:rPr>
        <w:t>实验报告</w:t>
      </w:r>
      <w:r>
        <w:rPr>
          <w:rFonts w:hint="eastAsia"/>
          <w:color w:val="000000" w:themeColor="text1"/>
          <w:szCs w:val="21"/>
          <w14:textFill>
            <w14:solidFill>
              <w14:schemeClr w14:val="tx1"/>
            </w14:solidFill>
          </w14:textFill>
        </w:rPr>
        <w:t>和测试。</w:t>
      </w:r>
    </w:p>
    <w:p>
      <w:pPr>
        <w:spacing w:line="360" w:lineRule="auto"/>
        <w:ind w:firstLine="420" w:firstLineChars="200"/>
        <w:rPr>
          <w:szCs w:val="21"/>
        </w:rPr>
      </w:pPr>
      <w:r>
        <w:rPr>
          <w:szCs w:val="21"/>
        </w:rPr>
        <w:t>3、</w:t>
      </w:r>
      <w:r>
        <w:rPr>
          <w:rFonts w:hint="eastAsia"/>
          <w:szCs w:val="21"/>
        </w:rPr>
        <w:t>评价环节对课程目标达成贡献率及支撑材料：</w:t>
      </w:r>
      <w:r>
        <w:rPr>
          <w:szCs w:val="21"/>
        </w:rPr>
        <w:t xml:space="preserve"> </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384"/>
        <w:gridCol w:w="1384"/>
        <w:gridCol w:w="1384"/>
        <w:gridCol w:w="1385"/>
        <w:gridCol w:w="13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pPr>
              <w:jc w:val="center"/>
              <w:rPr>
                <w:szCs w:val="21"/>
              </w:rPr>
            </w:pPr>
          </w:p>
        </w:tc>
        <w:tc>
          <w:tcPr>
            <w:tcW w:w="2499" w:type="pct"/>
            <w:gridSpan w:val="3"/>
            <w:vAlign w:val="center"/>
          </w:tcPr>
          <w:p>
            <w:pPr>
              <w:jc w:val="center"/>
              <w:rPr>
                <w:szCs w:val="21"/>
              </w:rPr>
            </w:pPr>
            <w:r>
              <w:rPr>
                <w:rFonts w:hint="eastAsia" w:ascii="宋体" w:hAnsi="宋体" w:cs="宋体"/>
                <w:color w:val="000000"/>
                <w:kern w:val="0"/>
                <w:sz w:val="18"/>
              </w:rPr>
              <w:t>平时成绩</w:t>
            </w:r>
          </w:p>
        </w:tc>
        <w:tc>
          <w:tcPr>
            <w:tcW w:w="1667" w:type="pct"/>
            <w:gridSpan w:val="2"/>
            <w:vAlign w:val="center"/>
          </w:tcPr>
          <w:p>
            <w:pPr>
              <w:jc w:val="center"/>
              <w:rPr>
                <w:szCs w:val="21"/>
              </w:rPr>
            </w:pPr>
            <w:r>
              <w:rPr>
                <w:rFonts w:hint="eastAsia" w:ascii="宋体" w:hAnsi="宋体" w:cs="宋体"/>
                <w:color w:val="000000"/>
                <w:kern w:val="0"/>
                <w:sz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833" w:type="pct"/>
            <w:vAlign w:val="center"/>
          </w:tcPr>
          <w:p>
            <w:pPr>
              <w:jc w:val="center"/>
              <w:rPr>
                <w:szCs w:val="21"/>
              </w:rPr>
            </w:pPr>
            <w:r>
              <w:rPr>
                <w:rFonts w:hint="eastAsia" w:ascii="宋体" w:hAnsi="宋体" w:cs="宋体"/>
                <w:color w:val="000000"/>
                <w:kern w:val="0"/>
                <w:sz w:val="18"/>
              </w:rPr>
              <w:t>预习报告</w:t>
            </w:r>
          </w:p>
        </w:tc>
        <w:tc>
          <w:tcPr>
            <w:tcW w:w="833" w:type="pct"/>
            <w:vAlign w:val="center"/>
          </w:tcPr>
          <w:p>
            <w:pPr>
              <w:jc w:val="center"/>
              <w:rPr>
                <w:szCs w:val="21"/>
              </w:rPr>
            </w:pPr>
            <w:r>
              <w:rPr>
                <w:rFonts w:hint="eastAsia" w:ascii="宋体" w:hAnsi="宋体" w:cs="宋体"/>
                <w:color w:val="000000"/>
                <w:kern w:val="0"/>
                <w:sz w:val="18"/>
              </w:rPr>
              <w:t>实验操作</w:t>
            </w:r>
          </w:p>
        </w:tc>
        <w:tc>
          <w:tcPr>
            <w:tcW w:w="833" w:type="pct"/>
            <w:vAlign w:val="center"/>
          </w:tcPr>
          <w:p>
            <w:pPr>
              <w:jc w:val="center"/>
              <w:rPr>
                <w:szCs w:val="21"/>
              </w:rPr>
            </w:pPr>
            <w:r>
              <w:rPr>
                <w:rFonts w:hint="eastAsia" w:ascii="宋体" w:hAnsi="宋体" w:cs="宋体"/>
                <w:color w:val="000000"/>
                <w:kern w:val="0"/>
                <w:sz w:val="18"/>
              </w:rPr>
              <w:t>实验报告</w:t>
            </w:r>
          </w:p>
        </w:tc>
        <w:tc>
          <w:tcPr>
            <w:tcW w:w="834" w:type="pct"/>
            <w:vAlign w:val="center"/>
          </w:tcPr>
          <w:p>
            <w:pPr>
              <w:jc w:val="center"/>
              <w:rPr>
                <w:szCs w:val="21"/>
              </w:rPr>
            </w:pPr>
            <w:r>
              <w:rPr>
                <w:rFonts w:hint="eastAsia" w:ascii="宋体" w:hAnsi="宋体" w:cs="宋体"/>
                <w:color w:val="000000"/>
                <w:kern w:val="0"/>
                <w:sz w:val="18"/>
              </w:rPr>
              <w:t>硬件</w:t>
            </w:r>
          </w:p>
        </w:tc>
        <w:tc>
          <w:tcPr>
            <w:tcW w:w="834" w:type="pct"/>
            <w:vAlign w:val="center"/>
          </w:tcPr>
          <w:p>
            <w:pPr>
              <w:jc w:val="center"/>
              <w:rPr>
                <w:szCs w:val="21"/>
              </w:rPr>
            </w:pPr>
            <w:r>
              <w:rPr>
                <w:rFonts w:hint="eastAsia" w:ascii="宋体" w:hAnsi="宋体" w:cs="宋体"/>
                <w:color w:val="000000"/>
                <w:kern w:val="0"/>
                <w:sz w:val="18"/>
              </w:rPr>
              <w:t>软件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课程目标达成的贡献率</w:t>
            </w:r>
          </w:p>
        </w:tc>
        <w:tc>
          <w:tcPr>
            <w:tcW w:w="833" w:type="pct"/>
            <w:vAlign w:val="center"/>
          </w:tcPr>
          <w:p>
            <w:pPr>
              <w:jc w:val="center"/>
            </w:pPr>
            <w:r>
              <w:rPr>
                <w:rFonts w:hint="eastAsia"/>
              </w:rPr>
              <w:t>0.15</w:t>
            </w:r>
          </w:p>
        </w:tc>
        <w:tc>
          <w:tcPr>
            <w:tcW w:w="833" w:type="pct"/>
            <w:vAlign w:val="center"/>
          </w:tcPr>
          <w:p>
            <w:pPr>
              <w:jc w:val="center"/>
              <w:rPr>
                <w:szCs w:val="21"/>
              </w:rPr>
            </w:pPr>
            <w:r>
              <w:t>0.</w:t>
            </w:r>
            <w:r>
              <w:rPr>
                <w:rFonts w:hint="eastAsia"/>
              </w:rPr>
              <w:t>20</w:t>
            </w:r>
          </w:p>
        </w:tc>
        <w:tc>
          <w:tcPr>
            <w:tcW w:w="833" w:type="pct"/>
            <w:vAlign w:val="center"/>
          </w:tcPr>
          <w:p>
            <w:pPr>
              <w:jc w:val="center"/>
              <w:rPr>
                <w:szCs w:val="21"/>
              </w:rPr>
            </w:pPr>
            <w:r>
              <w:t>0.</w:t>
            </w:r>
            <w:r>
              <w:rPr>
                <w:rFonts w:hint="eastAsia"/>
              </w:rPr>
              <w:t>15</w:t>
            </w:r>
          </w:p>
        </w:tc>
        <w:tc>
          <w:tcPr>
            <w:tcW w:w="834" w:type="pct"/>
            <w:vAlign w:val="center"/>
          </w:tcPr>
          <w:p>
            <w:pPr>
              <w:jc w:val="center"/>
              <w:rPr>
                <w:szCs w:val="21"/>
              </w:rPr>
            </w:pPr>
            <w:r>
              <w:rPr>
                <w:rFonts w:hint="eastAsia"/>
                <w:szCs w:val="21"/>
              </w:rPr>
              <w:t>0.25</w:t>
            </w:r>
          </w:p>
        </w:tc>
        <w:tc>
          <w:tcPr>
            <w:tcW w:w="834" w:type="pct"/>
            <w:vAlign w:val="center"/>
          </w:tcPr>
          <w:p>
            <w:pPr>
              <w:jc w:val="center"/>
              <w:rPr>
                <w:szCs w:val="21"/>
              </w:rPr>
            </w:pPr>
            <w:r>
              <w:rPr>
                <w:rFonts w:hint="eastAsia"/>
                <w:szCs w:val="21"/>
              </w:rPr>
              <w:t>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pct"/>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833" w:type="pct"/>
            <w:vAlign w:val="center"/>
          </w:tcPr>
          <w:p>
            <w:pPr>
              <w:jc w:val="center"/>
              <w:rPr>
                <w:szCs w:val="21"/>
              </w:rPr>
            </w:pPr>
            <w:r>
              <w:rPr>
                <w:rFonts w:hint="eastAsia" w:ascii="宋体" w:hAnsi="宋体" w:cs="宋体"/>
                <w:color w:val="000000"/>
                <w:kern w:val="0"/>
                <w:sz w:val="18"/>
              </w:rPr>
              <w:t>预习报告</w:t>
            </w:r>
          </w:p>
        </w:tc>
        <w:tc>
          <w:tcPr>
            <w:tcW w:w="833" w:type="pct"/>
            <w:vAlign w:val="center"/>
          </w:tcPr>
          <w:p>
            <w:pPr>
              <w:jc w:val="center"/>
              <w:rPr>
                <w:szCs w:val="21"/>
              </w:rPr>
            </w:pPr>
            <w:r>
              <w:rPr>
                <w:rFonts w:hint="eastAsia" w:ascii="宋体" w:hAnsi="宋体" w:cs="宋体"/>
                <w:color w:val="000000"/>
                <w:kern w:val="0"/>
                <w:sz w:val="18"/>
              </w:rPr>
              <w:t>出勤记录表，典型实验操作流程视频或学生实验操作图片</w:t>
            </w:r>
          </w:p>
        </w:tc>
        <w:tc>
          <w:tcPr>
            <w:tcW w:w="833" w:type="pct"/>
            <w:vAlign w:val="center"/>
          </w:tcPr>
          <w:p>
            <w:pPr>
              <w:jc w:val="center"/>
              <w:rPr>
                <w:szCs w:val="21"/>
              </w:rPr>
            </w:pPr>
            <w:r>
              <w:rPr>
                <w:rFonts w:ascii="宋体" w:hAnsi="宋体" w:cs="宋体"/>
                <w:color w:val="000000"/>
                <w:kern w:val="0"/>
                <w:sz w:val="18"/>
              </w:rPr>
              <w:t>实验评价标准，</w:t>
            </w:r>
            <w:r>
              <w:rPr>
                <w:rFonts w:hint="eastAsia" w:ascii="宋体" w:hAnsi="宋体" w:cs="宋体"/>
                <w:color w:val="000000"/>
                <w:kern w:val="0"/>
                <w:sz w:val="18"/>
              </w:rPr>
              <w:t>实验课堂记录，典型实验报告</w:t>
            </w:r>
          </w:p>
        </w:tc>
        <w:tc>
          <w:tcPr>
            <w:tcW w:w="834" w:type="pct"/>
            <w:vAlign w:val="center"/>
          </w:tcPr>
          <w:p>
            <w:pPr>
              <w:jc w:val="center"/>
              <w:rPr>
                <w:szCs w:val="21"/>
              </w:rPr>
            </w:pPr>
            <w:r>
              <w:rPr>
                <w:rFonts w:hint="eastAsia" w:ascii="宋体" w:hAnsi="宋体" w:cs="宋体"/>
                <w:color w:val="000000"/>
                <w:kern w:val="0"/>
                <w:sz w:val="18"/>
              </w:rPr>
              <w:t>硬件测试评价标准及验收报告</w:t>
            </w:r>
          </w:p>
        </w:tc>
        <w:tc>
          <w:tcPr>
            <w:tcW w:w="834" w:type="pct"/>
            <w:vAlign w:val="center"/>
          </w:tcPr>
          <w:p>
            <w:pPr>
              <w:jc w:val="center"/>
              <w:rPr>
                <w:szCs w:val="21"/>
              </w:rPr>
            </w:pPr>
            <w:r>
              <w:rPr>
                <w:rFonts w:hint="eastAsia" w:ascii="宋体" w:hAnsi="宋体" w:cs="宋体"/>
                <w:color w:val="000000"/>
                <w:kern w:val="0"/>
                <w:sz w:val="18"/>
              </w:rPr>
              <w:t>软件测试评价标准及验收报告</w:t>
            </w:r>
          </w:p>
        </w:tc>
      </w:tr>
    </w:tbl>
    <w:p>
      <w:pPr>
        <w:spacing w:line="360" w:lineRule="auto"/>
        <w:ind w:firstLine="420" w:firstLineChars="200"/>
        <w:rPr>
          <w:szCs w:val="21"/>
        </w:rPr>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171"/>
        <w:gridCol w:w="1362"/>
        <w:gridCol w:w="1267"/>
        <w:gridCol w:w="1502"/>
        <w:gridCol w:w="1502"/>
        <w:gridCol w:w="1502"/>
      </w:tblGrid>
      <w:tr>
        <w:tblPrEx>
          <w:tblCellMar>
            <w:top w:w="0" w:type="dxa"/>
            <w:left w:w="108" w:type="dxa"/>
            <w:bottom w:w="0" w:type="dxa"/>
            <w:right w:w="108" w:type="dxa"/>
          </w:tblCellMar>
        </w:tblPrEx>
        <w:trPr>
          <w:trHeight w:val="986" w:hRule="atLeast"/>
          <w:jc w:val="center"/>
        </w:trPr>
        <w:tc>
          <w:tcPr>
            <w:tcW w:w="70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82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预习报告</w:t>
            </w:r>
          </w:p>
          <w:p>
            <w:pPr>
              <w:jc w:val="center"/>
              <w:rPr>
                <w:sz w:val="18"/>
                <w:szCs w:val="18"/>
              </w:rPr>
            </w:pPr>
            <w:r>
              <w:rPr>
                <w:rFonts w:hint="eastAsia"/>
                <w:sz w:val="18"/>
                <w:szCs w:val="18"/>
              </w:rPr>
              <w:t>W1</w:t>
            </w:r>
            <w:r>
              <w:rPr>
                <w:rFonts w:hint="eastAsia"/>
                <w:sz w:val="18"/>
                <w:szCs w:val="18"/>
                <w:vertAlign w:val="subscript"/>
              </w:rPr>
              <w:t>i</w:t>
            </w:r>
          </w:p>
        </w:tc>
        <w:tc>
          <w:tcPr>
            <w:tcW w:w="76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实验操作</w:t>
            </w:r>
          </w:p>
          <w:p>
            <w:pPr>
              <w:jc w:val="center"/>
              <w:rPr>
                <w:sz w:val="18"/>
                <w:szCs w:val="18"/>
              </w:rPr>
            </w:pPr>
            <w:r>
              <w:rPr>
                <w:rFonts w:hint="eastAsia"/>
                <w:sz w:val="18"/>
                <w:szCs w:val="18"/>
              </w:rPr>
              <w:t>W2</w:t>
            </w:r>
            <w:r>
              <w:rPr>
                <w:rFonts w:hint="eastAsia"/>
                <w:sz w:val="18"/>
                <w:szCs w:val="18"/>
                <w:vertAlign w:val="subscript"/>
              </w:rPr>
              <w:t>i</w:t>
            </w:r>
          </w:p>
        </w:tc>
        <w:tc>
          <w:tcPr>
            <w:tcW w:w="90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hint="eastAsia" w:ascii="宋体" w:hAnsi="宋体" w:cs="宋体"/>
                <w:color w:val="000000"/>
                <w:kern w:val="0"/>
                <w:sz w:val="18"/>
              </w:rPr>
              <w:t>实验报告</w:t>
            </w:r>
          </w:p>
          <w:p>
            <w:pPr>
              <w:jc w:val="center"/>
              <w:rPr>
                <w:sz w:val="18"/>
                <w:szCs w:val="18"/>
              </w:rPr>
            </w:pPr>
            <w:r>
              <w:rPr>
                <w:rFonts w:hint="eastAsia"/>
                <w:sz w:val="18"/>
                <w:szCs w:val="18"/>
              </w:rPr>
              <w:t>W3</w:t>
            </w:r>
            <w:r>
              <w:rPr>
                <w:rFonts w:hint="eastAsia"/>
                <w:sz w:val="18"/>
                <w:szCs w:val="18"/>
                <w:vertAlign w:val="subscript"/>
              </w:rPr>
              <w:t>i</w:t>
            </w:r>
          </w:p>
        </w:tc>
        <w:tc>
          <w:tcPr>
            <w:tcW w:w="904"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硬件期末考试成绩</w:t>
            </w:r>
          </w:p>
          <w:p>
            <w:pPr>
              <w:jc w:val="center"/>
              <w:rPr>
                <w:sz w:val="18"/>
                <w:szCs w:val="18"/>
              </w:rPr>
            </w:pPr>
            <w:r>
              <w:rPr>
                <w:rFonts w:hint="eastAsia"/>
                <w:sz w:val="18"/>
                <w:szCs w:val="18"/>
              </w:rPr>
              <w:t>W</w:t>
            </w:r>
            <w:r>
              <w:rPr>
                <w:rFonts w:hint="eastAsia"/>
                <w:b/>
                <w:sz w:val="18"/>
                <w:szCs w:val="18"/>
              </w:rPr>
              <w:t>5</w:t>
            </w:r>
            <w:r>
              <w:rPr>
                <w:rFonts w:hint="eastAsia"/>
                <w:b/>
                <w:sz w:val="18"/>
                <w:szCs w:val="18"/>
                <w:vertAlign w:val="subscript"/>
              </w:rPr>
              <w:t>i</w:t>
            </w:r>
          </w:p>
        </w:tc>
        <w:tc>
          <w:tcPr>
            <w:tcW w:w="904" w:type="pct"/>
            <w:tcBorders>
              <w:top w:val="single" w:color="auto" w:sz="4" w:space="0"/>
              <w:left w:val="single" w:color="auto" w:sz="4" w:space="0"/>
              <w:bottom w:val="single" w:color="auto" w:sz="4" w:space="0"/>
            </w:tcBorders>
            <w:vAlign w:val="center"/>
          </w:tcPr>
          <w:p>
            <w:pPr>
              <w:jc w:val="center"/>
              <w:rPr>
                <w:sz w:val="18"/>
                <w:szCs w:val="18"/>
              </w:rPr>
            </w:pPr>
            <w:r>
              <w:rPr>
                <w:rFonts w:hint="eastAsia"/>
                <w:sz w:val="18"/>
                <w:szCs w:val="18"/>
              </w:rPr>
              <w:t>软件期末考试成绩</w:t>
            </w:r>
          </w:p>
          <w:p>
            <w:pPr>
              <w:jc w:val="center"/>
              <w:rPr>
                <w:sz w:val="18"/>
                <w:szCs w:val="18"/>
              </w:rPr>
            </w:pPr>
            <w:r>
              <w:rPr>
                <w:rFonts w:hint="eastAsia"/>
                <w:sz w:val="18"/>
                <w:szCs w:val="18"/>
              </w:rPr>
              <w:t>W6</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705" w:type="pct"/>
            <w:tcBorders>
              <w:top w:val="nil"/>
              <w:left w:val="nil"/>
              <w:bottom w:val="single" w:color="auto" w:sz="4" w:space="0"/>
              <w:right w:val="single" w:color="auto" w:sz="4" w:space="0"/>
            </w:tcBorders>
            <w:vAlign w:val="center"/>
          </w:tcPr>
          <w:p>
            <w:pPr>
              <w:jc w:val="center"/>
              <w:rPr>
                <w:b/>
                <w:sz w:val="18"/>
                <w:szCs w:val="18"/>
              </w:rPr>
            </w:pPr>
            <w:r>
              <w:rPr>
                <w:rFonts w:hint="eastAsia"/>
                <w:b/>
                <w:sz w:val="18"/>
                <w:szCs w:val="18"/>
              </w:rPr>
              <w:t>1</w:t>
            </w:r>
          </w:p>
        </w:tc>
        <w:tc>
          <w:tcPr>
            <w:tcW w:w="820"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20-25</w:t>
            </w:r>
          </w:p>
        </w:tc>
        <w:tc>
          <w:tcPr>
            <w:tcW w:w="763"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10-15</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30-35</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15-20</w:t>
            </w:r>
          </w:p>
        </w:tc>
        <w:tc>
          <w:tcPr>
            <w:tcW w:w="9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15-20</w:t>
            </w:r>
          </w:p>
        </w:tc>
      </w:tr>
      <w:tr>
        <w:tblPrEx>
          <w:tblCellMar>
            <w:top w:w="0" w:type="dxa"/>
            <w:left w:w="108" w:type="dxa"/>
            <w:bottom w:w="0" w:type="dxa"/>
            <w:right w:w="108" w:type="dxa"/>
          </w:tblCellMar>
        </w:tblPrEx>
        <w:trPr>
          <w:jc w:val="center"/>
        </w:trPr>
        <w:tc>
          <w:tcPr>
            <w:tcW w:w="705"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2</w:t>
            </w:r>
          </w:p>
        </w:tc>
        <w:tc>
          <w:tcPr>
            <w:tcW w:w="820"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50-55</w:t>
            </w:r>
          </w:p>
        </w:tc>
        <w:tc>
          <w:tcPr>
            <w:tcW w:w="763" w:type="pct"/>
            <w:tcBorders>
              <w:top w:val="single" w:color="auto" w:sz="4" w:space="0"/>
              <w:left w:val="single" w:color="auto" w:sz="4" w:space="0"/>
              <w:bottom w:val="single" w:color="auto" w:sz="4" w:space="0"/>
              <w:right w:val="single" w:color="auto" w:sz="4" w:space="0"/>
            </w:tcBorders>
            <w:vAlign w:val="center"/>
          </w:tcPr>
          <w:p>
            <w:pPr>
              <w:ind w:firstLine="361" w:firstLineChars="200"/>
              <w:rPr>
                <w:b/>
                <w:sz w:val="18"/>
                <w:szCs w:val="18"/>
              </w:rPr>
            </w:pPr>
            <w:r>
              <w:rPr>
                <w:rFonts w:hint="eastAsia"/>
                <w:b/>
                <w:sz w:val="18"/>
                <w:szCs w:val="18"/>
              </w:rPr>
              <w:t>65-70</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40-45</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35-40</w:t>
            </w:r>
          </w:p>
        </w:tc>
        <w:tc>
          <w:tcPr>
            <w:tcW w:w="9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35-40</w:t>
            </w:r>
          </w:p>
        </w:tc>
      </w:tr>
      <w:tr>
        <w:tblPrEx>
          <w:tblCellMar>
            <w:top w:w="0" w:type="dxa"/>
            <w:left w:w="108" w:type="dxa"/>
            <w:bottom w:w="0" w:type="dxa"/>
            <w:right w:w="108" w:type="dxa"/>
          </w:tblCellMar>
        </w:tblPrEx>
        <w:trPr>
          <w:jc w:val="center"/>
        </w:trPr>
        <w:tc>
          <w:tcPr>
            <w:tcW w:w="705" w:type="pct"/>
            <w:tcBorders>
              <w:top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3</w:t>
            </w:r>
          </w:p>
        </w:tc>
        <w:tc>
          <w:tcPr>
            <w:tcW w:w="820"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30-35</w:t>
            </w:r>
          </w:p>
        </w:tc>
        <w:tc>
          <w:tcPr>
            <w:tcW w:w="763" w:type="pct"/>
            <w:tcBorders>
              <w:top w:val="single" w:color="auto" w:sz="4" w:space="0"/>
              <w:left w:val="single" w:color="auto" w:sz="4" w:space="0"/>
              <w:bottom w:val="single" w:color="auto" w:sz="4" w:space="0"/>
              <w:right w:val="single" w:color="auto" w:sz="4" w:space="0"/>
            </w:tcBorders>
            <w:vAlign w:val="center"/>
          </w:tcPr>
          <w:p>
            <w:pPr>
              <w:jc w:val="center"/>
              <w:rPr>
                <w:b/>
                <w:sz w:val="18"/>
                <w:szCs w:val="18"/>
              </w:rPr>
            </w:pPr>
            <w:r>
              <w:rPr>
                <w:rFonts w:hint="eastAsia"/>
                <w:b/>
                <w:sz w:val="18"/>
                <w:szCs w:val="18"/>
              </w:rPr>
              <w:t>20-25</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25-30</w:t>
            </w:r>
          </w:p>
        </w:tc>
        <w:tc>
          <w:tcPr>
            <w:tcW w:w="904" w:type="pct"/>
            <w:tcBorders>
              <w:top w:val="single" w:color="auto" w:sz="4" w:space="0"/>
              <w:left w:val="single" w:color="auto" w:sz="4" w:space="0"/>
              <w:bottom w:val="single" w:color="auto" w:sz="4" w:space="0"/>
              <w:right w:val="single" w:color="auto" w:sz="4" w:space="0"/>
            </w:tcBorders>
          </w:tcPr>
          <w:p>
            <w:pPr>
              <w:jc w:val="center"/>
              <w:rPr>
                <w:b/>
                <w:sz w:val="18"/>
                <w:szCs w:val="18"/>
              </w:rPr>
            </w:pPr>
            <w:r>
              <w:rPr>
                <w:rFonts w:hint="eastAsia"/>
                <w:b/>
                <w:sz w:val="18"/>
                <w:szCs w:val="18"/>
              </w:rPr>
              <w:t>45-50</w:t>
            </w:r>
          </w:p>
        </w:tc>
        <w:tc>
          <w:tcPr>
            <w:tcW w:w="904" w:type="pct"/>
            <w:tcBorders>
              <w:top w:val="single" w:color="auto" w:sz="4" w:space="0"/>
              <w:left w:val="single" w:color="auto" w:sz="4" w:space="0"/>
              <w:bottom w:val="single" w:color="auto" w:sz="4" w:space="0"/>
            </w:tcBorders>
            <w:vAlign w:val="center"/>
          </w:tcPr>
          <w:p>
            <w:pPr>
              <w:jc w:val="center"/>
              <w:rPr>
                <w:b/>
                <w:sz w:val="18"/>
                <w:szCs w:val="18"/>
              </w:rPr>
            </w:pPr>
            <w:r>
              <w:rPr>
                <w:rFonts w:hint="eastAsia"/>
                <w:b/>
                <w:sz w:val="18"/>
                <w:szCs w:val="18"/>
              </w:rPr>
              <w:t>45-50</w:t>
            </w:r>
          </w:p>
        </w:tc>
      </w:tr>
    </w:tbl>
    <w:p>
      <w:pPr>
        <w:spacing w:line="360" w:lineRule="auto"/>
        <w:rPr>
          <w:color w:val="0000FF"/>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7"/>
        <w:gridCol w:w="1148"/>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tcBorders>
              <w:left w:val="nil"/>
            </w:tcBorders>
            <w:vAlign w:val="center"/>
          </w:tcPr>
          <w:p>
            <w:pPr>
              <w:adjustRightInd w:val="0"/>
              <w:snapToGrid w:val="0"/>
              <w:jc w:val="center"/>
              <w:rPr>
                <w:sz w:val="18"/>
                <w:szCs w:val="18"/>
              </w:rPr>
            </w:pPr>
            <w:r>
              <w:rPr>
                <w:sz w:val="18"/>
                <w:szCs w:val="18"/>
              </w:rPr>
              <w:t>知识点</w:t>
            </w:r>
          </w:p>
        </w:tc>
        <w:tc>
          <w:tcPr>
            <w:tcW w:w="691" w:type="pct"/>
            <w:vAlign w:val="center"/>
          </w:tcPr>
          <w:p>
            <w:pPr>
              <w:adjustRightInd w:val="0"/>
              <w:snapToGrid w:val="0"/>
              <w:jc w:val="center"/>
              <w:rPr>
                <w:sz w:val="18"/>
                <w:szCs w:val="18"/>
              </w:rPr>
            </w:pPr>
            <w:r>
              <w:rPr>
                <w:sz w:val="18"/>
                <w:szCs w:val="18"/>
              </w:rPr>
              <w:t>权重</w:t>
            </w:r>
          </w:p>
        </w:tc>
        <w:tc>
          <w:tcPr>
            <w:tcW w:w="1048" w:type="pct"/>
            <w:tcBorders>
              <w:right w:val="nil"/>
            </w:tcBorders>
            <w:vAlign w:val="center"/>
          </w:tcPr>
          <w:p>
            <w:pPr>
              <w:adjustRightInd w:val="0"/>
              <w:snapToGrid w:val="0"/>
              <w:jc w:val="center"/>
              <w:rPr>
                <w:sz w:val="18"/>
                <w:szCs w:val="18"/>
              </w:rPr>
            </w:pPr>
            <w:r>
              <w:rPr>
                <w:sz w:val="18"/>
                <w:szCs w:val="18"/>
              </w:rPr>
              <w:t>支撑课程目标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1、TTL门电路实验</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2、TTL集电极开路（OC）门和三态（3S）门逻辑功能的测试</w:t>
            </w:r>
          </w:p>
        </w:tc>
        <w:tc>
          <w:tcPr>
            <w:tcW w:w="691" w:type="pct"/>
            <w:vAlign w:val="center"/>
          </w:tcPr>
          <w:p>
            <w:pPr>
              <w:adjustRightInd w:val="0"/>
              <w:snapToGrid w:val="0"/>
              <w:jc w:val="center"/>
              <w:rPr>
                <w:sz w:val="18"/>
                <w:szCs w:val="18"/>
              </w:rPr>
            </w:pPr>
            <w:r>
              <w:rPr>
                <w:sz w:val="18"/>
                <w:szCs w:val="18"/>
              </w:rPr>
              <w:t>0.09</w:t>
            </w:r>
          </w:p>
        </w:tc>
        <w:tc>
          <w:tcPr>
            <w:tcW w:w="1048" w:type="pct"/>
            <w:tcBorders>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jc w:val="left"/>
              <w:rPr>
                <w:sz w:val="18"/>
                <w:szCs w:val="18"/>
              </w:rPr>
            </w:pPr>
            <w:r>
              <w:rPr>
                <w:sz w:val="18"/>
                <w:szCs w:val="18"/>
              </w:rPr>
              <w:t>3、SSI组合逻辑电路设计与实验</w:t>
            </w:r>
          </w:p>
        </w:tc>
        <w:tc>
          <w:tcPr>
            <w:tcW w:w="691" w:type="pct"/>
            <w:vAlign w:val="center"/>
          </w:tcPr>
          <w:p>
            <w:pPr>
              <w:adjustRightInd w:val="0"/>
              <w:snapToGrid w:val="0"/>
              <w:jc w:val="center"/>
              <w:rPr>
                <w:sz w:val="18"/>
                <w:szCs w:val="18"/>
              </w:rPr>
            </w:pPr>
            <w:r>
              <w:rPr>
                <w:sz w:val="18"/>
                <w:szCs w:val="18"/>
              </w:rPr>
              <w:t>0.09</w:t>
            </w:r>
          </w:p>
        </w:tc>
        <w:tc>
          <w:tcPr>
            <w:tcW w:w="1048" w:type="pct"/>
            <w:tcBorders>
              <w:right w:val="nil"/>
            </w:tcBorders>
            <w:vAlign w:val="center"/>
          </w:tcPr>
          <w:p>
            <w:pPr>
              <w:adjustRightInd w:val="0"/>
              <w:snapToGrid w:val="0"/>
              <w:jc w:val="center"/>
              <w:rPr>
                <w:sz w:val="18"/>
                <w:szCs w:val="18"/>
              </w:rPr>
            </w:pPr>
            <w:r>
              <w:rPr>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4、MSI集成组合逻辑电路设计与实验</w:t>
            </w:r>
          </w:p>
        </w:tc>
        <w:tc>
          <w:tcPr>
            <w:tcW w:w="691" w:type="pct"/>
            <w:vAlign w:val="center"/>
          </w:tcPr>
          <w:p>
            <w:pPr>
              <w:adjustRightInd w:val="0"/>
              <w:snapToGrid w:val="0"/>
              <w:jc w:val="center"/>
              <w:rPr>
                <w:sz w:val="18"/>
                <w:szCs w:val="18"/>
              </w:rPr>
            </w:pPr>
            <w:r>
              <w:rPr>
                <w:sz w:val="18"/>
                <w:szCs w:val="18"/>
              </w:rPr>
              <w:t>0.09</w:t>
            </w:r>
          </w:p>
        </w:tc>
        <w:tc>
          <w:tcPr>
            <w:tcW w:w="1048" w:type="pct"/>
            <w:tcBorders>
              <w:right w:val="nil"/>
            </w:tcBorders>
            <w:vAlign w:val="center"/>
          </w:tcPr>
          <w:p>
            <w:pPr>
              <w:adjustRightInd w:val="0"/>
              <w:snapToGrid w:val="0"/>
              <w:jc w:val="center"/>
              <w:rPr>
                <w:sz w:val="18"/>
                <w:szCs w:val="18"/>
              </w:rPr>
            </w:pPr>
            <w:r>
              <w:rPr>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5、Quartus II 软件使用</w:t>
            </w:r>
            <w:r>
              <w:rPr>
                <w:kern w:val="0"/>
                <w:sz w:val="18"/>
                <w:szCs w:val="18"/>
              </w:rPr>
              <w:t>（EDA）</w:t>
            </w:r>
          </w:p>
        </w:tc>
        <w:tc>
          <w:tcPr>
            <w:tcW w:w="691" w:type="pct"/>
            <w:vAlign w:val="center"/>
          </w:tcPr>
          <w:p>
            <w:pPr>
              <w:adjustRightInd w:val="0"/>
              <w:snapToGrid w:val="0"/>
              <w:jc w:val="center"/>
              <w:rPr>
                <w:sz w:val="18"/>
                <w:szCs w:val="18"/>
              </w:rPr>
            </w:pPr>
            <w:r>
              <w:rPr>
                <w:sz w:val="18"/>
                <w:szCs w:val="18"/>
              </w:rPr>
              <w:t>0.16</w:t>
            </w:r>
          </w:p>
        </w:tc>
        <w:tc>
          <w:tcPr>
            <w:tcW w:w="1048" w:type="pct"/>
            <w:tcBorders>
              <w:right w:val="nil"/>
            </w:tcBorders>
            <w:vAlign w:val="center"/>
          </w:tcPr>
          <w:p>
            <w:pPr>
              <w:adjustRightInd w:val="0"/>
              <w:snapToGrid w:val="0"/>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6、触发器逻辑功能测试</w:t>
            </w:r>
          </w:p>
        </w:tc>
        <w:tc>
          <w:tcPr>
            <w:tcW w:w="691" w:type="pct"/>
            <w:vAlign w:val="center"/>
          </w:tcPr>
          <w:p>
            <w:pPr>
              <w:adjustRightInd w:val="0"/>
              <w:snapToGrid w:val="0"/>
              <w:jc w:val="center"/>
              <w:rPr>
                <w:sz w:val="18"/>
                <w:szCs w:val="18"/>
              </w:rPr>
            </w:pPr>
            <w:r>
              <w:rPr>
                <w:sz w:val="18"/>
                <w:szCs w:val="18"/>
              </w:rPr>
              <w:t>0.09</w:t>
            </w:r>
          </w:p>
        </w:tc>
        <w:tc>
          <w:tcPr>
            <w:tcW w:w="1048" w:type="pct"/>
            <w:tcBorders>
              <w:right w:val="nil"/>
            </w:tcBorders>
            <w:vAlign w:val="center"/>
          </w:tcPr>
          <w:p>
            <w:pPr>
              <w:adjustRightInd w:val="0"/>
              <w:snapToGrid w:val="0"/>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7、计数器设计</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8、</w:t>
            </w:r>
            <w:r>
              <w:rPr>
                <w:kern w:val="0"/>
                <w:sz w:val="18"/>
                <w:szCs w:val="18"/>
              </w:rPr>
              <w:t>时序逻辑电路的设计（EDA）</w:t>
            </w:r>
          </w:p>
        </w:tc>
        <w:tc>
          <w:tcPr>
            <w:tcW w:w="691" w:type="pct"/>
            <w:vAlign w:val="center"/>
          </w:tcPr>
          <w:p>
            <w:pPr>
              <w:adjustRightInd w:val="0"/>
              <w:snapToGrid w:val="0"/>
              <w:jc w:val="center"/>
              <w:rPr>
                <w:sz w:val="18"/>
                <w:szCs w:val="18"/>
              </w:rPr>
            </w:pPr>
            <w:r>
              <w:rPr>
                <w:sz w:val="18"/>
                <w:szCs w:val="18"/>
              </w:rPr>
              <w:t>0.16</w:t>
            </w:r>
          </w:p>
        </w:tc>
        <w:tc>
          <w:tcPr>
            <w:tcW w:w="1048" w:type="pct"/>
            <w:tcBorders>
              <w:right w:val="nil"/>
            </w:tcBorders>
            <w:vAlign w:val="center"/>
          </w:tcPr>
          <w:p>
            <w:pPr>
              <w:adjustRightInd w:val="0"/>
              <w:snapToGrid w:val="0"/>
              <w:jc w:val="center"/>
              <w:rPr>
                <w:sz w:val="18"/>
                <w:szCs w:val="18"/>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9、555定时器应用实验</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261" w:type="pct"/>
            <w:tcBorders>
              <w:left w:val="nil"/>
            </w:tcBorders>
            <w:vAlign w:val="center"/>
          </w:tcPr>
          <w:p>
            <w:pPr>
              <w:adjustRightInd w:val="0"/>
              <w:snapToGrid w:val="0"/>
              <w:ind w:firstLine="282" w:firstLineChars="157"/>
              <w:rPr>
                <w:sz w:val="18"/>
                <w:szCs w:val="18"/>
              </w:rPr>
            </w:pPr>
            <w:r>
              <w:rPr>
                <w:sz w:val="18"/>
                <w:szCs w:val="18"/>
              </w:rPr>
              <w:t>10、硬件测试</w:t>
            </w:r>
          </w:p>
        </w:tc>
        <w:tc>
          <w:tcPr>
            <w:tcW w:w="691" w:type="pct"/>
            <w:vAlign w:val="center"/>
          </w:tcPr>
          <w:p>
            <w:pPr>
              <w:adjustRightInd w:val="0"/>
              <w:snapToGrid w:val="0"/>
              <w:jc w:val="center"/>
              <w:rPr>
                <w:sz w:val="18"/>
                <w:szCs w:val="18"/>
              </w:rPr>
            </w:pPr>
            <w:r>
              <w:rPr>
                <w:sz w:val="18"/>
                <w:szCs w:val="18"/>
              </w:rPr>
              <w:t>0.08</w:t>
            </w:r>
          </w:p>
        </w:tc>
        <w:tc>
          <w:tcPr>
            <w:tcW w:w="1048" w:type="pct"/>
            <w:tcBorders>
              <w:right w:val="nil"/>
            </w:tcBorders>
            <w:vAlign w:val="center"/>
          </w:tcPr>
          <w:p>
            <w:pPr>
              <w:adjustRightInd w:val="0"/>
              <w:snapToGrid w:val="0"/>
              <w:jc w:val="center"/>
              <w:rPr>
                <w:sz w:val="18"/>
                <w:szCs w:val="18"/>
              </w:rPr>
            </w:pPr>
            <w:r>
              <w:rPr>
                <w:sz w:val="18"/>
                <w:szCs w:val="18"/>
              </w:rPr>
              <w:t>1、2、3</w:t>
            </w:r>
          </w:p>
        </w:tc>
      </w:tr>
    </w:tbl>
    <w:p>
      <w:pPr>
        <w:spacing w:line="360" w:lineRule="auto"/>
        <w:rPr>
          <w:szCs w:val="21"/>
        </w:rPr>
      </w:pPr>
    </w:p>
    <w:p>
      <w:pPr>
        <w:spacing w:line="360" w:lineRule="auto"/>
        <w:rPr>
          <w:szCs w:val="21"/>
        </w:rPr>
      </w:pPr>
      <w:r>
        <w:rPr>
          <w:rFonts w:hint="eastAsia"/>
          <w:szCs w:val="21"/>
        </w:rPr>
        <w:t>不可以申请免修。</w:t>
      </w:r>
    </w:p>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本课程允许教师在各评价环节根据具体情况采取多样化、个性化的考核手段，其评价标准应当在《授课计划》中明确并向学生公布，教学过程中的考核评价应当严格按照标准完成。</w:t>
      </w:r>
    </w:p>
    <w:p>
      <w:pPr>
        <w:tabs>
          <w:tab w:val="left" w:pos="420"/>
        </w:tabs>
        <w:adjustRightInd w:val="0"/>
        <w:snapToGrid w:val="0"/>
        <w:spacing w:line="360" w:lineRule="auto"/>
        <w:ind w:left="420" w:hanging="420"/>
      </w:pPr>
    </w:p>
    <w:p>
      <w:pPr>
        <w:tabs>
          <w:tab w:val="left" w:pos="420"/>
        </w:tabs>
        <w:adjustRightInd w:val="0"/>
        <w:snapToGrid w:val="0"/>
        <w:spacing w:line="360" w:lineRule="auto"/>
        <w:ind w:left="420" w:hanging="420"/>
        <w:rPr>
          <w:rFonts w:eastAsia="黑体"/>
          <w:szCs w:val="24"/>
        </w:rPr>
      </w:pPr>
      <w:r>
        <w:rPr>
          <w:rFonts w:hint="eastAsia" w:eastAsia="黑体"/>
          <w:szCs w:val="24"/>
        </w:rPr>
        <w:t>十一、课程目标达成评价结果用于持续改进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rPr>
          <w:szCs w:val="21"/>
        </w:rPr>
      </w:pPr>
    </w:p>
    <w:p>
      <w:pPr>
        <w:spacing w:line="360" w:lineRule="auto"/>
        <w:ind w:firstLine="420" w:firstLineChars="200"/>
        <w:rPr>
          <w:szCs w:val="21"/>
        </w:rPr>
      </w:pPr>
    </w:p>
    <w:p>
      <w:pPr>
        <w:widowControl/>
        <w:jc w:val="left"/>
        <w:rPr>
          <w:szCs w:val="21"/>
        </w:rPr>
      </w:pPr>
      <w:r>
        <w:rPr>
          <w:szCs w:val="21"/>
        </w:rPr>
        <w:br w:type="page"/>
      </w:r>
    </w:p>
    <w:p>
      <w:pPr>
        <w:pStyle w:val="20"/>
        <w:spacing w:before="312" w:after="468"/>
      </w:pPr>
      <w:bookmarkStart w:id="148" w:name="_Toc4483"/>
      <w:r>
        <w:rPr>
          <w:rFonts w:hint="eastAsia"/>
        </w:rPr>
        <w:t>《</w:t>
      </w:r>
      <w:r>
        <w:t>X05080025、X05080026-大学物理</w:t>
      </w:r>
      <w:r>
        <w:rPr>
          <w:rFonts w:hint="eastAsia"/>
        </w:rPr>
        <w:t>实验》</w:t>
      </w:r>
      <w:r>
        <w:t>教学大纲</w:t>
      </w:r>
      <w:bookmarkEnd w:id="148"/>
    </w:p>
    <w:p>
      <w:pPr>
        <w:spacing w:line="360" w:lineRule="auto"/>
        <w:rPr>
          <w:rFonts w:eastAsia="黑体"/>
          <w:color w:val="000000"/>
          <w:kern w:val="0"/>
          <w:szCs w:val="21"/>
        </w:rPr>
      </w:pPr>
      <w:r>
        <w:rPr>
          <w:rFonts w:hint="eastAsia" w:eastAsia="黑体"/>
          <w:szCs w:val="21"/>
        </w:rPr>
        <w:t xml:space="preserve">   </w:t>
      </w:r>
      <w:r>
        <w:rPr>
          <w:rFonts w:eastAsia="黑体"/>
          <w:szCs w:val="21"/>
        </w:rPr>
        <w:t>课程编号：</w:t>
      </w:r>
      <w:r>
        <w:rPr>
          <w:rFonts w:eastAsia="黑体"/>
          <w:color w:val="000000"/>
          <w:kern w:val="0"/>
          <w:szCs w:val="21"/>
        </w:rPr>
        <w:t>X05080025</w:t>
      </w:r>
      <w:r>
        <w:rPr>
          <w:rFonts w:hint="eastAsia" w:eastAsia="黑体"/>
          <w:color w:val="000000"/>
          <w:kern w:val="0"/>
          <w:szCs w:val="21"/>
        </w:rPr>
        <w:t>、</w:t>
      </w:r>
      <w:r>
        <w:rPr>
          <w:rFonts w:eastAsia="黑体"/>
          <w:color w:val="000000"/>
          <w:kern w:val="0"/>
          <w:szCs w:val="21"/>
        </w:rPr>
        <w:t>X05080026</w:t>
      </w:r>
    </w:p>
    <w:p>
      <w:pPr>
        <w:spacing w:line="360" w:lineRule="auto"/>
        <w:ind w:firstLine="315" w:firstLineChars="150"/>
        <w:rPr>
          <w:rFonts w:eastAsia="黑体"/>
          <w:szCs w:val="21"/>
        </w:rPr>
      </w:pPr>
      <w:r>
        <w:rPr>
          <w:rFonts w:eastAsia="黑体"/>
          <w:szCs w:val="21"/>
        </w:rPr>
        <w:t>课程名称：</w:t>
      </w:r>
      <w:r>
        <w:rPr>
          <w:szCs w:val="21"/>
        </w:rPr>
        <w:t>大学物理</w:t>
      </w:r>
      <w:r>
        <w:rPr>
          <w:rFonts w:hint="eastAsia"/>
          <w:szCs w:val="21"/>
        </w:rPr>
        <w:t>实验</w:t>
      </w:r>
      <w:r>
        <w:rPr>
          <w:rFonts w:eastAsia="黑体"/>
          <w:szCs w:val="21"/>
        </w:rPr>
        <w:t xml:space="preserve">  </w:t>
      </w:r>
      <w:r>
        <w:rPr>
          <w:rFonts w:hint="eastAsia" w:eastAsia="黑体"/>
          <w:szCs w:val="21"/>
        </w:rPr>
        <w:t xml:space="preserve">                 </w:t>
      </w:r>
      <w:r>
        <w:rPr>
          <w:rFonts w:eastAsia="黑体"/>
          <w:szCs w:val="21"/>
        </w:rPr>
        <w:t>开课单位：</w:t>
      </w:r>
      <w:r>
        <w:rPr>
          <w:rFonts w:hAnsi="宋体"/>
          <w:szCs w:val="21"/>
        </w:rPr>
        <w:t>理学院物理学科部</w:t>
      </w:r>
    </w:p>
    <w:p>
      <w:pPr>
        <w:spacing w:line="360" w:lineRule="auto"/>
        <w:rPr>
          <w:rFonts w:eastAsia="黑体"/>
          <w:szCs w:val="21"/>
        </w:rPr>
      </w:pPr>
      <w:r>
        <w:rPr>
          <w:rFonts w:eastAsia="黑体"/>
          <w:szCs w:val="21"/>
        </w:rPr>
        <w:t xml:space="preserve">   </w:t>
      </w:r>
      <w:r>
        <w:rPr>
          <w:rFonts w:eastAsia="黑体"/>
          <w:spacing w:val="60"/>
          <w:szCs w:val="21"/>
        </w:rPr>
        <w:t>总学</w:t>
      </w:r>
      <w:r>
        <w:rPr>
          <w:rFonts w:eastAsia="黑体"/>
          <w:szCs w:val="21"/>
        </w:rPr>
        <w:t>时：56                             学    分： 2.5</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eastAsia="黑体"/>
          <w:szCs w:val="21"/>
        </w:rPr>
      </w:pPr>
      <w:r>
        <w:rPr>
          <w:rFonts w:eastAsia="黑体"/>
          <w:szCs w:val="21"/>
        </w:rPr>
        <w:t xml:space="preserve">   先修课程：</w:t>
      </w:r>
      <w:r>
        <w:rPr>
          <w:rFonts w:hAnsi="宋体"/>
          <w:szCs w:val="21"/>
        </w:rPr>
        <w:t>高等数学</w:t>
      </w:r>
      <w:r>
        <w:rPr>
          <w:rFonts w:hint="eastAsia" w:ascii="宋体" w:hAnsi="宋体"/>
        </w:rPr>
        <w:t>、</w:t>
      </w:r>
      <w:r>
        <w:rPr>
          <w:rFonts w:hint="eastAsia" w:hAnsi="宋体"/>
          <w:szCs w:val="21"/>
        </w:rPr>
        <w:t>大学</w:t>
      </w:r>
      <w:r>
        <w:rPr>
          <w:rFonts w:hAnsi="宋体"/>
          <w:szCs w:val="21"/>
        </w:rPr>
        <w:t>物理等</w:t>
      </w:r>
      <w:r>
        <w:rPr>
          <w:rFonts w:eastAsia="黑体"/>
          <w:szCs w:val="21"/>
        </w:rPr>
        <w:t xml:space="preserve"> </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adjustRightInd w:val="0"/>
        <w:snapToGrid w:val="0"/>
        <w:spacing w:line="360" w:lineRule="auto"/>
        <w:rPr>
          <w:sz w:val="24"/>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420" w:firstLineChars="200"/>
      </w:pPr>
      <w:r>
        <w:rPr>
          <w:rFonts w:hint="eastAsia"/>
        </w:rPr>
        <w:t>物理学的发展是人类进步的推动力之一，实验物理和理论物理是构成物理学研究的两大支柱。实验物理在推动物理学发展过程中有着明显的重要作用，当然理论物理也有着同样重要的作用，二者密切相关、相辅相成、互相促进，形象地说恰如鸟之双翼、人之双足，不可或缺。物理学正是靠着实验物理和理论物理两大分支的相互配合、相互激励、相互促进，相辅相成的探索前进，而不断向前发展，不断深入认识自然界的。在物理学的发展过程中，这种相互促进、相互激励、相互完善的实例举不胜举。</w:t>
      </w:r>
    </w:p>
    <w:p>
      <w:pPr>
        <w:adjustRightInd w:val="0"/>
        <w:snapToGrid w:val="0"/>
        <w:spacing w:line="360" w:lineRule="auto"/>
        <w:ind w:firstLine="420" w:firstLineChars="200"/>
      </w:pPr>
      <w:r>
        <w:rPr>
          <w:rFonts w:hint="eastAsia"/>
        </w:rPr>
        <w:t>物理学是一门成熟的科学，物理学所探索的各种现象的领域总在不断地扩大。现在必须承认，当实验上有新的发现或者实验方法有改进，测量精度有提高的时候，每个物理学理论都要重新受到验证、检验或修正。</w:t>
      </w:r>
    </w:p>
    <w:p>
      <w:pPr>
        <w:adjustRightInd w:val="0"/>
        <w:snapToGrid w:val="0"/>
        <w:spacing w:line="360" w:lineRule="auto"/>
        <w:ind w:firstLine="420" w:firstLineChars="200"/>
      </w:pPr>
      <w:r>
        <w:rPr>
          <w:rFonts w:hint="eastAsia"/>
        </w:rPr>
        <w:t>物理学研究的是物质运动的基本规律，它在揭示自然的奥秘、探索自然，认识自然，从而推动人类历史的前进、社会的发展等方面部有巨大的作用。物理学是自然科学的基础，实验物理是物理学的基础。</w:t>
      </w:r>
    </w:p>
    <w:p>
      <w:pPr>
        <w:adjustRightInd w:val="0"/>
        <w:snapToGrid w:val="0"/>
        <w:spacing w:line="360" w:lineRule="auto"/>
        <w:ind w:firstLine="420" w:firstLineChars="200"/>
      </w:pPr>
      <w:r>
        <w:rPr>
          <w:rFonts w:hint="eastAsia"/>
        </w:rPr>
        <w:t>物理实验课是高等理工科院校对学生进行科学实验基本训练的必修通识课程，是大学生进入大学后接受系统实验方法和实验技能训练的开端。物理实验课覆盖广泛的学科领域，具有多样化的实验方法和手段以及综合性很强的基本实验技能训练，它是培养学生创新意识和创新能力、引导学生确立正确科学思想和科学方法、提高学生科学素质的重要基础。</w:t>
      </w:r>
    </w:p>
    <w:p>
      <w:pPr>
        <w:adjustRightInd w:val="0"/>
        <w:snapToGrid w:val="0"/>
        <w:spacing w:line="360" w:lineRule="auto"/>
        <w:ind w:firstLine="420" w:firstLineChars="200"/>
        <w:rPr>
          <w:szCs w:val="21"/>
        </w:rPr>
      </w:pPr>
      <w:r>
        <w:rPr>
          <w:rFonts w:hint="eastAsia"/>
          <w:szCs w:val="21"/>
        </w:rPr>
        <w:t>物理实验是高等工科院校学生的一门必修的独立的基础课程，是学生进入大学后受到系统实验方法和实验技能训练的开端，是工科类专业对学生进行科学实验训练的重要基础。</w:t>
      </w:r>
    </w:p>
    <w:p>
      <w:pPr>
        <w:adjustRightInd w:val="0"/>
        <w:snapToGrid w:val="0"/>
        <w:spacing w:line="360" w:lineRule="auto"/>
        <w:ind w:firstLine="420" w:firstLineChars="200"/>
        <w:rPr>
          <w:szCs w:val="21"/>
        </w:rPr>
      </w:pPr>
    </w:p>
    <w:p>
      <w:pPr>
        <w:spacing w:line="360" w:lineRule="auto"/>
        <w:rPr>
          <w:rFonts w:eastAsia="黑体"/>
          <w:szCs w:val="21"/>
        </w:rPr>
      </w:pPr>
      <w:r>
        <w:rPr>
          <w:rFonts w:eastAsia="黑体"/>
          <w:szCs w:val="21"/>
        </w:rPr>
        <w:t>二、课程目标</w:t>
      </w:r>
    </w:p>
    <w:p>
      <w:pPr>
        <w:spacing w:line="360" w:lineRule="auto"/>
        <w:ind w:firstLine="420" w:firstLineChars="200"/>
        <w:rPr>
          <w:color w:val="000000"/>
          <w:szCs w:val="21"/>
        </w:rPr>
      </w:pPr>
      <w:r>
        <w:rPr>
          <w:rFonts w:hint="eastAsia"/>
          <w:color w:val="000000"/>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4093"/>
        <w:gridCol w:w="3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463" w:type="pct"/>
            <w:shd w:val="clear" w:color="auto" w:fill="auto"/>
            <w:vAlign w:val="center"/>
          </w:tcPr>
          <w:p>
            <w:pPr>
              <w:spacing w:line="360" w:lineRule="auto"/>
              <w:jc w:val="center"/>
              <w:rPr>
                <w:sz w:val="18"/>
                <w:szCs w:val="18"/>
              </w:rPr>
            </w:pPr>
            <w:r>
              <w:rPr>
                <w:rFonts w:hint="eastAsia"/>
                <w:sz w:val="18"/>
                <w:szCs w:val="18"/>
              </w:rPr>
              <w:t>课程目标</w:t>
            </w:r>
          </w:p>
        </w:tc>
        <w:tc>
          <w:tcPr>
            <w:tcW w:w="2192" w:type="pct"/>
            <w:shd w:val="clear" w:color="auto" w:fill="auto"/>
            <w:vAlign w:val="center"/>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left"/>
              <w:rPr>
                <w:sz w:val="18"/>
                <w:szCs w:val="18"/>
              </w:rPr>
            </w:pPr>
            <w:r>
              <w:rPr>
                <w:rFonts w:hint="eastAsia"/>
                <w:sz w:val="18"/>
                <w:szCs w:val="18"/>
              </w:rPr>
              <w:t>1</w:t>
            </w:r>
          </w:p>
        </w:tc>
        <w:tc>
          <w:tcPr>
            <w:tcW w:w="2463" w:type="pct"/>
            <w:shd w:val="clear" w:color="auto" w:fill="auto"/>
            <w:vAlign w:val="center"/>
          </w:tcPr>
          <w:p>
            <w:pPr>
              <w:adjustRightInd w:val="0"/>
              <w:snapToGrid w:val="0"/>
              <w:spacing w:line="360" w:lineRule="auto"/>
              <w:jc w:val="left"/>
              <w:rPr>
                <w:sz w:val="18"/>
                <w:szCs w:val="18"/>
              </w:rPr>
            </w:pPr>
            <w:r>
              <w:rPr>
                <w:rFonts w:hint="eastAsia"/>
                <w:sz w:val="18"/>
                <w:szCs w:val="18"/>
              </w:rPr>
              <w:t>能够通过阅读实验材料或资料，基本掌握实验原理及方法，为进行实验作为准备；能够查阅有关方面科技文献，用实验原理、方法、能够进行简单的具有研究性或创意性内容的实验；</w:t>
            </w:r>
          </w:p>
        </w:tc>
        <w:tc>
          <w:tcPr>
            <w:tcW w:w="2192" w:type="pct"/>
            <w:shd w:val="clear" w:color="auto" w:fill="auto"/>
            <w:vAlign w:val="center"/>
          </w:tcPr>
          <w:p>
            <w:pPr>
              <w:adjustRightInd w:val="0"/>
              <w:snapToGrid w:val="0"/>
              <w:spacing w:line="360" w:lineRule="auto"/>
              <w:jc w:val="left"/>
              <w:rPr>
                <w:sz w:val="18"/>
                <w:szCs w:val="18"/>
              </w:rPr>
            </w:pPr>
            <w:r>
              <w:rPr>
                <w:rFonts w:hint="eastAsia"/>
                <w:b/>
                <w:sz w:val="18"/>
                <w:szCs w:val="18"/>
              </w:rPr>
              <w:t>毕业要求2问题分析：</w:t>
            </w:r>
            <w:r>
              <w:rPr>
                <w:rFonts w:hint="eastAsia"/>
                <w:sz w:val="18"/>
                <w:szCs w:val="18"/>
              </w:rPr>
              <w:t>能够应用数学、自然科学和工程科学的基本原理，识别、表达、并通过文献研究分析复杂工程问题，以获得有效结论。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left"/>
              <w:rPr>
                <w:sz w:val="18"/>
                <w:szCs w:val="18"/>
              </w:rPr>
            </w:pPr>
            <w:r>
              <w:rPr>
                <w:rFonts w:hint="eastAsia"/>
                <w:sz w:val="18"/>
                <w:szCs w:val="18"/>
              </w:rPr>
              <w:t>2</w:t>
            </w:r>
          </w:p>
        </w:tc>
        <w:tc>
          <w:tcPr>
            <w:tcW w:w="2463" w:type="pct"/>
            <w:shd w:val="clear" w:color="auto" w:fill="auto"/>
            <w:vAlign w:val="center"/>
          </w:tcPr>
          <w:p>
            <w:pPr>
              <w:adjustRightInd w:val="0"/>
              <w:snapToGrid w:val="0"/>
              <w:spacing w:line="360" w:lineRule="auto"/>
              <w:jc w:val="left"/>
              <w:rPr>
                <w:sz w:val="18"/>
                <w:szCs w:val="18"/>
              </w:rPr>
            </w:pPr>
            <w:r>
              <w:rPr>
                <w:rFonts w:hint="eastAsia" w:hAnsi="宋体"/>
                <w:bCs/>
                <w:sz w:val="18"/>
                <w:szCs w:val="18"/>
              </w:rPr>
              <w:t>通过对物理实验现象的观测，分析和对物理量的测量，学习物理实验思想，原理及方法，加深对物理实验设计创新思维理解；</w:t>
            </w:r>
            <w:r>
              <w:rPr>
                <w:rFonts w:hint="eastAsia"/>
                <w:sz w:val="18"/>
                <w:szCs w:val="18"/>
              </w:rPr>
              <w:t>能够运用物理学理论对实验现象进行初步的分析判断，逐步学会提出问题，分析问题和解决问题的方法；</w:t>
            </w:r>
          </w:p>
        </w:tc>
        <w:tc>
          <w:tcPr>
            <w:tcW w:w="2192" w:type="pct"/>
            <w:shd w:val="clear" w:color="auto" w:fill="auto"/>
            <w:vAlign w:val="center"/>
          </w:tcPr>
          <w:p>
            <w:pPr>
              <w:pStyle w:val="19"/>
              <w:shd w:val="clear" w:color="auto" w:fill="FFFFFF"/>
              <w:autoSpaceDE w:val="0"/>
              <w:adjustRightInd w:val="0"/>
              <w:snapToGrid w:val="0"/>
              <w:spacing w:before="0" w:beforeAutospacing="0" w:after="0" w:afterAutospacing="0" w:line="360" w:lineRule="auto"/>
              <w:rPr>
                <w:rFonts w:ascii="Times New Roman" w:hAnsi="Times New Roman"/>
                <w:kern w:val="2"/>
                <w:sz w:val="18"/>
                <w:szCs w:val="18"/>
              </w:rPr>
            </w:pPr>
            <w:r>
              <w:rPr>
                <w:rFonts w:ascii="Times New Roman" w:hAnsi="Times New Roman"/>
                <w:b/>
                <w:kern w:val="2"/>
                <w:sz w:val="18"/>
                <w:szCs w:val="18"/>
              </w:rPr>
              <w:t>毕业要求4研究：</w:t>
            </w:r>
            <w:r>
              <w:rPr>
                <w:rFonts w:ascii="Times New Roman" w:hAnsi="Times New Roman"/>
                <w:kern w:val="2"/>
                <w:sz w:val="18"/>
                <w:szCs w:val="18"/>
              </w:rPr>
              <w:t>能够基于科学原理并采用科学方法对复杂工程问题进行研究，包括设计实验、分析与解释数据、并通过信息综合得到合理有效的结论。</w:t>
            </w:r>
          </w:p>
          <w:p>
            <w:pPr>
              <w:adjustRightInd w:val="0"/>
              <w:snapToGrid w:val="0"/>
              <w:spacing w:line="360" w:lineRule="auto"/>
              <w:jc w:val="left"/>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left"/>
              <w:rPr>
                <w:rFonts w:hAnsi="宋体"/>
                <w:bCs/>
                <w:sz w:val="18"/>
                <w:szCs w:val="18"/>
              </w:rPr>
            </w:pPr>
            <w:r>
              <w:rPr>
                <w:rFonts w:hint="eastAsia" w:hAnsi="宋体"/>
                <w:bCs/>
                <w:sz w:val="18"/>
                <w:szCs w:val="18"/>
              </w:rPr>
              <w:t>3</w:t>
            </w:r>
          </w:p>
        </w:tc>
        <w:tc>
          <w:tcPr>
            <w:tcW w:w="2463" w:type="pct"/>
            <w:shd w:val="clear" w:color="auto" w:fill="auto"/>
            <w:vAlign w:val="center"/>
          </w:tcPr>
          <w:p>
            <w:pPr>
              <w:adjustRightInd w:val="0"/>
              <w:snapToGrid w:val="0"/>
              <w:spacing w:line="360" w:lineRule="auto"/>
              <w:jc w:val="left"/>
              <w:rPr>
                <w:rFonts w:hAnsi="宋体"/>
                <w:bCs/>
                <w:sz w:val="18"/>
                <w:szCs w:val="18"/>
              </w:rPr>
            </w:pPr>
            <w:r>
              <w:rPr>
                <w:rFonts w:hint="eastAsia" w:hAnsi="宋体"/>
                <w:bCs/>
                <w:sz w:val="18"/>
                <w:szCs w:val="18"/>
              </w:rPr>
              <w:t>能够完成符合规范要求的设计性内容的实验，整理数据，撰写合格的实验报告。</w:t>
            </w:r>
          </w:p>
          <w:p>
            <w:pPr>
              <w:adjustRightInd w:val="0"/>
              <w:snapToGrid w:val="0"/>
              <w:spacing w:line="360" w:lineRule="auto"/>
              <w:jc w:val="left"/>
              <w:rPr>
                <w:rFonts w:hAnsi="宋体"/>
                <w:bCs/>
                <w:sz w:val="18"/>
                <w:szCs w:val="18"/>
              </w:rPr>
            </w:pPr>
          </w:p>
        </w:tc>
        <w:tc>
          <w:tcPr>
            <w:tcW w:w="2192" w:type="pct"/>
            <w:shd w:val="clear" w:color="auto" w:fill="auto"/>
            <w:vAlign w:val="center"/>
          </w:tcPr>
          <w:p>
            <w:pPr>
              <w:pStyle w:val="19"/>
              <w:shd w:val="clear" w:color="auto" w:fill="FFFFFF"/>
              <w:autoSpaceDE w:val="0"/>
              <w:adjustRightInd w:val="0"/>
              <w:snapToGrid w:val="0"/>
              <w:spacing w:before="0" w:beforeAutospacing="0" w:after="0" w:afterAutospacing="0" w:line="360" w:lineRule="auto"/>
              <w:rPr>
                <w:rFonts w:ascii="Times New Roman" w:hAnsi="Times New Roman"/>
                <w:kern w:val="2"/>
                <w:sz w:val="18"/>
                <w:szCs w:val="18"/>
              </w:rPr>
            </w:pPr>
            <w:r>
              <w:rPr>
                <w:rFonts w:ascii="Times New Roman" w:hAnsi="Times New Roman"/>
                <w:b/>
                <w:kern w:val="2"/>
                <w:sz w:val="18"/>
                <w:szCs w:val="18"/>
              </w:rPr>
              <w:t>毕业要求4研究：</w:t>
            </w:r>
            <w:r>
              <w:rPr>
                <w:rFonts w:ascii="Times New Roman" w:hAnsi="Times New Roman"/>
                <w:kern w:val="2"/>
                <w:sz w:val="18"/>
                <w:szCs w:val="18"/>
              </w:rPr>
              <w:t>能够基于科学原理并采用科学方法对复杂工程问题进行研究，包括设计实验、分析与解释数据、并通过信息综合得到合理有效的结论。</w:t>
            </w:r>
          </w:p>
        </w:tc>
      </w:tr>
    </w:tbl>
    <w:p>
      <w:pPr>
        <w:spacing w:line="360" w:lineRule="auto"/>
        <w:rPr>
          <w:szCs w:val="21"/>
        </w:rPr>
      </w:pPr>
    </w:p>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spacing w:line="360" w:lineRule="auto"/>
        <w:ind w:firstLine="420" w:firstLineChars="200"/>
        <w:rPr>
          <w:rFonts w:eastAsia="黑体"/>
          <w:szCs w:val="21"/>
        </w:rPr>
      </w:pPr>
      <w:r>
        <w:rPr>
          <w:rFonts w:hint="eastAsia" w:ascii="黑体" w:eastAsia="黑体"/>
          <w:szCs w:val="21"/>
        </w:rPr>
        <w:t>实验一  绪论（4学时）</w:t>
      </w:r>
    </w:p>
    <w:p>
      <w:pPr>
        <w:spacing w:line="360" w:lineRule="auto"/>
        <w:ind w:firstLine="420" w:firstLineChars="200"/>
        <w:rPr>
          <w:szCs w:val="21"/>
        </w:rPr>
      </w:pPr>
      <w:r>
        <w:rPr>
          <w:rFonts w:hint="eastAsia"/>
          <w:szCs w:val="21"/>
        </w:rPr>
        <w:t>内容：物理实验课的性质、目的和任务、误差的概念、有效数字的运算、处理实验数据的一些基本方法。</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1.了解物理实验课的性质、目的和任务；</w:t>
      </w:r>
    </w:p>
    <w:p>
      <w:pPr>
        <w:spacing w:line="360" w:lineRule="auto"/>
        <w:ind w:firstLine="420" w:firstLineChars="200"/>
        <w:rPr>
          <w:szCs w:val="21"/>
        </w:rPr>
      </w:pPr>
      <w:r>
        <w:rPr>
          <w:rFonts w:hint="eastAsia"/>
          <w:szCs w:val="21"/>
        </w:rPr>
        <w:t>2.理解不确定度的概念；</w:t>
      </w:r>
    </w:p>
    <w:p>
      <w:pPr>
        <w:spacing w:line="360" w:lineRule="auto"/>
        <w:ind w:firstLine="420" w:firstLineChars="200"/>
        <w:rPr>
          <w:szCs w:val="21"/>
        </w:rPr>
      </w:pPr>
      <w:r>
        <w:rPr>
          <w:rFonts w:hint="eastAsia"/>
          <w:szCs w:val="21"/>
        </w:rPr>
        <w:t>3.掌握直接测量量和间接测量量的不确定度的分析；</w:t>
      </w:r>
    </w:p>
    <w:p>
      <w:pPr>
        <w:spacing w:line="360" w:lineRule="auto"/>
        <w:ind w:firstLine="420" w:firstLineChars="200"/>
        <w:rPr>
          <w:szCs w:val="21"/>
        </w:rPr>
      </w:pPr>
      <w:r>
        <w:rPr>
          <w:rFonts w:hint="eastAsia"/>
          <w:szCs w:val="21"/>
        </w:rPr>
        <w:t>4.掌握有效数字的概念、运算及数据处理；</w:t>
      </w:r>
    </w:p>
    <w:p>
      <w:pPr>
        <w:spacing w:line="360" w:lineRule="auto"/>
        <w:ind w:firstLine="420" w:firstLineChars="200"/>
        <w:rPr>
          <w:szCs w:val="21"/>
        </w:rPr>
      </w:pPr>
      <w:r>
        <w:rPr>
          <w:rFonts w:hint="eastAsia"/>
          <w:szCs w:val="21"/>
        </w:rPr>
        <w:t>5.掌握作图法处理数据；</w:t>
      </w:r>
    </w:p>
    <w:p>
      <w:pPr>
        <w:spacing w:line="360" w:lineRule="auto"/>
        <w:ind w:firstLine="420" w:firstLineChars="200"/>
        <w:rPr>
          <w:szCs w:val="21"/>
        </w:rPr>
      </w:pPr>
      <w:r>
        <w:rPr>
          <w:rFonts w:hint="eastAsia"/>
          <w:szCs w:val="21"/>
        </w:rPr>
        <w:t>6.掌握最小二乘法和逐差法处理数据。</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、3。</w:t>
      </w:r>
    </w:p>
    <w:p>
      <w:pPr>
        <w:spacing w:line="360" w:lineRule="auto"/>
        <w:ind w:firstLine="420" w:firstLineChars="200"/>
        <w:rPr>
          <w:rFonts w:ascii="黑体" w:eastAsia="黑体"/>
          <w:szCs w:val="21"/>
        </w:rPr>
      </w:pPr>
      <w:r>
        <w:rPr>
          <w:rFonts w:hint="eastAsia" w:ascii="黑体" w:eastAsia="黑体"/>
          <w:szCs w:val="21"/>
        </w:rPr>
        <w:t xml:space="preserve">实验二  </w:t>
      </w:r>
      <w:r>
        <w:rPr>
          <w:rFonts w:hint="eastAsia" w:ascii="黑体" w:hAnsi="宋体" w:eastAsia="黑体"/>
          <w:szCs w:val="21"/>
        </w:rPr>
        <w:t>声速的测量（1学时）</w:t>
      </w:r>
    </w:p>
    <w:p>
      <w:pPr>
        <w:spacing w:line="360" w:lineRule="auto"/>
        <w:ind w:firstLine="420" w:firstLineChars="200"/>
        <w:rPr>
          <w:rFonts w:cs="宋体"/>
          <w:color w:val="333333"/>
          <w:kern w:val="0"/>
          <w:szCs w:val="21"/>
        </w:rPr>
      </w:pPr>
      <w:r>
        <w:rPr>
          <w:rFonts w:hint="eastAsia" w:cs="宋体"/>
          <w:color w:val="333333"/>
          <w:kern w:val="0"/>
          <w:szCs w:val="21"/>
        </w:rPr>
        <w:t>内容：</w:t>
      </w:r>
    </w:p>
    <w:p>
      <w:pPr>
        <w:spacing w:line="360" w:lineRule="auto"/>
        <w:ind w:firstLine="420" w:firstLineChars="200"/>
        <w:rPr>
          <w:rFonts w:hAnsi="宋体" w:cs="宋体"/>
          <w:color w:val="333333"/>
          <w:kern w:val="0"/>
          <w:szCs w:val="21"/>
        </w:rPr>
      </w:pPr>
      <w:r>
        <w:rPr>
          <w:rFonts w:cs="宋体"/>
          <w:color w:val="333333"/>
          <w:kern w:val="0"/>
          <w:szCs w:val="21"/>
        </w:rPr>
        <w:t>1</w:t>
      </w:r>
      <w:r>
        <w:rPr>
          <w:rFonts w:hint="eastAsia" w:hAnsi="宋体" w:cs="宋体"/>
          <w:color w:val="333333"/>
          <w:kern w:val="0"/>
          <w:szCs w:val="21"/>
        </w:rPr>
        <w:t>.</w:t>
      </w:r>
      <w:r>
        <w:rPr>
          <w:rFonts w:hAnsi="宋体" w:cs="宋体"/>
          <w:color w:val="333333"/>
          <w:kern w:val="0"/>
          <w:szCs w:val="21"/>
        </w:rPr>
        <w:t>用振幅比较法测定声波波长；</w:t>
      </w:r>
    </w:p>
    <w:p>
      <w:pPr>
        <w:spacing w:line="360" w:lineRule="auto"/>
        <w:ind w:firstLine="420" w:firstLineChars="200"/>
        <w:rPr>
          <w:rFonts w:hAnsi="宋体" w:cs="宋体"/>
          <w:color w:val="333333"/>
          <w:kern w:val="0"/>
          <w:szCs w:val="21"/>
        </w:rPr>
      </w:pPr>
      <w:r>
        <w:rPr>
          <w:rFonts w:cs="宋体"/>
          <w:color w:val="333333"/>
          <w:kern w:val="0"/>
          <w:szCs w:val="21"/>
        </w:rPr>
        <w:t>2</w:t>
      </w:r>
      <w:r>
        <w:rPr>
          <w:rFonts w:hint="eastAsia" w:hAnsi="宋体" w:cs="宋体"/>
          <w:color w:val="333333"/>
          <w:kern w:val="0"/>
          <w:szCs w:val="21"/>
        </w:rPr>
        <w:t>.</w:t>
      </w:r>
      <w:r>
        <w:rPr>
          <w:rFonts w:hAnsi="宋体" w:cs="宋体"/>
          <w:color w:val="333333"/>
          <w:kern w:val="0"/>
          <w:szCs w:val="21"/>
        </w:rPr>
        <w:t>相位比较法测定声波波长；</w:t>
      </w:r>
    </w:p>
    <w:p>
      <w:pPr>
        <w:spacing w:line="360" w:lineRule="auto"/>
        <w:ind w:firstLine="420" w:firstLineChars="200"/>
        <w:rPr>
          <w:szCs w:val="21"/>
        </w:rPr>
      </w:pPr>
      <w:r>
        <w:rPr>
          <w:rFonts w:hint="eastAsia" w:hAnsi="宋体" w:cs="宋体"/>
          <w:color w:val="333333"/>
          <w:kern w:val="0"/>
          <w:szCs w:val="21"/>
        </w:rPr>
        <w:t>3.</w:t>
      </w:r>
      <w:r>
        <w:rPr>
          <w:rFonts w:hint="eastAsia"/>
          <w:szCs w:val="21"/>
        </w:rPr>
        <w:t>示波器的使用、逐差法处理数据</w:t>
      </w:r>
      <w:r>
        <w:rPr>
          <w:rFonts w:hint="eastAsia" w:hAnsi="宋体" w:cs="宋体"/>
          <w:color w:val="333333"/>
          <w:kern w:val="0"/>
          <w:szCs w:val="21"/>
        </w:rPr>
        <w:t>。</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w:t>
      </w:r>
      <w:r>
        <w:rPr>
          <w:rFonts w:hAnsi="宋体" w:cs="宋体"/>
          <w:color w:val="333333"/>
          <w:kern w:val="0"/>
          <w:szCs w:val="21"/>
        </w:rPr>
        <w:t>测定声波在空气中传播的速度，并了解该速度与空气温度的关系</w:t>
      </w:r>
      <w:r>
        <w:rPr>
          <w:rFonts w:hint="eastAsia" w:hAnsi="宋体" w:cs="宋体"/>
          <w:color w:val="333333"/>
          <w:kern w:val="0"/>
          <w:szCs w:val="21"/>
        </w:rPr>
        <w:t>；</w:t>
      </w:r>
    </w:p>
    <w:p>
      <w:pPr>
        <w:spacing w:line="360" w:lineRule="auto"/>
        <w:ind w:firstLine="420" w:firstLineChars="200"/>
        <w:rPr>
          <w:rFonts w:hAnsi="宋体" w:cs="宋体"/>
          <w:color w:val="333333"/>
          <w:kern w:val="0"/>
          <w:szCs w:val="21"/>
        </w:rPr>
      </w:pPr>
      <w:r>
        <w:rPr>
          <w:rFonts w:cs="宋体"/>
          <w:color w:val="333333"/>
          <w:kern w:val="0"/>
          <w:szCs w:val="21"/>
        </w:rPr>
        <w:t>2</w:t>
      </w:r>
      <w:r>
        <w:rPr>
          <w:rFonts w:hint="eastAsia" w:hAnsi="宋体" w:cs="宋体"/>
          <w:color w:val="333333"/>
          <w:kern w:val="0"/>
          <w:szCs w:val="21"/>
        </w:rPr>
        <w:t>.</w:t>
      </w:r>
      <w:r>
        <w:rPr>
          <w:rFonts w:hAnsi="宋体" w:cs="宋体"/>
          <w:color w:val="333333"/>
          <w:kern w:val="0"/>
          <w:szCs w:val="21"/>
        </w:rPr>
        <w:t>验证声速与声源的频率无关</w:t>
      </w:r>
      <w:r>
        <w:rPr>
          <w:rFonts w:hint="eastAsia" w:hAnsi="宋体" w:cs="宋体"/>
          <w:color w:val="333333"/>
          <w:kern w:val="0"/>
          <w:szCs w:val="21"/>
        </w:rPr>
        <w:t>；</w:t>
      </w:r>
    </w:p>
    <w:p>
      <w:pPr>
        <w:adjustRightInd w:val="0"/>
        <w:spacing w:line="360" w:lineRule="auto"/>
        <w:ind w:firstLine="420" w:firstLineChars="200"/>
        <w:rPr>
          <w:rFonts w:hAnsi="宋体" w:cs="宋体"/>
          <w:color w:val="333333"/>
          <w:kern w:val="0"/>
          <w:szCs w:val="21"/>
        </w:rPr>
      </w:pPr>
      <w:r>
        <w:rPr>
          <w:rFonts w:hint="eastAsia" w:hAnsi="宋体" w:cs="宋体"/>
          <w:color w:val="333333"/>
          <w:kern w:val="0"/>
          <w:szCs w:val="21"/>
        </w:rPr>
        <w:t>课后应要求学生完成相关内容的检索和论述。</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、2。</w:t>
      </w:r>
    </w:p>
    <w:p>
      <w:pPr>
        <w:spacing w:line="360" w:lineRule="auto"/>
        <w:ind w:firstLine="315" w:firstLineChars="150"/>
        <w:rPr>
          <w:rFonts w:ascii="黑体" w:eastAsia="黑体"/>
          <w:szCs w:val="21"/>
        </w:rPr>
      </w:pPr>
      <w:r>
        <w:rPr>
          <w:rFonts w:hint="eastAsia" w:ascii="黑体" w:eastAsia="黑体"/>
          <w:szCs w:val="21"/>
        </w:rPr>
        <w:t xml:space="preserve">实验三  </w:t>
      </w:r>
      <w:r>
        <w:rPr>
          <w:rFonts w:hint="eastAsia" w:ascii="黑体" w:hAnsi="宋体" w:eastAsia="黑体"/>
          <w:szCs w:val="21"/>
        </w:rPr>
        <w:t>转动惯量的测量(三线摆) （1学时）</w:t>
      </w:r>
    </w:p>
    <w:p>
      <w:pPr>
        <w:spacing w:line="360" w:lineRule="auto"/>
        <w:ind w:firstLine="420" w:firstLineChars="200"/>
        <w:rPr>
          <w:szCs w:val="21"/>
        </w:rPr>
      </w:pPr>
      <w:r>
        <w:rPr>
          <w:rFonts w:hint="eastAsia" w:cs="宋体"/>
          <w:color w:val="333333"/>
          <w:kern w:val="0"/>
          <w:szCs w:val="21"/>
        </w:rPr>
        <w:t>内容：学习用三线摆测定物体的</w:t>
      </w:r>
      <w:r>
        <w:rPr>
          <w:rFonts w:hint="eastAsia"/>
          <w:szCs w:val="21"/>
        </w:rPr>
        <w:t>转动惯量，平行轴定理的验证，用不确定度的概念对数据进行处理。</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1.掌握用三线摆测量转动惯量的原理和方法</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int="eastAsia" w:hAnsi="宋体" w:cs="宋体"/>
          <w:kern w:val="0"/>
          <w:szCs w:val="21"/>
        </w:rPr>
        <w:t>.加深对转动惯量物理概念的理解；</w:t>
      </w:r>
    </w:p>
    <w:p>
      <w:pPr>
        <w:spacing w:line="360" w:lineRule="auto"/>
        <w:ind w:firstLine="420" w:firstLineChars="200"/>
        <w:rPr>
          <w:rFonts w:hAnsi="宋体" w:cs="宋体"/>
          <w:kern w:val="0"/>
          <w:szCs w:val="21"/>
        </w:rPr>
      </w:pPr>
      <w:r>
        <w:rPr>
          <w:rFonts w:hint="eastAsia" w:hAnsi="宋体" w:cs="宋体"/>
          <w:kern w:val="0"/>
          <w:szCs w:val="21"/>
        </w:rPr>
        <w:t>3.进一步理解不确定度处理数据的方法。</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、2。</w:t>
      </w:r>
    </w:p>
    <w:p>
      <w:pPr>
        <w:spacing w:line="360" w:lineRule="auto"/>
        <w:ind w:firstLine="420" w:firstLineChars="200"/>
        <w:rPr>
          <w:rFonts w:ascii="黑体" w:eastAsia="黑体"/>
          <w:szCs w:val="21"/>
        </w:rPr>
      </w:pPr>
      <w:r>
        <w:rPr>
          <w:rFonts w:hint="eastAsia" w:ascii="黑体" w:eastAsia="黑体"/>
          <w:szCs w:val="21"/>
        </w:rPr>
        <w:t>实验四  模拟</w:t>
      </w:r>
      <w:r>
        <w:rPr>
          <w:rFonts w:hint="eastAsia" w:ascii="黑体" w:hAnsi="宋体" w:eastAsia="黑体"/>
          <w:spacing w:val="7"/>
          <w:kern w:val="0"/>
          <w:szCs w:val="21"/>
        </w:rPr>
        <w:t>示波器基础实验</w:t>
      </w:r>
      <w:r>
        <w:rPr>
          <w:rFonts w:hint="eastAsia" w:ascii="黑体" w:hAnsi="宋体" w:eastAsia="黑体"/>
          <w:szCs w:val="21"/>
        </w:rPr>
        <w:t>（1学时）</w:t>
      </w:r>
    </w:p>
    <w:p>
      <w:pPr>
        <w:spacing w:line="360" w:lineRule="auto"/>
        <w:ind w:firstLine="420" w:firstLineChars="200"/>
        <w:rPr>
          <w:szCs w:val="21"/>
        </w:rPr>
      </w:pPr>
      <w:r>
        <w:rPr>
          <w:rFonts w:hint="eastAsia" w:cs="宋体"/>
          <w:color w:val="333333"/>
          <w:kern w:val="0"/>
          <w:szCs w:val="21"/>
        </w:rPr>
        <w:t>内容：</w:t>
      </w:r>
      <w:r>
        <w:rPr>
          <w:rFonts w:hint="eastAsia"/>
          <w:szCs w:val="21"/>
        </w:rPr>
        <w:t>用模拟示波器观测正弦交流电信号的波形、信号的电压、频率，用李萨如图形测信号的频率及信号发生器的使用。</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left="420"/>
        <w:rPr>
          <w:rFonts w:cs="宋体"/>
          <w:color w:val="333333"/>
          <w:kern w:val="0"/>
          <w:szCs w:val="21"/>
        </w:rPr>
      </w:pPr>
      <w:r>
        <w:rPr>
          <w:rFonts w:hAnsi="宋体" w:cs="宋体"/>
          <w:color w:val="333333"/>
          <w:kern w:val="0"/>
          <w:szCs w:val="21"/>
        </w:rPr>
        <w:t>示波器的使用步骤，反复练习迅速寻找扫描线并调至清晰；</w:t>
      </w:r>
    </w:p>
    <w:p>
      <w:pPr>
        <w:spacing w:line="360" w:lineRule="auto"/>
        <w:ind w:firstLine="420" w:firstLineChars="200"/>
        <w:rPr>
          <w:rFonts w:hAnsi="宋体" w:cs="宋体"/>
          <w:color w:val="333333"/>
          <w:kern w:val="0"/>
          <w:szCs w:val="21"/>
        </w:rPr>
      </w:pPr>
      <w:r>
        <w:rPr>
          <w:rFonts w:hint="eastAsia" w:hAnsi="宋体" w:cs="宋体"/>
          <w:color w:val="333333"/>
          <w:kern w:val="0"/>
          <w:szCs w:val="21"/>
        </w:rPr>
        <w:t>1.</w:t>
      </w:r>
      <w:r>
        <w:rPr>
          <w:rFonts w:hAnsi="宋体" w:cs="宋体"/>
          <w:color w:val="333333"/>
          <w:kern w:val="0"/>
          <w:szCs w:val="21"/>
        </w:rPr>
        <w:t>练习迅速调出稳定的波形；</w:t>
      </w:r>
    </w:p>
    <w:p>
      <w:pPr>
        <w:spacing w:line="360" w:lineRule="auto"/>
        <w:ind w:firstLine="420" w:firstLineChars="200"/>
        <w:rPr>
          <w:szCs w:val="21"/>
        </w:rPr>
      </w:pPr>
      <w:r>
        <w:rPr>
          <w:rFonts w:hint="eastAsia" w:hAnsi="宋体" w:cs="宋体"/>
          <w:color w:val="333333"/>
          <w:kern w:val="0"/>
          <w:szCs w:val="21"/>
        </w:rPr>
        <w:t>2.</w:t>
      </w:r>
      <w:r>
        <w:rPr>
          <w:rFonts w:hAnsi="宋体" w:cs="宋体"/>
          <w:color w:val="333333"/>
          <w:kern w:val="0"/>
          <w:szCs w:val="21"/>
        </w:rPr>
        <w:t>测量被测信号幅度；</w:t>
      </w:r>
    </w:p>
    <w:p>
      <w:pPr>
        <w:spacing w:line="360" w:lineRule="auto"/>
        <w:ind w:firstLine="420" w:firstLineChars="200"/>
        <w:rPr>
          <w:szCs w:val="21"/>
        </w:rPr>
      </w:pPr>
      <w:r>
        <w:rPr>
          <w:rFonts w:hint="eastAsia"/>
          <w:szCs w:val="21"/>
        </w:rPr>
        <w:t>3.</w:t>
      </w:r>
      <w:r>
        <w:rPr>
          <w:rFonts w:hAnsi="宋体" w:cs="宋体"/>
          <w:color w:val="333333"/>
          <w:kern w:val="0"/>
          <w:szCs w:val="21"/>
        </w:rPr>
        <w:t>测量交流信号频率；</w:t>
      </w:r>
    </w:p>
    <w:p>
      <w:pPr>
        <w:spacing w:line="360" w:lineRule="auto"/>
        <w:ind w:firstLine="420" w:firstLineChars="200"/>
        <w:rPr>
          <w:szCs w:val="21"/>
        </w:rPr>
      </w:pPr>
      <w:r>
        <w:rPr>
          <w:rFonts w:hint="eastAsia" w:hAnsi="宋体" w:cs="宋体"/>
          <w:color w:val="333333"/>
          <w:kern w:val="0"/>
          <w:szCs w:val="21"/>
        </w:rPr>
        <w:t>4.</w:t>
      </w:r>
      <w:r>
        <w:rPr>
          <w:rFonts w:hAnsi="宋体" w:cs="宋体"/>
          <w:color w:val="333333"/>
          <w:kern w:val="0"/>
          <w:szCs w:val="21"/>
        </w:rPr>
        <w:t>观测李萨如图形；</w:t>
      </w:r>
    </w:p>
    <w:p>
      <w:pPr>
        <w:spacing w:line="360" w:lineRule="auto"/>
        <w:ind w:firstLine="420" w:firstLineChars="200"/>
        <w:rPr>
          <w:rFonts w:hAnsi="宋体" w:cs="宋体"/>
          <w:color w:val="333333"/>
          <w:kern w:val="0"/>
          <w:szCs w:val="21"/>
        </w:rPr>
      </w:pPr>
      <w:r>
        <w:rPr>
          <w:rFonts w:hint="eastAsia" w:hAnsi="宋体" w:cs="宋体"/>
          <w:color w:val="333333"/>
          <w:kern w:val="0"/>
          <w:szCs w:val="21"/>
        </w:rPr>
        <w:t>5.</w:t>
      </w:r>
      <w:r>
        <w:rPr>
          <w:rFonts w:hAnsi="宋体" w:cs="宋体"/>
          <w:color w:val="333333"/>
          <w:kern w:val="0"/>
          <w:szCs w:val="21"/>
        </w:rPr>
        <w:t>测相位差。</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实验五  用</w:t>
      </w:r>
      <w:r>
        <w:rPr>
          <w:rFonts w:hint="eastAsia" w:ascii="黑体" w:hAnsi="宋体" w:eastAsia="黑体"/>
          <w:szCs w:val="21"/>
        </w:rPr>
        <w:t>惠斯通电桥测电阻（1学时）</w:t>
      </w:r>
    </w:p>
    <w:p>
      <w:pPr>
        <w:spacing w:line="360" w:lineRule="auto"/>
        <w:ind w:firstLine="420" w:firstLineChars="200"/>
        <w:rPr>
          <w:szCs w:val="21"/>
        </w:rPr>
      </w:pPr>
      <w:r>
        <w:rPr>
          <w:rFonts w:hint="eastAsia" w:cs="宋体"/>
          <w:color w:val="333333"/>
          <w:kern w:val="0"/>
          <w:szCs w:val="21"/>
        </w:rPr>
        <w:t>内容：学习惠斯通</w:t>
      </w:r>
      <w:r>
        <w:rPr>
          <w:rFonts w:hint="eastAsia"/>
          <w:szCs w:val="21"/>
        </w:rPr>
        <w:t>电桥的工作原理，了解测电阻的基本方法及平衡电桥的其它应用。</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1.了解惠斯通电桥的基本原理及特点</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int="eastAsia" w:hAnsi="宋体" w:cs="宋体"/>
          <w:kern w:val="0"/>
          <w:szCs w:val="21"/>
        </w:rPr>
        <w:t>.掌握用惠斯通电桥测量电阻的方法；</w:t>
      </w:r>
    </w:p>
    <w:p>
      <w:pPr>
        <w:adjustRightInd w:val="0"/>
        <w:spacing w:line="360" w:lineRule="auto"/>
        <w:ind w:firstLine="420" w:firstLineChars="200"/>
        <w:rPr>
          <w:rFonts w:hAnsi="宋体" w:cs="宋体"/>
          <w:kern w:val="0"/>
          <w:szCs w:val="21"/>
        </w:rPr>
      </w:pPr>
      <w:r>
        <w:rPr>
          <w:rFonts w:hint="eastAsia" w:hAnsi="宋体" w:cs="宋体"/>
          <w:kern w:val="0"/>
          <w:szCs w:val="21"/>
        </w:rPr>
        <w:t>3.了解电桥的灵敏度。</w:t>
      </w:r>
    </w:p>
    <w:p>
      <w:pPr>
        <w:adjustRightInd w:val="0"/>
        <w:spacing w:line="360" w:lineRule="auto"/>
        <w:ind w:firstLine="420" w:firstLineChars="200"/>
        <w:rPr>
          <w:szCs w:val="21"/>
        </w:rPr>
      </w:pPr>
      <w:r>
        <w:rPr>
          <w:rFonts w:hint="eastAsia"/>
          <w:szCs w:val="21"/>
        </w:rPr>
        <w:t>本实验内容支撑课程目标 1、</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实验六  改装</w:t>
      </w:r>
      <w:r>
        <w:rPr>
          <w:rFonts w:hint="eastAsia" w:ascii="黑体" w:hAnsi="宋体" w:eastAsia="黑体"/>
          <w:szCs w:val="21"/>
        </w:rPr>
        <w:t>电表及其校准（1学时）</w:t>
      </w:r>
    </w:p>
    <w:p>
      <w:pPr>
        <w:spacing w:line="360" w:lineRule="auto"/>
        <w:ind w:firstLine="420" w:firstLineChars="200"/>
        <w:rPr>
          <w:szCs w:val="21"/>
        </w:rPr>
      </w:pPr>
      <w:r>
        <w:rPr>
          <w:rFonts w:hint="eastAsia" w:cs="宋体"/>
          <w:color w:val="333333"/>
          <w:kern w:val="0"/>
          <w:szCs w:val="21"/>
        </w:rPr>
        <w:t>内容：</w:t>
      </w:r>
      <w:r>
        <w:rPr>
          <w:rFonts w:hint="eastAsia" w:cs="宋体"/>
          <w:kern w:val="0"/>
          <w:szCs w:val="21"/>
        </w:rPr>
        <w:t>将微安表改装成毫安表和伏特表并对其校正，了解分压电路和分流电路</w:t>
      </w:r>
      <w:r>
        <w:rPr>
          <w:rFonts w:hint="eastAsia"/>
          <w:szCs w:val="21"/>
        </w:rPr>
        <w:t>。</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1.了解电流表和电压表的构造原理及规格</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Ansi="宋体" w:cs="宋体"/>
          <w:kern w:val="0"/>
          <w:szCs w:val="21"/>
        </w:rPr>
        <w:t>.</w:t>
      </w:r>
      <w:r>
        <w:rPr>
          <w:rFonts w:hint="eastAsia" w:hAnsi="宋体" w:cs="宋体"/>
          <w:kern w:val="0"/>
          <w:szCs w:val="21"/>
        </w:rPr>
        <w:t>学会用比较法校准电表；</w:t>
      </w:r>
    </w:p>
    <w:p>
      <w:pPr>
        <w:spacing w:line="360" w:lineRule="auto"/>
        <w:ind w:firstLine="420" w:firstLineChars="200"/>
        <w:rPr>
          <w:rFonts w:hAnsi="宋体" w:cs="宋体"/>
          <w:kern w:val="0"/>
          <w:szCs w:val="21"/>
        </w:rPr>
      </w:pPr>
      <w:r>
        <w:rPr>
          <w:rFonts w:hint="eastAsia" w:hAnsi="宋体" w:cs="宋体"/>
          <w:kern w:val="0"/>
          <w:szCs w:val="21"/>
        </w:rPr>
        <w:t>3.学习掌握按回路接线法。</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实验七  用箱式</w:t>
      </w:r>
      <w:r>
        <w:rPr>
          <w:rFonts w:hint="eastAsia" w:ascii="黑体" w:hAnsi="宋体" w:eastAsia="黑体"/>
          <w:szCs w:val="21"/>
        </w:rPr>
        <w:t>电位差计测量热电偶的温差电动势（1学时）</w:t>
      </w:r>
    </w:p>
    <w:p>
      <w:pPr>
        <w:spacing w:line="360" w:lineRule="auto"/>
        <w:ind w:firstLine="420" w:firstLineChars="200"/>
        <w:rPr>
          <w:rFonts w:hAnsi="宋体" w:cs="宋体"/>
          <w:kern w:val="0"/>
          <w:szCs w:val="21"/>
        </w:rPr>
      </w:pPr>
      <w:r>
        <w:rPr>
          <w:rFonts w:hint="eastAsia" w:cs="宋体"/>
          <w:color w:val="333333"/>
          <w:kern w:val="0"/>
          <w:szCs w:val="21"/>
        </w:rPr>
        <w:t>内容：学习补偿法在实验中的应用，</w:t>
      </w:r>
      <w:r>
        <w:rPr>
          <w:rFonts w:cs="宋体"/>
          <w:kern w:val="0"/>
          <w:szCs w:val="21"/>
        </w:rPr>
        <w:t>1</w:t>
      </w:r>
      <w:r>
        <w:rPr>
          <w:rFonts w:hint="eastAsia" w:hAnsi="宋体" w:cs="宋体"/>
          <w:kern w:val="0"/>
          <w:szCs w:val="21"/>
        </w:rPr>
        <w:t>.</w:t>
      </w:r>
      <w:r>
        <w:rPr>
          <w:rFonts w:hAnsi="宋体" w:cs="宋体"/>
          <w:kern w:val="0"/>
          <w:szCs w:val="21"/>
        </w:rPr>
        <w:t>校准工作电流；</w:t>
      </w:r>
      <w:r>
        <w:rPr>
          <w:rFonts w:cs="宋体"/>
          <w:kern w:val="0"/>
          <w:szCs w:val="21"/>
        </w:rPr>
        <w:t>2</w:t>
      </w:r>
      <w:r>
        <w:rPr>
          <w:rFonts w:hint="eastAsia" w:hAnsi="宋体" w:cs="宋体"/>
          <w:kern w:val="0"/>
          <w:szCs w:val="21"/>
        </w:rPr>
        <w:t>.测量冷热端的温度3.测量温差电动势。</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1.掌握直流电位差计的工作原理及使用方法</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Ansi="宋体" w:cs="宋体"/>
          <w:kern w:val="0"/>
          <w:szCs w:val="21"/>
        </w:rPr>
        <w:t>.</w:t>
      </w:r>
      <w:r>
        <w:rPr>
          <w:rFonts w:hint="eastAsia" w:hAnsi="宋体" w:cs="宋体"/>
          <w:kern w:val="0"/>
          <w:szCs w:val="21"/>
        </w:rPr>
        <w:t>了解热电偶的测温原理和校准原理；</w:t>
      </w:r>
    </w:p>
    <w:p>
      <w:pPr>
        <w:spacing w:line="360" w:lineRule="auto"/>
        <w:ind w:firstLine="420" w:firstLineChars="200"/>
        <w:rPr>
          <w:rFonts w:hAnsi="宋体" w:cs="宋体"/>
          <w:kern w:val="0"/>
          <w:szCs w:val="21"/>
        </w:rPr>
      </w:pPr>
      <w:r>
        <w:rPr>
          <w:rFonts w:hint="eastAsia" w:hAnsi="宋体" w:cs="宋体"/>
          <w:kern w:val="0"/>
          <w:szCs w:val="21"/>
        </w:rPr>
        <w:t>3.用图法计算温差电系数。</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实验八  霍尔效应及其应用</w:t>
      </w:r>
      <w:r>
        <w:rPr>
          <w:rFonts w:hint="eastAsia" w:ascii="黑体" w:hAnsi="宋体" w:eastAsia="黑体"/>
          <w:szCs w:val="21"/>
        </w:rPr>
        <w:t>（1学时）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了解霍尔效应的物理机制及用霍尔元件测磁场分布的方法</w:t>
      </w:r>
    </w:p>
    <w:p>
      <w:pPr>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1.了解霍尔效应实验原理及有关霍尔器件对材料的要求</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Ansi="宋体" w:cs="宋体"/>
          <w:kern w:val="0"/>
          <w:szCs w:val="21"/>
        </w:rPr>
        <w:t>.</w:t>
      </w:r>
      <w:r>
        <w:rPr>
          <w:rFonts w:hint="eastAsia" w:hAnsi="宋体" w:cs="宋体"/>
          <w:kern w:val="0"/>
          <w:szCs w:val="21"/>
        </w:rPr>
        <w:t>学习用对称测量法消除副效应的影响；</w:t>
      </w:r>
    </w:p>
    <w:p>
      <w:pPr>
        <w:spacing w:line="360" w:lineRule="auto"/>
        <w:ind w:firstLine="420" w:firstLineChars="200"/>
        <w:rPr>
          <w:rFonts w:hAnsi="宋体" w:cs="宋体"/>
          <w:kern w:val="0"/>
          <w:szCs w:val="21"/>
        </w:rPr>
      </w:pPr>
      <w:r>
        <w:rPr>
          <w:rFonts w:hint="eastAsia" w:hAnsi="宋体" w:cs="宋体"/>
          <w:kern w:val="0"/>
          <w:szCs w:val="21"/>
        </w:rPr>
        <w:t>3.确定式样的导电类型.载流子浓度及迁移率。</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实验九  用数字式冲击电流计测互感</w:t>
      </w:r>
      <w:r>
        <w:rPr>
          <w:rFonts w:hint="eastAsia" w:ascii="黑体" w:hAnsi="宋体" w:eastAsia="黑体"/>
          <w:szCs w:val="21"/>
        </w:rPr>
        <w:t>（1学时）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了解电子式冲击电流计的工作原理及使用方法，利用冲击电流计测互感、了解比较法在物理实验中的应用。</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color w:val="333333"/>
          <w:kern w:val="0"/>
          <w:szCs w:val="21"/>
        </w:rPr>
      </w:pPr>
      <w:r>
        <w:rPr>
          <w:rFonts w:hint="eastAsia"/>
          <w:szCs w:val="21"/>
        </w:rPr>
        <w:t>1、了解电子式冲击电流计的工作原理及使用方法</w:t>
      </w:r>
      <w:r>
        <w:rPr>
          <w:rFonts w:hint="eastAsia" w:hAnsi="宋体" w:cs="宋体"/>
          <w:color w:val="333333"/>
          <w:kern w:val="0"/>
          <w:szCs w:val="21"/>
        </w:rPr>
        <w:t>；</w:t>
      </w:r>
    </w:p>
    <w:p>
      <w:pPr>
        <w:spacing w:line="360" w:lineRule="auto"/>
        <w:ind w:firstLine="420" w:firstLineChars="200"/>
        <w:rPr>
          <w:rFonts w:hAnsi="宋体" w:cs="宋体"/>
          <w:kern w:val="0"/>
          <w:szCs w:val="21"/>
        </w:rPr>
      </w:pPr>
      <w:r>
        <w:rPr>
          <w:rFonts w:cs="宋体"/>
          <w:kern w:val="0"/>
          <w:szCs w:val="21"/>
        </w:rPr>
        <w:t>2</w:t>
      </w:r>
      <w:r>
        <w:rPr>
          <w:rFonts w:hAnsi="宋体" w:cs="宋体"/>
          <w:kern w:val="0"/>
          <w:szCs w:val="21"/>
        </w:rPr>
        <w:t>、</w:t>
      </w:r>
      <w:r>
        <w:rPr>
          <w:rFonts w:hint="eastAsia" w:hAnsi="宋体" w:cs="宋体"/>
          <w:kern w:val="0"/>
          <w:szCs w:val="21"/>
        </w:rPr>
        <w:t>掌握利用冲击电流计测互感系数的方法。</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、3。</w:t>
      </w:r>
    </w:p>
    <w:p>
      <w:pPr>
        <w:spacing w:line="360" w:lineRule="auto"/>
        <w:ind w:firstLine="315" w:firstLineChars="150"/>
        <w:rPr>
          <w:rFonts w:ascii="黑体" w:eastAsia="黑体"/>
          <w:szCs w:val="21"/>
        </w:rPr>
      </w:pPr>
      <w:r>
        <w:rPr>
          <w:rFonts w:hint="eastAsia" w:ascii="黑体" w:eastAsia="黑体"/>
          <w:szCs w:val="21"/>
        </w:rPr>
        <w:t>实验十  空气比热容比的测量</w:t>
      </w:r>
      <w:r>
        <w:rPr>
          <w:rFonts w:hint="eastAsia" w:ascii="黑体" w:hAnsi="宋体" w:eastAsia="黑体"/>
          <w:szCs w:val="21"/>
        </w:rPr>
        <w:t>（1学时）</w:t>
      </w:r>
    </w:p>
    <w:p>
      <w:pPr>
        <w:spacing w:line="360" w:lineRule="auto"/>
        <w:ind w:firstLine="420" w:firstLineChars="200"/>
        <w:rPr>
          <w:rFonts w:ascii="宋体" w:hAnsi="宋体"/>
          <w:szCs w:val="21"/>
        </w:rPr>
      </w:pPr>
      <w:r>
        <w:rPr>
          <w:rFonts w:hint="eastAsia" w:cs="宋体"/>
          <w:color w:val="333333"/>
          <w:kern w:val="0"/>
          <w:szCs w:val="21"/>
        </w:rPr>
        <w:t>内容：</w:t>
      </w:r>
      <w:r>
        <w:rPr>
          <w:rFonts w:hint="eastAsia" w:ascii="宋体" w:hAnsi="宋体"/>
          <w:szCs w:val="21"/>
        </w:rPr>
        <w:t>通过观察热力学现象，理解测定空气分子的定压比热容与定容比热容比的原理和方法。</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1.观测热力学过程中状态变化及基本物理规律。</w:t>
      </w:r>
      <w:r>
        <w:rPr>
          <w:szCs w:val="21"/>
        </w:rPr>
        <w:t> </w:t>
      </w:r>
    </w:p>
    <w:p>
      <w:pPr>
        <w:spacing w:line="360" w:lineRule="auto"/>
        <w:ind w:firstLine="420" w:firstLineChars="200"/>
        <w:rPr>
          <w:szCs w:val="21"/>
        </w:rPr>
      </w:pPr>
      <w:r>
        <w:rPr>
          <w:szCs w:val="21"/>
        </w:rPr>
        <w:t>2</w:t>
      </w:r>
      <w:r>
        <w:rPr>
          <w:rFonts w:hint="eastAsia"/>
          <w:szCs w:val="21"/>
        </w:rPr>
        <w:t>.测定空气分子的定压比热容与定容比热容之比。</w:t>
      </w:r>
    </w:p>
    <w:p>
      <w:pPr>
        <w:adjustRightInd w:val="0"/>
        <w:spacing w:line="360" w:lineRule="auto"/>
        <w:ind w:firstLine="420" w:firstLineChars="200"/>
        <w:rPr>
          <w:szCs w:val="21"/>
        </w:rPr>
      </w:pPr>
      <w:r>
        <w:rPr>
          <w:rFonts w:hint="eastAsia"/>
          <w:szCs w:val="21"/>
        </w:rPr>
        <w:t xml:space="preserve">本实验内容支撑课程目标 </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 xml:space="preserve">实验十一  </w:t>
      </w:r>
      <w:r>
        <w:rPr>
          <w:rFonts w:ascii="黑体" w:eastAsia="黑体"/>
          <w:szCs w:val="21"/>
        </w:rPr>
        <w:t>拉伸法测量钢丝的弹性模量</w:t>
      </w:r>
      <w:r>
        <w:rPr>
          <w:rFonts w:hint="eastAsia" w:ascii="黑体" w:hAnsi="宋体" w:eastAsia="黑体"/>
          <w:szCs w:val="21"/>
        </w:rPr>
        <w:t>（1学时）</w:t>
      </w:r>
    </w:p>
    <w:p>
      <w:pPr>
        <w:spacing w:line="360" w:lineRule="auto"/>
        <w:ind w:left="420" w:leftChars="200"/>
        <w:rPr>
          <w:szCs w:val="21"/>
        </w:rPr>
      </w:pPr>
      <w:r>
        <w:rPr>
          <w:rFonts w:hint="eastAsia"/>
          <w:szCs w:val="21"/>
        </w:rPr>
        <w:t>内容：</w:t>
      </w:r>
      <w:r>
        <w:rPr>
          <w:szCs w:val="21"/>
        </w:rPr>
        <w:t>学习用拉伸法测定钢丝的杨氏模量；</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w:t>
      </w:r>
      <w:r>
        <w:rPr>
          <w:szCs w:val="21"/>
        </w:rPr>
        <w:t>掌握光杠杆测量的微小变化的原理；</w:t>
      </w:r>
      <w:r>
        <w:rPr>
          <w:szCs w:val="21"/>
        </w:rPr>
        <w:br w:type="textWrapping"/>
      </w:r>
      <w:r>
        <w:rPr>
          <w:szCs w:val="21"/>
        </w:rPr>
        <w:t xml:space="preserve">    </w:t>
      </w:r>
      <w:r>
        <w:rPr>
          <w:rFonts w:hint="eastAsia"/>
          <w:szCs w:val="21"/>
        </w:rPr>
        <w:t>2.</w:t>
      </w:r>
      <w:r>
        <w:rPr>
          <w:szCs w:val="21"/>
        </w:rPr>
        <w:t>学习逐差法处理数据；</w:t>
      </w:r>
      <w:r>
        <w:rPr>
          <w:szCs w:val="21"/>
        </w:rPr>
        <w:br w:type="textWrapping"/>
      </w:r>
      <w:r>
        <w:rPr>
          <w:szCs w:val="21"/>
        </w:rPr>
        <w:t xml:space="preserve">    </w:t>
      </w:r>
      <w:r>
        <w:rPr>
          <w:rFonts w:hint="eastAsia"/>
          <w:szCs w:val="21"/>
        </w:rPr>
        <w:t>3.</w:t>
      </w:r>
      <w:r>
        <w:rPr>
          <w:szCs w:val="21"/>
        </w:rPr>
        <w:t>学习测量结果的不确定度评定；</w:t>
      </w:r>
      <w:r>
        <w:rPr>
          <w:rFonts w:hint="eastAsia"/>
          <w:szCs w:val="21"/>
        </w:rPr>
        <w:t xml:space="preserve"> </w:t>
      </w:r>
      <w:r>
        <w:rPr>
          <w:szCs w:val="21"/>
        </w:rPr>
        <w:br w:type="textWrapping"/>
      </w:r>
      <w:r>
        <w:rPr>
          <w:szCs w:val="21"/>
        </w:rPr>
        <w:t xml:space="preserve">    </w:t>
      </w:r>
      <w:r>
        <w:rPr>
          <w:rFonts w:hint="eastAsia"/>
          <w:szCs w:val="21"/>
        </w:rPr>
        <w:t>4.</w:t>
      </w:r>
      <w:r>
        <w:rPr>
          <w:szCs w:val="21"/>
        </w:rPr>
        <w:t>了解望远镜的结构及原理；</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、3。</w:t>
      </w:r>
    </w:p>
    <w:p>
      <w:pPr>
        <w:spacing w:line="360" w:lineRule="auto"/>
        <w:ind w:firstLine="420" w:firstLineChars="200"/>
        <w:rPr>
          <w:rFonts w:ascii="黑体" w:eastAsia="黑体"/>
          <w:szCs w:val="21"/>
        </w:rPr>
      </w:pPr>
      <w:r>
        <w:rPr>
          <w:rFonts w:hint="eastAsia" w:ascii="黑体" w:eastAsia="黑体"/>
          <w:szCs w:val="21"/>
        </w:rPr>
        <w:t>实验十二  线膨胀系数的测量(计算机仿真实验)</w:t>
      </w:r>
      <w:r>
        <w:rPr>
          <w:rFonts w:hint="eastAsia" w:ascii="黑体" w:hAnsi="宋体" w:eastAsia="黑体"/>
          <w:szCs w:val="21"/>
        </w:rPr>
        <w:t xml:space="preserve"> （2学时）</w:t>
      </w:r>
    </w:p>
    <w:p>
      <w:pPr>
        <w:tabs>
          <w:tab w:val="left" w:pos="-1980"/>
        </w:tabs>
        <w:spacing w:line="360" w:lineRule="auto"/>
        <w:ind w:firstLine="420" w:firstLineChars="200"/>
        <w:rPr>
          <w:szCs w:val="21"/>
        </w:rPr>
      </w:pPr>
      <w:r>
        <w:rPr>
          <w:rFonts w:hint="eastAsia" w:cs="宋体"/>
          <w:color w:val="333333"/>
          <w:kern w:val="0"/>
          <w:szCs w:val="21"/>
        </w:rPr>
        <w:t>内容：</w:t>
      </w:r>
      <w:r>
        <w:rPr>
          <w:rFonts w:hAnsi="宋体" w:cs="宋体"/>
          <w:kern w:val="0"/>
          <w:szCs w:val="21"/>
        </w:rPr>
        <w:t>学习测定金属棒线胀系数的原理及线性系数测定仪的结构及使用方法</w:t>
      </w:r>
      <w:r>
        <w:rPr>
          <w:rFonts w:hint="eastAsia" w:hAnsi="宋体" w:cs="宋体"/>
          <w:kern w:val="0"/>
          <w:szCs w:val="21"/>
        </w:rPr>
        <w:t>，仿真</w:t>
      </w:r>
      <w:r>
        <w:rPr>
          <w:rFonts w:hint="eastAsia"/>
          <w:szCs w:val="21"/>
        </w:rPr>
        <w:t>实验原理、微机在实验中的应用。</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w:t>
      </w:r>
      <w:r>
        <w:rPr>
          <w:rFonts w:hAnsi="宋体" w:cs="宋体"/>
          <w:kern w:val="0"/>
          <w:szCs w:val="21"/>
        </w:rPr>
        <w:t>熟悉光杠杆的原理和调节方法。</w:t>
      </w:r>
    </w:p>
    <w:p>
      <w:pPr>
        <w:spacing w:line="360" w:lineRule="auto"/>
        <w:ind w:firstLine="420" w:firstLineChars="200"/>
        <w:rPr>
          <w:rFonts w:hAnsi="宋体" w:cs="宋体"/>
          <w:kern w:val="0"/>
          <w:szCs w:val="21"/>
        </w:rPr>
      </w:pPr>
      <w:r>
        <w:rPr>
          <w:rFonts w:hint="eastAsia" w:hAnsi="宋体" w:cs="宋体"/>
          <w:kern w:val="0"/>
          <w:szCs w:val="21"/>
        </w:rPr>
        <w:t>2.学习用最小二乘法和逐步差法处理实验数据。</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实验十三  分光仪调节和使用</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内容：学习使用分光仪</w:t>
      </w:r>
      <w:r>
        <w:rPr>
          <w:rFonts w:hint="eastAsia"/>
          <w:szCs w:val="21"/>
        </w:rPr>
        <w:t>。</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kern w:val="0"/>
          <w:szCs w:val="21"/>
        </w:rPr>
      </w:pPr>
      <w:r>
        <w:rPr>
          <w:rFonts w:hint="eastAsia"/>
          <w:szCs w:val="21"/>
        </w:rPr>
        <w:t>1.</w:t>
      </w:r>
      <w:r>
        <w:rPr>
          <w:rFonts w:hAnsi="宋体" w:cs="宋体"/>
          <w:kern w:val="0"/>
          <w:szCs w:val="21"/>
        </w:rPr>
        <w:t>了解分光计的构造，学会调整分光计</w:t>
      </w:r>
      <w:r>
        <w:rPr>
          <w:rFonts w:hint="eastAsia" w:hAnsi="宋体" w:cs="宋体"/>
          <w:kern w:val="0"/>
          <w:szCs w:val="21"/>
        </w:rPr>
        <w:t>；</w:t>
      </w:r>
    </w:p>
    <w:p>
      <w:pPr>
        <w:spacing w:line="360" w:lineRule="auto"/>
        <w:ind w:firstLine="420" w:firstLineChars="200"/>
        <w:rPr>
          <w:rFonts w:hAnsi="宋体" w:cs="宋体"/>
          <w:kern w:val="0"/>
          <w:szCs w:val="21"/>
        </w:rPr>
      </w:pPr>
      <w:r>
        <w:rPr>
          <w:rFonts w:hint="eastAsia" w:hAnsi="宋体" w:cs="宋体"/>
          <w:kern w:val="0"/>
          <w:szCs w:val="21"/>
        </w:rPr>
        <w:t>2.调整望远镜，聚焦于无穷远；</w:t>
      </w:r>
    </w:p>
    <w:p>
      <w:pPr>
        <w:spacing w:line="360" w:lineRule="auto"/>
        <w:ind w:firstLine="420" w:firstLineChars="200"/>
        <w:rPr>
          <w:rFonts w:hAnsi="宋体" w:cs="宋体"/>
          <w:kern w:val="0"/>
          <w:szCs w:val="21"/>
        </w:rPr>
      </w:pPr>
      <w:r>
        <w:rPr>
          <w:rFonts w:hint="eastAsia" w:hAnsi="宋体" w:cs="宋体"/>
          <w:kern w:val="0"/>
          <w:szCs w:val="21"/>
        </w:rPr>
        <w:t>3.调整载物台，使其平面与望远镜光轴平行；</w:t>
      </w:r>
    </w:p>
    <w:p>
      <w:pPr>
        <w:spacing w:line="360" w:lineRule="auto"/>
        <w:ind w:firstLine="420" w:firstLineChars="200"/>
        <w:rPr>
          <w:rFonts w:hAnsi="宋体" w:cs="宋体"/>
          <w:kern w:val="0"/>
          <w:szCs w:val="21"/>
        </w:rPr>
      </w:pPr>
      <w:r>
        <w:rPr>
          <w:rFonts w:hint="eastAsia" w:hAnsi="宋体" w:cs="宋体"/>
          <w:kern w:val="0"/>
          <w:szCs w:val="21"/>
        </w:rPr>
        <w:t>4.调整平行光管，产生平行光。</w:t>
      </w:r>
    </w:p>
    <w:p>
      <w:pPr>
        <w:adjustRightInd w:val="0"/>
        <w:spacing w:line="360" w:lineRule="auto"/>
        <w:ind w:firstLine="420" w:firstLineChars="200"/>
        <w:rPr>
          <w:szCs w:val="21"/>
        </w:rPr>
      </w:pPr>
      <w:r>
        <w:rPr>
          <w:rFonts w:hint="eastAsia"/>
          <w:szCs w:val="21"/>
        </w:rPr>
        <w:t>本实验内容支撑课程目标 1、</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实验十四  迈克尔逊干涉仪</w:t>
      </w:r>
      <w:r>
        <w:rPr>
          <w:rFonts w:hint="eastAsia" w:ascii="黑体" w:hAnsi="宋体" w:eastAsia="黑体"/>
          <w:szCs w:val="21"/>
        </w:rPr>
        <w:t>（2学时）</w:t>
      </w:r>
    </w:p>
    <w:p>
      <w:pPr>
        <w:tabs>
          <w:tab w:val="left" w:pos="-1980"/>
        </w:tabs>
        <w:spacing w:line="360" w:lineRule="auto"/>
        <w:ind w:firstLine="420" w:firstLineChars="200"/>
        <w:rPr>
          <w:rFonts w:hAnsi="宋体" w:cs="宋体"/>
          <w:kern w:val="0"/>
          <w:szCs w:val="21"/>
        </w:rPr>
      </w:pPr>
      <w:r>
        <w:rPr>
          <w:rFonts w:hint="eastAsia" w:cs="宋体"/>
          <w:color w:val="333333"/>
          <w:kern w:val="0"/>
          <w:szCs w:val="21"/>
        </w:rPr>
        <w:t>内容：</w:t>
      </w:r>
      <w:r>
        <w:rPr>
          <w:rFonts w:hint="eastAsia"/>
          <w:szCs w:val="21"/>
        </w:rPr>
        <w:t>了解干涉仪结构原理，学习调节与使用，</w:t>
      </w:r>
      <w:r>
        <w:rPr>
          <w:rFonts w:hAnsi="宋体" w:cs="宋体"/>
          <w:kern w:val="0"/>
          <w:szCs w:val="21"/>
        </w:rPr>
        <w:t>调节干涉仪并观察干涉条纹；测量</w:t>
      </w:r>
      <w:r>
        <w:rPr>
          <w:rFonts w:hint="eastAsia" w:hAnsi="宋体" w:cs="宋体"/>
          <w:kern w:val="0"/>
          <w:szCs w:val="21"/>
        </w:rPr>
        <w:t>半导体激光器的波长。</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kern w:val="0"/>
          <w:szCs w:val="21"/>
        </w:rPr>
      </w:pPr>
      <w:r>
        <w:rPr>
          <w:rFonts w:hint="eastAsia"/>
          <w:szCs w:val="21"/>
        </w:rPr>
        <w:t>1.</w:t>
      </w:r>
      <w:r>
        <w:rPr>
          <w:rFonts w:hAnsi="宋体" w:cs="宋体"/>
          <w:kern w:val="0"/>
          <w:szCs w:val="21"/>
        </w:rPr>
        <w:t>了解迈克尔逊干涉设计原理；</w:t>
      </w:r>
    </w:p>
    <w:p>
      <w:pPr>
        <w:spacing w:line="360" w:lineRule="auto"/>
        <w:ind w:firstLine="420" w:firstLineChars="200"/>
        <w:rPr>
          <w:rFonts w:hAnsi="宋体" w:cs="宋体"/>
          <w:kern w:val="0"/>
          <w:szCs w:val="21"/>
        </w:rPr>
      </w:pPr>
      <w:r>
        <w:rPr>
          <w:rFonts w:cs="宋体"/>
          <w:kern w:val="0"/>
          <w:szCs w:val="21"/>
        </w:rPr>
        <w:t>2</w:t>
      </w:r>
      <w:r>
        <w:rPr>
          <w:rFonts w:hint="eastAsia" w:hAnsi="宋体" w:cs="宋体"/>
          <w:kern w:val="0"/>
          <w:szCs w:val="21"/>
        </w:rPr>
        <w:t>.</w:t>
      </w:r>
      <w:r>
        <w:rPr>
          <w:rFonts w:hAnsi="宋体" w:cs="宋体"/>
          <w:kern w:val="0"/>
          <w:szCs w:val="21"/>
        </w:rPr>
        <w:t>了解仪器的构造，掌握调节方法；</w:t>
      </w:r>
    </w:p>
    <w:p>
      <w:pPr>
        <w:spacing w:line="360" w:lineRule="auto"/>
        <w:ind w:firstLine="420" w:firstLineChars="200"/>
        <w:rPr>
          <w:rFonts w:hAnsi="宋体" w:cs="宋体"/>
          <w:kern w:val="0"/>
          <w:szCs w:val="21"/>
        </w:rPr>
      </w:pPr>
      <w:r>
        <w:rPr>
          <w:rFonts w:cs="宋体"/>
          <w:kern w:val="0"/>
          <w:szCs w:val="21"/>
        </w:rPr>
        <w:t>3</w:t>
      </w:r>
      <w:r>
        <w:rPr>
          <w:rFonts w:hint="eastAsia" w:hAnsi="宋体" w:cs="宋体"/>
          <w:kern w:val="0"/>
          <w:szCs w:val="21"/>
        </w:rPr>
        <w:t>.</w:t>
      </w:r>
      <w:r>
        <w:rPr>
          <w:rFonts w:hAnsi="宋体" w:cs="宋体"/>
          <w:kern w:val="0"/>
          <w:szCs w:val="21"/>
        </w:rPr>
        <w:t>考察等倾干涉，等厚干涉的形成条件；</w:t>
      </w:r>
    </w:p>
    <w:p>
      <w:pPr>
        <w:spacing w:line="360" w:lineRule="auto"/>
        <w:ind w:firstLine="420" w:firstLineChars="200"/>
        <w:rPr>
          <w:rFonts w:hAnsi="宋体" w:cs="宋体"/>
          <w:kern w:val="0"/>
          <w:szCs w:val="21"/>
        </w:rPr>
      </w:pPr>
      <w:r>
        <w:rPr>
          <w:rFonts w:cs="宋体"/>
          <w:kern w:val="0"/>
          <w:szCs w:val="21"/>
        </w:rPr>
        <w:t>4</w:t>
      </w:r>
      <w:r>
        <w:rPr>
          <w:rFonts w:hint="eastAsia" w:hAnsi="宋体" w:cs="宋体"/>
          <w:kern w:val="0"/>
          <w:szCs w:val="21"/>
        </w:rPr>
        <w:t>.</w:t>
      </w:r>
      <w:r>
        <w:rPr>
          <w:rFonts w:hAnsi="宋体" w:cs="宋体"/>
          <w:kern w:val="0"/>
          <w:szCs w:val="21"/>
        </w:rPr>
        <w:t>学会测定钠黄光的波长，钠双线的波长差。</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实验十五  弹性模量的测定(共振法)</w:t>
      </w:r>
      <w:r>
        <w:rPr>
          <w:rFonts w:hint="eastAsia" w:ascii="黑体" w:hAnsi="宋体" w:eastAsia="黑体"/>
          <w:szCs w:val="21"/>
        </w:rPr>
        <w:t xml:space="preserve"> （2学时）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共振法测杨氏模量原理、外推法根据不同径长比进行修正、正确处理数据、判别真假共振的基本方法及实验误差计算、了解压电体、信号源、示波器的使用。</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hAnsi="宋体" w:cs="宋体"/>
          <w:kern w:val="0"/>
          <w:szCs w:val="21"/>
        </w:rPr>
      </w:pPr>
      <w:r>
        <w:rPr>
          <w:rFonts w:hint="eastAsia"/>
          <w:szCs w:val="21"/>
        </w:rPr>
        <w:t>1.</w:t>
      </w:r>
      <w:r>
        <w:rPr>
          <w:rFonts w:hint="eastAsia" w:hAnsi="宋体" w:cs="宋体"/>
          <w:kern w:val="0"/>
          <w:szCs w:val="21"/>
        </w:rPr>
        <w:t>用共振法（悬丝耦合弯曲和支撑）测定金属材料的弹性模量</w:t>
      </w:r>
      <w:r>
        <w:rPr>
          <w:rFonts w:hAnsi="宋体" w:cs="宋体"/>
          <w:kern w:val="0"/>
          <w:szCs w:val="21"/>
        </w:rPr>
        <w:t>；</w:t>
      </w:r>
    </w:p>
    <w:p>
      <w:pPr>
        <w:spacing w:line="360" w:lineRule="auto"/>
        <w:ind w:firstLine="420" w:firstLineChars="200"/>
        <w:rPr>
          <w:rFonts w:hAnsi="宋体" w:cs="宋体"/>
          <w:kern w:val="0"/>
          <w:szCs w:val="21"/>
        </w:rPr>
      </w:pPr>
      <w:r>
        <w:rPr>
          <w:rFonts w:cs="宋体"/>
          <w:kern w:val="0"/>
          <w:szCs w:val="21"/>
        </w:rPr>
        <w:t>2</w:t>
      </w:r>
      <w:r>
        <w:rPr>
          <w:rFonts w:hint="eastAsia" w:hAnsi="宋体" w:cs="宋体"/>
          <w:kern w:val="0"/>
          <w:szCs w:val="21"/>
        </w:rPr>
        <w:t>.学习综合应用物理仪器的能力。</w:t>
      </w:r>
    </w:p>
    <w:p>
      <w:pPr>
        <w:spacing w:line="360" w:lineRule="auto"/>
        <w:ind w:firstLine="420" w:firstLineChars="200"/>
        <w:rPr>
          <w:rFonts w:hAnsi="宋体" w:cs="宋体"/>
          <w:kern w:val="0"/>
          <w:szCs w:val="21"/>
        </w:rPr>
      </w:pPr>
      <w:r>
        <w:rPr>
          <w:rFonts w:hint="eastAsia" w:hAnsi="宋体" w:cs="宋体"/>
          <w:kern w:val="0"/>
          <w:szCs w:val="21"/>
        </w:rPr>
        <w:t>3.固体材料的物理改制；</w:t>
      </w:r>
    </w:p>
    <w:p>
      <w:pPr>
        <w:spacing w:line="360" w:lineRule="auto"/>
        <w:ind w:firstLine="420" w:firstLineChars="200"/>
        <w:rPr>
          <w:rFonts w:hAnsi="宋体" w:cs="宋体"/>
          <w:kern w:val="0"/>
          <w:szCs w:val="21"/>
        </w:rPr>
      </w:pPr>
      <w:r>
        <w:rPr>
          <w:rFonts w:hint="eastAsia" w:hAnsi="宋体" w:cs="宋体"/>
          <w:kern w:val="0"/>
          <w:szCs w:val="21"/>
        </w:rPr>
        <w:t>4.力学信号与电学信号的转换及接收；</w:t>
      </w:r>
    </w:p>
    <w:p>
      <w:pPr>
        <w:spacing w:line="360" w:lineRule="auto"/>
        <w:ind w:firstLine="420" w:firstLineChars="200"/>
        <w:rPr>
          <w:rFonts w:hAnsi="宋体" w:cs="宋体"/>
          <w:kern w:val="0"/>
          <w:szCs w:val="21"/>
        </w:rPr>
      </w:pPr>
      <w:r>
        <w:rPr>
          <w:rFonts w:hint="eastAsia" w:hAnsi="宋体" w:cs="宋体"/>
          <w:kern w:val="0"/>
          <w:szCs w:val="21"/>
        </w:rPr>
        <w:t>具体要求</w:t>
      </w:r>
    </w:p>
    <w:p>
      <w:pPr>
        <w:spacing w:line="360" w:lineRule="auto"/>
        <w:ind w:left="420"/>
        <w:rPr>
          <w:rFonts w:hAnsi="宋体" w:cs="宋体"/>
          <w:kern w:val="0"/>
          <w:szCs w:val="21"/>
        </w:rPr>
      </w:pPr>
      <w:r>
        <w:rPr>
          <w:rFonts w:hint="eastAsia" w:hAnsi="宋体" w:cs="宋体"/>
          <w:kern w:val="0"/>
          <w:szCs w:val="21"/>
        </w:rPr>
        <w:t>1.理解力学量与电学量的转换机理及实现；</w:t>
      </w:r>
    </w:p>
    <w:p>
      <w:pPr>
        <w:spacing w:line="360" w:lineRule="auto"/>
        <w:ind w:firstLine="420" w:firstLineChars="200"/>
        <w:rPr>
          <w:rFonts w:hAnsi="宋体" w:cs="宋体"/>
          <w:kern w:val="0"/>
          <w:szCs w:val="21"/>
        </w:rPr>
      </w:pPr>
      <w:r>
        <w:rPr>
          <w:rFonts w:hint="eastAsia" w:hAnsi="宋体" w:cs="宋体"/>
          <w:kern w:val="0"/>
          <w:szCs w:val="21"/>
        </w:rPr>
        <w:t>2.共振法测出谐振频率；</w:t>
      </w:r>
    </w:p>
    <w:p>
      <w:pPr>
        <w:spacing w:line="360" w:lineRule="auto"/>
        <w:ind w:firstLine="420" w:firstLineChars="200"/>
        <w:rPr>
          <w:rFonts w:hAnsi="宋体" w:cs="宋体"/>
          <w:kern w:val="0"/>
          <w:szCs w:val="21"/>
        </w:rPr>
      </w:pPr>
      <w:r>
        <w:rPr>
          <w:rFonts w:hint="eastAsia" w:hAnsi="宋体" w:cs="宋体"/>
          <w:kern w:val="0"/>
          <w:szCs w:val="21"/>
        </w:rPr>
        <w:t>3.外推法找出节点的谐振频率；</w:t>
      </w:r>
    </w:p>
    <w:p>
      <w:pPr>
        <w:spacing w:line="360" w:lineRule="auto"/>
        <w:ind w:firstLine="420" w:firstLineChars="200"/>
        <w:rPr>
          <w:rFonts w:hAnsi="宋体" w:cs="宋体"/>
          <w:kern w:val="0"/>
          <w:szCs w:val="21"/>
        </w:rPr>
      </w:pPr>
      <w:r>
        <w:rPr>
          <w:rFonts w:hint="eastAsia" w:hAnsi="宋体" w:cs="宋体"/>
          <w:kern w:val="0"/>
          <w:szCs w:val="21"/>
        </w:rPr>
        <w:t>4.报告要求：除按一般实验报告要求完成外，还应体现各部分内容的理解及相关内容的叙述。</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实验十六  受迫振动的研究</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测定不同的阻尼条件下的阻尼因素；测定受迫振动在不同阻尼条件下的幅频特性和相频特性曲线；</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tabs>
          <w:tab w:val="left" w:pos="-1980"/>
        </w:tabs>
        <w:spacing w:line="360" w:lineRule="auto"/>
        <w:ind w:firstLine="420" w:firstLineChars="200"/>
        <w:rPr>
          <w:szCs w:val="21"/>
        </w:rPr>
      </w:pPr>
      <w:r>
        <w:rPr>
          <w:rFonts w:hint="eastAsia" w:ascii="宋体" w:hAnsi="宋体"/>
          <w:szCs w:val="21"/>
        </w:rPr>
        <w:t>1.</w:t>
      </w:r>
      <w:r>
        <w:rPr>
          <w:rFonts w:hint="eastAsia"/>
          <w:szCs w:val="21"/>
        </w:rPr>
        <w:t>研究扭摆的阻尼振动规律，测定不同的阻尼条件下的阻尼因素；</w:t>
      </w:r>
    </w:p>
    <w:p>
      <w:pPr>
        <w:tabs>
          <w:tab w:val="left" w:pos="-1980"/>
        </w:tabs>
        <w:spacing w:line="360" w:lineRule="auto"/>
        <w:ind w:firstLine="420" w:firstLineChars="200"/>
        <w:rPr>
          <w:szCs w:val="21"/>
        </w:rPr>
      </w:pPr>
      <w:r>
        <w:rPr>
          <w:rFonts w:hint="eastAsia"/>
          <w:szCs w:val="21"/>
        </w:rPr>
        <w:t>2.研究简谐振型外力矩作用下扭摆的受迫振动干什么，观察共振现象，并描绘扭摆在不同阻尼条件下的幅频特性和相频特性曲线；</w:t>
      </w:r>
    </w:p>
    <w:p>
      <w:pPr>
        <w:tabs>
          <w:tab w:val="left" w:pos="-1980"/>
        </w:tabs>
        <w:spacing w:line="360" w:lineRule="auto"/>
        <w:ind w:firstLine="420" w:firstLineChars="200"/>
        <w:rPr>
          <w:szCs w:val="21"/>
        </w:rPr>
      </w:pPr>
      <w:r>
        <w:rPr>
          <w:rFonts w:hint="eastAsia"/>
          <w:szCs w:val="21"/>
        </w:rPr>
        <w:t>3.研究不同阻尼对受迫振动的影响。</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 xml:space="preserve">实验十七  </w:t>
      </w:r>
      <w:r>
        <w:rPr>
          <w:rFonts w:ascii="黑体" w:eastAsia="黑体"/>
          <w:szCs w:val="21"/>
        </w:rPr>
        <w:t>R</w:t>
      </w:r>
      <w:r>
        <w:rPr>
          <w:rFonts w:hint="eastAsia" w:ascii="黑体" w:eastAsia="黑体"/>
          <w:szCs w:val="21"/>
        </w:rPr>
        <w:t>L</w:t>
      </w:r>
      <w:r>
        <w:rPr>
          <w:rFonts w:ascii="黑体" w:eastAsia="黑体"/>
          <w:szCs w:val="21"/>
        </w:rPr>
        <w:t>C</w:t>
      </w:r>
      <w:r>
        <w:rPr>
          <w:rFonts w:hint="eastAsia" w:ascii="黑体" w:eastAsia="黑体"/>
          <w:szCs w:val="21"/>
        </w:rPr>
        <w:t>串联电路暂态过程的研究</w:t>
      </w:r>
      <w:r>
        <w:rPr>
          <w:rFonts w:hint="eastAsia" w:ascii="黑体" w:hAnsi="宋体" w:eastAsia="黑体"/>
          <w:szCs w:val="21"/>
        </w:rPr>
        <w:t>（2学时</w:t>
      </w:r>
      <w:r>
        <w:rPr>
          <w:rFonts w:ascii="黑体" w:hAnsi="宋体" w:eastAsia="黑体"/>
          <w:szCs w:val="21"/>
        </w:rPr>
        <w:t>）</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暂态过程的测量方法，微机在物理实验中的一种应用模式。</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tabs>
          <w:tab w:val="left" w:pos="-1980"/>
        </w:tabs>
        <w:spacing w:line="360" w:lineRule="auto"/>
        <w:ind w:firstLine="420" w:firstLineChars="200"/>
        <w:rPr>
          <w:rFonts w:ascii="宋体" w:hAnsi="宋体"/>
          <w:szCs w:val="21"/>
        </w:rPr>
      </w:pPr>
      <w:r>
        <w:rPr>
          <w:rFonts w:hint="eastAsia"/>
          <w:szCs w:val="21"/>
        </w:rPr>
        <w:t>1.</w:t>
      </w:r>
      <w:r>
        <w:rPr>
          <w:rFonts w:hint="eastAsia" w:ascii="宋体" w:hAnsi="宋体"/>
          <w:szCs w:val="21"/>
        </w:rPr>
        <w:t>了解RLC串联电路的暂态特性；</w:t>
      </w:r>
    </w:p>
    <w:p>
      <w:pPr>
        <w:tabs>
          <w:tab w:val="left" w:pos="-1980"/>
        </w:tabs>
        <w:spacing w:line="360" w:lineRule="auto"/>
        <w:ind w:firstLine="420" w:firstLineChars="200"/>
        <w:rPr>
          <w:rFonts w:ascii="宋体" w:hAnsi="宋体"/>
          <w:szCs w:val="21"/>
        </w:rPr>
      </w:pPr>
      <w:r>
        <w:rPr>
          <w:rFonts w:hint="eastAsia" w:ascii="宋体" w:hAnsi="宋体"/>
          <w:szCs w:val="21"/>
        </w:rPr>
        <w:t>2.了解微机在物理实验中的一种应用模式。</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、3。</w:t>
      </w:r>
    </w:p>
    <w:p>
      <w:pPr>
        <w:spacing w:line="360" w:lineRule="auto"/>
        <w:ind w:firstLine="420" w:firstLineChars="200"/>
        <w:rPr>
          <w:rFonts w:ascii="黑体" w:eastAsia="黑体"/>
          <w:szCs w:val="21"/>
        </w:rPr>
      </w:pPr>
      <w:r>
        <w:rPr>
          <w:rFonts w:hint="eastAsia" w:ascii="黑体" w:eastAsia="黑体"/>
          <w:szCs w:val="21"/>
        </w:rPr>
        <w:t>实验十八  用示波器测软磁材料的磁滞回线</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了解铁磁性物质的磁化特性，用示波器观察磁滞回线，用磁滞回线测量仪测绘磁滞回线。</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1.学习测量磁滞回线的方法；</w:t>
      </w:r>
    </w:p>
    <w:p>
      <w:pPr>
        <w:spacing w:line="360" w:lineRule="auto"/>
        <w:ind w:firstLine="420" w:firstLineChars="200"/>
        <w:rPr>
          <w:rFonts w:hAnsi="宋体" w:cs="宋体"/>
          <w:kern w:val="0"/>
          <w:szCs w:val="21"/>
        </w:rPr>
      </w:pPr>
      <w:r>
        <w:rPr>
          <w:rFonts w:hint="eastAsia" w:hAnsi="宋体" w:cs="宋体"/>
          <w:kern w:val="0"/>
          <w:szCs w:val="21"/>
        </w:rPr>
        <w:t>2.根据磁滞回线确定磁性材料的饱和磁感应强度、剩磁和矫顽力。</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实验十九  测三棱镜材料的折射率</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分光仪的调整、棱镜折射率测定。</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1.学习分光仪的调节和使用；</w:t>
      </w:r>
    </w:p>
    <w:p>
      <w:pPr>
        <w:spacing w:line="360" w:lineRule="auto"/>
        <w:ind w:firstLine="420" w:firstLineChars="200"/>
        <w:rPr>
          <w:rFonts w:hAnsi="宋体" w:cs="宋体"/>
          <w:kern w:val="0"/>
          <w:szCs w:val="21"/>
        </w:rPr>
      </w:pPr>
      <w:r>
        <w:rPr>
          <w:rFonts w:hint="eastAsia"/>
          <w:szCs w:val="21"/>
        </w:rPr>
        <w:t>2.用最小偏向角测定三棱镜的折射率</w:t>
      </w:r>
      <w:r>
        <w:rPr>
          <w:rFonts w:hint="eastAsia" w:hAnsi="宋体" w:cs="宋体"/>
          <w:kern w:val="0"/>
          <w:szCs w:val="21"/>
        </w:rPr>
        <w:t>。</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  光的衍射实验</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分光仪调节、加深对光的衍射原理的理解，用透射光栅测定光栅常数及光谱线光波波长。</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1.熟练掌握分光仪的调节和使用；</w:t>
      </w:r>
    </w:p>
    <w:p>
      <w:pPr>
        <w:spacing w:line="360" w:lineRule="auto"/>
        <w:ind w:firstLine="420" w:firstLineChars="200"/>
        <w:rPr>
          <w:rFonts w:hAnsi="宋体" w:cs="宋体"/>
          <w:kern w:val="0"/>
          <w:szCs w:val="21"/>
        </w:rPr>
      </w:pPr>
      <w:r>
        <w:rPr>
          <w:rFonts w:hint="eastAsia"/>
          <w:szCs w:val="21"/>
        </w:rPr>
        <w:t>2.加深对光栅衍射原理的理解；</w:t>
      </w:r>
    </w:p>
    <w:p>
      <w:pPr>
        <w:spacing w:line="360" w:lineRule="auto"/>
        <w:ind w:firstLine="420" w:firstLineChars="200"/>
        <w:rPr>
          <w:rFonts w:hAnsi="宋体" w:cs="宋体"/>
          <w:kern w:val="0"/>
          <w:szCs w:val="21"/>
        </w:rPr>
      </w:pPr>
      <w:r>
        <w:rPr>
          <w:rFonts w:hint="eastAsia"/>
          <w:szCs w:val="21"/>
        </w:rPr>
        <w:t>3.学会用透镜光栅测定光栅常数和光波波长</w:t>
      </w:r>
      <w:r>
        <w:rPr>
          <w:rFonts w:hint="eastAsia" w:hAnsi="宋体" w:cs="宋体"/>
          <w:kern w:val="0"/>
          <w:szCs w:val="21"/>
        </w:rPr>
        <w:t>。</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、2。</w:t>
      </w:r>
    </w:p>
    <w:p>
      <w:pPr>
        <w:spacing w:line="360" w:lineRule="auto"/>
        <w:ind w:firstLine="420" w:firstLineChars="200"/>
        <w:rPr>
          <w:rFonts w:ascii="黑体" w:eastAsia="黑体"/>
          <w:szCs w:val="21"/>
        </w:rPr>
      </w:pPr>
      <w:r>
        <w:rPr>
          <w:rFonts w:hint="eastAsia" w:ascii="黑体" w:eastAsia="黑体"/>
          <w:szCs w:val="21"/>
        </w:rPr>
        <w:t>实验二十一  等厚干涉实验</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研究牛顿环及分光仪干涉现象，用牛顿环测透镜曲率半径，用劈尖干涉测细线直径、读数显微镜的调整与使用。</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1.观察等厚干涉现象；</w:t>
      </w:r>
    </w:p>
    <w:p>
      <w:pPr>
        <w:spacing w:line="360" w:lineRule="auto"/>
        <w:ind w:firstLine="420" w:firstLineChars="200"/>
        <w:rPr>
          <w:rFonts w:hAnsi="宋体" w:cs="宋体"/>
          <w:kern w:val="0"/>
          <w:szCs w:val="21"/>
        </w:rPr>
      </w:pPr>
      <w:r>
        <w:rPr>
          <w:rFonts w:hint="eastAsia"/>
          <w:szCs w:val="21"/>
        </w:rPr>
        <w:t>2.用牛顿环测透镜曲率半径；</w:t>
      </w:r>
    </w:p>
    <w:p>
      <w:pPr>
        <w:spacing w:line="360" w:lineRule="auto"/>
        <w:ind w:firstLine="420" w:firstLineChars="200"/>
        <w:rPr>
          <w:rFonts w:hAnsi="宋体" w:cs="宋体"/>
          <w:kern w:val="0"/>
          <w:szCs w:val="21"/>
        </w:rPr>
      </w:pPr>
      <w:r>
        <w:rPr>
          <w:rFonts w:hint="eastAsia"/>
          <w:szCs w:val="21"/>
        </w:rPr>
        <w:t>3.学习读数显微镜的调整和使用方法</w:t>
      </w:r>
      <w:r>
        <w:rPr>
          <w:rFonts w:hint="eastAsia" w:hAnsi="宋体" w:cs="宋体"/>
          <w:kern w:val="0"/>
          <w:szCs w:val="21"/>
        </w:rPr>
        <w:t>。</w:t>
      </w:r>
    </w:p>
    <w:p>
      <w:pPr>
        <w:adjustRightInd w:val="0"/>
        <w:spacing w:line="360" w:lineRule="auto"/>
        <w:ind w:firstLine="420" w:firstLineChars="200"/>
        <w:rPr>
          <w:szCs w:val="21"/>
        </w:rPr>
      </w:pPr>
      <w:r>
        <w:rPr>
          <w:rFonts w:hint="eastAsia"/>
          <w:szCs w:val="21"/>
        </w:rPr>
        <w:t>本实验内容支撑课程目标2、</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实验二十二  偏振光的研究</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观察偏振现象、起偏与检偏原理、偏振光应用。</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1.观察光的偏振现象，加深理解偏振的概念；</w:t>
      </w:r>
    </w:p>
    <w:p>
      <w:pPr>
        <w:spacing w:line="360" w:lineRule="auto"/>
        <w:ind w:firstLine="420" w:firstLineChars="200"/>
        <w:rPr>
          <w:rFonts w:hAnsi="宋体" w:cs="宋体"/>
          <w:kern w:val="0"/>
          <w:szCs w:val="21"/>
        </w:rPr>
      </w:pPr>
      <w:r>
        <w:rPr>
          <w:rFonts w:hint="eastAsia"/>
          <w:szCs w:val="21"/>
        </w:rPr>
        <w:t>2.了解偏振光的产生和检验方法；</w:t>
      </w:r>
    </w:p>
    <w:p>
      <w:pPr>
        <w:spacing w:line="360" w:lineRule="auto"/>
        <w:ind w:firstLine="420" w:firstLineChars="200"/>
        <w:rPr>
          <w:rFonts w:hAnsi="宋体" w:cs="宋体"/>
          <w:kern w:val="0"/>
          <w:szCs w:val="21"/>
        </w:rPr>
      </w:pPr>
      <w:r>
        <w:rPr>
          <w:rFonts w:hint="eastAsia"/>
          <w:szCs w:val="21"/>
        </w:rPr>
        <w:t>3.观测布儒斯特角及测定玻璃的折射率；</w:t>
      </w:r>
    </w:p>
    <w:p>
      <w:pPr>
        <w:spacing w:line="360" w:lineRule="auto"/>
        <w:ind w:firstLine="420" w:firstLineChars="200"/>
        <w:rPr>
          <w:rFonts w:hAnsi="宋体" w:cs="宋体"/>
          <w:kern w:val="0"/>
          <w:szCs w:val="21"/>
        </w:rPr>
      </w:pPr>
      <w:r>
        <w:rPr>
          <w:rFonts w:hint="eastAsia"/>
          <w:szCs w:val="21"/>
        </w:rPr>
        <w:t>4.观测椭圆偏振光和圆偏振光</w:t>
      </w:r>
      <w:r>
        <w:rPr>
          <w:rFonts w:hint="eastAsia" w:hAnsi="宋体" w:cs="宋体"/>
          <w:kern w:val="0"/>
          <w:szCs w:val="21"/>
        </w:rPr>
        <w:t>。</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、3。</w:t>
      </w:r>
    </w:p>
    <w:p>
      <w:pPr>
        <w:spacing w:line="360" w:lineRule="auto"/>
        <w:ind w:firstLine="420" w:firstLineChars="200"/>
        <w:rPr>
          <w:rFonts w:ascii="黑体" w:eastAsia="黑体"/>
          <w:szCs w:val="21"/>
        </w:rPr>
      </w:pPr>
      <w:r>
        <w:rPr>
          <w:rFonts w:hint="eastAsia" w:ascii="黑体" w:eastAsia="黑体"/>
          <w:szCs w:val="21"/>
        </w:rPr>
        <w:t>实验二十三  全息照相实验</w:t>
      </w:r>
      <w:r>
        <w:rPr>
          <w:rFonts w:hint="eastAsia" w:ascii="黑体" w:hAnsi="宋体" w:eastAsia="黑体"/>
          <w:szCs w:val="21"/>
        </w:rPr>
        <w:t>（2学时）</w:t>
      </w:r>
    </w:p>
    <w:p>
      <w:pPr>
        <w:tabs>
          <w:tab w:val="left" w:pos="-1980"/>
        </w:tabs>
        <w:spacing w:line="360" w:lineRule="auto"/>
        <w:ind w:firstLine="420" w:firstLineChars="200"/>
      </w:pPr>
      <w:r>
        <w:rPr>
          <w:rFonts w:hint="eastAsia" w:cs="宋体"/>
          <w:color w:val="333333"/>
          <w:kern w:val="0"/>
          <w:szCs w:val="21"/>
        </w:rPr>
        <w:t>内容：</w:t>
      </w:r>
      <w:r>
        <w:t>1</w:t>
      </w:r>
      <w:r>
        <w:rPr>
          <w:rFonts w:hint="eastAsia"/>
        </w:rPr>
        <w:t>.</w:t>
      </w:r>
      <w:r>
        <w:t>检查防震情况；2</w:t>
      </w:r>
      <w:r>
        <w:rPr>
          <w:rFonts w:hint="eastAsia"/>
        </w:rPr>
        <w:t>.</w:t>
      </w:r>
      <w:r>
        <w:t>调整光路；3</w:t>
      </w:r>
      <w:r>
        <w:rPr>
          <w:rFonts w:hint="eastAsia"/>
        </w:rPr>
        <w:t>.</w:t>
      </w:r>
      <w:r>
        <w:t>拍摄全息图；4、</w:t>
      </w:r>
      <w:r>
        <w:rPr>
          <w:rFonts w:hint="eastAsia"/>
        </w:rPr>
        <w:t>冲洗</w:t>
      </w:r>
      <w:r>
        <w:t>再现。</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rPr>
        <w:t>1.</w:t>
      </w:r>
      <w:r>
        <w:t>掌握漫反射物体全息照相原理；</w:t>
      </w:r>
    </w:p>
    <w:p>
      <w:pPr>
        <w:spacing w:line="360" w:lineRule="auto"/>
        <w:ind w:firstLine="420" w:firstLineChars="200"/>
      </w:pPr>
      <w:r>
        <w:t>2</w:t>
      </w:r>
      <w:r>
        <w:rPr>
          <w:rFonts w:hint="eastAsia"/>
        </w:rPr>
        <w:t>.</w:t>
      </w:r>
      <w:r>
        <w:t>能熟练的拍摄漫反射物体的三维全息图；</w:t>
      </w:r>
    </w:p>
    <w:p>
      <w:pPr>
        <w:spacing w:line="360" w:lineRule="auto"/>
        <w:ind w:firstLine="420" w:firstLineChars="200"/>
      </w:pPr>
      <w:r>
        <w:t>3</w:t>
      </w:r>
      <w:r>
        <w:rPr>
          <w:rFonts w:hint="eastAsia"/>
        </w:rPr>
        <w:t>.</w:t>
      </w:r>
      <w:r>
        <w:t>能熟练的再现全息图</w:t>
      </w:r>
      <w:r>
        <w:rPr>
          <w:rFonts w:hint="eastAsia"/>
        </w:rPr>
        <w:t>虚像</w:t>
      </w:r>
      <w:r>
        <w:t>，观察全息照相的特点。</w:t>
      </w:r>
    </w:p>
    <w:p>
      <w:pPr>
        <w:adjustRightInd w:val="0"/>
        <w:spacing w:line="360" w:lineRule="auto"/>
        <w:ind w:firstLine="420" w:firstLineChars="200"/>
        <w:rPr>
          <w:szCs w:val="21"/>
        </w:rPr>
      </w:pPr>
      <w:r>
        <w:rPr>
          <w:rFonts w:hint="eastAsia"/>
          <w:szCs w:val="21"/>
        </w:rPr>
        <w:t>本实验内容支撑课程目标2、</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实验二十四  夫兰克</w:t>
      </w:r>
      <w:r>
        <w:rPr>
          <w:rFonts w:ascii="黑体" w:eastAsia="黑体"/>
          <w:szCs w:val="21"/>
        </w:rPr>
        <w:t>—</w:t>
      </w:r>
      <w:r>
        <w:rPr>
          <w:rFonts w:hint="eastAsia" w:ascii="黑体" w:eastAsia="黑体"/>
          <w:szCs w:val="21"/>
        </w:rPr>
        <w:t>赫兹实验</w:t>
      </w:r>
      <w:r>
        <w:rPr>
          <w:rFonts w:hint="eastAsia" w:ascii="黑体" w:hAnsi="宋体" w:eastAsia="黑体"/>
          <w:szCs w:val="21"/>
        </w:rPr>
        <w:t>（2学时）</w:t>
      </w:r>
    </w:p>
    <w:p>
      <w:pPr>
        <w:tabs>
          <w:tab w:val="left" w:pos="-1980"/>
        </w:tabs>
        <w:spacing w:line="360" w:lineRule="auto"/>
        <w:ind w:firstLine="420" w:firstLineChars="200"/>
      </w:pPr>
      <w:r>
        <w:rPr>
          <w:rFonts w:hint="eastAsia" w:cs="宋体"/>
          <w:color w:val="333333"/>
          <w:kern w:val="0"/>
          <w:szCs w:val="21"/>
        </w:rPr>
        <w:t>内容：</w:t>
      </w:r>
      <w:r>
        <w:t>学习测定</w:t>
      </w:r>
      <w:r>
        <w:rPr>
          <w:rFonts w:hint="eastAsia" w:ascii="宋体" w:hAnsi="宋体"/>
          <w:szCs w:val="21"/>
        </w:rPr>
        <w:t>氩</w:t>
      </w:r>
      <w:r>
        <w:t>原子激发态电位的方法，并加深对原子能级的理解；了解夫兰克-赫兹实验的设计思想和基本实验方法。</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rFonts w:ascii="宋体" w:hAnsi="宋体"/>
          <w:szCs w:val="21"/>
        </w:rPr>
      </w:pPr>
      <w:r>
        <w:rPr>
          <w:rFonts w:hint="eastAsia"/>
          <w:szCs w:val="21"/>
        </w:rPr>
        <w:t>1.用夫兰克</w:t>
      </w:r>
      <w:r>
        <w:rPr>
          <w:rFonts w:ascii="宋体" w:hAnsi="宋体"/>
          <w:szCs w:val="21"/>
        </w:rPr>
        <w:t>—</w:t>
      </w:r>
      <w:r>
        <w:rPr>
          <w:rFonts w:hint="eastAsia" w:ascii="宋体" w:hAnsi="宋体"/>
          <w:szCs w:val="21"/>
        </w:rPr>
        <w:t>赫兹仪测量氩原子的激发电位、观察其伏安特性；</w:t>
      </w:r>
    </w:p>
    <w:p>
      <w:pPr>
        <w:spacing w:line="360" w:lineRule="auto"/>
        <w:ind w:firstLine="420" w:firstLineChars="200"/>
        <w:rPr>
          <w:rFonts w:ascii="宋体" w:hAnsi="宋体"/>
          <w:szCs w:val="21"/>
        </w:rPr>
      </w:pPr>
      <w:r>
        <w:rPr>
          <w:rFonts w:hint="eastAsia" w:ascii="宋体" w:hAnsi="宋体"/>
          <w:szCs w:val="21"/>
        </w:rPr>
        <w:t>2.研究原子能的量子特性、示波器的使用；</w:t>
      </w:r>
    </w:p>
    <w:p>
      <w:pPr>
        <w:spacing w:line="360" w:lineRule="auto"/>
        <w:ind w:firstLine="420" w:firstLineChars="200"/>
        <w:rPr>
          <w:rFonts w:ascii="宋体" w:hAnsi="宋体"/>
          <w:szCs w:val="21"/>
        </w:rPr>
      </w:pPr>
      <w:r>
        <w:rPr>
          <w:rFonts w:hint="eastAsia" w:ascii="宋体" w:hAnsi="宋体"/>
          <w:szCs w:val="21"/>
        </w:rPr>
        <w:t>3.谱峰曲线绘制、与计算机联机测试。</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、2。</w:t>
      </w:r>
    </w:p>
    <w:p>
      <w:pPr>
        <w:spacing w:line="360" w:lineRule="auto"/>
        <w:ind w:firstLine="420" w:firstLineChars="200"/>
        <w:rPr>
          <w:rFonts w:ascii="黑体" w:eastAsia="黑体"/>
          <w:szCs w:val="21"/>
        </w:rPr>
      </w:pPr>
      <w:r>
        <w:rPr>
          <w:rFonts w:hint="eastAsia" w:ascii="黑体" w:eastAsia="黑体"/>
          <w:szCs w:val="21"/>
        </w:rPr>
        <w:t>实验二十五  光电效应法测定普朗克常数</w:t>
      </w:r>
      <w:r>
        <w:rPr>
          <w:rFonts w:hint="eastAsia" w:ascii="黑体" w:hAnsi="宋体" w:eastAsia="黑体"/>
          <w:szCs w:val="21"/>
        </w:rPr>
        <w:t>（2学时）</w:t>
      </w:r>
    </w:p>
    <w:p>
      <w:pPr>
        <w:tabs>
          <w:tab w:val="left" w:pos="-1980"/>
        </w:tabs>
        <w:spacing w:line="360" w:lineRule="auto"/>
        <w:ind w:firstLine="420" w:firstLineChars="200"/>
      </w:pPr>
      <w:r>
        <w:rPr>
          <w:rFonts w:hint="eastAsia" w:cs="宋体"/>
          <w:color w:val="333333"/>
          <w:kern w:val="0"/>
          <w:szCs w:val="21"/>
        </w:rPr>
        <w:t>内容：</w:t>
      </w:r>
      <w:r>
        <w:t>1</w:t>
      </w:r>
      <w:r>
        <w:rPr>
          <w:rFonts w:hint="eastAsia"/>
        </w:rPr>
        <w:t>.</w:t>
      </w:r>
      <w:r>
        <w:t>观察光电管的暗电流(无光照射时的电流)。2</w:t>
      </w:r>
      <w:r>
        <w:rPr>
          <w:rFonts w:hint="eastAsia"/>
        </w:rPr>
        <w:t>.</w:t>
      </w:r>
      <w:r>
        <w:t>测量有光照射时的外加电压及对应的光电流。3</w:t>
      </w:r>
      <w:r>
        <w:rPr>
          <w:rFonts w:hint="eastAsia"/>
        </w:rPr>
        <w:t>.</w:t>
      </w:r>
      <w:r>
        <w:t>分别测</w:t>
      </w:r>
      <w:r>
        <w:rPr>
          <w:rFonts w:hint="eastAsia"/>
        </w:rPr>
        <w:t>出5</w:t>
      </w:r>
      <w:r>
        <w:t>种单色光照射下的电压、电流值，绘出伏安特性曲线。4</w:t>
      </w:r>
      <w:r>
        <w:rPr>
          <w:rFonts w:hint="eastAsia"/>
        </w:rPr>
        <w:t>.</w:t>
      </w:r>
      <w:r>
        <w:t>验证爱因斯坦</w:t>
      </w:r>
      <w:r>
        <w:rPr>
          <w:rFonts w:hint="eastAsia"/>
        </w:rPr>
        <w:t>光电效应</w:t>
      </w:r>
      <w:r>
        <w:t>方程。5</w:t>
      </w:r>
      <w:r>
        <w:rPr>
          <w:rFonts w:hint="eastAsia"/>
        </w:rPr>
        <w:t>.</w:t>
      </w:r>
      <w:r>
        <w:t>求出普朗克常量，把结果与公认值比较写出相对误差。</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szCs w:val="21"/>
        </w:rPr>
        <w:t>1.</w:t>
      </w:r>
      <w:r>
        <w:t>加深对光电效应和光的量子性的理解；</w:t>
      </w:r>
    </w:p>
    <w:p>
      <w:pPr>
        <w:spacing w:line="360" w:lineRule="auto"/>
        <w:ind w:firstLine="420" w:firstLineChars="200"/>
      </w:pPr>
      <w:r>
        <w:t>2</w:t>
      </w:r>
      <w:r>
        <w:rPr>
          <w:rFonts w:hint="eastAsia"/>
        </w:rPr>
        <w:t>.</w:t>
      </w:r>
      <w:r>
        <w:t>学习验证爱因斯坦光电效应方程的实验方法</w:t>
      </w:r>
      <w:r>
        <w:rPr>
          <w:rFonts w:hint="eastAsia"/>
        </w:rPr>
        <w:t>；</w:t>
      </w:r>
    </w:p>
    <w:p>
      <w:pPr>
        <w:spacing w:line="360" w:lineRule="auto"/>
        <w:ind w:firstLine="420" w:firstLineChars="200"/>
        <w:rPr>
          <w:szCs w:val="21"/>
        </w:rPr>
      </w:pPr>
      <w:r>
        <w:rPr>
          <w:rFonts w:hint="eastAsia"/>
        </w:rPr>
        <w:t>3.用作图法处理实验数据测普朗</w:t>
      </w:r>
      <w:r>
        <w:rPr>
          <w:rFonts w:hint="eastAsia"/>
          <w:szCs w:val="21"/>
        </w:rPr>
        <w:t>克常数。</w:t>
      </w:r>
    </w:p>
    <w:p>
      <w:pPr>
        <w:adjustRightInd w:val="0"/>
        <w:spacing w:line="360" w:lineRule="auto"/>
        <w:ind w:firstLine="420" w:firstLineChars="200"/>
        <w:rPr>
          <w:szCs w:val="21"/>
        </w:rPr>
      </w:pPr>
      <w:r>
        <w:rPr>
          <w:rFonts w:hint="eastAsia"/>
          <w:szCs w:val="21"/>
        </w:rPr>
        <w:t xml:space="preserve">本实验内容支撑课程目标 </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实验二十六  光纤光学与半导体激光器的电光特性</w:t>
      </w:r>
      <w:r>
        <w:rPr>
          <w:rFonts w:hint="eastAsia" w:ascii="黑体" w:hAnsi="宋体" w:eastAsia="黑体"/>
          <w:szCs w:val="21"/>
        </w:rPr>
        <w:t>（2学时）</w:t>
      </w:r>
    </w:p>
    <w:p>
      <w:pPr>
        <w:tabs>
          <w:tab w:val="left" w:pos="-1980"/>
        </w:tabs>
        <w:spacing w:line="360" w:lineRule="auto"/>
        <w:ind w:firstLine="420" w:firstLineChars="200"/>
        <w:rPr>
          <w:rFonts w:ascii="宋体" w:hAnsi="宋体"/>
          <w:szCs w:val="21"/>
        </w:rPr>
      </w:pPr>
      <w:r>
        <w:rPr>
          <w:rFonts w:hint="eastAsia" w:cs="宋体"/>
          <w:color w:val="333333"/>
          <w:kern w:val="0"/>
          <w:szCs w:val="21"/>
        </w:rPr>
        <w:t>内容：</w:t>
      </w:r>
      <w:r>
        <w:rPr>
          <w:rFonts w:hint="eastAsia"/>
          <w:szCs w:val="21"/>
        </w:rPr>
        <w:t>了解音频信号光纤传输系统的结构及选配各主要部件的原则，半导体电光/光电器件的基本性能及主要特性的测试方法，光信号的调制与发送、接收等。光纤中光速测定。</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rPr>
        <w:t>1.</w:t>
      </w:r>
      <w:r>
        <w:t>了解音频信号光纤传输系统的基本结构及选配各主要部件的原则；</w:t>
      </w:r>
    </w:p>
    <w:p>
      <w:pPr>
        <w:spacing w:line="360" w:lineRule="auto"/>
        <w:ind w:firstLine="420" w:firstLineChars="200"/>
        <w:rPr>
          <w:rFonts w:hAnsi="宋体" w:cs="宋体"/>
          <w:kern w:val="0"/>
          <w:szCs w:val="21"/>
        </w:rPr>
      </w:pPr>
      <w:r>
        <w:rPr>
          <w:rFonts w:hint="eastAsia"/>
        </w:rPr>
        <w:t>2.</w:t>
      </w:r>
      <w:r>
        <w:t>熟悉半导体电光/光电器件的基本性能及其主要特性的测试方法；</w:t>
      </w:r>
    </w:p>
    <w:p>
      <w:pPr>
        <w:spacing w:line="360" w:lineRule="auto"/>
        <w:ind w:firstLine="420" w:firstLineChars="200"/>
        <w:rPr>
          <w:rFonts w:hAnsi="宋体" w:cs="宋体"/>
          <w:kern w:val="0"/>
          <w:szCs w:val="21"/>
        </w:rPr>
      </w:pPr>
      <w:r>
        <w:rPr>
          <w:rFonts w:hint="eastAsia"/>
        </w:rPr>
        <w:t>3.</w:t>
      </w:r>
      <w:r>
        <w:t>掌握电流电压变换技术测量光功率的方法；</w:t>
      </w:r>
    </w:p>
    <w:p>
      <w:pPr>
        <w:spacing w:line="360" w:lineRule="auto"/>
        <w:ind w:firstLine="420" w:firstLineChars="200"/>
      </w:pPr>
      <w:r>
        <w:rPr>
          <w:rFonts w:hint="eastAsia"/>
        </w:rPr>
        <w:t>4.</w:t>
      </w:r>
      <w:r>
        <w:t>训练光纤传输系统的调制技术。</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实验二十七  密立根油滴实验</w:t>
      </w:r>
      <w:r>
        <w:rPr>
          <w:rFonts w:hint="eastAsia" w:ascii="黑体" w:hAnsi="宋体" w:eastAsia="黑体"/>
          <w:szCs w:val="21"/>
        </w:rPr>
        <w:t>（2学时）</w:t>
      </w:r>
    </w:p>
    <w:p>
      <w:pPr>
        <w:tabs>
          <w:tab w:val="left" w:pos="-1980"/>
        </w:tabs>
        <w:spacing w:line="360" w:lineRule="auto"/>
        <w:ind w:firstLine="420" w:firstLineChars="200"/>
      </w:pPr>
      <w:r>
        <w:rPr>
          <w:rFonts w:hint="eastAsia" w:cs="宋体"/>
          <w:color w:val="333333"/>
          <w:kern w:val="0"/>
          <w:szCs w:val="21"/>
        </w:rPr>
        <w:t>内容：</w:t>
      </w:r>
      <w:r>
        <w:t>1</w:t>
      </w:r>
      <w:r>
        <w:rPr>
          <w:rFonts w:hint="eastAsia"/>
        </w:rPr>
        <w:t>.</w:t>
      </w:r>
      <w:r>
        <w:t>了解密立根油滴仪的结构</w:t>
      </w:r>
      <w:r>
        <w:rPr>
          <w:rFonts w:hint="eastAsia"/>
        </w:rPr>
        <w:t>、</w:t>
      </w:r>
      <w:r>
        <w:t>仪器的调节与使用；2</w:t>
      </w:r>
      <w:r>
        <w:rPr>
          <w:rFonts w:hint="eastAsia"/>
        </w:rPr>
        <w:t>.</w:t>
      </w:r>
      <w:r>
        <w:t>选择适当的油滴；3</w:t>
      </w:r>
      <w:r>
        <w:rPr>
          <w:rFonts w:hint="eastAsia"/>
        </w:rPr>
        <w:t>.</w:t>
      </w:r>
      <w:r>
        <w:t>正式测量，实验方法可选用平衡测量法和动态测量法。</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tabs>
          <w:tab w:val="left" w:pos="-1980"/>
        </w:tabs>
        <w:spacing w:line="360" w:lineRule="auto"/>
        <w:ind w:firstLine="420" w:firstLineChars="200"/>
        <w:rPr>
          <w:rFonts w:hAnsi="宋体" w:cs="宋体"/>
          <w:kern w:val="0"/>
          <w:szCs w:val="21"/>
        </w:rPr>
      </w:pPr>
      <w:r>
        <w:rPr>
          <w:rFonts w:hint="eastAsia"/>
          <w:szCs w:val="21"/>
        </w:rPr>
        <w:t>1.</w:t>
      </w:r>
      <w:r>
        <w:t>油滴实验测定电子电荷的设计思想和方法</w:t>
      </w:r>
      <w:r>
        <w:rPr>
          <w:rFonts w:hint="eastAsia" w:hAnsi="宋体" w:cs="宋体"/>
          <w:kern w:val="0"/>
          <w:szCs w:val="21"/>
        </w:rPr>
        <w:t>；</w:t>
      </w:r>
    </w:p>
    <w:p>
      <w:pPr>
        <w:tabs>
          <w:tab w:val="left" w:pos="-1980"/>
        </w:tabs>
        <w:spacing w:line="360" w:lineRule="auto"/>
        <w:ind w:firstLine="420" w:firstLineChars="200"/>
      </w:pPr>
      <w:r>
        <w:t>2</w:t>
      </w:r>
      <w:r>
        <w:rPr>
          <w:rFonts w:hint="eastAsia"/>
        </w:rPr>
        <w:t>.</w:t>
      </w:r>
      <w:r>
        <w:t>了解CCD图像传感器的原理和电视显微测量方法；</w:t>
      </w:r>
    </w:p>
    <w:p>
      <w:pPr>
        <w:tabs>
          <w:tab w:val="left" w:pos="-1980"/>
        </w:tabs>
        <w:spacing w:line="360" w:lineRule="auto"/>
        <w:ind w:firstLine="420" w:firstLineChars="200"/>
        <w:rPr>
          <w:szCs w:val="21"/>
        </w:rPr>
      </w:pPr>
      <w:r>
        <w:t>3</w:t>
      </w:r>
      <w:r>
        <w:rPr>
          <w:rFonts w:hint="eastAsia"/>
        </w:rPr>
        <w:t>.</w:t>
      </w:r>
      <w:r>
        <w:t>用动态法和平衡法测量电子电量的大小；</w:t>
      </w:r>
      <w:r>
        <w:rPr>
          <w:rFonts w:hint="eastAsia"/>
          <w:szCs w:val="21"/>
        </w:rPr>
        <w:t>验证电子的量子性，测定基本电量。</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实验二十八  干涉法测空气折射率</w:t>
      </w:r>
      <w:r>
        <w:rPr>
          <w:rFonts w:hint="eastAsia" w:ascii="黑体" w:hAnsi="宋体" w:eastAsia="黑体"/>
          <w:szCs w:val="21"/>
        </w:rPr>
        <w:t>（2学时）</w:t>
      </w:r>
    </w:p>
    <w:p>
      <w:pPr>
        <w:tabs>
          <w:tab w:val="left" w:pos="-1980"/>
        </w:tabs>
        <w:spacing w:line="360" w:lineRule="auto"/>
        <w:ind w:firstLine="420" w:firstLineChars="200"/>
        <w:rPr>
          <w:szCs w:val="21"/>
        </w:rPr>
      </w:pPr>
      <w:r>
        <w:rPr>
          <w:rFonts w:hint="eastAsia" w:cs="宋体"/>
          <w:color w:val="333333"/>
          <w:kern w:val="0"/>
          <w:szCs w:val="21"/>
        </w:rPr>
        <w:t>内容：</w:t>
      </w:r>
      <w:r>
        <w:rPr>
          <w:rFonts w:hint="eastAsia"/>
          <w:szCs w:val="21"/>
        </w:rPr>
        <w:t>学习一种测量气体折射率的方法；了解自搭迈克尔逊干涉仪的方法；进一步掌握光的干涉现象及其形成条件。</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left="420"/>
        <w:rPr>
          <w:szCs w:val="21"/>
        </w:rPr>
      </w:pPr>
      <w:r>
        <w:rPr>
          <w:rFonts w:hint="eastAsia"/>
          <w:szCs w:val="21"/>
        </w:rPr>
        <w:t>1.摆放光具并调整光路；</w:t>
      </w:r>
    </w:p>
    <w:p>
      <w:pPr>
        <w:spacing w:line="360" w:lineRule="auto"/>
        <w:ind w:left="420"/>
        <w:rPr>
          <w:rFonts w:hAnsi="宋体" w:cs="宋体"/>
          <w:kern w:val="0"/>
          <w:szCs w:val="21"/>
        </w:rPr>
      </w:pPr>
      <w:r>
        <w:rPr>
          <w:rFonts w:hint="eastAsia" w:hAnsi="宋体" w:cs="宋体"/>
          <w:kern w:val="0"/>
          <w:szCs w:val="21"/>
        </w:rPr>
        <w:t>2.每间隔5个条纹测一个压强，并用逐差法处理数据；</w:t>
      </w:r>
    </w:p>
    <w:p>
      <w:pPr>
        <w:spacing w:line="360" w:lineRule="auto"/>
        <w:ind w:left="420"/>
        <w:rPr>
          <w:rFonts w:hAnsi="宋体" w:cs="宋体"/>
          <w:kern w:val="0"/>
          <w:szCs w:val="21"/>
        </w:rPr>
      </w:pPr>
      <w:r>
        <w:rPr>
          <w:rFonts w:hint="eastAsia" w:hAnsi="宋体" w:cs="宋体"/>
          <w:kern w:val="0"/>
          <w:szCs w:val="21"/>
        </w:rPr>
        <w:t>3.计算实验时的空气折射率。</w:t>
      </w:r>
    </w:p>
    <w:p>
      <w:pPr>
        <w:spacing w:line="360" w:lineRule="auto"/>
        <w:ind w:left="420"/>
        <w:rPr>
          <w:rFonts w:hAnsi="宋体" w:cs="宋体"/>
          <w:kern w:val="0"/>
          <w:szCs w:val="21"/>
        </w:rPr>
      </w:pPr>
      <w:r>
        <w:rPr>
          <w:rFonts w:hint="eastAsia" w:hAnsi="宋体" w:cs="宋体"/>
          <w:kern w:val="0"/>
          <w:szCs w:val="21"/>
        </w:rPr>
        <w:t>具体要求：</w:t>
      </w:r>
    </w:p>
    <w:p>
      <w:pPr>
        <w:spacing w:line="360" w:lineRule="auto"/>
        <w:ind w:firstLine="420" w:firstLineChars="200"/>
        <w:rPr>
          <w:rFonts w:hAnsi="宋体" w:cs="宋体"/>
          <w:kern w:val="0"/>
          <w:szCs w:val="21"/>
        </w:rPr>
      </w:pPr>
      <w:r>
        <w:rPr>
          <w:rFonts w:hint="eastAsia" w:hAnsi="宋体" w:cs="宋体"/>
          <w:kern w:val="0"/>
          <w:szCs w:val="21"/>
        </w:rPr>
        <w:t>1.干涉仪的工作原理；</w:t>
      </w:r>
    </w:p>
    <w:p>
      <w:pPr>
        <w:spacing w:line="360" w:lineRule="auto"/>
        <w:ind w:left="420"/>
        <w:rPr>
          <w:rFonts w:hAnsi="宋体" w:cs="宋体"/>
          <w:kern w:val="0"/>
          <w:szCs w:val="21"/>
        </w:rPr>
      </w:pPr>
      <w:r>
        <w:rPr>
          <w:rFonts w:hint="eastAsia" w:hAnsi="宋体" w:cs="宋体"/>
          <w:kern w:val="0"/>
          <w:szCs w:val="21"/>
        </w:rPr>
        <w:t>2.理解分振幅干涉的原理；</w:t>
      </w:r>
    </w:p>
    <w:p>
      <w:pPr>
        <w:spacing w:line="360" w:lineRule="auto"/>
        <w:ind w:left="420"/>
        <w:rPr>
          <w:rFonts w:hAnsi="宋体" w:cs="宋体"/>
          <w:kern w:val="0"/>
          <w:szCs w:val="21"/>
        </w:rPr>
      </w:pPr>
      <w:r>
        <w:rPr>
          <w:rFonts w:hint="eastAsia" w:hAnsi="宋体" w:cs="宋体"/>
          <w:kern w:val="0"/>
          <w:szCs w:val="21"/>
        </w:rPr>
        <w:t>3.理解空气折射率与压强的关系；</w:t>
      </w:r>
    </w:p>
    <w:p>
      <w:pPr>
        <w:spacing w:line="360" w:lineRule="auto"/>
        <w:ind w:left="420"/>
        <w:rPr>
          <w:rFonts w:hAnsi="宋体" w:cs="宋体"/>
          <w:kern w:val="0"/>
          <w:szCs w:val="21"/>
        </w:rPr>
      </w:pPr>
      <w:r>
        <w:rPr>
          <w:rFonts w:hint="eastAsia" w:hAnsi="宋体" w:cs="宋体"/>
          <w:kern w:val="0"/>
          <w:szCs w:val="21"/>
        </w:rPr>
        <w:t>4.报告要求：除按一般实验报告要求完成外，还应体现各部分内容的理解及相关内容的叙述。</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 xml:space="preserve">实验二十九  </w:t>
      </w:r>
      <w:r>
        <w:rPr>
          <w:rFonts w:hint="eastAsia" w:eastAsia="黑体"/>
          <w:szCs w:val="21"/>
        </w:rPr>
        <w:t>电阻应变式传感器及应用</w:t>
      </w:r>
      <w:r>
        <w:rPr>
          <w:rFonts w:hint="eastAsia" w:ascii="黑体" w:hAnsi="宋体" w:eastAsia="黑体"/>
          <w:szCs w:val="21"/>
        </w:rPr>
        <w:t>（2学时）</w:t>
      </w:r>
    </w:p>
    <w:p>
      <w:pPr>
        <w:spacing w:line="360" w:lineRule="auto"/>
        <w:ind w:firstLine="420"/>
        <w:rPr>
          <w:rFonts w:cs="宋体"/>
          <w:color w:val="333333"/>
          <w:kern w:val="0"/>
          <w:szCs w:val="21"/>
        </w:rPr>
      </w:pPr>
      <w:r>
        <w:rPr>
          <w:rFonts w:hint="eastAsia" w:cs="宋体"/>
          <w:color w:val="333333"/>
          <w:kern w:val="0"/>
          <w:szCs w:val="21"/>
        </w:rPr>
        <w:t>内容：</w:t>
      </w:r>
      <w:r>
        <w:rPr>
          <w:rFonts w:hint="eastAsia"/>
        </w:rPr>
        <w:t>1.了解非电学量的电测方法；2.了解金属箔式应变片的应变效应；3.了解非电桥工作原理和性能。</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rPr>
        <w:t>1.单臂电桥工作原理和性能；</w:t>
      </w:r>
    </w:p>
    <w:p>
      <w:pPr>
        <w:spacing w:line="360" w:lineRule="auto"/>
        <w:ind w:left="420"/>
        <w:rPr>
          <w:szCs w:val="21"/>
        </w:rPr>
      </w:pPr>
      <w:r>
        <w:rPr>
          <w:rFonts w:hint="eastAsia"/>
        </w:rPr>
        <w:t>2.比较半桥与单臂电桥的不同性能、了解其特点；</w:t>
      </w:r>
    </w:p>
    <w:p>
      <w:pPr>
        <w:spacing w:line="360" w:lineRule="auto"/>
        <w:ind w:left="420"/>
      </w:pPr>
      <w:r>
        <w:rPr>
          <w:rFonts w:hint="eastAsia"/>
        </w:rPr>
        <w:t>3.了解全桥测量电路的优点。</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实验三十  太阳能电池的特性测量</w:t>
      </w:r>
    </w:p>
    <w:p>
      <w:pPr>
        <w:tabs>
          <w:tab w:val="left" w:pos="-1980"/>
        </w:tabs>
        <w:spacing w:line="360" w:lineRule="auto"/>
        <w:ind w:firstLine="420" w:firstLineChars="200"/>
        <w:rPr>
          <w:szCs w:val="21"/>
        </w:rPr>
      </w:pPr>
      <w:r>
        <w:rPr>
          <w:rFonts w:hint="eastAsia" w:cs="宋体"/>
          <w:color w:val="333333"/>
          <w:kern w:val="0"/>
          <w:szCs w:val="21"/>
        </w:rPr>
        <w:t>内容：了解太阳能电池的结构和工作原理</w:t>
      </w:r>
      <w:r>
        <w:rPr>
          <w:rFonts w:hint="eastAsia"/>
          <w:szCs w:val="21"/>
        </w:rPr>
        <w:t>。</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rPr>
          <w:szCs w:val="21"/>
        </w:rPr>
      </w:pPr>
      <w:r>
        <w:rPr>
          <w:rFonts w:hint="eastAsia"/>
          <w:szCs w:val="21"/>
        </w:rPr>
        <w:t>1.测量不同照度下太阳能电池的伏安特性、开路电压和短路电流；</w:t>
      </w:r>
    </w:p>
    <w:p>
      <w:pPr>
        <w:spacing w:line="360" w:lineRule="auto"/>
        <w:ind w:firstLine="420" w:firstLineChars="200"/>
        <w:rPr>
          <w:szCs w:val="21"/>
        </w:rPr>
      </w:pPr>
      <w:r>
        <w:rPr>
          <w:rFonts w:hint="eastAsia"/>
          <w:szCs w:val="21"/>
        </w:rPr>
        <w:t>2.在不同照度下，测量太阳能电池的输出功率与负载电阻的函数关系；</w:t>
      </w:r>
    </w:p>
    <w:p>
      <w:pPr>
        <w:spacing w:line="360" w:lineRule="auto"/>
        <w:ind w:firstLine="420" w:firstLineChars="200"/>
        <w:rPr>
          <w:rFonts w:ascii="黑体" w:eastAsia="黑体"/>
          <w:szCs w:val="21"/>
        </w:rPr>
      </w:pPr>
      <w:r>
        <w:rPr>
          <w:rFonts w:hint="eastAsia"/>
          <w:szCs w:val="21"/>
        </w:rPr>
        <w:t>3.确定太阳能电池的最大输出功率、填充因数。</w:t>
      </w:r>
      <w:r>
        <w:rPr>
          <w:rFonts w:hint="eastAsia" w:ascii="黑体" w:eastAsia="黑体"/>
          <w:szCs w:val="21"/>
        </w:rPr>
        <w:t xml:space="preserve"> </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2</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实验三十一  用冲击电流计测量电容和高电阻（2学时）</w:t>
      </w:r>
    </w:p>
    <w:p>
      <w:pPr>
        <w:tabs>
          <w:tab w:val="left" w:pos="-1980"/>
        </w:tabs>
        <w:spacing w:line="360" w:lineRule="auto"/>
        <w:ind w:firstLine="420" w:firstLineChars="200"/>
        <w:rPr>
          <w:szCs w:val="21"/>
        </w:rPr>
      </w:pPr>
      <w:r>
        <w:rPr>
          <w:rFonts w:hint="eastAsia" w:cs="宋体"/>
          <w:color w:val="333333"/>
          <w:kern w:val="0"/>
          <w:szCs w:val="21"/>
        </w:rPr>
        <w:t>内容：用电子式冲击电流计测量高电阻和电容</w:t>
      </w:r>
      <w:r>
        <w:rPr>
          <w:rFonts w:hint="eastAsia"/>
          <w:szCs w:val="21"/>
        </w:rPr>
        <w:t>。</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rPr>
        <w:t xml:space="preserve">1.测量电容器的电容；    </w:t>
      </w:r>
    </w:p>
    <w:p>
      <w:pPr>
        <w:spacing w:line="360" w:lineRule="auto"/>
        <w:ind w:firstLine="420" w:firstLineChars="200"/>
      </w:pPr>
      <w:r>
        <w:rPr>
          <w:rFonts w:hint="eastAsia"/>
        </w:rPr>
        <w:t>2.用放电法测量高电阻。</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w:t>
      </w:r>
      <w:r>
        <w:rPr>
          <w:szCs w:val="21"/>
        </w:rPr>
        <w:t>3</w:t>
      </w:r>
      <w:r>
        <w:rPr>
          <w:rFonts w:hint="eastAsia"/>
          <w:szCs w:val="21"/>
        </w:rPr>
        <w:t>。</w:t>
      </w:r>
    </w:p>
    <w:p>
      <w:pPr>
        <w:spacing w:line="360" w:lineRule="auto"/>
        <w:ind w:firstLine="420" w:firstLineChars="200"/>
        <w:rPr>
          <w:rFonts w:ascii="黑体" w:eastAsia="黑体"/>
          <w:szCs w:val="21"/>
        </w:rPr>
      </w:pPr>
      <w:r>
        <w:rPr>
          <w:rFonts w:hint="eastAsia" w:ascii="黑体" w:eastAsia="黑体"/>
          <w:szCs w:val="21"/>
        </w:rPr>
        <w:t xml:space="preserve">实验三十二  </w:t>
      </w:r>
      <w:r>
        <w:rPr>
          <w:rFonts w:hint="eastAsia" w:ascii="黑体" w:hAnsi="宋体" w:eastAsia="黑体"/>
          <w:szCs w:val="21"/>
        </w:rPr>
        <w:t>调相式磁通门实验（2学时）</w:t>
      </w:r>
    </w:p>
    <w:p>
      <w:pPr>
        <w:tabs>
          <w:tab w:val="left" w:pos="-1980"/>
        </w:tabs>
        <w:spacing w:line="360" w:lineRule="auto"/>
        <w:ind w:firstLine="420" w:firstLineChars="200"/>
        <w:rPr>
          <w:rFonts w:ascii="宋体" w:hAnsi="宋体"/>
          <w:szCs w:val="21"/>
        </w:rPr>
      </w:pPr>
      <w:r>
        <w:rPr>
          <w:rFonts w:hint="eastAsia" w:cs="宋体"/>
          <w:color w:val="333333"/>
          <w:kern w:val="0"/>
          <w:szCs w:val="21"/>
        </w:rPr>
        <w:t>内容：学习磁通门测磁场的原理,磁强计的标定、</w:t>
      </w:r>
      <w:r>
        <w:rPr>
          <w:rFonts w:hint="eastAsia"/>
        </w:rPr>
        <w:t>调相型磁通门测弱磁场</w:t>
      </w:r>
    </w:p>
    <w:p>
      <w:pPr>
        <w:tabs>
          <w:tab w:val="left" w:pos="-1980"/>
        </w:tabs>
        <w:spacing w:line="360" w:lineRule="auto"/>
        <w:ind w:firstLine="420" w:firstLineChars="200"/>
        <w:rPr>
          <w:rFonts w:ascii="宋体" w:hAnsi="宋体"/>
          <w:szCs w:val="21"/>
        </w:rPr>
      </w:pPr>
      <w:r>
        <w:rPr>
          <w:rFonts w:hint="eastAsia" w:ascii="宋体" w:hAnsi="宋体"/>
          <w:szCs w:val="21"/>
        </w:rPr>
        <w:t>基本要求：</w:t>
      </w:r>
    </w:p>
    <w:p>
      <w:pPr>
        <w:spacing w:line="360" w:lineRule="auto"/>
        <w:ind w:firstLine="420" w:firstLineChars="200"/>
      </w:pPr>
      <w:r>
        <w:rPr>
          <w:rFonts w:hint="eastAsia"/>
        </w:rPr>
        <w:t>1.了解调相型磁通门测磁法的原理和技术；</w:t>
      </w:r>
    </w:p>
    <w:p>
      <w:pPr>
        <w:spacing w:line="360" w:lineRule="auto"/>
        <w:ind w:firstLine="420" w:firstLineChars="200"/>
      </w:pPr>
      <w:r>
        <w:rPr>
          <w:rFonts w:hint="eastAsia"/>
        </w:rPr>
        <w:t>2.学会用调相型磁通门测弱磁场的方法。</w:t>
      </w:r>
    </w:p>
    <w:p>
      <w:pPr>
        <w:adjustRightInd w:val="0"/>
        <w:spacing w:line="360" w:lineRule="auto"/>
        <w:ind w:firstLine="420" w:firstLineChars="200"/>
        <w:rPr>
          <w:szCs w:val="21"/>
        </w:rPr>
      </w:pPr>
      <w:r>
        <w:rPr>
          <w:rFonts w:hint="eastAsia"/>
          <w:szCs w:val="21"/>
        </w:rPr>
        <w:t xml:space="preserve">本实验内容支撑课程目标 </w:t>
      </w:r>
      <w:r>
        <w:rPr>
          <w:szCs w:val="21"/>
        </w:rPr>
        <w:t>1</w:t>
      </w:r>
      <w:r>
        <w:rPr>
          <w:rFonts w:hint="eastAsia"/>
          <w:szCs w:val="21"/>
        </w:rPr>
        <w:t>、3。</w:t>
      </w:r>
    </w:p>
    <w:p>
      <w:pPr>
        <w:adjustRightInd w:val="0"/>
        <w:spacing w:line="360" w:lineRule="auto"/>
        <w:ind w:firstLine="420" w:firstLineChars="200"/>
        <w:rPr>
          <w:szCs w:val="21"/>
        </w:rPr>
      </w:pPr>
    </w:p>
    <w:p>
      <w:pPr>
        <w:spacing w:line="360" w:lineRule="auto"/>
        <w:rPr>
          <w:rFonts w:eastAsia="黑体"/>
          <w:szCs w:val="21"/>
        </w:rPr>
      </w:pPr>
      <w:r>
        <w:rPr>
          <w:rFonts w:hint="eastAsia" w:eastAsia="黑体"/>
          <w:szCs w:val="21"/>
        </w:rPr>
        <w:t>四</w:t>
      </w:r>
      <w:r>
        <w:rPr>
          <w:rFonts w:eastAsia="黑体"/>
          <w:szCs w:val="21"/>
        </w:rPr>
        <w:t>、学时分配</w:t>
      </w:r>
    </w:p>
    <w:tbl>
      <w:tblPr>
        <w:tblStyle w:val="22"/>
        <w:tblW w:w="5000" w:type="pct"/>
        <w:jc w:val="right"/>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55"/>
        <w:gridCol w:w="1648"/>
        <w:gridCol w:w="1470"/>
        <w:gridCol w:w="10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right"/>
        </w:trPr>
        <w:tc>
          <w:tcPr>
            <w:tcW w:w="2501" w:type="pct"/>
            <w:vAlign w:val="center"/>
          </w:tcPr>
          <w:p>
            <w:pPr>
              <w:jc w:val="center"/>
              <w:rPr>
                <w:sz w:val="18"/>
                <w:szCs w:val="18"/>
              </w:rPr>
            </w:pPr>
            <w:r>
              <w:rPr>
                <w:sz w:val="18"/>
                <w:szCs w:val="18"/>
              </w:rPr>
              <w:t>章节名称</w:t>
            </w:r>
          </w:p>
        </w:tc>
        <w:tc>
          <w:tcPr>
            <w:tcW w:w="992" w:type="pct"/>
            <w:vAlign w:val="center"/>
          </w:tcPr>
          <w:p>
            <w:pPr>
              <w:jc w:val="center"/>
              <w:rPr>
                <w:sz w:val="18"/>
                <w:szCs w:val="18"/>
              </w:rPr>
            </w:pPr>
            <w:r>
              <w:rPr>
                <w:sz w:val="18"/>
                <w:szCs w:val="18"/>
              </w:rPr>
              <w:t>讲授（学时）</w:t>
            </w:r>
          </w:p>
        </w:tc>
        <w:tc>
          <w:tcPr>
            <w:tcW w:w="885" w:type="pct"/>
            <w:vAlign w:val="center"/>
          </w:tcPr>
          <w:p>
            <w:pPr>
              <w:jc w:val="center"/>
              <w:rPr>
                <w:sz w:val="18"/>
                <w:szCs w:val="18"/>
              </w:rPr>
            </w:pPr>
            <w:r>
              <w:rPr>
                <w:sz w:val="18"/>
                <w:szCs w:val="18"/>
              </w:rPr>
              <w:t>实验（学时）</w:t>
            </w:r>
          </w:p>
        </w:tc>
        <w:tc>
          <w:tcPr>
            <w:tcW w:w="622" w:type="pct"/>
            <w:vAlign w:val="center"/>
          </w:tcPr>
          <w:p>
            <w:pPr>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right"/>
        </w:trPr>
        <w:tc>
          <w:tcPr>
            <w:tcW w:w="2501" w:type="pct"/>
            <w:vAlign w:val="center"/>
          </w:tcPr>
          <w:p>
            <w:pPr>
              <w:ind w:firstLine="282" w:firstLineChars="157"/>
              <w:jc w:val="left"/>
              <w:rPr>
                <w:sz w:val="18"/>
                <w:szCs w:val="18"/>
              </w:rPr>
            </w:pPr>
            <w:r>
              <w:rPr>
                <w:rFonts w:hint="eastAsia"/>
                <w:bCs/>
                <w:sz w:val="18"/>
                <w:szCs w:val="18"/>
              </w:rPr>
              <w:t>实验绪论</w:t>
            </w:r>
          </w:p>
        </w:tc>
        <w:tc>
          <w:tcPr>
            <w:tcW w:w="992" w:type="pct"/>
          </w:tcPr>
          <w:p>
            <w:pPr>
              <w:jc w:val="center"/>
              <w:rPr>
                <w:sz w:val="18"/>
                <w:szCs w:val="18"/>
              </w:rPr>
            </w:pPr>
            <w:r>
              <w:rPr>
                <w:rFonts w:hint="eastAsia"/>
                <w:sz w:val="18"/>
                <w:szCs w:val="18"/>
              </w:rPr>
              <w:t>4</w:t>
            </w:r>
          </w:p>
        </w:tc>
        <w:tc>
          <w:tcPr>
            <w:tcW w:w="885" w:type="pct"/>
          </w:tcPr>
          <w:p>
            <w:pPr>
              <w:jc w:val="center"/>
              <w:rPr>
                <w:sz w:val="18"/>
                <w:szCs w:val="18"/>
              </w:rPr>
            </w:pPr>
            <w:r>
              <w:rPr>
                <w:rFonts w:hint="eastAsia"/>
                <w:sz w:val="18"/>
                <w:szCs w:val="18"/>
              </w:rPr>
              <w:t>0</w:t>
            </w:r>
          </w:p>
        </w:tc>
        <w:tc>
          <w:tcPr>
            <w:tcW w:w="622" w:type="pct"/>
          </w:tcPr>
          <w:p>
            <w:pPr>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声速的测量</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sz w:val="18"/>
                <w:szCs w:val="18"/>
              </w:rPr>
              <w:t>转动惯量的测量(三线摆)</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模拟示波器基础实验</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用惠斯通电桥测电阻</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ascii="宋体" w:hAnsi="宋体"/>
                <w:bCs/>
                <w:sz w:val="18"/>
                <w:szCs w:val="18"/>
              </w:rPr>
              <w:t>改装电表及其校准</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bCs/>
                <w:sz w:val="18"/>
                <w:szCs w:val="18"/>
              </w:rPr>
            </w:pPr>
            <w:r>
              <w:rPr>
                <w:rFonts w:hint="eastAsia"/>
                <w:bCs/>
                <w:sz w:val="18"/>
                <w:szCs w:val="18"/>
              </w:rPr>
              <w:t>用箱式电位差计测量热电偶的温差电动势</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霍尔效应及其应用</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用电子式冲击电流计测互感</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气体比热容比的测定</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弹性模量的测定（拉伸法）</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1</w:t>
            </w:r>
          </w:p>
        </w:tc>
        <w:tc>
          <w:tcPr>
            <w:tcW w:w="622" w:type="pct"/>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热膨胀系数的测量</w:t>
            </w:r>
          </w:p>
        </w:tc>
        <w:tc>
          <w:tcPr>
            <w:tcW w:w="992" w:type="pct"/>
          </w:tcPr>
          <w:p>
            <w:pPr>
              <w:jc w:val="center"/>
              <w:rPr>
                <w:sz w:val="18"/>
                <w:szCs w:val="18"/>
              </w:rPr>
            </w:pPr>
            <w:r>
              <w:rPr>
                <w:sz w:val="18"/>
                <w:szCs w:val="18"/>
              </w:rPr>
              <w:t>0</w:t>
            </w:r>
          </w:p>
        </w:tc>
        <w:tc>
          <w:tcPr>
            <w:tcW w:w="885" w:type="pct"/>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分光仪调节和使用</w:t>
            </w:r>
          </w:p>
        </w:tc>
        <w:tc>
          <w:tcPr>
            <w:tcW w:w="992" w:type="pct"/>
          </w:tcPr>
          <w:p>
            <w:pPr>
              <w:jc w:val="center"/>
              <w:rPr>
                <w:sz w:val="18"/>
                <w:szCs w:val="18"/>
              </w:rPr>
            </w:pPr>
            <w:r>
              <w:rPr>
                <w:rFonts w:hint="eastAsia"/>
                <w:sz w:val="18"/>
                <w:szCs w:val="18"/>
              </w:rPr>
              <w:t>0</w:t>
            </w:r>
          </w:p>
        </w:tc>
        <w:tc>
          <w:tcPr>
            <w:tcW w:w="885" w:type="pct"/>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迈克尔逊干涉仪</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bCs/>
                <w:sz w:val="18"/>
                <w:szCs w:val="18"/>
              </w:rPr>
            </w:pPr>
            <w:r>
              <w:rPr>
                <w:rFonts w:hint="eastAsia"/>
                <w:bCs/>
                <w:sz w:val="18"/>
                <w:szCs w:val="18"/>
              </w:rPr>
              <w:t>弹性模量的测定(共振法)</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受迫振动的研究</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sz w:val="18"/>
                <w:szCs w:val="18"/>
              </w:rPr>
              <w:t>RLC串联电路暂态过程的研究</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用数字示波器测软磁材料的磁滞回线</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测三棱镜材料的折射率</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光的衍射实验</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等厚干涉实验</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偏振光的研究</w:t>
            </w:r>
          </w:p>
        </w:tc>
        <w:tc>
          <w:tcPr>
            <w:tcW w:w="992" w:type="pct"/>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太阳能电池的特性测量</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全息照相实验</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夫兰克—赫兹实验</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光电效应法测定普朗克常数</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sz w:val="18"/>
                <w:szCs w:val="18"/>
              </w:rPr>
              <w:t>光纤光学与半导体激光器的电光特性</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rFonts w:ascii="宋体" w:hAnsi="宋体"/>
                <w:sz w:val="18"/>
                <w:szCs w:val="18"/>
              </w:rPr>
            </w:pPr>
            <w:r>
              <w:rPr>
                <w:rFonts w:hint="eastAsia" w:ascii="宋体" w:hAnsi="宋体"/>
                <w:sz w:val="18"/>
                <w:szCs w:val="18"/>
              </w:rPr>
              <w:t>密立根油滴实验</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sz w:val="18"/>
                <w:szCs w:val="18"/>
              </w:rPr>
            </w:pPr>
            <w:r>
              <w:rPr>
                <w:rFonts w:hint="eastAsia"/>
                <w:sz w:val="18"/>
                <w:szCs w:val="18"/>
              </w:rPr>
              <w:t>干涉法测空气的折射率</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sz w:val="18"/>
                <w:szCs w:val="18"/>
              </w:rPr>
            </w:pPr>
            <w:r>
              <w:rPr>
                <w:rFonts w:hint="eastAsia"/>
                <w:sz w:val="18"/>
                <w:szCs w:val="18"/>
              </w:rPr>
              <w:t>电阻应变式传感器</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sz w:val="18"/>
                <w:szCs w:val="18"/>
              </w:rPr>
            </w:pPr>
            <w:r>
              <w:rPr>
                <w:rFonts w:hint="eastAsia"/>
                <w:sz w:val="18"/>
                <w:szCs w:val="18"/>
              </w:rPr>
              <w:t>用冲击电流计测量电容和高电阻</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ind w:firstLine="282" w:firstLineChars="157"/>
              <w:jc w:val="left"/>
              <w:rPr>
                <w:sz w:val="18"/>
                <w:szCs w:val="18"/>
              </w:rPr>
            </w:pPr>
            <w:r>
              <w:rPr>
                <w:rFonts w:hint="eastAsia"/>
                <w:sz w:val="18"/>
                <w:szCs w:val="18"/>
              </w:rPr>
              <w:t>调相式磁通门实验</w:t>
            </w:r>
          </w:p>
        </w:tc>
        <w:tc>
          <w:tcPr>
            <w:tcW w:w="992" w:type="pct"/>
            <w:vAlign w:val="center"/>
          </w:tcPr>
          <w:p>
            <w:pPr>
              <w:jc w:val="center"/>
              <w:rPr>
                <w:sz w:val="18"/>
                <w:szCs w:val="18"/>
              </w:rPr>
            </w:pPr>
            <w:r>
              <w:rPr>
                <w:rFonts w:hint="eastAsia"/>
                <w:sz w:val="18"/>
                <w:szCs w:val="18"/>
              </w:rPr>
              <w:t>0</w:t>
            </w:r>
          </w:p>
        </w:tc>
        <w:tc>
          <w:tcPr>
            <w:tcW w:w="885" w:type="pct"/>
            <w:vAlign w:val="center"/>
          </w:tcPr>
          <w:p>
            <w:pPr>
              <w:jc w:val="center"/>
              <w:rPr>
                <w:sz w:val="18"/>
                <w:szCs w:val="18"/>
              </w:rPr>
            </w:pPr>
            <w:r>
              <w:rPr>
                <w:sz w:val="18"/>
                <w:szCs w:val="18"/>
              </w:rPr>
              <w:t>2</w:t>
            </w:r>
          </w:p>
        </w:tc>
        <w:tc>
          <w:tcPr>
            <w:tcW w:w="622"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right"/>
        </w:trPr>
        <w:tc>
          <w:tcPr>
            <w:tcW w:w="2501" w:type="pct"/>
            <w:vAlign w:val="center"/>
          </w:tcPr>
          <w:p>
            <w:pPr>
              <w:jc w:val="center"/>
              <w:rPr>
                <w:sz w:val="18"/>
                <w:szCs w:val="18"/>
              </w:rPr>
            </w:pPr>
            <w:r>
              <w:rPr>
                <w:sz w:val="18"/>
                <w:szCs w:val="18"/>
              </w:rPr>
              <w:t>合计</w:t>
            </w:r>
          </w:p>
        </w:tc>
        <w:tc>
          <w:tcPr>
            <w:tcW w:w="992" w:type="pct"/>
            <w:vAlign w:val="center"/>
          </w:tcPr>
          <w:p>
            <w:pPr>
              <w:jc w:val="center"/>
              <w:rPr>
                <w:sz w:val="18"/>
                <w:szCs w:val="18"/>
              </w:rPr>
            </w:pPr>
            <w:r>
              <w:rPr>
                <w:sz w:val="18"/>
                <w:szCs w:val="18"/>
              </w:rPr>
              <w:t>4</w:t>
            </w:r>
          </w:p>
        </w:tc>
        <w:tc>
          <w:tcPr>
            <w:tcW w:w="885" w:type="pct"/>
            <w:vAlign w:val="center"/>
          </w:tcPr>
          <w:p>
            <w:pPr>
              <w:jc w:val="center"/>
              <w:rPr>
                <w:sz w:val="18"/>
                <w:szCs w:val="18"/>
              </w:rPr>
            </w:pPr>
            <w:r>
              <w:rPr>
                <w:sz w:val="18"/>
                <w:szCs w:val="18"/>
              </w:rPr>
              <w:t>52</w:t>
            </w:r>
          </w:p>
        </w:tc>
        <w:tc>
          <w:tcPr>
            <w:tcW w:w="622" w:type="pct"/>
            <w:vAlign w:val="center"/>
          </w:tcPr>
          <w:p>
            <w:pPr>
              <w:jc w:val="center"/>
              <w:rPr>
                <w:sz w:val="18"/>
                <w:szCs w:val="18"/>
              </w:rPr>
            </w:pPr>
            <w:r>
              <w:rPr>
                <w:sz w:val="18"/>
                <w:szCs w:val="18"/>
              </w:rPr>
              <w:t>56</w:t>
            </w:r>
          </w:p>
        </w:tc>
      </w:tr>
    </w:tbl>
    <w:p>
      <w:pPr>
        <w:spacing w:line="360" w:lineRule="auto"/>
      </w:pPr>
    </w:p>
    <w:p>
      <w:pPr>
        <w:tabs>
          <w:tab w:val="left" w:pos="420"/>
        </w:tabs>
        <w:spacing w:line="360" w:lineRule="auto"/>
        <w:ind w:left="420" w:hanging="420"/>
        <w:rPr>
          <w:color w:val="0000FF"/>
          <w:szCs w:val="21"/>
        </w:rPr>
      </w:pPr>
      <w:r>
        <w:rPr>
          <w:rFonts w:hint="eastAsia" w:eastAsia="黑体"/>
        </w:rPr>
        <w:t>五、教材、补充教材及参考资料</w:t>
      </w:r>
    </w:p>
    <w:p>
      <w:pPr>
        <w:spacing w:line="360" w:lineRule="auto"/>
        <w:ind w:firstLine="420" w:firstLineChars="200"/>
        <w:rPr>
          <w:szCs w:val="21"/>
        </w:rPr>
      </w:pPr>
      <w:r>
        <w:rPr>
          <w:szCs w:val="21"/>
        </w:rPr>
        <w:t xml:space="preserve">1. </w:t>
      </w:r>
      <w:r>
        <w:rPr>
          <w:rFonts w:hint="eastAsia"/>
          <w:szCs w:val="21"/>
        </w:rPr>
        <w:t>杨述武等.《普通物理实验》.北京:高等教育出版社,2000.</w:t>
      </w:r>
    </w:p>
    <w:p>
      <w:pPr>
        <w:spacing w:line="360" w:lineRule="auto"/>
        <w:ind w:firstLine="420" w:firstLineChars="200"/>
        <w:rPr>
          <w:szCs w:val="21"/>
        </w:rPr>
      </w:pPr>
      <w:r>
        <w:rPr>
          <w:szCs w:val="21"/>
        </w:rPr>
        <w:t xml:space="preserve">2. </w:t>
      </w:r>
      <w:r>
        <w:rPr>
          <w:rFonts w:hint="eastAsia"/>
          <w:szCs w:val="21"/>
        </w:rPr>
        <w:t>李静等.《普通物理实验》.广州:华南理工大学出版社,1994.</w:t>
      </w:r>
    </w:p>
    <w:p>
      <w:pPr>
        <w:spacing w:line="360" w:lineRule="auto"/>
        <w:ind w:firstLine="420" w:firstLineChars="200"/>
        <w:rPr>
          <w:szCs w:val="21"/>
        </w:rPr>
      </w:pPr>
      <w:r>
        <w:rPr>
          <w:szCs w:val="21"/>
        </w:rPr>
        <w:t xml:space="preserve">3. </w:t>
      </w:r>
      <w:r>
        <w:rPr>
          <w:rFonts w:hint="eastAsia"/>
          <w:szCs w:val="21"/>
        </w:rPr>
        <w:t>肖新民等.《物理实验简明教程》.北京:人民出版社,1987.</w:t>
      </w:r>
    </w:p>
    <w:p>
      <w:pPr>
        <w:spacing w:line="360" w:lineRule="auto"/>
        <w:ind w:firstLine="420" w:firstLineChars="200"/>
        <w:rPr>
          <w:szCs w:val="21"/>
        </w:rPr>
      </w:pPr>
      <w:r>
        <w:rPr>
          <w:szCs w:val="21"/>
        </w:rPr>
        <w:t>4.</w:t>
      </w:r>
      <w:r>
        <w:rPr>
          <w:rFonts w:hint="eastAsia"/>
          <w:szCs w:val="21"/>
        </w:rPr>
        <w:t>《普通物理实验教程》.北京:北京大学出版社,1989.</w:t>
      </w:r>
    </w:p>
    <w:p>
      <w:pPr>
        <w:spacing w:line="360" w:lineRule="auto"/>
        <w:ind w:firstLine="420" w:firstLineChars="200"/>
        <w:rPr>
          <w:szCs w:val="21"/>
        </w:rPr>
      </w:pPr>
      <w:r>
        <w:rPr>
          <w:szCs w:val="21"/>
        </w:rPr>
        <w:t xml:space="preserve">5. </w:t>
      </w:r>
      <w:r>
        <w:rPr>
          <w:rFonts w:hint="eastAsia"/>
          <w:szCs w:val="21"/>
        </w:rPr>
        <w:t>肖苏等.《实验物理教程》.合肥:中国科学技术大学出版社,1998.</w:t>
      </w:r>
    </w:p>
    <w:p>
      <w:pPr>
        <w:spacing w:line="360" w:lineRule="auto"/>
        <w:ind w:firstLine="420" w:firstLineChars="200"/>
        <w:rPr>
          <w:szCs w:val="21"/>
        </w:rPr>
      </w:pPr>
      <w:r>
        <w:rPr>
          <w:szCs w:val="21"/>
        </w:rPr>
        <w:t>6.</w:t>
      </w:r>
      <w:r>
        <w:rPr>
          <w:rFonts w:hint="eastAsia"/>
          <w:szCs w:val="21"/>
        </w:rPr>
        <w:t xml:space="preserve"> 陆廷济等.《大学物理实验》.天津:同济大学出版社,1996.</w:t>
      </w:r>
    </w:p>
    <w:p>
      <w:pPr>
        <w:spacing w:line="360" w:lineRule="auto"/>
        <w:ind w:firstLine="420" w:firstLineChars="200"/>
        <w:rPr>
          <w:szCs w:val="21"/>
        </w:rPr>
      </w:pPr>
      <w:r>
        <w:rPr>
          <w:szCs w:val="21"/>
        </w:rPr>
        <w:t xml:space="preserve">7. </w:t>
      </w:r>
      <w:r>
        <w:rPr>
          <w:rFonts w:hint="eastAsia"/>
          <w:szCs w:val="21"/>
        </w:rPr>
        <w:t>钟读敏等.《大学物理实验》.合肥:中国科学技术大学出版社,1995.</w:t>
      </w:r>
    </w:p>
    <w:p>
      <w:pPr>
        <w:spacing w:line="360" w:lineRule="auto"/>
        <w:ind w:firstLine="420" w:firstLineChars="200"/>
        <w:rPr>
          <w:szCs w:val="21"/>
        </w:rPr>
      </w:pPr>
    </w:p>
    <w:p>
      <w:pPr>
        <w:widowControl/>
        <w:spacing w:line="360" w:lineRule="auto"/>
        <w:jc w:val="left"/>
        <w:rPr>
          <w:rFonts w:eastAsia="黑体"/>
        </w:rPr>
      </w:pPr>
      <w:r>
        <w:rPr>
          <w:rFonts w:hint="eastAsia" w:eastAsia="黑体"/>
        </w:rPr>
        <w:t>六</w:t>
      </w:r>
      <w:r>
        <w:rPr>
          <w:rFonts w:eastAsia="黑体"/>
        </w:rPr>
        <w:t>、课程目标达成评价的途径和措施</w:t>
      </w:r>
    </w:p>
    <w:p>
      <w:pPr>
        <w:spacing w:line="360" w:lineRule="auto"/>
        <w:ind w:firstLine="420" w:firstLineChars="200"/>
        <w:rPr>
          <w:szCs w:val="21"/>
        </w:rPr>
      </w:pPr>
      <w:r>
        <w:rPr>
          <w:rFonts w:hint="eastAsia"/>
          <w:szCs w:val="21"/>
        </w:rPr>
        <w:t>1、考核方式：</w:t>
      </w:r>
      <w:r>
        <w:rPr>
          <w:rFonts w:hint="eastAsia" w:ascii="宋体" w:hAnsi="宋体"/>
          <w:szCs w:val="21"/>
        </w:rPr>
        <w:t>课前预习、课上操作、课后数据处理、实验报告和期末考试。</w:t>
      </w:r>
    </w:p>
    <w:p>
      <w:pPr>
        <w:spacing w:line="360" w:lineRule="auto"/>
        <w:ind w:firstLine="420" w:firstLineChars="200"/>
        <w:rPr>
          <w:rFonts w:ascii="宋体" w:hAnsi="宋体"/>
          <w:szCs w:val="21"/>
        </w:rPr>
      </w:pPr>
      <w:r>
        <w:rPr>
          <w:rFonts w:hint="eastAsia" w:ascii="宋体" w:hAnsi="宋体"/>
          <w:szCs w:val="21"/>
        </w:rPr>
        <w:t>总成绩的评定按平时成绩占70%，期末考试成绩占30%计总成绩。实验平时成绩包括四项，课前预习占比30%、课上操作占比30%、课后数据处理占比30%和实验报告规范整洁占比10%；期末考试形式：开卷；期末考试形式：笔试、操作、口试，选期中一种。</w:t>
      </w:r>
    </w:p>
    <w:p>
      <w:pPr>
        <w:spacing w:line="360" w:lineRule="auto"/>
        <w:ind w:firstLine="420" w:firstLineChars="200"/>
        <w:rPr>
          <w:szCs w:val="21"/>
        </w:rPr>
      </w:pPr>
      <w:r>
        <w:rPr>
          <w:szCs w:val="21"/>
        </w:rPr>
        <w:t>2</w:t>
      </w:r>
      <w:r>
        <w:rPr>
          <w:rFonts w:hint="eastAsia"/>
          <w:szCs w:val="21"/>
        </w:rPr>
        <w:t>、成绩构成：</w:t>
      </w:r>
    </w:p>
    <w:p>
      <w:pPr>
        <w:spacing w:line="360" w:lineRule="auto"/>
        <w:ind w:firstLine="420" w:firstLineChars="200"/>
        <w:rPr>
          <w:szCs w:val="21"/>
        </w:rPr>
      </w:pPr>
      <w:r>
        <w:rPr>
          <w:rFonts w:hint="eastAsia"/>
          <w:szCs w:val="21"/>
        </w:rPr>
        <w:t>本课程通过“平时成绩”和“期末考试”两种方式对课程目标达成进行评价，考核成绩计算公式如下（本大纲中成绩均采用百分制）：</w:t>
      </w:r>
    </w:p>
    <w:p>
      <w:pPr>
        <w:spacing w:line="360" w:lineRule="auto"/>
        <w:jc w:val="center"/>
        <w:rPr>
          <w:sz w:val="18"/>
          <w:szCs w:val="18"/>
        </w:rP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648"/>
        <w:gridCol w:w="1841"/>
        <w:gridCol w:w="1455"/>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874" w:type="pct"/>
            <w:gridSpan w:val="4"/>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平时成绩 70</w:t>
            </w:r>
          </w:p>
        </w:tc>
        <w:tc>
          <w:tcPr>
            <w:tcW w:w="1126" w:type="pct"/>
            <w:vMerge w:val="restart"/>
            <w:tcBorders>
              <w:top w:val="single" w:color="auto" w:sz="4" w:space="0"/>
              <w:left w:val="single" w:color="auto" w:sz="4" w:space="0"/>
              <w:right w:val="nil"/>
            </w:tcBorders>
            <w:vAlign w:val="center"/>
          </w:tcPr>
          <w:p>
            <w:pPr>
              <w:jc w:val="center"/>
              <w:rPr>
                <w:sz w:val="18"/>
                <w:szCs w:val="18"/>
              </w:rPr>
            </w:pPr>
            <w:r>
              <w:rPr>
                <w:rFonts w:hint="eastAsia"/>
                <w:sz w:val="18"/>
                <w:szCs w:val="18"/>
              </w:rPr>
              <w:t>期末考试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98"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课前预习</w:t>
            </w:r>
          </w:p>
        </w:tc>
        <w:tc>
          <w:tcPr>
            <w:tcW w:w="992"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课上操作</w:t>
            </w:r>
          </w:p>
        </w:tc>
        <w:tc>
          <w:tcPr>
            <w:tcW w:w="110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课后数据处理</w:t>
            </w:r>
          </w:p>
        </w:tc>
        <w:tc>
          <w:tcPr>
            <w:tcW w:w="87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实验报告</w:t>
            </w:r>
          </w:p>
        </w:tc>
        <w:tc>
          <w:tcPr>
            <w:tcW w:w="1126" w:type="pct"/>
            <w:vMerge w:val="continue"/>
            <w:tcBorders>
              <w:left w:val="single" w:color="auto" w:sz="4" w:space="0"/>
              <w:bottom w:val="single" w:color="auto" w:sz="4" w:space="0"/>
              <w:right w:val="nil"/>
            </w:tcBorders>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98"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30</w:t>
            </w:r>
          </w:p>
        </w:tc>
        <w:tc>
          <w:tcPr>
            <w:tcW w:w="992"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30</w:t>
            </w:r>
          </w:p>
        </w:tc>
        <w:tc>
          <w:tcPr>
            <w:tcW w:w="1108"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30</w:t>
            </w:r>
          </w:p>
        </w:tc>
        <w:tc>
          <w:tcPr>
            <w:tcW w:w="876" w:type="pct"/>
            <w:tcBorders>
              <w:top w:val="single" w:color="auto" w:sz="4" w:space="0"/>
              <w:left w:val="single" w:color="auto" w:sz="4" w:space="0"/>
              <w:bottom w:val="single" w:color="auto" w:sz="4" w:space="0"/>
              <w:right w:val="single" w:color="auto" w:sz="4" w:space="0"/>
            </w:tcBorders>
          </w:tcPr>
          <w:p>
            <w:pPr>
              <w:jc w:val="center"/>
              <w:rPr>
                <w:sz w:val="18"/>
                <w:szCs w:val="18"/>
              </w:rPr>
            </w:pPr>
            <w:r>
              <w:rPr>
                <w:rFonts w:hint="eastAsia"/>
                <w:sz w:val="18"/>
                <w:szCs w:val="18"/>
              </w:rPr>
              <w:t>10</w:t>
            </w:r>
          </w:p>
        </w:tc>
        <w:tc>
          <w:tcPr>
            <w:tcW w:w="1126"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100</w:t>
            </w:r>
          </w:p>
        </w:tc>
      </w:tr>
    </w:tbl>
    <w:p>
      <w:pPr>
        <w:spacing w:line="360" w:lineRule="auto"/>
        <w:rPr>
          <w:szCs w:val="21"/>
        </w:rPr>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237"/>
        <w:gridCol w:w="1442"/>
        <w:gridCol w:w="1442"/>
        <w:gridCol w:w="1341"/>
        <w:gridCol w:w="1590"/>
        <w:gridCol w:w="1254"/>
      </w:tblGrid>
      <w:tr>
        <w:tblPrEx>
          <w:tblCellMar>
            <w:top w:w="0" w:type="dxa"/>
            <w:left w:w="108" w:type="dxa"/>
            <w:bottom w:w="0" w:type="dxa"/>
            <w:right w:w="108" w:type="dxa"/>
          </w:tblCellMar>
        </w:tblPrEx>
        <w:trPr>
          <w:trHeight w:val="986" w:hRule="atLeast"/>
          <w:jc w:val="center"/>
        </w:trPr>
        <w:tc>
          <w:tcPr>
            <w:tcW w:w="74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86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p>
          <w:p>
            <w:pPr>
              <w:jc w:val="center"/>
              <w:rPr>
                <w:sz w:val="18"/>
                <w:szCs w:val="18"/>
              </w:rPr>
            </w:pPr>
            <w:r>
              <w:rPr>
                <w:rFonts w:hint="eastAsia"/>
                <w:sz w:val="18"/>
                <w:szCs w:val="18"/>
              </w:rPr>
              <w:t>课前预习（平时）W1</w:t>
            </w:r>
            <w:r>
              <w:rPr>
                <w:rFonts w:hint="eastAsia"/>
                <w:sz w:val="18"/>
                <w:szCs w:val="18"/>
                <w:vertAlign w:val="subscript"/>
              </w:rPr>
              <w:t>i</w:t>
            </w:r>
          </w:p>
        </w:tc>
        <w:tc>
          <w:tcPr>
            <w:tcW w:w="86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课上操作（平时）</w:t>
            </w:r>
          </w:p>
          <w:p>
            <w:pPr>
              <w:jc w:val="center"/>
              <w:rPr>
                <w:sz w:val="18"/>
                <w:szCs w:val="18"/>
              </w:rPr>
            </w:pPr>
            <w:r>
              <w:rPr>
                <w:rFonts w:hint="eastAsia"/>
                <w:sz w:val="18"/>
                <w:szCs w:val="18"/>
              </w:rPr>
              <w:t>W2</w:t>
            </w:r>
            <w:r>
              <w:rPr>
                <w:rFonts w:hint="eastAsia"/>
                <w:sz w:val="18"/>
                <w:szCs w:val="18"/>
                <w:vertAlign w:val="subscript"/>
              </w:rPr>
              <w:t>i</w:t>
            </w:r>
          </w:p>
        </w:tc>
        <w:tc>
          <w:tcPr>
            <w:tcW w:w="80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课后数据处理（平时）</w:t>
            </w:r>
          </w:p>
          <w:p>
            <w:pPr>
              <w:jc w:val="center"/>
              <w:rPr>
                <w:sz w:val="18"/>
                <w:szCs w:val="18"/>
              </w:rPr>
            </w:pPr>
            <w:r>
              <w:rPr>
                <w:rFonts w:hint="eastAsia"/>
                <w:sz w:val="18"/>
                <w:szCs w:val="18"/>
              </w:rPr>
              <w:t>W3</w:t>
            </w:r>
            <w:r>
              <w:rPr>
                <w:rFonts w:hint="eastAsia"/>
                <w:sz w:val="18"/>
                <w:szCs w:val="18"/>
                <w:vertAlign w:val="subscript"/>
              </w:rPr>
              <w:t>i</w:t>
            </w:r>
          </w:p>
        </w:tc>
        <w:tc>
          <w:tcPr>
            <w:tcW w:w="95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实验报告（平时）</w:t>
            </w:r>
          </w:p>
          <w:p>
            <w:pPr>
              <w:jc w:val="center"/>
              <w:rPr>
                <w:sz w:val="18"/>
                <w:szCs w:val="18"/>
              </w:rPr>
            </w:pPr>
            <w:r>
              <w:rPr>
                <w:rFonts w:hint="eastAsia"/>
                <w:sz w:val="18"/>
                <w:szCs w:val="18"/>
              </w:rPr>
              <w:t>W4</w:t>
            </w:r>
            <w:r>
              <w:rPr>
                <w:rFonts w:hint="eastAsia"/>
                <w:sz w:val="18"/>
                <w:szCs w:val="18"/>
                <w:vertAlign w:val="subscript"/>
              </w:rPr>
              <w:t>i</w:t>
            </w:r>
          </w:p>
        </w:tc>
        <w:tc>
          <w:tcPr>
            <w:tcW w:w="755"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p>
        </w:tc>
      </w:tr>
      <w:tr>
        <w:tblPrEx>
          <w:tblCellMar>
            <w:top w:w="0" w:type="dxa"/>
            <w:left w:w="108" w:type="dxa"/>
            <w:bottom w:w="0" w:type="dxa"/>
            <w:right w:w="108" w:type="dxa"/>
          </w:tblCellMar>
        </w:tblPrEx>
        <w:trPr>
          <w:jc w:val="center"/>
        </w:trPr>
        <w:tc>
          <w:tcPr>
            <w:tcW w:w="745" w:type="pct"/>
            <w:tcBorders>
              <w:top w:val="nil"/>
              <w:left w:val="nil"/>
              <w:bottom w:val="single" w:color="auto" w:sz="4" w:space="0"/>
              <w:right w:val="single" w:color="auto" w:sz="4" w:space="0"/>
            </w:tcBorders>
            <w:vAlign w:val="center"/>
          </w:tcPr>
          <w:p>
            <w:pPr>
              <w:jc w:val="center"/>
            </w:pPr>
            <w:r>
              <w:t>1</w:t>
            </w:r>
          </w:p>
        </w:tc>
        <w:tc>
          <w:tcPr>
            <w:tcW w:w="868" w:type="pct"/>
            <w:tcBorders>
              <w:top w:val="single" w:color="auto" w:sz="4" w:space="0"/>
              <w:left w:val="single" w:color="auto" w:sz="4" w:space="0"/>
              <w:bottom w:val="single" w:color="auto" w:sz="4" w:space="0"/>
              <w:right w:val="single" w:color="auto" w:sz="4" w:space="0"/>
            </w:tcBorders>
          </w:tcPr>
          <w:p>
            <w:pPr>
              <w:jc w:val="center"/>
            </w:pPr>
            <w:r>
              <w:rPr>
                <w:rFonts w:hint="eastAsia"/>
              </w:rPr>
              <w:t>15-20</w:t>
            </w:r>
          </w:p>
        </w:tc>
        <w:tc>
          <w:tcPr>
            <w:tcW w:w="86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5-10</w:t>
            </w:r>
          </w:p>
        </w:tc>
        <w:tc>
          <w:tcPr>
            <w:tcW w:w="80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w:t>
            </w:r>
          </w:p>
        </w:tc>
        <w:tc>
          <w:tcPr>
            <w:tcW w:w="95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w:t>
            </w:r>
          </w:p>
        </w:tc>
        <w:tc>
          <w:tcPr>
            <w:tcW w:w="755" w:type="pct"/>
            <w:tcBorders>
              <w:top w:val="single" w:color="auto" w:sz="4" w:space="0"/>
              <w:left w:val="single" w:color="auto" w:sz="4" w:space="0"/>
              <w:bottom w:val="single" w:color="auto" w:sz="4" w:space="0"/>
              <w:right w:val="nil"/>
            </w:tcBorders>
            <w:vAlign w:val="center"/>
          </w:tcPr>
          <w:p>
            <w:pPr>
              <w:jc w:val="center"/>
            </w:pPr>
            <w:r>
              <w:rPr>
                <w:rFonts w:hint="eastAsia"/>
              </w:rPr>
              <w:t>10-20</w:t>
            </w:r>
          </w:p>
        </w:tc>
      </w:tr>
      <w:tr>
        <w:tblPrEx>
          <w:tblCellMar>
            <w:top w:w="0" w:type="dxa"/>
            <w:left w:w="108" w:type="dxa"/>
            <w:bottom w:w="0" w:type="dxa"/>
            <w:right w:w="108" w:type="dxa"/>
          </w:tblCellMar>
        </w:tblPrEx>
        <w:trPr>
          <w:jc w:val="center"/>
        </w:trPr>
        <w:tc>
          <w:tcPr>
            <w:tcW w:w="745" w:type="pct"/>
            <w:tcBorders>
              <w:top w:val="single" w:color="auto" w:sz="4" w:space="0"/>
              <w:left w:val="nil"/>
              <w:bottom w:val="single" w:color="auto" w:sz="4" w:space="0"/>
              <w:right w:val="single" w:color="auto" w:sz="4" w:space="0"/>
            </w:tcBorders>
            <w:vAlign w:val="center"/>
          </w:tcPr>
          <w:p>
            <w:pPr>
              <w:jc w:val="center"/>
            </w:pPr>
            <w:r>
              <w:t>2</w:t>
            </w:r>
          </w:p>
        </w:tc>
        <w:tc>
          <w:tcPr>
            <w:tcW w:w="868" w:type="pct"/>
            <w:tcBorders>
              <w:top w:val="single" w:color="auto" w:sz="4" w:space="0"/>
              <w:left w:val="single" w:color="auto" w:sz="4" w:space="0"/>
              <w:bottom w:val="single" w:color="auto" w:sz="4" w:space="0"/>
              <w:right w:val="single" w:color="auto" w:sz="4" w:space="0"/>
            </w:tcBorders>
          </w:tcPr>
          <w:p>
            <w:pPr>
              <w:jc w:val="center"/>
            </w:pPr>
            <w:r>
              <w:rPr>
                <w:rFonts w:hint="eastAsia"/>
              </w:rPr>
              <w:t>5-10</w:t>
            </w:r>
          </w:p>
        </w:tc>
        <w:tc>
          <w:tcPr>
            <w:tcW w:w="86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15-20</w:t>
            </w:r>
          </w:p>
        </w:tc>
        <w:tc>
          <w:tcPr>
            <w:tcW w:w="80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5-10</w:t>
            </w:r>
          </w:p>
        </w:tc>
        <w:tc>
          <w:tcPr>
            <w:tcW w:w="957" w:type="pct"/>
            <w:tcBorders>
              <w:top w:val="single" w:color="auto" w:sz="4" w:space="0"/>
              <w:left w:val="single" w:color="auto" w:sz="4" w:space="0"/>
              <w:bottom w:val="single" w:color="auto" w:sz="4" w:space="0"/>
              <w:right w:val="single" w:color="auto" w:sz="4" w:space="0"/>
            </w:tcBorders>
            <w:vAlign w:val="center"/>
          </w:tcPr>
          <w:p>
            <w:pPr>
              <w:ind w:firstLine="525" w:firstLineChars="250"/>
            </w:pPr>
            <w:r>
              <w:rPr>
                <w:rFonts w:hint="eastAsia"/>
              </w:rPr>
              <w:t>10-20</w:t>
            </w:r>
          </w:p>
        </w:tc>
        <w:tc>
          <w:tcPr>
            <w:tcW w:w="755" w:type="pct"/>
            <w:tcBorders>
              <w:top w:val="single" w:color="auto" w:sz="4" w:space="0"/>
              <w:left w:val="single" w:color="auto" w:sz="4" w:space="0"/>
              <w:bottom w:val="single" w:color="auto" w:sz="4" w:space="0"/>
              <w:right w:val="nil"/>
            </w:tcBorders>
            <w:vAlign w:val="center"/>
          </w:tcPr>
          <w:p>
            <w:pPr>
              <w:jc w:val="center"/>
            </w:pPr>
            <w:r>
              <w:rPr>
                <w:rFonts w:hint="eastAsia"/>
              </w:rPr>
              <w:t>50-60</w:t>
            </w:r>
          </w:p>
        </w:tc>
      </w:tr>
      <w:tr>
        <w:tblPrEx>
          <w:tblCellMar>
            <w:top w:w="0" w:type="dxa"/>
            <w:left w:w="108" w:type="dxa"/>
            <w:bottom w:w="0" w:type="dxa"/>
            <w:right w:w="108" w:type="dxa"/>
          </w:tblCellMar>
        </w:tblPrEx>
        <w:trPr>
          <w:jc w:val="center"/>
        </w:trPr>
        <w:tc>
          <w:tcPr>
            <w:tcW w:w="745" w:type="pct"/>
            <w:tcBorders>
              <w:top w:val="single" w:color="auto" w:sz="4" w:space="0"/>
              <w:left w:val="nil"/>
              <w:bottom w:val="single" w:color="auto" w:sz="4" w:space="0"/>
              <w:right w:val="single" w:color="auto" w:sz="4" w:space="0"/>
            </w:tcBorders>
            <w:vAlign w:val="center"/>
          </w:tcPr>
          <w:p>
            <w:pPr>
              <w:jc w:val="center"/>
            </w:pPr>
            <w:r>
              <w:t>3</w:t>
            </w:r>
          </w:p>
        </w:tc>
        <w:tc>
          <w:tcPr>
            <w:tcW w:w="868" w:type="pct"/>
            <w:tcBorders>
              <w:top w:val="single" w:color="auto" w:sz="4" w:space="0"/>
              <w:left w:val="single" w:color="auto" w:sz="4" w:space="0"/>
              <w:bottom w:val="single" w:color="auto" w:sz="4" w:space="0"/>
              <w:right w:val="single" w:color="auto" w:sz="4" w:space="0"/>
            </w:tcBorders>
          </w:tcPr>
          <w:p>
            <w:pPr>
              <w:jc w:val="center"/>
            </w:pPr>
            <w:r>
              <w:rPr>
                <w:rFonts w:hint="eastAsia"/>
              </w:rPr>
              <w:t>5-10</w:t>
            </w:r>
          </w:p>
        </w:tc>
        <w:tc>
          <w:tcPr>
            <w:tcW w:w="868"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5-10</w:t>
            </w:r>
          </w:p>
        </w:tc>
        <w:tc>
          <w:tcPr>
            <w:tcW w:w="80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15-20</w:t>
            </w:r>
          </w:p>
        </w:tc>
        <w:tc>
          <w:tcPr>
            <w:tcW w:w="957"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10-20</w:t>
            </w:r>
          </w:p>
        </w:tc>
        <w:tc>
          <w:tcPr>
            <w:tcW w:w="755" w:type="pct"/>
            <w:tcBorders>
              <w:top w:val="single" w:color="auto" w:sz="4" w:space="0"/>
              <w:left w:val="single" w:color="auto" w:sz="4" w:space="0"/>
              <w:bottom w:val="single" w:color="auto" w:sz="4" w:space="0"/>
              <w:right w:val="nil"/>
            </w:tcBorders>
            <w:vAlign w:val="center"/>
          </w:tcPr>
          <w:p>
            <w:pPr>
              <w:jc w:val="center"/>
            </w:pPr>
            <w:r>
              <w:rPr>
                <w:rFonts w:hint="eastAsia"/>
              </w:rPr>
              <w:t>2</w:t>
            </w:r>
            <w:r>
              <w:t>0</w:t>
            </w:r>
            <w:r>
              <w:rPr>
                <w:rFonts w:hint="eastAsia"/>
              </w:rPr>
              <w:t>-30</w:t>
            </w:r>
          </w:p>
        </w:tc>
      </w:tr>
    </w:tbl>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widowControl/>
        <w:jc w:val="left"/>
      </w:pPr>
      <w:r>
        <w:br w:type="page"/>
      </w:r>
    </w:p>
    <w:p>
      <w:pPr>
        <w:pStyle w:val="20"/>
        <w:spacing w:before="312" w:after="468"/>
        <w:rPr>
          <w:szCs w:val="28"/>
        </w:rPr>
      </w:pPr>
      <w:bookmarkStart w:id="149" w:name="_Toc31799"/>
      <w:r>
        <w:rPr>
          <w:rFonts w:ascii="黑体" w:hAnsi="黑体"/>
          <w:szCs w:val="28"/>
        </w:rPr>
        <w:t>《</w:t>
      </w:r>
      <w:r>
        <w:rPr>
          <w:rFonts w:ascii="Times New Roman" w:hAnsi="Times New Roman"/>
          <w:kern w:val="0"/>
          <w:szCs w:val="28"/>
        </w:rPr>
        <w:t>X07250003-</w:t>
      </w:r>
      <w:r>
        <w:rPr>
          <w:rFonts w:ascii="黑体" w:hAnsi="黑体"/>
          <w:szCs w:val="28"/>
        </w:rPr>
        <w:t>公益劳动》教学大纲</w:t>
      </w:r>
      <w:bookmarkEnd w:id="149"/>
    </w:p>
    <w:p>
      <w:pPr>
        <w:adjustRightInd w:val="0"/>
        <w:snapToGrid w:val="0"/>
        <w:spacing w:line="360" w:lineRule="auto"/>
        <w:rPr>
          <w:rFonts w:eastAsia="黑体"/>
          <w:szCs w:val="21"/>
        </w:rPr>
      </w:pPr>
      <w:r>
        <w:rPr>
          <w:rFonts w:ascii="黑体" w:hAnsi="黑体" w:eastAsia="黑体"/>
        </w:rPr>
        <w:t>课程编号：</w:t>
      </w:r>
      <w:r>
        <w:rPr>
          <w:kern w:val="0"/>
        </w:rPr>
        <w:t>X07250003</w:t>
      </w:r>
    </w:p>
    <w:p>
      <w:pPr>
        <w:adjustRightInd w:val="0"/>
        <w:snapToGrid w:val="0"/>
        <w:spacing w:line="360" w:lineRule="auto"/>
        <w:rPr>
          <w:rFonts w:ascii="Calibri" w:hAnsi="Calibri"/>
        </w:rPr>
      </w:pPr>
      <w:r>
        <w:rPr>
          <w:rFonts w:ascii="黑体" w:hAnsi="黑体" w:eastAsia="黑体"/>
        </w:rPr>
        <w:t>课程名称：</w:t>
      </w:r>
      <w:r>
        <w:rPr>
          <w:rFonts w:ascii="宋体" w:hAnsi="宋体"/>
        </w:rPr>
        <w:t>公益劳动</w:t>
      </w:r>
      <w:r>
        <w:rPr>
          <w:rFonts w:hint="eastAsia"/>
        </w:rPr>
        <w:t xml:space="preserve">                          </w:t>
      </w:r>
      <w:r>
        <w:rPr>
          <w:rFonts w:ascii="黑体" w:hAnsi="黑体" w:eastAsia="黑体"/>
        </w:rPr>
        <w:t>开课单位：</w:t>
      </w:r>
      <w:r>
        <w:rPr>
          <w:rFonts w:ascii="宋体" w:hAnsi="宋体"/>
        </w:rPr>
        <w:t>后勤物业中心</w:t>
      </w:r>
    </w:p>
    <w:p>
      <w:pPr>
        <w:adjustRightInd w:val="0"/>
        <w:snapToGrid w:val="0"/>
        <w:spacing w:line="360" w:lineRule="auto"/>
        <w:rPr>
          <w:rFonts w:eastAsia="黑体"/>
        </w:rPr>
      </w:pPr>
      <w:r>
        <w:rPr>
          <w:rFonts w:ascii="黑体" w:hAnsi="黑体" w:eastAsia="黑体"/>
        </w:rPr>
        <w:t>总</w:t>
      </w:r>
      <w:r>
        <w:rPr>
          <w:rFonts w:eastAsia="黑体"/>
        </w:rPr>
        <w:t xml:space="preserve"> </w:t>
      </w:r>
      <w:r>
        <w:rPr>
          <w:rFonts w:ascii="黑体" w:hAnsi="黑体" w:eastAsia="黑体"/>
        </w:rPr>
        <w:t>学</w:t>
      </w:r>
      <w:r>
        <w:rPr>
          <w:rFonts w:eastAsia="黑体"/>
        </w:rPr>
        <w:t xml:space="preserve"> </w:t>
      </w:r>
      <w:r>
        <w:rPr>
          <w:rFonts w:ascii="黑体" w:hAnsi="黑体" w:eastAsia="黑体"/>
        </w:rPr>
        <w:t>时：</w:t>
      </w:r>
      <w:r>
        <w:t>1w</w:t>
      </w:r>
      <w:r>
        <w:rPr>
          <w:rFonts w:eastAsia="黑体"/>
        </w:rPr>
        <w:t xml:space="preserve">                             </w:t>
      </w:r>
      <w:r>
        <w:rPr>
          <w:rFonts w:hint="eastAsia" w:eastAsia="黑体"/>
        </w:rPr>
        <w:t xml:space="preserve">  </w:t>
      </w:r>
      <w:r>
        <w:rPr>
          <w:rFonts w:eastAsia="黑体"/>
        </w:rPr>
        <w:t xml:space="preserve"> </w:t>
      </w:r>
      <w:r>
        <w:rPr>
          <w:rFonts w:ascii="黑体" w:hAnsi="黑体" w:eastAsia="黑体"/>
        </w:rPr>
        <w:t>学</w:t>
      </w:r>
      <w:r>
        <w:rPr>
          <w:rFonts w:eastAsia="黑体"/>
        </w:rPr>
        <w:t xml:space="preserve">    </w:t>
      </w:r>
      <w:r>
        <w:rPr>
          <w:rFonts w:ascii="黑体" w:hAnsi="黑体" w:eastAsia="黑体"/>
        </w:rPr>
        <w:t>分：</w:t>
      </w:r>
      <w:r>
        <w:rPr>
          <w:rFonts w:eastAsia="黑体"/>
        </w:rPr>
        <w:t>0.5</w:t>
      </w:r>
    </w:p>
    <w:p>
      <w:pPr>
        <w:adjustRightInd w:val="0"/>
        <w:snapToGrid w:val="0"/>
        <w:spacing w:line="360" w:lineRule="auto"/>
        <w:rPr>
          <w:rFonts w:eastAsia="黑体"/>
        </w:rPr>
      </w:pPr>
      <w:r>
        <w:rPr>
          <w:rFonts w:ascii="黑体" w:hAnsi="黑体" w:eastAsia="黑体"/>
        </w:rPr>
        <w:t>适用专业：</w:t>
      </w:r>
      <w:r>
        <w:rPr>
          <w:rFonts w:hint="eastAsia" w:ascii="宋体" w:hAnsi="宋体"/>
        </w:rPr>
        <w:t>工程类各</w:t>
      </w:r>
      <w:r>
        <w:rPr>
          <w:rFonts w:ascii="宋体" w:hAnsi="宋体"/>
        </w:rPr>
        <w:t>专业</w:t>
      </w:r>
    </w:p>
    <w:p>
      <w:pPr>
        <w:adjustRightInd w:val="0"/>
        <w:snapToGrid w:val="0"/>
        <w:spacing w:line="360" w:lineRule="auto"/>
      </w:pPr>
      <w:r>
        <w:rPr>
          <w:rFonts w:ascii="黑体" w:hAnsi="黑体" w:eastAsia="黑体"/>
        </w:rPr>
        <w:t>先修课程：</w:t>
      </w:r>
      <w:r>
        <w:rPr>
          <w:rFonts w:ascii="宋体" w:hAnsi="宋体"/>
        </w:rPr>
        <w:t>思想</w:t>
      </w:r>
      <w:r>
        <w:rPr>
          <w:rFonts w:hint="eastAsia" w:ascii="宋体" w:hAnsi="宋体"/>
        </w:rPr>
        <w:t>道德修养及法律基础</w:t>
      </w:r>
    </w:p>
    <w:p>
      <w:pPr>
        <w:adjustRightInd w:val="0"/>
        <w:snapToGrid w:val="0"/>
        <w:spacing w:line="360" w:lineRule="auto"/>
        <w:rPr>
          <w:rFonts w:ascii="宋体" w:hAnsi="宋体"/>
        </w:rPr>
      </w:pPr>
      <w:r>
        <w:rPr>
          <w:rFonts w:hint="eastAsia" w:ascii="黑体" w:hAnsi="黑体" w:eastAsia="黑体"/>
        </w:rPr>
        <w:t>大纲编写（修订）时间</w:t>
      </w:r>
      <w:r>
        <w:rPr>
          <w:rFonts w:hint="eastAsia" w:ascii="宋体" w:hAnsi="宋体"/>
        </w:rPr>
        <w:t>：</w:t>
      </w:r>
      <w:r>
        <w:t>2019</w:t>
      </w:r>
      <w:r>
        <w:rPr>
          <w:rFonts w:ascii="宋体" w:hAnsi="宋体"/>
        </w:rPr>
        <w:t>年</w:t>
      </w:r>
      <w:r>
        <w:t>4</w:t>
      </w:r>
      <w:r>
        <w:rPr>
          <w:rFonts w:ascii="宋体" w:hAnsi="宋体"/>
        </w:rPr>
        <w:t>月</w:t>
      </w:r>
    </w:p>
    <w:p>
      <w:pPr>
        <w:adjustRightInd w:val="0"/>
        <w:snapToGrid w:val="0"/>
        <w:spacing w:line="360" w:lineRule="auto"/>
        <w:rPr>
          <w:rFonts w:ascii="Calibri" w:hAnsi="Calibri"/>
        </w:rPr>
      </w:pPr>
      <w:r>
        <w:t xml:space="preserve"> </w:t>
      </w:r>
    </w:p>
    <w:p>
      <w:pPr>
        <w:adjustRightInd w:val="0"/>
        <w:snapToGrid w:val="0"/>
        <w:spacing w:line="360" w:lineRule="auto"/>
        <w:rPr>
          <w:rFonts w:eastAsia="黑体"/>
        </w:rPr>
      </w:pPr>
      <w:r>
        <w:rPr>
          <w:rFonts w:hint="eastAsia" w:ascii="黑体" w:hAnsi="黑体" w:eastAsia="黑体"/>
        </w:rPr>
        <w:t>一、课程在教学计划中的地位、作用</w:t>
      </w:r>
    </w:p>
    <w:p>
      <w:pPr>
        <w:spacing w:line="360" w:lineRule="auto"/>
        <w:ind w:firstLine="420" w:firstLineChars="200"/>
      </w:pPr>
      <w:r>
        <w:rPr>
          <w:rFonts w:ascii="宋体" w:hAnsi="宋体"/>
        </w:rPr>
        <w:t>公益劳动是一门实践性，综合性，应用性较强的课程</w:t>
      </w:r>
      <w:r>
        <w:rPr>
          <w:rFonts w:hint="eastAsia" w:ascii="宋体" w:hAnsi="宋体"/>
        </w:rPr>
        <w:t>。</w:t>
      </w:r>
    </w:p>
    <w:p>
      <w:pPr>
        <w:spacing w:line="360" w:lineRule="auto"/>
        <w:ind w:firstLine="420" w:firstLineChars="200"/>
      </w:pPr>
      <w:r>
        <w:rPr>
          <w:rFonts w:ascii="宋体" w:hAnsi="宋体"/>
        </w:rPr>
        <w:t>对大学生意志，品质能力要求较高，通过实践教学的各个环节，是学生能够更好地掌握公益劳动知识，掌握公益劳动技能，增强公益劳动观念</w:t>
      </w:r>
      <w:r>
        <w:rPr>
          <w:rFonts w:hint="eastAsia" w:ascii="宋体" w:hAnsi="宋体"/>
        </w:rPr>
        <w:t>。</w:t>
      </w:r>
    </w:p>
    <w:p>
      <w:pPr>
        <w:spacing w:line="360" w:lineRule="auto"/>
        <w:ind w:firstLine="420" w:firstLineChars="200"/>
      </w:pPr>
      <w:r>
        <w:t xml:space="preserve"> </w:t>
      </w:r>
    </w:p>
    <w:p>
      <w:pPr>
        <w:spacing w:line="360" w:lineRule="auto"/>
        <w:rPr>
          <w:rFonts w:ascii="黑体" w:hAnsi="黑体" w:eastAsia="黑体"/>
        </w:rPr>
      </w:pPr>
      <w:r>
        <w:rPr>
          <w:rFonts w:hint="eastAsia" w:ascii="黑体" w:hAnsi="黑体" w:eastAsia="黑体"/>
        </w:rPr>
        <w:t>二、课程目标</w:t>
      </w:r>
    </w:p>
    <w:tbl>
      <w:tblPr>
        <w:tblStyle w:val="22"/>
        <w:tblW w:w="5000" w:type="pct"/>
        <w:tblInd w:w="13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3824"/>
        <w:gridCol w:w="3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utoSpaceDE w:val="0"/>
              <w:adjustRightInd w:val="0"/>
              <w:spacing w:line="360" w:lineRule="auto"/>
              <w:jc w:val="center"/>
              <w:rPr>
                <w:rFonts w:ascii="Calibri" w:hAnsi="Calibri"/>
                <w:sz w:val="18"/>
                <w:szCs w:val="18"/>
              </w:rPr>
            </w:pPr>
            <w:r>
              <w:rPr>
                <w:rFonts w:hint="eastAsia"/>
                <w:sz w:val="18"/>
                <w:szCs w:val="18"/>
              </w:rPr>
              <w:t>序号</w:t>
            </w:r>
          </w:p>
        </w:tc>
        <w:tc>
          <w:tcPr>
            <w:tcW w:w="2301"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360" w:lineRule="auto"/>
              <w:jc w:val="center"/>
              <w:rPr>
                <w:sz w:val="18"/>
                <w:szCs w:val="18"/>
              </w:rPr>
            </w:pPr>
            <w:r>
              <w:rPr>
                <w:rFonts w:hint="eastAsia"/>
                <w:sz w:val="18"/>
                <w:szCs w:val="18"/>
              </w:rPr>
              <w:t>课程目标</w:t>
            </w:r>
          </w:p>
        </w:tc>
        <w:tc>
          <w:tcPr>
            <w:tcW w:w="2357" w:type="pct"/>
            <w:tcBorders>
              <w:top w:val="single" w:color="auto" w:sz="4" w:space="0"/>
              <w:left w:val="single" w:color="auto" w:sz="4" w:space="0"/>
              <w:bottom w:val="single" w:color="auto" w:sz="4" w:space="0"/>
              <w:right w:val="nil"/>
            </w:tcBorders>
            <w:vAlign w:val="center"/>
          </w:tcPr>
          <w:p>
            <w:pPr>
              <w:autoSpaceDE w:val="0"/>
              <w:adjustRightInd w:val="0"/>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1</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课程目标1：</w:t>
            </w:r>
            <w:r>
              <w:rPr>
                <w:rFonts w:hint="eastAsia" w:ascii="宋体" w:hAnsi="宋体"/>
                <w:sz w:val="18"/>
                <w:szCs w:val="18"/>
              </w:rPr>
              <w:t>增强大学生社会责任感，培养学生关心公益事业的热诚和参加公益劳动的重要性与自觉性，懂得回报社会，乐于奉献的精神，从而抵制一切向钱看的思想。</w:t>
            </w:r>
          </w:p>
        </w:tc>
        <w:tc>
          <w:tcPr>
            <w:tcW w:w="2357"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2</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课程目标2：</w:t>
            </w:r>
            <w:r>
              <w:rPr>
                <w:rFonts w:hint="eastAsia" w:ascii="宋体" w:hAnsi="宋体"/>
                <w:sz w:val="18"/>
                <w:szCs w:val="18"/>
              </w:rPr>
              <w:t>培养大学生吃苦耐劳，让学生树立“以辛勤劳动为荣，以好逸恶劳为耻”的荣辱观，树立劳动光荣的观念。</w:t>
            </w:r>
          </w:p>
        </w:tc>
        <w:tc>
          <w:tcPr>
            <w:tcW w:w="2357"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3</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课程目标3：</w:t>
            </w:r>
            <w:r>
              <w:rPr>
                <w:rFonts w:hint="eastAsia" w:ascii="宋体" w:hAnsi="宋体"/>
                <w:sz w:val="18"/>
                <w:szCs w:val="18"/>
              </w:rPr>
              <w:t>让他们懂得积极参加公益劳动不仅能造福社会，利人利己，还能陶冶情操，美化心灵，是一种高尚的行为。</w:t>
            </w:r>
          </w:p>
        </w:tc>
        <w:tc>
          <w:tcPr>
            <w:tcW w:w="2357"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0"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4</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课程目标4：</w:t>
            </w:r>
            <w:r>
              <w:rPr>
                <w:rFonts w:hint="eastAsia" w:ascii="宋体" w:hAnsi="宋体"/>
                <w:sz w:val="18"/>
                <w:szCs w:val="18"/>
              </w:rPr>
              <w:t>鼓励学生维护校园环境，建设校园文化做出自己应有的贡献。</w:t>
            </w:r>
          </w:p>
        </w:tc>
        <w:tc>
          <w:tcPr>
            <w:tcW w:w="2357"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bl>
    <w:p>
      <w:pPr>
        <w:pStyle w:val="64"/>
        <w:spacing w:line="360" w:lineRule="auto"/>
        <w:ind w:firstLine="420"/>
        <w:jc w:val="left"/>
        <w:rPr>
          <w:szCs w:val="21"/>
        </w:rPr>
      </w:pPr>
      <w:r>
        <w:rPr>
          <w:rFonts w:hint="eastAsia" w:ascii="宋体" w:hAnsi="宋体"/>
          <w:b w:val="0"/>
          <w:bCs w:val="0"/>
          <w:color w:val="000000"/>
          <w:sz w:val="21"/>
          <w:szCs w:val="21"/>
        </w:rPr>
        <w:t>本大纲适用于工程类专业选择使用，专业在选用时要关注本课程目标是否与专业培养方案设定的能力矩阵一致。</w:t>
      </w:r>
      <w:r>
        <w:t xml:space="preserve"> </w:t>
      </w:r>
    </w:p>
    <w:p>
      <w:pPr>
        <w:pStyle w:val="50"/>
        <w:adjustRightInd w:val="0"/>
        <w:snapToGrid w:val="0"/>
        <w:spacing w:line="360" w:lineRule="auto"/>
        <w:ind w:firstLine="0" w:firstLineChars="0"/>
        <w:rPr>
          <w:rFonts w:eastAsia="黑体"/>
        </w:rPr>
      </w:pPr>
      <w:r>
        <w:rPr>
          <w:rFonts w:hint="eastAsia" w:ascii="黑体" w:hAnsi="黑体" w:eastAsia="黑体"/>
        </w:rPr>
        <w:t>三、教学</w:t>
      </w:r>
      <w:r>
        <w:rPr>
          <w:rFonts w:ascii="黑体" w:hAnsi="黑体" w:eastAsia="黑体"/>
        </w:rPr>
        <w:t>内容及基本要求</w:t>
      </w:r>
    </w:p>
    <w:p>
      <w:pPr>
        <w:pStyle w:val="50"/>
        <w:adjustRightInd w:val="0"/>
        <w:snapToGrid w:val="0"/>
        <w:spacing w:line="360" w:lineRule="auto"/>
        <w:rPr>
          <w:rFonts w:eastAsia="黑体"/>
        </w:rPr>
      </w:pPr>
      <w:r>
        <w:rPr>
          <w:rFonts w:hint="eastAsia" w:ascii="黑体" w:hAnsi="黑体" w:eastAsia="黑体"/>
        </w:rPr>
        <w:t>基本</w:t>
      </w:r>
      <w:r>
        <w:rPr>
          <w:rFonts w:ascii="黑体" w:hAnsi="黑体" w:eastAsia="黑体"/>
        </w:rPr>
        <w:t>要求</w:t>
      </w:r>
    </w:p>
    <w:p>
      <w:pPr>
        <w:adjustRightInd w:val="0"/>
        <w:snapToGrid w:val="0"/>
        <w:spacing w:line="360" w:lineRule="auto"/>
        <w:ind w:firstLine="420" w:firstLineChars="200"/>
      </w:pPr>
      <w:r>
        <w:t>1</w:t>
      </w:r>
      <w:r>
        <w:rPr>
          <w:rFonts w:ascii="宋体" w:hAnsi="宋体"/>
        </w:rPr>
        <w:t>、《公益劳动》既然是作为必修课程，纳入本科教学计划，规定了学时，并根据学生本人的劳动表现情况给予学分，就必须选派指导老师。</w:t>
      </w:r>
    </w:p>
    <w:p>
      <w:pPr>
        <w:adjustRightInd w:val="0"/>
        <w:snapToGrid w:val="0"/>
        <w:spacing w:line="360" w:lineRule="auto"/>
        <w:ind w:firstLine="420" w:firstLineChars="200"/>
      </w:pPr>
      <w:r>
        <w:t>2</w:t>
      </w:r>
      <w:r>
        <w:rPr>
          <w:rFonts w:ascii="宋体" w:hAnsi="宋体"/>
        </w:rPr>
        <w:t>、首先要具备思想政治素质。必须具有马克思主义的世界观，人生观，价值观和崇高的共产主义理想；具有爱国主义和为教育事业献身的精神，能坚持社会主义的政治方向，立场，观念，态度。</w:t>
      </w:r>
    </w:p>
    <w:p>
      <w:pPr>
        <w:adjustRightInd w:val="0"/>
        <w:snapToGrid w:val="0"/>
        <w:spacing w:line="360" w:lineRule="auto"/>
        <w:ind w:firstLine="420" w:firstLineChars="200"/>
      </w:pPr>
      <w:r>
        <w:t>3</w:t>
      </w:r>
      <w:r>
        <w:rPr>
          <w:rFonts w:ascii="宋体" w:hAnsi="宋体"/>
        </w:rPr>
        <w:t>、品德素质，必须具有高尚的道德情操，无私奉献，才能顺利完成课程，同时也使学生塑造美好心灵，培养了高尚的情操。</w:t>
      </w:r>
    </w:p>
    <w:p>
      <w:pPr>
        <w:snapToGrid w:val="0"/>
        <w:spacing w:line="360" w:lineRule="auto"/>
      </w:pPr>
      <w:r>
        <w:rPr>
          <w:rFonts w:hint="eastAsia"/>
        </w:rPr>
        <w:t xml:space="preserve">    </w:t>
      </w:r>
      <w:r>
        <w:t>4</w:t>
      </w:r>
      <w:r>
        <w:rPr>
          <w:rFonts w:ascii="宋体" w:hAnsi="宋体"/>
        </w:rPr>
        <w:t>、由于《公益劳动》课程教育多是在室外进行的体力劳动，所以具备艰苦朴素，吃苦耐劳的精神，锻炼培养学生的动手实践能力，环境保护意识和社会主义公德意识，切忌放羊式的放任自流，使为提高学生德育水平的必修课程最终流于形式。</w:t>
      </w:r>
    </w:p>
    <w:p>
      <w:pPr>
        <w:spacing w:line="360" w:lineRule="auto"/>
        <w:ind w:left="420" w:leftChars="200"/>
        <w:rPr>
          <w:rFonts w:eastAsia="黑体"/>
        </w:rPr>
      </w:pPr>
      <w:r>
        <w:rPr>
          <w:rFonts w:hint="eastAsia" w:ascii="黑体" w:hAnsi="黑体" w:eastAsia="黑体"/>
        </w:rPr>
        <w:t>教学内容</w:t>
      </w:r>
    </w:p>
    <w:p>
      <w:pPr>
        <w:adjustRightInd w:val="0"/>
        <w:snapToGrid w:val="0"/>
        <w:spacing w:line="360" w:lineRule="auto"/>
        <w:ind w:firstLine="420" w:firstLineChars="200"/>
        <w:rPr>
          <w:szCs w:val="22"/>
        </w:rPr>
      </w:pPr>
      <w:r>
        <w:rPr>
          <w:szCs w:val="22"/>
        </w:rPr>
        <w:t>1、美化校园劳动</w:t>
      </w:r>
      <w:r>
        <w:rPr>
          <w:rFonts w:hint="eastAsia"/>
          <w:szCs w:val="22"/>
        </w:rPr>
        <w:t>。</w:t>
      </w:r>
    </w:p>
    <w:p>
      <w:pPr>
        <w:adjustRightInd w:val="0"/>
        <w:snapToGrid w:val="0"/>
        <w:spacing w:line="360" w:lineRule="auto"/>
        <w:ind w:firstLine="420" w:firstLineChars="200"/>
        <w:rPr>
          <w:szCs w:val="22"/>
        </w:rPr>
      </w:pPr>
      <w:r>
        <w:rPr>
          <w:rFonts w:hint="eastAsia"/>
          <w:szCs w:val="22"/>
        </w:rPr>
        <w:t>本章节内容支撑课程目标 4。</w:t>
      </w:r>
    </w:p>
    <w:p>
      <w:pPr>
        <w:adjustRightInd w:val="0"/>
        <w:snapToGrid w:val="0"/>
        <w:spacing w:line="360" w:lineRule="auto"/>
        <w:ind w:firstLine="420" w:firstLineChars="200"/>
        <w:rPr>
          <w:szCs w:val="22"/>
        </w:rPr>
      </w:pPr>
      <w:r>
        <w:rPr>
          <w:szCs w:val="22"/>
        </w:rPr>
        <w:t>2、劳动内容：采取划片分区，任课教师分区负责制的原则，根据不同季节，依工作需要，安排不同内容，让学生从事到卫生或绿化工作当中，并依据学生特点，适当安排适合学生做的简单劳动。而平时主要以打扫校园环境卫生为主，个别情况下安排其它事宜等</w:t>
      </w:r>
      <w:r>
        <w:rPr>
          <w:rFonts w:hint="eastAsia"/>
          <w:szCs w:val="22"/>
        </w:rPr>
        <w:t>。</w:t>
      </w:r>
    </w:p>
    <w:p>
      <w:pPr>
        <w:adjustRightInd w:val="0"/>
        <w:snapToGrid w:val="0"/>
        <w:spacing w:line="360" w:lineRule="auto"/>
        <w:ind w:firstLine="420" w:firstLineChars="200"/>
        <w:rPr>
          <w:szCs w:val="22"/>
        </w:rPr>
      </w:pPr>
      <w:r>
        <w:rPr>
          <w:rFonts w:hint="eastAsia"/>
          <w:szCs w:val="22"/>
        </w:rPr>
        <w:t>本章节内容支撑课程目标 2、3。</w:t>
      </w:r>
    </w:p>
    <w:p>
      <w:pPr>
        <w:adjustRightInd w:val="0"/>
        <w:snapToGrid w:val="0"/>
        <w:spacing w:line="360" w:lineRule="auto"/>
        <w:ind w:firstLine="420" w:firstLineChars="200"/>
        <w:rPr>
          <w:szCs w:val="22"/>
        </w:rPr>
      </w:pPr>
      <w:r>
        <w:rPr>
          <w:szCs w:val="22"/>
        </w:rPr>
        <w:t>3、要求：使学生能够掌握一定的劳动技能，并能够理论联系实际，学到书本上学不到的东西，充分深入到实际当中，遇到实际问题，提高他们分析问题，解决问题的能力，同时提高动手能力</w:t>
      </w:r>
      <w:r>
        <w:rPr>
          <w:rFonts w:hint="eastAsia"/>
          <w:szCs w:val="22"/>
        </w:rPr>
        <w:t>。</w:t>
      </w:r>
    </w:p>
    <w:p>
      <w:pPr>
        <w:adjustRightInd w:val="0"/>
        <w:snapToGrid w:val="0"/>
        <w:spacing w:line="360" w:lineRule="auto"/>
        <w:ind w:firstLine="420" w:firstLineChars="200"/>
        <w:rPr>
          <w:szCs w:val="22"/>
        </w:rPr>
      </w:pPr>
      <w:r>
        <w:rPr>
          <w:rFonts w:hint="eastAsia"/>
          <w:szCs w:val="22"/>
        </w:rPr>
        <w:t>本章节内容支撑课程目标 2、3。</w:t>
      </w:r>
    </w:p>
    <w:p>
      <w:pPr>
        <w:adjustRightInd w:val="0"/>
        <w:snapToGrid w:val="0"/>
        <w:spacing w:line="360" w:lineRule="auto"/>
        <w:ind w:firstLine="420" w:firstLineChars="200"/>
        <w:rPr>
          <w:szCs w:val="22"/>
        </w:rPr>
      </w:pPr>
      <w:r>
        <w:rPr>
          <w:szCs w:val="22"/>
        </w:rPr>
        <w:t>4、实践项目</w:t>
      </w:r>
    </w:p>
    <w:p>
      <w:pPr>
        <w:adjustRightInd w:val="0"/>
        <w:snapToGrid w:val="0"/>
        <w:spacing w:line="360" w:lineRule="auto"/>
        <w:ind w:firstLine="420" w:firstLineChars="200"/>
        <w:rPr>
          <w:szCs w:val="22"/>
        </w:rPr>
      </w:pPr>
      <w:r>
        <w:rPr>
          <w:rFonts w:hint="eastAsia"/>
          <w:szCs w:val="22"/>
        </w:rPr>
        <w:t>1）</w:t>
      </w:r>
      <w:r>
        <w:rPr>
          <w:szCs w:val="22"/>
        </w:rPr>
        <w:t>项目类别：必做</w:t>
      </w:r>
      <w:r>
        <w:rPr>
          <w:rFonts w:hint="eastAsia"/>
          <w:szCs w:val="22"/>
        </w:rPr>
        <w:t>；</w:t>
      </w:r>
    </w:p>
    <w:p>
      <w:pPr>
        <w:adjustRightInd w:val="0"/>
        <w:snapToGrid w:val="0"/>
        <w:spacing w:line="360" w:lineRule="auto"/>
        <w:ind w:firstLine="420" w:firstLineChars="200"/>
        <w:rPr>
          <w:szCs w:val="22"/>
        </w:rPr>
      </w:pPr>
      <w:r>
        <w:rPr>
          <w:rFonts w:hint="eastAsia"/>
          <w:szCs w:val="22"/>
        </w:rPr>
        <w:t>2）</w:t>
      </w:r>
      <w:r>
        <w:rPr>
          <w:szCs w:val="22"/>
        </w:rPr>
        <w:t>项目性质：综合性</w:t>
      </w:r>
      <w:r>
        <w:rPr>
          <w:rFonts w:hint="eastAsia"/>
          <w:szCs w:val="22"/>
        </w:rPr>
        <w:t>。</w:t>
      </w:r>
    </w:p>
    <w:p>
      <w:pPr>
        <w:adjustRightInd w:val="0"/>
        <w:snapToGrid w:val="0"/>
        <w:spacing w:line="360" w:lineRule="auto"/>
        <w:ind w:firstLine="420" w:firstLineChars="200"/>
        <w:rPr>
          <w:szCs w:val="22"/>
        </w:rPr>
      </w:pPr>
      <w:r>
        <w:rPr>
          <w:szCs w:val="22"/>
        </w:rPr>
        <w:t>具体内容为：</w:t>
      </w:r>
    </w:p>
    <w:p>
      <w:pPr>
        <w:adjustRightInd w:val="0"/>
        <w:snapToGrid w:val="0"/>
        <w:spacing w:line="360" w:lineRule="auto"/>
        <w:ind w:firstLine="420" w:firstLineChars="200"/>
        <w:rPr>
          <w:szCs w:val="22"/>
        </w:rPr>
      </w:pPr>
      <w:r>
        <w:rPr>
          <w:szCs w:val="22"/>
        </w:rPr>
        <w:t>A</w:t>
      </w:r>
      <w:r>
        <w:rPr>
          <w:rFonts w:hint="eastAsia"/>
          <w:szCs w:val="22"/>
        </w:rPr>
        <w:t>：</w:t>
      </w:r>
      <w:r>
        <w:rPr>
          <w:szCs w:val="22"/>
        </w:rPr>
        <w:t>本课程是所有本科类专业的辅助课程，学校将此课作为大学本科所有专业学生的必修课程</w:t>
      </w:r>
      <w:r>
        <w:rPr>
          <w:rFonts w:hint="eastAsia"/>
          <w:szCs w:val="22"/>
        </w:rPr>
        <w:t>；</w:t>
      </w:r>
    </w:p>
    <w:p>
      <w:pPr>
        <w:adjustRightInd w:val="0"/>
        <w:snapToGrid w:val="0"/>
        <w:spacing w:line="360" w:lineRule="auto"/>
        <w:ind w:firstLine="420" w:firstLineChars="200"/>
        <w:rPr>
          <w:szCs w:val="22"/>
        </w:rPr>
      </w:pPr>
      <w:r>
        <w:rPr>
          <w:szCs w:val="22"/>
        </w:rPr>
        <w:t>B</w:t>
      </w:r>
      <w:r>
        <w:rPr>
          <w:rFonts w:hint="eastAsia"/>
          <w:szCs w:val="22"/>
        </w:rPr>
        <w:t>：</w:t>
      </w:r>
      <w:r>
        <w:rPr>
          <w:szCs w:val="22"/>
        </w:rPr>
        <w:t>知识目标：通过本课程的学习，使学生了解该课程是一门必修与实践相结合，培养大学生奉献精神和社会责任感，提高大学生思想道德素质的课程。</w:t>
      </w:r>
    </w:p>
    <w:p>
      <w:pPr>
        <w:adjustRightInd w:val="0"/>
        <w:snapToGrid w:val="0"/>
        <w:spacing w:line="360" w:lineRule="auto"/>
        <w:ind w:firstLine="420" w:firstLineChars="200"/>
        <w:rPr>
          <w:szCs w:val="22"/>
        </w:rPr>
      </w:pPr>
      <w:r>
        <w:rPr>
          <w:rFonts w:hint="eastAsia"/>
          <w:szCs w:val="22"/>
        </w:rPr>
        <w:t>3）</w:t>
      </w:r>
      <w:r>
        <w:rPr>
          <w:szCs w:val="22"/>
        </w:rPr>
        <w:t>项目主要目的要求</w:t>
      </w:r>
    </w:p>
    <w:p>
      <w:pPr>
        <w:adjustRightInd w:val="0"/>
        <w:snapToGrid w:val="0"/>
        <w:spacing w:line="360" w:lineRule="auto"/>
        <w:ind w:firstLine="420" w:firstLineChars="200"/>
        <w:rPr>
          <w:szCs w:val="22"/>
        </w:rPr>
      </w:pPr>
      <w:r>
        <w:rPr>
          <w:szCs w:val="22"/>
        </w:rPr>
        <w:t>我国的教育方针是：培养德、智、体、美、育、劳全面发展的素质教育，要培养出有理想，有文化，守纪律的社会主义建设者和接班人，其中道德教育尤为重要，而劳动则是加强德育教育的最好方法，可以培养学生的劳动价值观和艰苦奋斗精神，体验劳动的艰辛，更珍惜他人和社会的劳动成果，培养社会主义的集体主义，人道主义，社会公德，诚实守信的道德规范</w:t>
      </w:r>
      <w:r>
        <w:rPr>
          <w:rFonts w:hint="eastAsia"/>
          <w:szCs w:val="22"/>
        </w:rPr>
        <w:t>；</w:t>
      </w:r>
    </w:p>
    <w:p>
      <w:pPr>
        <w:adjustRightInd w:val="0"/>
        <w:snapToGrid w:val="0"/>
        <w:spacing w:line="360" w:lineRule="auto"/>
        <w:ind w:firstLine="420" w:firstLineChars="200"/>
        <w:rPr>
          <w:szCs w:val="22"/>
        </w:rPr>
      </w:pPr>
      <w:r>
        <w:rPr>
          <w:rFonts w:hint="eastAsia"/>
          <w:szCs w:val="22"/>
        </w:rPr>
        <w:t>4）</w:t>
      </w:r>
      <w:r>
        <w:rPr>
          <w:szCs w:val="22"/>
        </w:rPr>
        <w:t>主要工具：各种类劳动工具</w:t>
      </w:r>
      <w:r>
        <w:rPr>
          <w:rFonts w:hint="eastAsia"/>
          <w:szCs w:val="22"/>
        </w:rPr>
        <w:t>；</w:t>
      </w:r>
    </w:p>
    <w:p>
      <w:pPr>
        <w:adjustRightInd w:val="0"/>
        <w:snapToGrid w:val="0"/>
        <w:spacing w:line="360" w:lineRule="auto"/>
        <w:ind w:firstLine="420" w:firstLineChars="200"/>
        <w:rPr>
          <w:szCs w:val="22"/>
        </w:rPr>
      </w:pPr>
      <w:r>
        <w:rPr>
          <w:rFonts w:hint="eastAsia"/>
          <w:szCs w:val="22"/>
        </w:rPr>
        <w:t>5）</w:t>
      </w:r>
      <w:r>
        <w:rPr>
          <w:szCs w:val="22"/>
        </w:rPr>
        <w:t>实践考核方法：考查</w:t>
      </w:r>
      <w:r>
        <w:rPr>
          <w:rFonts w:hint="eastAsia"/>
          <w:szCs w:val="22"/>
        </w:rPr>
        <w:t>。</w:t>
      </w:r>
    </w:p>
    <w:p>
      <w:pPr>
        <w:adjustRightInd w:val="0"/>
        <w:snapToGrid w:val="0"/>
        <w:spacing w:line="360" w:lineRule="auto"/>
        <w:ind w:firstLine="420" w:firstLineChars="200"/>
        <w:rPr>
          <w:szCs w:val="22"/>
        </w:rPr>
      </w:pPr>
      <w:r>
        <w:rPr>
          <w:rFonts w:hint="eastAsia"/>
          <w:szCs w:val="22"/>
        </w:rPr>
        <w:t>本章节内容支撑课程目标 1、4。</w:t>
      </w:r>
    </w:p>
    <w:p>
      <w:r>
        <w:rPr>
          <w:rFonts w:hint="eastAsia"/>
        </w:rPr>
        <w:t xml:space="preserve"> </w:t>
      </w:r>
    </w:p>
    <w:p>
      <w:pPr>
        <w:pStyle w:val="50"/>
        <w:adjustRightInd w:val="0"/>
        <w:snapToGrid w:val="0"/>
        <w:spacing w:line="360" w:lineRule="auto"/>
        <w:ind w:firstLine="0" w:firstLineChars="0"/>
        <w:rPr>
          <w:rFonts w:eastAsia="黑体"/>
        </w:rPr>
      </w:pPr>
      <w:r>
        <w:rPr>
          <w:rFonts w:hint="eastAsia" w:ascii="黑体" w:hAnsi="黑体" w:eastAsia="黑体"/>
        </w:rPr>
        <w:t>四、</w:t>
      </w:r>
      <w:r>
        <w:rPr>
          <w:rFonts w:ascii="黑体" w:hAnsi="黑体" w:eastAsia="黑体"/>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8"/>
        <w:gridCol w:w="1231"/>
        <w:gridCol w:w="1631"/>
        <w:gridCol w:w="13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知识点及内容</w:t>
            </w:r>
          </w:p>
        </w:tc>
        <w:tc>
          <w:tcPr>
            <w:tcW w:w="74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讲授（学时）</w:t>
            </w:r>
          </w:p>
        </w:tc>
        <w:tc>
          <w:tcPr>
            <w:tcW w:w="98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 w:val="18"/>
                <w:szCs w:val="18"/>
              </w:rPr>
            </w:pPr>
            <w:r>
              <w:rPr>
                <w:sz w:val="18"/>
                <w:szCs w:val="18"/>
              </w:rPr>
              <w:t>实验（学时）</w:t>
            </w:r>
          </w:p>
        </w:tc>
        <w:tc>
          <w:tcPr>
            <w:tcW w:w="803" w:type="pct"/>
            <w:tcBorders>
              <w:top w:val="single" w:color="auto" w:sz="4" w:space="0"/>
              <w:left w:val="single" w:color="auto" w:sz="4" w:space="0"/>
              <w:bottom w:val="single" w:color="auto" w:sz="4" w:space="0"/>
              <w:right w:val="nil"/>
            </w:tcBorders>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ind w:left="210" w:leftChars="100"/>
              <w:jc w:val="left"/>
              <w:rPr>
                <w:color w:val="000000"/>
                <w:kern w:val="0"/>
                <w:sz w:val="18"/>
                <w:szCs w:val="18"/>
              </w:rPr>
            </w:pPr>
            <w:r>
              <w:rPr>
                <w:color w:val="000000"/>
                <w:kern w:val="0"/>
                <w:sz w:val="18"/>
                <w:szCs w:val="18"/>
              </w:rPr>
              <w:t>1</w:t>
            </w:r>
            <w:r>
              <w:rPr>
                <w:kern w:val="0"/>
                <w:sz w:val="18"/>
                <w:szCs w:val="18"/>
              </w:rPr>
              <w:t>公益劳动课前动员、培训</w:t>
            </w:r>
            <w:r>
              <w:rPr>
                <w:rFonts w:hint="eastAsia"/>
                <w:kern w:val="0"/>
                <w:sz w:val="18"/>
                <w:szCs w:val="18"/>
              </w:rPr>
              <w:t>，</w:t>
            </w:r>
            <w:r>
              <w:rPr>
                <w:kern w:val="0"/>
                <w:sz w:val="18"/>
                <w:szCs w:val="18"/>
              </w:rPr>
              <w:t>校园内进行分区域</w:t>
            </w:r>
            <w:r>
              <w:rPr>
                <w:rFonts w:hint="eastAsia"/>
                <w:kern w:val="0"/>
                <w:sz w:val="18"/>
                <w:szCs w:val="18"/>
              </w:rPr>
              <w:t>美化</w:t>
            </w:r>
            <w:r>
              <w:rPr>
                <w:kern w:val="0"/>
                <w:sz w:val="18"/>
                <w:szCs w:val="18"/>
              </w:rPr>
              <w:t>劳动</w:t>
            </w:r>
          </w:p>
        </w:tc>
        <w:tc>
          <w:tcPr>
            <w:tcW w:w="74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0</w:t>
            </w:r>
          </w:p>
        </w:tc>
        <w:tc>
          <w:tcPr>
            <w:tcW w:w="98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1w</w:t>
            </w:r>
          </w:p>
        </w:tc>
        <w:tc>
          <w:tcPr>
            <w:tcW w:w="803" w:type="pct"/>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1w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72" w:type="pct"/>
            <w:tcBorders>
              <w:top w:val="single" w:color="auto" w:sz="4" w:space="0"/>
              <w:left w:val="nil"/>
              <w:bottom w:val="single" w:color="auto" w:sz="4" w:space="0"/>
              <w:right w:val="single" w:color="auto" w:sz="4" w:space="0"/>
            </w:tcBorders>
            <w:vAlign w:val="center"/>
          </w:tcPr>
          <w:p>
            <w:pPr>
              <w:widowControl/>
              <w:adjustRightInd w:val="0"/>
              <w:snapToGrid w:val="0"/>
              <w:spacing w:before="100" w:beforeAutospacing="1" w:after="100" w:afterAutospacing="1"/>
              <w:jc w:val="center"/>
              <w:rPr>
                <w:rFonts w:ascii="Calibri" w:hAnsi="Calibri"/>
                <w:color w:val="000000"/>
                <w:kern w:val="0"/>
                <w:sz w:val="18"/>
                <w:szCs w:val="18"/>
              </w:rPr>
            </w:pPr>
            <w:r>
              <w:rPr>
                <w:color w:val="000000"/>
                <w:kern w:val="0"/>
                <w:sz w:val="18"/>
                <w:szCs w:val="18"/>
              </w:rPr>
              <w:t>小计</w:t>
            </w:r>
          </w:p>
        </w:tc>
        <w:tc>
          <w:tcPr>
            <w:tcW w:w="74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0</w:t>
            </w:r>
          </w:p>
        </w:tc>
        <w:tc>
          <w:tcPr>
            <w:tcW w:w="98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1w</w:t>
            </w:r>
          </w:p>
        </w:tc>
        <w:tc>
          <w:tcPr>
            <w:tcW w:w="803" w:type="pct"/>
            <w:tcBorders>
              <w:top w:val="single" w:color="auto" w:sz="4" w:space="0"/>
              <w:left w:val="single" w:color="auto" w:sz="4" w:space="0"/>
              <w:bottom w:val="single" w:color="auto" w:sz="4" w:space="0"/>
              <w:right w:val="nil"/>
            </w:tcBorders>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1w</w:t>
            </w:r>
          </w:p>
        </w:tc>
      </w:tr>
    </w:tbl>
    <w:p>
      <w:pPr>
        <w:spacing w:line="360" w:lineRule="auto"/>
        <w:ind w:left="420" w:hanging="420"/>
        <w:rPr>
          <w:rFonts w:ascii="Calibri" w:hAnsi="Calibri" w:eastAsia="黑体"/>
          <w:szCs w:val="21"/>
        </w:rPr>
      </w:pPr>
      <w:r>
        <w:rPr>
          <w:rFonts w:hint="eastAsia" w:ascii="黑体" w:hAnsi="黑体" w:eastAsia="黑体"/>
        </w:rPr>
        <w:t>五、教材、补充教材及参考资料</w:t>
      </w:r>
    </w:p>
    <w:p>
      <w:pPr>
        <w:spacing w:line="360" w:lineRule="auto"/>
        <w:ind w:left="420" w:hanging="420"/>
        <w:rPr>
          <w:rFonts w:eastAsia="黑体"/>
        </w:rPr>
      </w:pPr>
      <w:r>
        <w:rPr>
          <w:rFonts w:hint="eastAsia" w:eastAsia="黑体"/>
        </w:rPr>
        <w:tab/>
      </w:r>
      <w:r>
        <w:rPr>
          <w:rFonts w:hint="eastAsia" w:ascii="黑体" w:hAnsi="黑体" w:eastAsia="黑体"/>
        </w:rPr>
        <w:t>无</w:t>
      </w:r>
    </w:p>
    <w:p>
      <w:pPr>
        <w:spacing w:line="360" w:lineRule="auto"/>
        <w:ind w:left="420" w:hanging="420"/>
        <w:rPr>
          <w:rFonts w:eastAsia="黑体"/>
        </w:rPr>
      </w:pPr>
      <w:r>
        <w:rPr>
          <w:rFonts w:hint="eastAsia" w:ascii="黑体" w:hAnsi="黑体" w:eastAsia="黑体"/>
        </w:rPr>
        <w:t>六、</w:t>
      </w:r>
      <w:r>
        <w:rPr>
          <w:rFonts w:ascii="黑体" w:hAnsi="黑体" w:eastAsia="黑体"/>
        </w:rPr>
        <w:t>课程目标达成评价的途径和措施</w:t>
      </w:r>
    </w:p>
    <w:p>
      <w:pPr>
        <w:adjustRightInd w:val="0"/>
        <w:snapToGrid w:val="0"/>
        <w:spacing w:line="360" w:lineRule="auto"/>
        <w:ind w:firstLine="420" w:firstLineChars="200"/>
        <w:rPr>
          <w:szCs w:val="22"/>
        </w:rPr>
      </w:pPr>
      <w:r>
        <w:rPr>
          <w:szCs w:val="22"/>
        </w:rPr>
        <w:t>1、考核方式：出勤及劳动安全</w:t>
      </w:r>
      <w:r>
        <w:rPr>
          <w:rFonts w:hint="eastAsia"/>
          <w:szCs w:val="22"/>
        </w:rPr>
        <w:t>、</w:t>
      </w:r>
      <w:r>
        <w:rPr>
          <w:szCs w:val="22"/>
        </w:rPr>
        <w:t>劳动态度及劳动纪律</w:t>
      </w:r>
      <w:r>
        <w:rPr>
          <w:rFonts w:hint="eastAsia"/>
          <w:szCs w:val="22"/>
        </w:rPr>
        <w:t>、</w:t>
      </w:r>
      <w:r>
        <w:rPr>
          <w:szCs w:val="22"/>
        </w:rPr>
        <w:t>劳动思想总结及劳动成果</w:t>
      </w:r>
    </w:p>
    <w:p>
      <w:pPr>
        <w:adjustRightInd w:val="0"/>
        <w:snapToGrid w:val="0"/>
        <w:spacing w:line="360" w:lineRule="auto"/>
        <w:ind w:firstLine="420" w:firstLineChars="200"/>
        <w:rPr>
          <w:szCs w:val="22"/>
        </w:rPr>
      </w:pPr>
      <w:r>
        <w:rPr>
          <w:szCs w:val="22"/>
        </w:rPr>
        <w:t>2、成绩构成：</w:t>
      </w:r>
    </w:p>
    <w:p>
      <w:pPr>
        <w:adjustRightInd w:val="0"/>
        <w:snapToGrid w:val="0"/>
        <w:spacing w:line="360" w:lineRule="auto"/>
        <w:ind w:firstLine="420" w:firstLineChars="200"/>
        <w:rPr>
          <w:szCs w:val="22"/>
        </w:rPr>
      </w:pPr>
      <w:r>
        <w:rPr>
          <w:rFonts w:hint="eastAsia"/>
          <w:szCs w:val="22"/>
        </w:rPr>
        <w:t xml:space="preserve">    本课程通过“</w:t>
      </w:r>
      <w:r>
        <w:rPr>
          <w:szCs w:val="22"/>
        </w:rPr>
        <w:t>出勤及劳动安全</w:t>
      </w:r>
      <w:r>
        <w:rPr>
          <w:rFonts w:hint="eastAsia"/>
          <w:szCs w:val="22"/>
        </w:rPr>
        <w:t>”和“</w:t>
      </w:r>
      <w:r>
        <w:rPr>
          <w:szCs w:val="22"/>
        </w:rPr>
        <w:t>劳动态度及劳动纪律</w:t>
      </w:r>
      <w:r>
        <w:rPr>
          <w:rFonts w:hint="eastAsia"/>
          <w:szCs w:val="22"/>
        </w:rPr>
        <w:t>”“</w:t>
      </w:r>
      <w:r>
        <w:rPr>
          <w:szCs w:val="22"/>
        </w:rPr>
        <w:t>劳动思想总结及劳动成果</w:t>
      </w:r>
      <w:r>
        <w:rPr>
          <w:rFonts w:hint="eastAsia"/>
          <w:szCs w:val="22"/>
        </w:rPr>
        <w:t>”三种方式对课程目标达成进行评价，考核成绩计算如下（本大纲中成绩均采用百分制）：</w:t>
      </w:r>
    </w:p>
    <w:p>
      <w:pPr>
        <w:spacing w:line="360" w:lineRule="auto"/>
        <w:jc w:val="center"/>
      </w:pPr>
      <w:r>
        <w:rPr>
          <w:rFonts w:hint="eastAsia" w:ascii="宋体" w:hAnsi="宋体"/>
          <w:sz w:val="18"/>
          <w:szCs w:val="18"/>
        </w:rPr>
        <w:t>各环节成绩评定占比</w:t>
      </w:r>
      <w:r>
        <w:rPr>
          <w:sz w:val="18"/>
          <w:szCs w:val="18"/>
        </w:rPr>
        <w:t>%</w:t>
      </w:r>
      <w:r>
        <w:tab/>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2439"/>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059"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sz w:val="18"/>
                <w:szCs w:val="18"/>
              </w:rPr>
              <w:t>出勤及劳动安全</w:t>
            </w:r>
          </w:p>
        </w:tc>
        <w:tc>
          <w:tcPr>
            <w:tcW w:w="1468" w:type="pct"/>
            <w:tcBorders>
              <w:top w:val="single" w:color="auto" w:sz="4" w:space="0"/>
              <w:left w:val="nil"/>
              <w:bottom w:val="single" w:color="auto" w:sz="4" w:space="0"/>
              <w:right w:val="nil"/>
            </w:tcBorders>
            <w:vAlign w:val="center"/>
          </w:tcPr>
          <w:p>
            <w:pPr>
              <w:ind w:left="210" w:leftChars="100"/>
              <w:jc w:val="center"/>
              <w:rPr>
                <w:sz w:val="18"/>
                <w:szCs w:val="18"/>
              </w:rPr>
            </w:pPr>
            <w:r>
              <w:rPr>
                <w:sz w:val="18"/>
                <w:szCs w:val="18"/>
              </w:rPr>
              <w:t>劳动态度及劳动纪律</w:t>
            </w:r>
          </w:p>
        </w:tc>
        <w:tc>
          <w:tcPr>
            <w:tcW w:w="1471" w:type="pct"/>
            <w:tcBorders>
              <w:top w:val="single" w:color="auto" w:sz="4" w:space="0"/>
              <w:left w:val="single" w:color="auto" w:sz="4" w:space="0"/>
              <w:bottom w:val="single" w:color="auto" w:sz="4" w:space="0"/>
              <w:right w:val="nil"/>
            </w:tcBorders>
            <w:vAlign w:val="center"/>
          </w:tcPr>
          <w:p>
            <w:pPr>
              <w:ind w:left="210" w:leftChars="100"/>
              <w:jc w:val="center"/>
              <w:rPr>
                <w:sz w:val="18"/>
                <w:szCs w:val="18"/>
              </w:rPr>
            </w:pPr>
            <w:r>
              <w:rPr>
                <w:sz w:val="18"/>
                <w:szCs w:val="18"/>
              </w:rPr>
              <w:t>劳动思想总结及劳动成果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059" w:type="pct"/>
            <w:tcBorders>
              <w:top w:val="single" w:color="auto" w:sz="4" w:space="0"/>
              <w:left w:val="nil"/>
              <w:bottom w:val="single" w:color="auto" w:sz="4" w:space="0"/>
              <w:right w:val="single" w:color="auto" w:sz="4" w:space="0"/>
            </w:tcBorders>
            <w:vAlign w:val="center"/>
          </w:tcPr>
          <w:p>
            <w:pPr>
              <w:ind w:left="210" w:leftChars="100"/>
              <w:jc w:val="center"/>
              <w:rPr>
                <w:color w:val="C00000"/>
                <w:sz w:val="18"/>
                <w:szCs w:val="18"/>
              </w:rPr>
            </w:pPr>
            <w:r>
              <w:rPr>
                <w:color w:val="000000"/>
                <w:sz w:val="18"/>
                <w:szCs w:val="18"/>
              </w:rPr>
              <w:t>50</w:t>
            </w:r>
          </w:p>
        </w:tc>
        <w:tc>
          <w:tcPr>
            <w:tcW w:w="1468" w:type="pct"/>
            <w:tcBorders>
              <w:top w:val="single" w:color="auto" w:sz="4" w:space="0"/>
              <w:left w:val="nil"/>
              <w:bottom w:val="single" w:color="auto" w:sz="4" w:space="0"/>
              <w:right w:val="nil"/>
            </w:tcBorders>
            <w:vAlign w:val="center"/>
          </w:tcPr>
          <w:p>
            <w:pPr>
              <w:ind w:left="210" w:leftChars="100"/>
              <w:jc w:val="center"/>
              <w:rPr>
                <w:color w:val="C00000"/>
                <w:sz w:val="18"/>
                <w:szCs w:val="18"/>
              </w:rPr>
            </w:pPr>
            <w:r>
              <w:rPr>
                <w:color w:val="000000"/>
                <w:sz w:val="18"/>
                <w:szCs w:val="18"/>
              </w:rPr>
              <w:t>40</w:t>
            </w:r>
          </w:p>
        </w:tc>
        <w:tc>
          <w:tcPr>
            <w:tcW w:w="1471" w:type="pct"/>
            <w:tcBorders>
              <w:top w:val="single" w:color="auto" w:sz="4" w:space="0"/>
              <w:left w:val="single" w:color="auto" w:sz="4" w:space="0"/>
              <w:bottom w:val="single" w:color="auto" w:sz="4" w:space="0"/>
              <w:right w:val="nil"/>
            </w:tcBorders>
            <w:vAlign w:val="center"/>
          </w:tcPr>
          <w:p>
            <w:pPr>
              <w:ind w:left="210" w:leftChars="100"/>
              <w:jc w:val="center"/>
              <w:rPr>
                <w:color w:val="C00000"/>
                <w:sz w:val="18"/>
                <w:szCs w:val="18"/>
              </w:rPr>
            </w:pPr>
            <w:r>
              <w:rPr>
                <w:color w:val="000000"/>
                <w:sz w:val="18"/>
                <w:szCs w:val="18"/>
              </w:rPr>
              <w:t>10</w:t>
            </w:r>
          </w:p>
        </w:tc>
      </w:tr>
    </w:tbl>
    <w:p>
      <w:pPr>
        <w:spacing w:line="360" w:lineRule="auto"/>
        <w:rPr>
          <w:rFonts w:ascii="Calibri" w:hAnsi="Calibri"/>
          <w:b/>
          <w:bCs/>
          <w:color w:val="1D41D5"/>
          <w:szCs w:val="21"/>
        </w:rPr>
      </w:pPr>
      <w:r>
        <w:rPr>
          <w:rFonts w:hint="eastAsia"/>
        </w:rPr>
        <w:tab/>
      </w:r>
      <w:r>
        <w:rPr>
          <w:rFonts w:hint="eastAsia" w:ascii="宋体" w:hAnsi="宋体"/>
        </w:rPr>
        <w:t>指导性课程目标评价题目分数分配：</w:t>
      </w:r>
    </w:p>
    <w:tbl>
      <w:tblPr>
        <w:tblStyle w:val="2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1774"/>
        <w:gridCol w:w="1651"/>
        <w:gridCol w:w="24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440"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课程目标</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sz w:val="18"/>
                <w:szCs w:val="18"/>
              </w:rPr>
            </w:pPr>
            <w:r>
              <w:rPr>
                <w:sz w:val="18"/>
                <w:szCs w:val="18"/>
              </w:rPr>
              <w:t>出勤及劳动安全</w:t>
            </w:r>
          </w:p>
          <w:p>
            <w:pPr>
              <w:jc w:val="center"/>
              <w:rPr>
                <w:sz w:val="18"/>
                <w:szCs w:val="18"/>
              </w:rPr>
            </w:pPr>
            <w:r>
              <w:rPr>
                <w:rFonts w:hint="eastAsia"/>
                <w:sz w:val="18"/>
                <w:szCs w:val="18"/>
              </w:rPr>
              <w:t>W1</w:t>
            </w:r>
            <w:r>
              <w:rPr>
                <w:rFonts w:hint="eastAsia"/>
                <w:sz w:val="18"/>
                <w:szCs w:val="18"/>
                <w:vertAlign w:val="subscript"/>
              </w:rPr>
              <w:t>i</w:t>
            </w:r>
          </w:p>
        </w:tc>
        <w:tc>
          <w:tcPr>
            <w:tcW w:w="994"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劳动态度及劳动纪律</w:t>
            </w:r>
            <w:r>
              <w:rPr>
                <w:rFonts w:hint="eastAsia"/>
                <w:sz w:val="18"/>
                <w:szCs w:val="18"/>
              </w:rPr>
              <w:t>W2</w:t>
            </w:r>
            <w:r>
              <w:rPr>
                <w:rFonts w:hint="eastAsia"/>
                <w:sz w:val="18"/>
                <w:szCs w:val="18"/>
                <w:vertAlign w:val="subscript"/>
              </w:rPr>
              <w:t>i</w:t>
            </w:r>
          </w:p>
        </w:tc>
        <w:tc>
          <w:tcPr>
            <w:tcW w:w="1497" w:type="pct"/>
            <w:tcBorders>
              <w:top w:val="single" w:color="auto" w:sz="4" w:space="0"/>
              <w:left w:val="single" w:color="auto" w:sz="4" w:space="0"/>
              <w:bottom w:val="single" w:color="auto" w:sz="4" w:space="0"/>
              <w:right w:val="nil"/>
            </w:tcBorders>
            <w:vAlign w:val="center"/>
          </w:tcPr>
          <w:p>
            <w:pPr>
              <w:jc w:val="center"/>
              <w:rPr>
                <w:sz w:val="18"/>
                <w:szCs w:val="18"/>
              </w:rPr>
            </w:pPr>
            <w:r>
              <w:rPr>
                <w:sz w:val="18"/>
                <w:szCs w:val="18"/>
              </w:rPr>
              <w:t>劳动思想总结及劳动成果</w:t>
            </w:r>
          </w:p>
          <w:p>
            <w:pPr>
              <w:jc w:val="center"/>
              <w:rPr>
                <w:sz w:val="18"/>
                <w:szCs w:val="18"/>
              </w:rPr>
            </w:pPr>
            <w:r>
              <w:rPr>
                <w:rFonts w:hint="eastAsia"/>
                <w:sz w:val="18"/>
                <w:szCs w:val="18"/>
              </w:rPr>
              <w:t>W3</w:t>
            </w:r>
            <w:r>
              <w:rPr>
                <w:rFonts w:hint="eastAsia"/>
                <w:sz w:val="18"/>
                <w:szCs w:val="18"/>
                <w:vertAlign w:val="subscript"/>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0"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994"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49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0"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2</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30-40</w:t>
            </w:r>
          </w:p>
        </w:tc>
        <w:tc>
          <w:tcPr>
            <w:tcW w:w="994"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49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0"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994"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30-40</w:t>
            </w:r>
          </w:p>
        </w:tc>
        <w:tc>
          <w:tcPr>
            <w:tcW w:w="149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40-50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0"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4</w:t>
            </w:r>
          </w:p>
        </w:tc>
        <w:tc>
          <w:tcPr>
            <w:tcW w:w="1068"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994"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497"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5-10</w:t>
            </w:r>
          </w:p>
        </w:tc>
      </w:tr>
    </w:tbl>
    <w:p>
      <w:pPr>
        <w:adjustRightInd w:val="0"/>
        <w:snapToGrid w:val="0"/>
        <w:spacing w:line="360" w:lineRule="auto"/>
        <w:ind w:firstLine="420" w:firstLineChars="200"/>
        <w:rPr>
          <w:szCs w:val="22"/>
        </w:rPr>
      </w:pPr>
    </w:p>
    <w:p>
      <w:pPr>
        <w:adjustRightInd w:val="0"/>
        <w:snapToGrid w:val="0"/>
        <w:spacing w:line="360" w:lineRule="auto"/>
        <w:ind w:firstLine="420" w:firstLineChars="200"/>
        <w:rPr>
          <w:szCs w:val="22"/>
        </w:rPr>
      </w:pPr>
      <w:r>
        <w:rPr>
          <w:rFonts w:hint="eastAsia"/>
          <w:szCs w:val="22"/>
        </w:rPr>
        <w:t>分目标达成值由每个部分对应的实际得分与题目总分数相比后，各环节加权求和得到。</w:t>
      </w:r>
    </w:p>
    <w:p>
      <w:pPr>
        <w:adjustRightInd w:val="0"/>
        <w:snapToGrid w:val="0"/>
        <w:spacing w:line="360" w:lineRule="auto"/>
        <w:ind w:firstLine="420" w:firstLineChars="200"/>
        <w:rPr>
          <w:szCs w:val="22"/>
        </w:rPr>
      </w:pPr>
      <w:r>
        <w:rPr>
          <w:rFonts w:hint="eastAsia"/>
          <w:szCs w:val="22"/>
        </w:rPr>
        <w:t>总课程目标达成值由每个环节的总平均分，按照各环节加权求和得到。</w:t>
      </w:r>
    </w:p>
    <w:p>
      <w:pPr>
        <w:adjustRightInd w:val="0"/>
        <w:snapToGrid w:val="0"/>
        <w:spacing w:line="360" w:lineRule="auto"/>
        <w:ind w:firstLine="420" w:firstLineChars="200"/>
        <w:rPr>
          <w:szCs w:val="22"/>
        </w:rPr>
      </w:pPr>
      <w:r>
        <w:rPr>
          <w:rFonts w:hint="eastAsia"/>
          <w:szCs w:val="22"/>
        </w:rPr>
        <w:t>各环节的评价标准参见课程成绩分析报告。</w:t>
      </w:r>
    </w:p>
    <w:p>
      <w:pPr>
        <w:adjustRightInd w:val="0"/>
        <w:snapToGrid w:val="0"/>
        <w:spacing w:line="360" w:lineRule="auto"/>
        <w:ind w:firstLine="420" w:firstLineChars="200"/>
        <w:rPr>
          <w:szCs w:val="22"/>
        </w:rPr>
      </w:pPr>
      <w:r>
        <w:rPr>
          <w:szCs w:val="22"/>
        </w:rPr>
        <w:t xml:space="preserve"> </w:t>
      </w:r>
    </w:p>
    <w:p>
      <w:pPr>
        <w:adjustRightInd w:val="0"/>
        <w:snapToGrid w:val="0"/>
        <w:spacing w:line="360" w:lineRule="auto"/>
        <w:ind w:firstLine="420" w:firstLineChars="200"/>
        <w:rPr>
          <w:szCs w:val="22"/>
        </w:rPr>
      </w:pPr>
    </w:p>
    <w:p>
      <w:pPr>
        <w:widowControl/>
        <w:jc w:val="left"/>
        <w:rPr>
          <w:szCs w:val="21"/>
        </w:rPr>
      </w:pPr>
      <w:r>
        <w:rPr>
          <w:szCs w:val="21"/>
        </w:rPr>
        <w:br w:type="page"/>
      </w:r>
    </w:p>
    <w:p>
      <w:pPr>
        <w:pStyle w:val="20"/>
        <w:spacing w:before="312" w:after="468"/>
      </w:pPr>
      <w:bookmarkStart w:id="150" w:name="_Toc16798"/>
      <w:r>
        <w:t>《X07250004</w:t>
      </w:r>
      <w:r>
        <w:rPr>
          <w:rFonts w:hint="eastAsia"/>
        </w:rPr>
        <w:t>-</w:t>
      </w:r>
      <w:r>
        <w:t>社会实践》教学大纲</w:t>
      </w:r>
      <w:bookmarkEnd w:id="150"/>
    </w:p>
    <w:p>
      <w:pPr>
        <w:adjustRightInd w:val="0"/>
        <w:snapToGrid w:val="0"/>
        <w:spacing w:line="360" w:lineRule="auto"/>
        <w:rPr>
          <w:rFonts w:eastAsia="黑体"/>
          <w:szCs w:val="21"/>
        </w:rPr>
      </w:pPr>
      <w:r>
        <w:rPr>
          <w:rFonts w:ascii="黑体" w:hAnsi="黑体" w:eastAsia="黑体"/>
        </w:rPr>
        <w:t>课程编号：</w:t>
      </w:r>
      <w:r>
        <w:rPr>
          <w:kern w:val="0"/>
        </w:rPr>
        <w:t>X07250004</w:t>
      </w:r>
    </w:p>
    <w:p>
      <w:pPr>
        <w:adjustRightInd w:val="0"/>
        <w:snapToGrid w:val="0"/>
        <w:spacing w:line="360" w:lineRule="auto"/>
        <w:rPr>
          <w:rFonts w:ascii="Calibri" w:hAnsi="Calibri"/>
        </w:rPr>
      </w:pPr>
      <w:r>
        <w:rPr>
          <w:rFonts w:ascii="黑体" w:hAnsi="黑体" w:eastAsia="黑体"/>
        </w:rPr>
        <w:t>课程名称：</w:t>
      </w:r>
      <w:r>
        <w:rPr>
          <w:rFonts w:ascii="宋体" w:hAnsi="宋体"/>
          <w:color w:val="000000"/>
        </w:rPr>
        <w:t>社会实践</w:t>
      </w:r>
      <w:r>
        <w:rPr>
          <w:rFonts w:hint="eastAsia" w:hAnsi="宋体"/>
          <w:color w:val="000000"/>
        </w:rPr>
        <w:t xml:space="preserve">                      </w:t>
      </w:r>
      <w:r>
        <w:rPr>
          <w:rFonts w:ascii="黑体" w:hAnsi="黑体" w:eastAsia="黑体"/>
        </w:rPr>
        <w:t>开课单位：</w:t>
      </w:r>
      <w:r>
        <w:rPr>
          <w:rFonts w:ascii="宋体" w:hAnsi="宋体"/>
          <w:color w:val="000000"/>
        </w:rPr>
        <w:t>仪器与电子学院</w:t>
      </w:r>
      <w:r>
        <w:rPr>
          <w:rFonts w:eastAsia="黑体"/>
          <w:color w:val="000000"/>
        </w:rPr>
        <w:t xml:space="preserve"> </w:t>
      </w:r>
      <w:r>
        <w:rPr>
          <w:rFonts w:eastAsia="黑体"/>
        </w:rPr>
        <w:t xml:space="preserve">  </w:t>
      </w:r>
    </w:p>
    <w:p>
      <w:pPr>
        <w:adjustRightInd w:val="0"/>
        <w:snapToGrid w:val="0"/>
        <w:spacing w:line="360" w:lineRule="auto"/>
        <w:rPr>
          <w:rFonts w:eastAsia="黑体"/>
        </w:rPr>
      </w:pPr>
      <w:r>
        <w:rPr>
          <w:rFonts w:ascii="黑体" w:hAnsi="黑体" w:eastAsia="黑体"/>
          <w:color w:val="000000"/>
        </w:rPr>
        <w:t>总</w:t>
      </w:r>
      <w:r>
        <w:rPr>
          <w:rFonts w:eastAsia="黑体"/>
          <w:color w:val="000000"/>
        </w:rPr>
        <w:t xml:space="preserve"> </w:t>
      </w:r>
      <w:r>
        <w:rPr>
          <w:rFonts w:ascii="黑体" w:hAnsi="黑体" w:eastAsia="黑体"/>
          <w:color w:val="000000"/>
        </w:rPr>
        <w:t>学</w:t>
      </w:r>
      <w:r>
        <w:rPr>
          <w:rFonts w:eastAsia="黑体"/>
          <w:color w:val="000000"/>
        </w:rPr>
        <w:t xml:space="preserve"> </w:t>
      </w:r>
      <w:r>
        <w:rPr>
          <w:rFonts w:ascii="黑体" w:hAnsi="黑体" w:eastAsia="黑体"/>
          <w:color w:val="000000"/>
        </w:rPr>
        <w:t>时：</w:t>
      </w:r>
      <w:r>
        <w:rPr>
          <w:color w:val="000000"/>
        </w:rPr>
        <w:t>2w</w:t>
      </w:r>
      <w:r>
        <w:rPr>
          <w:rFonts w:hint="eastAsia"/>
          <w:color w:val="000000"/>
        </w:rPr>
        <w:t xml:space="preserve"> </w:t>
      </w:r>
      <w:r>
        <w:rPr>
          <w:color w:val="000000"/>
        </w:rPr>
        <w:t xml:space="preserve">    </w:t>
      </w:r>
      <w:r>
        <w:rPr>
          <w:rFonts w:eastAsia="黑体"/>
          <w:color w:val="000000"/>
        </w:rPr>
        <w:t xml:space="preserve"> </w:t>
      </w:r>
      <w:r>
        <w:rPr>
          <w:rFonts w:eastAsia="黑体"/>
        </w:rPr>
        <w:t xml:space="preserve">             </w:t>
      </w:r>
      <w:r>
        <w:rPr>
          <w:rFonts w:eastAsia="黑体"/>
        </w:rPr>
        <w:tab/>
      </w:r>
      <w:r>
        <w:rPr>
          <w:rFonts w:eastAsia="黑体"/>
        </w:rPr>
        <w:t xml:space="preserve">  </w:t>
      </w:r>
      <w:r>
        <w:rPr>
          <w:rFonts w:hint="eastAsia" w:eastAsia="黑体"/>
        </w:rPr>
        <w:t xml:space="preserve">    </w:t>
      </w:r>
      <w:r>
        <w:rPr>
          <w:rFonts w:eastAsia="黑体"/>
        </w:rPr>
        <w:t xml:space="preserve">  </w:t>
      </w:r>
      <w:r>
        <w:rPr>
          <w:rFonts w:ascii="黑体" w:hAnsi="黑体" w:eastAsia="黑体"/>
        </w:rPr>
        <w:t>学</w:t>
      </w:r>
      <w:r>
        <w:rPr>
          <w:rFonts w:eastAsia="黑体"/>
        </w:rPr>
        <w:t xml:space="preserve">    </w:t>
      </w:r>
      <w:r>
        <w:rPr>
          <w:rFonts w:ascii="黑体" w:hAnsi="黑体" w:eastAsia="黑体"/>
        </w:rPr>
        <w:t>分：</w:t>
      </w:r>
      <w:r>
        <w:rPr>
          <w:rFonts w:eastAsia="黑体"/>
        </w:rPr>
        <w:t>1</w:t>
      </w:r>
    </w:p>
    <w:p>
      <w:pPr>
        <w:adjustRightInd w:val="0"/>
        <w:snapToGrid w:val="0"/>
        <w:spacing w:line="360" w:lineRule="auto"/>
        <w:rPr>
          <w:rFonts w:eastAsia="黑体"/>
        </w:rPr>
      </w:pPr>
      <w:r>
        <w:rPr>
          <w:rFonts w:ascii="黑体" w:hAnsi="黑体" w:eastAsia="黑体"/>
        </w:rPr>
        <w:t>适用专业：</w:t>
      </w:r>
      <w:r>
        <w:rPr>
          <w:rFonts w:ascii="宋体" w:hAnsi="宋体"/>
        </w:rPr>
        <w:t>工</w:t>
      </w:r>
      <w:r>
        <w:rPr>
          <w:rFonts w:hint="eastAsia" w:ascii="宋体" w:hAnsi="宋体"/>
        </w:rPr>
        <w:t>程类</w:t>
      </w:r>
      <w:r>
        <w:rPr>
          <w:rFonts w:ascii="宋体" w:hAnsi="宋体"/>
        </w:rPr>
        <w:t>各专业</w:t>
      </w:r>
    </w:p>
    <w:p>
      <w:pPr>
        <w:adjustRightInd w:val="0"/>
        <w:snapToGrid w:val="0"/>
        <w:spacing w:line="360" w:lineRule="auto"/>
        <w:rPr>
          <w:rFonts w:hAnsi="宋体"/>
          <w:color w:val="000000"/>
        </w:rPr>
      </w:pPr>
      <w:r>
        <w:rPr>
          <w:rFonts w:ascii="黑体" w:hAnsi="黑体" w:eastAsia="黑体"/>
        </w:rPr>
        <w:t>先修课程：</w:t>
      </w:r>
      <w:r>
        <w:rPr>
          <w:rFonts w:ascii="宋体" w:hAnsi="宋体"/>
          <w:color w:val="000000"/>
        </w:rPr>
        <w:t>无</w:t>
      </w:r>
    </w:p>
    <w:p>
      <w:pPr>
        <w:adjustRightInd w:val="0"/>
        <w:snapToGrid w:val="0"/>
        <w:spacing w:line="360" w:lineRule="auto"/>
        <w:rPr>
          <w:rFonts w:hAnsi="宋体"/>
          <w:color w:val="000000"/>
        </w:rPr>
      </w:pPr>
      <w:r>
        <w:rPr>
          <w:rFonts w:hint="eastAsia" w:ascii="黑体" w:hAnsi="黑体" w:eastAsia="黑体"/>
        </w:rPr>
        <w:t>大纲编写（修订）时间</w:t>
      </w:r>
      <w:r>
        <w:rPr>
          <w:rFonts w:hint="eastAsia" w:ascii="宋体" w:hAnsi="宋体"/>
        </w:rPr>
        <w:t>：</w:t>
      </w:r>
      <w:r>
        <w:t>2019</w:t>
      </w:r>
      <w:r>
        <w:rPr>
          <w:rFonts w:ascii="宋体" w:hAnsi="宋体"/>
        </w:rPr>
        <w:t>年</w:t>
      </w:r>
      <w:r>
        <w:t>4</w:t>
      </w:r>
      <w:r>
        <w:rPr>
          <w:rFonts w:ascii="宋体" w:hAnsi="宋体"/>
        </w:rPr>
        <w:t>月</w:t>
      </w:r>
    </w:p>
    <w:p>
      <w:pPr>
        <w:spacing w:line="360" w:lineRule="auto"/>
        <w:rPr>
          <w:rFonts w:hAnsi="Calibri"/>
          <w:b/>
          <w:bCs/>
        </w:rPr>
      </w:pPr>
      <w:r>
        <w:rPr>
          <w:b/>
          <w:bCs/>
        </w:rPr>
        <w:t xml:space="preserve"> </w:t>
      </w:r>
    </w:p>
    <w:p>
      <w:pPr>
        <w:adjustRightInd w:val="0"/>
        <w:snapToGrid w:val="0"/>
        <w:spacing w:line="360" w:lineRule="auto"/>
        <w:rPr>
          <w:rFonts w:eastAsia="黑体"/>
        </w:rPr>
      </w:pPr>
      <w:r>
        <w:rPr>
          <w:rFonts w:hint="eastAsia" w:ascii="黑体" w:hAnsi="黑体" w:eastAsia="黑体"/>
        </w:rPr>
        <w:t>一、</w:t>
      </w:r>
      <w:r>
        <w:rPr>
          <w:rFonts w:ascii="黑体" w:hAnsi="黑体" w:eastAsia="黑体"/>
        </w:rPr>
        <w:t>课程在教学计划中的地位、作用</w:t>
      </w:r>
    </w:p>
    <w:p>
      <w:pPr>
        <w:spacing w:line="360" w:lineRule="auto"/>
        <w:ind w:firstLine="420" w:firstLineChars="200"/>
        <w:rPr>
          <w:color w:val="000000"/>
        </w:rPr>
      </w:pPr>
      <w:r>
        <w:rPr>
          <w:rFonts w:ascii="宋体" w:hAnsi="宋体"/>
          <w:color w:val="000000"/>
        </w:rPr>
        <w:t>社会实践是一门大学生身体力行践行思想政治教育理论与实践相结合的传统学科，在多年的大学生课程设置以及教育实践中取得了很好的成绩。大学生社会实践是高校有目的、有计划地引导大学生深入社会，以受教育、长才干、做贡献为目的的一系列物质与精神的社会活动。它与高校教学科研相辅相成，是融学校教育、社会教育和自我教育为一体的有利于高校人才培养的教育形式和重要环节。</w:t>
      </w:r>
    </w:p>
    <w:p>
      <w:pPr>
        <w:spacing w:line="360" w:lineRule="auto"/>
        <w:ind w:firstLine="420" w:firstLineChars="200"/>
        <w:rPr>
          <w:color w:val="000000"/>
        </w:rPr>
      </w:pPr>
      <w:r>
        <w:rPr>
          <w:rFonts w:ascii="宋体" w:hAnsi="宋体"/>
          <w:color w:val="000000"/>
        </w:rPr>
        <w:t>大学生社会实践是实现高校人才培养目标的必要途径，是促进高校教育发展的必然要求，是促使大学生全面健康成长的必由之路，大学生社会实践也是整个社会教育资源的有效措施。社会实践课程有助于大学生思想道德素质的提高，有助于大学生理论知识水平的提高，有助于大学生实践能力的培养，更有助于大学生就业创业的实现。大学生社会实践在高校人才培养中与理论知识教育一样，同属于培养合格人才、加速大学生社会化的极其重要的有效途径，并经过多年的实践和探索取得了丰硕成果。社会实践是系统的理论教育、专业知识教育和思想政治教育的辅助、补充形式，只有同高校人才培养形式有效地结合起来，才能取得更大的优势和成效。</w:t>
      </w:r>
    </w:p>
    <w:p>
      <w:pPr>
        <w:spacing w:line="360" w:lineRule="auto"/>
        <w:ind w:left="210" w:leftChars="100"/>
        <w:rPr>
          <w:color w:val="FF0000"/>
        </w:rPr>
      </w:pPr>
      <w:r>
        <w:rPr>
          <w:color w:val="FF0000"/>
        </w:rPr>
        <w:t xml:space="preserve"> </w:t>
      </w:r>
    </w:p>
    <w:p>
      <w:pPr>
        <w:spacing w:line="360" w:lineRule="auto"/>
        <w:rPr>
          <w:rFonts w:eastAsia="黑体"/>
        </w:rPr>
      </w:pPr>
      <w:r>
        <w:rPr>
          <w:rFonts w:ascii="黑体" w:hAnsi="黑体" w:eastAsia="黑体"/>
        </w:rPr>
        <w:t>二、课程目标</w:t>
      </w:r>
    </w:p>
    <w:p>
      <w:pPr>
        <w:spacing w:line="360" w:lineRule="auto"/>
        <w:ind w:firstLine="420" w:firstLineChars="200"/>
        <w:rPr>
          <w:b/>
          <w:bCs/>
          <w:color w:val="0B5FD1"/>
        </w:rPr>
      </w:pPr>
      <w:r>
        <w:rPr>
          <w:rFonts w:hint="eastAsia" w:ascii="宋体" w:hAnsi="宋体"/>
          <w:color w:val="000000"/>
        </w:rPr>
        <w:t>本大纲适用于工程类专业选择使用，专业在选用时要关注本课程目标是否与专业培养方案设定的能力矩阵一致。</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3464"/>
        <w:gridCol w:w="42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utoSpaceDE w:val="0"/>
              <w:adjustRightInd w:val="0"/>
              <w:spacing w:line="360" w:lineRule="auto"/>
              <w:jc w:val="center"/>
              <w:rPr>
                <w:sz w:val="18"/>
                <w:szCs w:val="18"/>
              </w:rPr>
            </w:pPr>
            <w:bookmarkStart w:id="151" w:name="_Toc26824"/>
            <w:r>
              <w:rPr>
                <w:rFonts w:hint="eastAsia"/>
                <w:sz w:val="18"/>
                <w:szCs w:val="18"/>
              </w:rPr>
              <w:t>序号</w:t>
            </w:r>
            <w:bookmarkEnd w:id="151"/>
          </w:p>
        </w:tc>
        <w:tc>
          <w:tcPr>
            <w:tcW w:w="2086" w:type="pct"/>
            <w:tcBorders>
              <w:top w:val="single" w:color="auto" w:sz="4" w:space="0"/>
              <w:left w:val="single" w:color="auto" w:sz="4" w:space="0"/>
              <w:bottom w:val="single" w:color="auto" w:sz="4" w:space="0"/>
              <w:right w:val="single" w:color="auto" w:sz="4" w:space="0"/>
            </w:tcBorders>
          </w:tcPr>
          <w:p>
            <w:pPr>
              <w:autoSpaceDE w:val="0"/>
              <w:adjustRightInd w:val="0"/>
              <w:spacing w:line="360" w:lineRule="auto"/>
              <w:jc w:val="center"/>
              <w:rPr>
                <w:sz w:val="18"/>
                <w:szCs w:val="18"/>
              </w:rPr>
            </w:pPr>
            <w:r>
              <w:rPr>
                <w:rFonts w:hint="eastAsia"/>
                <w:sz w:val="18"/>
                <w:szCs w:val="18"/>
              </w:rPr>
              <w:t>课程目标</w:t>
            </w:r>
          </w:p>
        </w:tc>
        <w:tc>
          <w:tcPr>
            <w:tcW w:w="2550" w:type="pct"/>
            <w:tcBorders>
              <w:top w:val="single" w:color="auto" w:sz="4" w:space="0"/>
              <w:left w:val="single" w:color="auto" w:sz="4" w:space="0"/>
              <w:bottom w:val="single" w:color="auto" w:sz="4" w:space="0"/>
              <w:right w:val="nil"/>
            </w:tcBorders>
          </w:tcPr>
          <w:p>
            <w:pPr>
              <w:autoSpaceDE w:val="0"/>
              <w:adjustRightInd w:val="0"/>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1</w:t>
            </w:r>
          </w:p>
        </w:tc>
        <w:tc>
          <w:tcPr>
            <w:tcW w:w="2086"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课程目标1：通过本实践课程，使学生能够了解当前国家的政策、方针以及对当代大学生新的要求、希望和时代任务；</w:t>
            </w:r>
          </w:p>
        </w:tc>
        <w:tc>
          <w:tcPr>
            <w:tcW w:w="2550"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color w:val="333333"/>
                <w:sz w:val="18"/>
                <w:szCs w:val="18"/>
              </w:rPr>
            </w:pPr>
            <w:r>
              <w:rPr>
                <w:rFonts w:hint="eastAsia"/>
                <w:b/>
                <w:bCs/>
                <w:color w:val="333333"/>
                <w:sz w:val="18"/>
                <w:szCs w:val="18"/>
                <w:shd w:val="clear" w:color="auto" w:fill="FFFFFF"/>
              </w:rPr>
              <w:t>毕业要求6工程与社会</w:t>
            </w:r>
            <w:r>
              <w:rPr>
                <w:rFonts w:hint="eastAsia"/>
                <w:color w:val="333333"/>
                <w:sz w:val="18"/>
                <w:szCs w:val="18"/>
                <w:shd w:val="clear" w:color="auto" w:fill="FFFFFF"/>
              </w:rPr>
              <w:t>：能够基于工程相关背景知识进行合理分析，评价专业工程实践和复杂工程问题解决方案对社会、健康、安全、法律以及文化的影响，并理解应承担的责任。</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2</w:t>
            </w:r>
          </w:p>
        </w:tc>
        <w:tc>
          <w:tcPr>
            <w:tcW w:w="2086"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课程目标2：要求学生在实践过程中明确主题、方向和范围，有针对性地开展实践调研活动；</w:t>
            </w:r>
          </w:p>
        </w:tc>
        <w:tc>
          <w:tcPr>
            <w:tcW w:w="2550"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color w:val="333333"/>
                <w:sz w:val="18"/>
                <w:szCs w:val="18"/>
              </w:rPr>
            </w:pPr>
            <w:r>
              <w:rPr>
                <w:rFonts w:hint="eastAsia"/>
                <w:b/>
                <w:bCs/>
                <w:color w:val="333333"/>
                <w:sz w:val="18"/>
                <w:szCs w:val="18"/>
                <w:shd w:val="clear" w:color="auto" w:fill="FFFFFF"/>
              </w:rPr>
              <w:t>毕业要求6工程与社会</w:t>
            </w:r>
            <w:r>
              <w:rPr>
                <w:rFonts w:hint="eastAsia"/>
                <w:color w:val="333333"/>
                <w:sz w:val="18"/>
                <w:szCs w:val="18"/>
                <w:shd w:val="clear" w:color="auto" w:fill="FFFFFF"/>
              </w:rPr>
              <w:t>：能够基于工程相关背景知识进行合理分析，评价专业工程实践和复杂工程问题解决方案对社会、健康、安全、法律以及文化的影响，并理解应承担的责任。</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3</w:t>
            </w:r>
          </w:p>
        </w:tc>
        <w:tc>
          <w:tcPr>
            <w:tcW w:w="2086"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课程目标3：通过实践，大学生了解国情、历史、文化、经济、政治、法律等各方面的社会知识，将理论学习和实践锻炼很好的结合起来；</w:t>
            </w:r>
          </w:p>
        </w:tc>
        <w:tc>
          <w:tcPr>
            <w:tcW w:w="2550"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color w:val="333333"/>
                <w:sz w:val="18"/>
                <w:szCs w:val="18"/>
              </w:rPr>
            </w:pPr>
            <w:r>
              <w:rPr>
                <w:rFonts w:hint="eastAsia"/>
                <w:b/>
                <w:bCs/>
                <w:color w:val="333333"/>
                <w:sz w:val="18"/>
                <w:szCs w:val="18"/>
                <w:shd w:val="clear" w:color="auto" w:fill="FFFFFF"/>
              </w:rPr>
              <w:t>毕业要求6工程与社会</w:t>
            </w:r>
            <w:r>
              <w:rPr>
                <w:rFonts w:hint="eastAsia"/>
                <w:color w:val="333333"/>
                <w:sz w:val="18"/>
                <w:szCs w:val="18"/>
                <w:shd w:val="clear" w:color="auto" w:fill="FFFFFF"/>
              </w:rPr>
              <w:t>：能够基于工程相关背景知识进行合理分析，评价专业工程实践和复杂工程问题解决方案对社会、健康、安全、法律以及文化的影响，并理解应承担的责任。</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4</w:t>
            </w:r>
          </w:p>
        </w:tc>
        <w:tc>
          <w:tcPr>
            <w:tcW w:w="2086"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color w:val="000000"/>
                <w:sz w:val="18"/>
                <w:szCs w:val="18"/>
              </w:rPr>
            </w:pPr>
            <w:r>
              <w:rPr>
                <w:rFonts w:hint="eastAsia" w:ascii="宋体" w:hAnsi="宋体"/>
                <w:color w:val="000000"/>
                <w:sz w:val="18"/>
                <w:szCs w:val="18"/>
              </w:rPr>
              <w:t>课程目标4：通过实践，大学生能够在调研过程中积极地提出有关社会问题的整改意见和修正方法，为社会发展建言献策；</w:t>
            </w:r>
          </w:p>
        </w:tc>
        <w:tc>
          <w:tcPr>
            <w:tcW w:w="2550"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color w:val="333333"/>
                <w:sz w:val="18"/>
                <w:szCs w:val="18"/>
              </w:rPr>
            </w:pPr>
            <w:r>
              <w:rPr>
                <w:rFonts w:hint="eastAsia"/>
                <w:b/>
                <w:bCs/>
                <w:color w:val="333333"/>
                <w:sz w:val="18"/>
                <w:szCs w:val="18"/>
                <w:shd w:val="clear" w:color="auto" w:fill="FFFFFF"/>
              </w:rPr>
              <w:t>毕业要求12终身学习</w:t>
            </w:r>
            <w:r>
              <w:rPr>
                <w:rFonts w:hint="eastAsia"/>
                <w:color w:val="333333"/>
                <w:sz w:val="18"/>
                <w:szCs w:val="18"/>
                <w:shd w:val="clear" w:color="auto" w:fill="FFFFFF"/>
              </w:rPr>
              <w:t>：具有自主学习和终身学习的意识，有不断学习和适应发展的能力。</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5</w:t>
            </w:r>
          </w:p>
        </w:tc>
        <w:tc>
          <w:tcPr>
            <w:tcW w:w="2086"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color w:val="000000"/>
                <w:sz w:val="18"/>
                <w:szCs w:val="18"/>
              </w:rPr>
            </w:pPr>
            <w:r>
              <w:rPr>
                <w:rFonts w:hint="eastAsia" w:ascii="宋体" w:hAnsi="宋体"/>
                <w:color w:val="000000"/>
                <w:sz w:val="18"/>
                <w:szCs w:val="18"/>
              </w:rPr>
              <w:t>课程目标5：实践后，大学生能够很好地总结实践成果，全面提升毕业后发展的综合能力。</w:t>
            </w:r>
          </w:p>
        </w:tc>
        <w:tc>
          <w:tcPr>
            <w:tcW w:w="2550" w:type="pct"/>
            <w:tcBorders>
              <w:top w:val="single" w:color="auto" w:sz="4" w:space="0"/>
              <w:left w:val="single" w:color="auto" w:sz="4" w:space="0"/>
              <w:bottom w:val="single" w:color="auto" w:sz="4" w:space="0"/>
              <w:right w:val="nil"/>
            </w:tcBorders>
          </w:tcPr>
          <w:p>
            <w:pPr>
              <w:pStyle w:val="19"/>
              <w:shd w:val="clear" w:color="auto" w:fill="FFFFFF"/>
              <w:adjustRightInd w:val="0"/>
              <w:snapToGrid w:val="0"/>
              <w:spacing w:before="0" w:beforeAutospacing="0" w:after="0" w:afterAutospacing="0" w:line="360" w:lineRule="auto"/>
              <w:rPr>
                <w:color w:val="333333"/>
                <w:sz w:val="18"/>
                <w:szCs w:val="18"/>
              </w:rPr>
            </w:pPr>
            <w:r>
              <w:rPr>
                <w:rFonts w:hint="eastAsia"/>
                <w:b/>
                <w:bCs/>
                <w:color w:val="333333"/>
                <w:sz w:val="18"/>
                <w:szCs w:val="18"/>
                <w:shd w:val="clear" w:color="auto" w:fill="FFFFFF"/>
              </w:rPr>
              <w:t>毕业要求12终身学习</w:t>
            </w:r>
            <w:r>
              <w:rPr>
                <w:rFonts w:hint="eastAsia"/>
                <w:color w:val="333333"/>
                <w:sz w:val="18"/>
                <w:szCs w:val="18"/>
                <w:shd w:val="clear" w:color="auto" w:fill="FFFFFF"/>
              </w:rPr>
              <w:t>：具有自主学习和终身学习的意识，有不断学习和适应发展的能力。</w:t>
            </w:r>
          </w:p>
          <w:p>
            <w:pPr>
              <w:adjustRightInd w:val="0"/>
              <w:snapToGrid w:val="0"/>
              <w:spacing w:line="360" w:lineRule="auto"/>
              <w:rPr>
                <w:rFonts w:ascii="宋体" w:hAnsi="宋体"/>
                <w:sz w:val="18"/>
                <w:szCs w:val="18"/>
              </w:rPr>
            </w:pPr>
          </w:p>
        </w:tc>
      </w:tr>
    </w:tbl>
    <w:p>
      <w:pPr>
        <w:adjustRightInd w:val="0"/>
        <w:snapToGrid w:val="0"/>
        <w:spacing w:line="360" w:lineRule="auto"/>
        <w:rPr>
          <w:rFonts w:ascii="Calibri" w:hAnsi="Calibri" w:eastAsia="黑体"/>
          <w:szCs w:val="21"/>
        </w:rPr>
      </w:pPr>
      <w:r>
        <w:rPr>
          <w:rFonts w:hint="eastAsia" w:eastAsia="黑体"/>
        </w:rPr>
        <w:t xml:space="preserve"> </w:t>
      </w:r>
    </w:p>
    <w:p>
      <w:pPr>
        <w:adjustRightInd w:val="0"/>
        <w:snapToGrid w:val="0"/>
        <w:spacing w:line="360" w:lineRule="auto"/>
        <w:ind w:left="420" w:hanging="420"/>
        <w:rPr>
          <w:rFonts w:eastAsia="黑体"/>
        </w:rPr>
      </w:pPr>
      <w:r>
        <w:rPr>
          <w:rFonts w:ascii="黑体" w:hAnsi="黑体" w:eastAsia="黑体"/>
        </w:rPr>
        <w:t>三、</w:t>
      </w:r>
      <w:r>
        <w:rPr>
          <w:rFonts w:hint="eastAsia" w:ascii="黑体" w:hAnsi="黑体" w:eastAsia="黑体"/>
        </w:rPr>
        <w:t>教学</w:t>
      </w:r>
      <w:r>
        <w:rPr>
          <w:rFonts w:ascii="黑体" w:hAnsi="黑体" w:eastAsia="黑体"/>
        </w:rPr>
        <w:t>内容及基本要求</w:t>
      </w:r>
    </w:p>
    <w:p>
      <w:pPr>
        <w:adjustRightInd w:val="0"/>
        <w:snapToGrid w:val="0"/>
        <w:spacing w:line="360" w:lineRule="auto"/>
        <w:ind w:left="420" w:leftChars="200"/>
        <w:rPr>
          <w:rFonts w:eastAsia="黑体"/>
        </w:rPr>
      </w:pPr>
      <w:r>
        <w:rPr>
          <w:rFonts w:hint="eastAsia" w:ascii="黑体" w:hAnsi="黑体" w:eastAsia="黑体"/>
        </w:rPr>
        <w:t>基本要求</w:t>
      </w:r>
    </w:p>
    <w:p>
      <w:pPr>
        <w:spacing w:line="360" w:lineRule="auto"/>
        <w:ind w:firstLine="420" w:firstLineChars="200"/>
      </w:pPr>
      <w:r>
        <w:rPr>
          <w:rFonts w:ascii="宋体" w:hAnsi="宋体"/>
          <w:color w:val="000000"/>
        </w:rPr>
        <w:t>本课程是实践课程，主要锻炼提升大学生的实践能力。首先能够在申报实践课题，组织团队过程中能够有全局思维、策划实践选题并在指导老师的协助下完成调研课题的确定和团队人员的组建。其次能够在团队组建后进行很好的分工与合作，共同完成社会实践课题的调研和实践报告的撰写。实践过程中，团队成员要积极发挥团队精神，互帮互助共同协作克服困难完成调研项目。</w:t>
      </w:r>
      <w:r>
        <w:rPr>
          <w:rFonts w:ascii="宋体" w:hAnsi="宋体"/>
        </w:rPr>
        <w:t>实践归来后，认真整理收集实践成果，包括文字、影音、图片等各类实践成果。实践归来后，要将实践成果进行很好的宣传和交流，举办实践归来话收获总结交流展示会。整个课程实践过程中在各具体实践地进行。</w:t>
      </w:r>
    </w:p>
    <w:p>
      <w:pPr>
        <w:spacing w:line="360" w:lineRule="auto"/>
        <w:ind w:firstLine="422" w:firstLineChars="200"/>
      </w:pPr>
      <w:r>
        <w:rPr>
          <w:rFonts w:hint="eastAsia" w:ascii="宋体" w:hAnsi="宋体"/>
          <w:b/>
          <w:bCs/>
        </w:rPr>
        <w:t>教学内容</w:t>
      </w:r>
    </w:p>
    <w:p>
      <w:pPr>
        <w:spacing w:line="360" w:lineRule="auto"/>
        <w:ind w:firstLine="420" w:firstLineChars="200"/>
      </w:pPr>
      <w:r>
        <w:rPr>
          <w:rFonts w:hint="eastAsia" w:ascii="宋体" w:hAnsi="宋体"/>
        </w:rPr>
        <w:t>通过具体的社会实践活动，向社会各界和广大工农学习。通过深入接触社会和生产第一线，在与广大工农和社会主义建设者的接触中，增强为祖国振兴而献身的革命精神、艰苦创业的精神、无私奉献的精神，并在实践中进一步弘扬民族精神；运用所学知识，为社会和群众服务。在社会实践中，要充分运用自己所学的专业文化知识为社会和广大群众服务，并在社会实践中进一步增强劳动观念。</w:t>
      </w:r>
    </w:p>
    <w:p>
      <w:pPr>
        <w:widowControl/>
        <w:spacing w:line="360" w:lineRule="auto"/>
        <w:jc w:val="left"/>
      </w:pPr>
      <w:r>
        <w:rPr>
          <w:rFonts w:hint="eastAsia" w:ascii="宋体" w:hAnsi="宋体"/>
        </w:rPr>
        <w:t>本章节内容支撑课程目标</w:t>
      </w:r>
      <w:r>
        <w:rPr>
          <w:rFonts w:hint="eastAsia"/>
        </w:rPr>
        <w:t xml:space="preserve"> 6</w:t>
      </w:r>
      <w:r>
        <w:rPr>
          <w:rFonts w:hint="eastAsia" w:ascii="宋体" w:hAnsi="宋体"/>
        </w:rPr>
        <w:t>、</w:t>
      </w:r>
      <w:r>
        <w:rPr>
          <w:rFonts w:hint="eastAsia" w:cs="Calibri"/>
        </w:rPr>
        <w:t>12</w:t>
      </w:r>
      <w:r>
        <w:rPr>
          <w:rFonts w:hint="eastAsia" w:ascii="宋体" w:hAnsi="宋体"/>
        </w:rPr>
        <w:t>。</w:t>
      </w:r>
    </w:p>
    <w:p>
      <w:pPr>
        <w:widowControl/>
        <w:spacing w:line="360" w:lineRule="auto"/>
        <w:jc w:val="left"/>
      </w:pPr>
      <w:r>
        <w:rPr>
          <w:rFonts w:hint="eastAsia"/>
        </w:rPr>
        <w:t xml:space="preserve"> </w:t>
      </w:r>
    </w:p>
    <w:p>
      <w:pPr>
        <w:widowControl/>
        <w:spacing w:line="360" w:lineRule="auto"/>
        <w:jc w:val="left"/>
        <w:rPr>
          <w:rFonts w:eastAsia="黑体"/>
          <w:kern w:val="0"/>
        </w:rPr>
      </w:pPr>
      <w:r>
        <w:rPr>
          <w:rFonts w:hint="eastAsia" w:ascii="黑体" w:hAnsi="黑体" w:eastAsia="黑体"/>
          <w:kern w:val="0"/>
        </w:rPr>
        <w:t>四</w:t>
      </w:r>
      <w:r>
        <w:rPr>
          <w:rFonts w:ascii="黑体" w:hAnsi="黑体" w:eastAsia="黑体"/>
          <w:kern w:val="0"/>
        </w:rPr>
        <w:t>、学时分配</w:t>
      </w:r>
    </w:p>
    <w:tbl>
      <w:tblPr>
        <w:tblStyle w:val="6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59"/>
        <w:gridCol w:w="1482"/>
        <w:gridCol w:w="1481"/>
        <w:gridCol w:w="14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22" w:type="pct"/>
            <w:tcBorders>
              <w:top w:val="single" w:color="auto" w:sz="4" w:space="0"/>
              <w:left w:val="nil"/>
              <w:bottom w:val="single" w:color="auto" w:sz="4" w:space="0"/>
              <w:right w:val="single" w:color="auto" w:sz="4" w:space="0"/>
            </w:tcBorders>
          </w:tcPr>
          <w:p>
            <w:pPr>
              <w:adjustRightInd w:val="0"/>
              <w:snapToGrid w:val="0"/>
              <w:spacing w:line="340" w:lineRule="exact"/>
              <w:jc w:val="center"/>
              <w:rPr>
                <w:kern w:val="0"/>
                <w:sz w:val="18"/>
                <w:szCs w:val="18"/>
              </w:rPr>
            </w:pPr>
            <w:r>
              <w:rPr>
                <w:kern w:val="0"/>
                <w:sz w:val="18"/>
                <w:szCs w:val="18"/>
              </w:rPr>
              <w:t>知识点及内容</w:t>
            </w:r>
          </w:p>
        </w:tc>
        <w:tc>
          <w:tcPr>
            <w:tcW w:w="892" w:type="pct"/>
            <w:tcBorders>
              <w:top w:val="single" w:color="auto" w:sz="4" w:space="0"/>
              <w:left w:val="single" w:color="auto" w:sz="4" w:space="0"/>
              <w:bottom w:val="single" w:color="auto" w:sz="4" w:space="0"/>
              <w:right w:val="single" w:color="auto" w:sz="4" w:space="0"/>
            </w:tcBorders>
          </w:tcPr>
          <w:p>
            <w:pPr>
              <w:spacing w:line="360" w:lineRule="exact"/>
              <w:jc w:val="center"/>
              <w:rPr>
                <w:kern w:val="0"/>
                <w:sz w:val="18"/>
                <w:szCs w:val="18"/>
              </w:rPr>
            </w:pPr>
            <w:r>
              <w:rPr>
                <w:kern w:val="0"/>
                <w:sz w:val="18"/>
                <w:szCs w:val="18"/>
              </w:rPr>
              <w:t>讲授（学时）</w:t>
            </w:r>
          </w:p>
        </w:tc>
        <w:tc>
          <w:tcPr>
            <w:tcW w:w="892" w:type="pct"/>
            <w:tcBorders>
              <w:top w:val="single" w:color="auto" w:sz="4" w:space="0"/>
              <w:left w:val="single" w:color="auto" w:sz="4" w:space="0"/>
              <w:bottom w:val="single" w:color="auto" w:sz="4" w:space="0"/>
              <w:right w:val="single" w:color="auto" w:sz="4" w:space="0"/>
            </w:tcBorders>
          </w:tcPr>
          <w:p>
            <w:pPr>
              <w:spacing w:line="360" w:lineRule="exact"/>
              <w:jc w:val="center"/>
              <w:rPr>
                <w:kern w:val="0"/>
                <w:sz w:val="18"/>
                <w:szCs w:val="18"/>
              </w:rPr>
            </w:pPr>
            <w:r>
              <w:rPr>
                <w:rFonts w:hint="eastAsia"/>
                <w:kern w:val="0"/>
                <w:sz w:val="18"/>
                <w:szCs w:val="18"/>
              </w:rPr>
              <w:t>实践</w:t>
            </w:r>
            <w:r>
              <w:rPr>
                <w:kern w:val="0"/>
                <w:sz w:val="18"/>
                <w:szCs w:val="18"/>
              </w:rPr>
              <w:t>(</w:t>
            </w:r>
            <w:r>
              <w:rPr>
                <w:rFonts w:ascii="宋体" w:hAnsi="宋体"/>
                <w:kern w:val="0"/>
                <w:sz w:val="18"/>
                <w:szCs w:val="18"/>
              </w:rPr>
              <w:t>学时</w:t>
            </w:r>
            <w:r>
              <w:rPr>
                <w:kern w:val="0"/>
                <w:sz w:val="18"/>
                <w:szCs w:val="18"/>
              </w:rPr>
              <w:t>)</w:t>
            </w:r>
          </w:p>
        </w:tc>
        <w:tc>
          <w:tcPr>
            <w:tcW w:w="892" w:type="pct"/>
            <w:tcBorders>
              <w:top w:val="single" w:color="auto" w:sz="4" w:space="0"/>
              <w:left w:val="single" w:color="auto" w:sz="4" w:space="0"/>
              <w:bottom w:val="single" w:color="auto" w:sz="4" w:space="0"/>
              <w:right w:val="nil"/>
            </w:tcBorders>
          </w:tcPr>
          <w:p>
            <w:pPr>
              <w:spacing w:line="360" w:lineRule="exact"/>
              <w:jc w:val="center"/>
              <w:rPr>
                <w:kern w:val="0"/>
                <w:sz w:val="18"/>
                <w:szCs w:val="18"/>
              </w:rPr>
            </w:pPr>
            <w:r>
              <w:rPr>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22" w:type="pct"/>
            <w:tcBorders>
              <w:top w:val="single" w:color="auto" w:sz="4" w:space="0"/>
              <w:left w:val="nil"/>
              <w:bottom w:val="single" w:color="auto" w:sz="4" w:space="0"/>
              <w:right w:val="single" w:color="auto" w:sz="4" w:space="0"/>
            </w:tcBorders>
          </w:tcPr>
          <w:p>
            <w:pPr>
              <w:adjustRightInd w:val="0"/>
              <w:snapToGrid w:val="0"/>
              <w:spacing w:line="340" w:lineRule="exact"/>
              <w:ind w:left="210" w:leftChars="100"/>
              <w:jc w:val="left"/>
              <w:rPr>
                <w:kern w:val="0"/>
                <w:sz w:val="18"/>
                <w:szCs w:val="18"/>
              </w:rPr>
            </w:pPr>
            <w:r>
              <w:rPr>
                <w:kern w:val="0"/>
                <w:sz w:val="18"/>
                <w:szCs w:val="18"/>
              </w:rPr>
              <w:t>社会实践</w:t>
            </w:r>
          </w:p>
        </w:tc>
        <w:tc>
          <w:tcPr>
            <w:tcW w:w="892" w:type="pct"/>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kern w:val="0"/>
                <w:sz w:val="18"/>
                <w:szCs w:val="18"/>
              </w:rPr>
            </w:pPr>
            <w:r>
              <w:rPr>
                <w:rFonts w:hint="eastAsia"/>
                <w:kern w:val="0"/>
                <w:sz w:val="18"/>
                <w:szCs w:val="18"/>
              </w:rPr>
              <w:t>0</w:t>
            </w:r>
          </w:p>
        </w:tc>
        <w:tc>
          <w:tcPr>
            <w:tcW w:w="892" w:type="pct"/>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kern w:val="0"/>
                <w:sz w:val="18"/>
                <w:szCs w:val="18"/>
              </w:rPr>
            </w:pPr>
            <w:r>
              <w:rPr>
                <w:rFonts w:hint="eastAsia"/>
                <w:kern w:val="0"/>
                <w:sz w:val="18"/>
                <w:szCs w:val="18"/>
              </w:rPr>
              <w:t>2w</w:t>
            </w:r>
          </w:p>
        </w:tc>
        <w:tc>
          <w:tcPr>
            <w:tcW w:w="892" w:type="pct"/>
            <w:tcBorders>
              <w:top w:val="single" w:color="auto" w:sz="4" w:space="0"/>
              <w:left w:val="single" w:color="auto" w:sz="4" w:space="0"/>
              <w:bottom w:val="single" w:color="auto" w:sz="4" w:space="0"/>
              <w:right w:val="nil"/>
            </w:tcBorders>
          </w:tcPr>
          <w:p>
            <w:pPr>
              <w:adjustRightInd w:val="0"/>
              <w:snapToGrid w:val="0"/>
              <w:spacing w:line="340" w:lineRule="exact"/>
              <w:jc w:val="center"/>
              <w:rPr>
                <w:kern w:val="0"/>
                <w:sz w:val="18"/>
                <w:szCs w:val="18"/>
              </w:rPr>
            </w:pPr>
            <w:r>
              <w:rPr>
                <w:rFonts w:hint="eastAsia"/>
                <w:kern w:val="0"/>
                <w:sz w:val="18"/>
                <w:szCs w:val="18"/>
              </w:rPr>
              <w:t>2w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322" w:type="pct"/>
            <w:tcBorders>
              <w:top w:val="single" w:color="auto" w:sz="4" w:space="0"/>
              <w:left w:val="nil"/>
              <w:bottom w:val="single" w:color="auto" w:sz="4" w:space="0"/>
              <w:right w:val="single" w:color="auto" w:sz="4" w:space="0"/>
            </w:tcBorders>
          </w:tcPr>
          <w:p>
            <w:pPr>
              <w:adjustRightInd w:val="0"/>
              <w:snapToGrid w:val="0"/>
              <w:spacing w:line="340" w:lineRule="exact"/>
              <w:jc w:val="center"/>
              <w:rPr>
                <w:kern w:val="0"/>
                <w:sz w:val="18"/>
                <w:szCs w:val="18"/>
              </w:rPr>
            </w:pPr>
            <w:r>
              <w:rPr>
                <w:kern w:val="0"/>
                <w:sz w:val="18"/>
                <w:szCs w:val="18"/>
              </w:rPr>
              <w:t>小计</w:t>
            </w:r>
          </w:p>
        </w:tc>
        <w:tc>
          <w:tcPr>
            <w:tcW w:w="892" w:type="pct"/>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kern w:val="0"/>
                <w:sz w:val="18"/>
                <w:szCs w:val="18"/>
              </w:rPr>
            </w:pPr>
            <w:r>
              <w:rPr>
                <w:rFonts w:hint="eastAsia"/>
                <w:kern w:val="0"/>
                <w:sz w:val="18"/>
                <w:szCs w:val="18"/>
              </w:rPr>
              <w:t>0</w:t>
            </w:r>
          </w:p>
        </w:tc>
        <w:tc>
          <w:tcPr>
            <w:tcW w:w="892" w:type="pct"/>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kern w:val="0"/>
                <w:sz w:val="18"/>
                <w:szCs w:val="18"/>
              </w:rPr>
            </w:pPr>
            <w:r>
              <w:rPr>
                <w:rFonts w:hint="eastAsia"/>
                <w:kern w:val="0"/>
                <w:sz w:val="18"/>
                <w:szCs w:val="18"/>
              </w:rPr>
              <w:t>2w</w:t>
            </w:r>
          </w:p>
        </w:tc>
        <w:tc>
          <w:tcPr>
            <w:tcW w:w="892" w:type="pct"/>
            <w:tcBorders>
              <w:top w:val="single" w:color="auto" w:sz="4" w:space="0"/>
              <w:left w:val="single" w:color="auto" w:sz="4" w:space="0"/>
              <w:bottom w:val="single" w:color="auto" w:sz="4" w:space="0"/>
              <w:right w:val="nil"/>
            </w:tcBorders>
          </w:tcPr>
          <w:p>
            <w:pPr>
              <w:adjustRightInd w:val="0"/>
              <w:snapToGrid w:val="0"/>
              <w:spacing w:line="340" w:lineRule="exact"/>
              <w:jc w:val="center"/>
              <w:rPr>
                <w:kern w:val="0"/>
                <w:sz w:val="18"/>
                <w:szCs w:val="18"/>
              </w:rPr>
            </w:pPr>
            <w:r>
              <w:rPr>
                <w:rFonts w:hint="eastAsia"/>
                <w:kern w:val="0"/>
                <w:sz w:val="18"/>
                <w:szCs w:val="18"/>
              </w:rPr>
              <w:t>2w</w:t>
            </w:r>
          </w:p>
        </w:tc>
      </w:tr>
    </w:tbl>
    <w:p>
      <w:pPr>
        <w:spacing w:line="360" w:lineRule="auto"/>
        <w:rPr>
          <w:rFonts w:ascii="Calibri" w:hAnsi="Calibri"/>
          <w:color w:val="FF0000"/>
          <w:szCs w:val="21"/>
        </w:rPr>
      </w:pPr>
      <w:r>
        <w:rPr>
          <w:color w:val="FF0000"/>
        </w:rPr>
        <w:t xml:space="preserve"> </w:t>
      </w:r>
    </w:p>
    <w:p>
      <w:pPr>
        <w:spacing w:line="360" w:lineRule="auto"/>
        <w:rPr>
          <w:rFonts w:eastAsia="黑体"/>
        </w:rPr>
      </w:pPr>
      <w:r>
        <w:rPr>
          <w:rFonts w:hint="eastAsia" w:ascii="黑体" w:hAnsi="黑体" w:eastAsia="黑体"/>
        </w:rPr>
        <w:t>五、教材、补充教材及参考资料</w:t>
      </w:r>
    </w:p>
    <w:p>
      <w:pPr>
        <w:spacing w:line="360" w:lineRule="auto"/>
        <w:rPr>
          <w:rFonts w:eastAsia="黑体"/>
          <w:highlight w:val="yellow"/>
        </w:rPr>
      </w:pPr>
      <w:r>
        <w:rPr>
          <w:rFonts w:hint="eastAsia" w:eastAsia="黑体"/>
        </w:rPr>
        <w:t xml:space="preserve">   </w:t>
      </w:r>
      <w:r>
        <w:rPr>
          <w:rFonts w:hint="eastAsia" w:ascii="黑体" w:hAnsi="黑体" w:eastAsia="黑体"/>
        </w:rPr>
        <w:t>无</w:t>
      </w:r>
    </w:p>
    <w:p>
      <w:pPr>
        <w:spacing w:line="360" w:lineRule="auto"/>
        <w:rPr>
          <w:rFonts w:eastAsia="黑体"/>
        </w:rPr>
      </w:pPr>
      <w:r>
        <w:rPr>
          <w:rFonts w:hint="eastAsia" w:ascii="黑体" w:hAnsi="黑体" w:eastAsia="黑体"/>
        </w:rPr>
        <w:t>六</w:t>
      </w:r>
      <w:r>
        <w:rPr>
          <w:rFonts w:ascii="黑体" w:hAnsi="黑体" w:eastAsia="黑体"/>
        </w:rPr>
        <w:t>、课程目标达成评价的途径和措施</w:t>
      </w:r>
    </w:p>
    <w:p>
      <w:pPr>
        <w:spacing w:line="360" w:lineRule="auto"/>
        <w:ind w:firstLine="420" w:firstLineChars="200"/>
        <w:rPr>
          <w:color w:val="000000"/>
        </w:rPr>
      </w:pPr>
      <w:r>
        <w:rPr>
          <w:color w:val="000000"/>
        </w:rPr>
        <w:t>1</w:t>
      </w:r>
      <w:r>
        <w:rPr>
          <w:rFonts w:ascii="宋体" w:hAnsi="宋体"/>
          <w:color w:val="000000"/>
        </w:rPr>
        <w:t xml:space="preserve">、考核方式：撰写实践报告； </w:t>
      </w:r>
    </w:p>
    <w:p>
      <w:pPr>
        <w:spacing w:line="360" w:lineRule="auto"/>
        <w:ind w:firstLine="420" w:firstLineChars="200"/>
        <w:rPr>
          <w:color w:val="000000"/>
        </w:rPr>
      </w:pPr>
      <w:r>
        <w:rPr>
          <w:color w:val="000000"/>
        </w:rPr>
        <w:t>2</w:t>
      </w:r>
      <w:r>
        <w:rPr>
          <w:rFonts w:ascii="宋体" w:hAnsi="宋体"/>
          <w:color w:val="000000"/>
        </w:rPr>
        <w:t>、考核目标：重点考核学生应用所学知识分析问题、解决实际问题的能力。</w:t>
      </w:r>
    </w:p>
    <w:p>
      <w:pPr>
        <w:spacing w:line="360" w:lineRule="auto"/>
        <w:ind w:firstLine="420" w:firstLineChars="200"/>
        <w:rPr>
          <w:color w:val="FF0000"/>
        </w:rPr>
      </w:pPr>
      <w:r>
        <w:rPr>
          <w:rFonts w:hint="eastAsia"/>
          <w:color w:val="000000"/>
        </w:rPr>
        <w:t>3</w:t>
      </w:r>
      <w:r>
        <w:rPr>
          <w:rFonts w:hint="eastAsia" w:ascii="宋体" w:hAnsi="宋体"/>
          <w:color w:val="000000"/>
        </w:rPr>
        <w:t>、成绩构成：</w:t>
      </w:r>
      <w:r>
        <w:rPr>
          <w:color w:val="FF0000"/>
        </w:rPr>
        <w:t xml:space="preserve"> </w:t>
      </w:r>
    </w:p>
    <w:p>
      <w:pPr>
        <w:spacing w:line="360" w:lineRule="auto"/>
        <w:ind w:firstLine="420" w:firstLineChars="200"/>
        <w:rPr>
          <w:color w:val="FF0000"/>
        </w:rPr>
      </w:pPr>
      <w:r>
        <w:rPr>
          <w:rFonts w:hint="eastAsia" w:ascii="宋体" w:hAnsi="宋体"/>
        </w:rPr>
        <w:t>本课程通过</w:t>
      </w:r>
      <w:r>
        <w:rPr>
          <w:rFonts w:hint="eastAsia"/>
        </w:rPr>
        <w:t>“</w:t>
      </w:r>
      <w:r>
        <w:rPr>
          <w:rFonts w:ascii="宋体" w:hAnsi="宋体"/>
          <w:color w:val="000000"/>
        </w:rPr>
        <w:t>撰写实践报告</w:t>
      </w:r>
      <w:r>
        <w:rPr>
          <w:rFonts w:hint="eastAsia"/>
        </w:rPr>
        <w:t>”对课程目标达成进行评价，（本大纲中成绩均采用百分制）：</w:t>
      </w:r>
    </w:p>
    <w:p>
      <w:pPr>
        <w:spacing w:line="360" w:lineRule="auto"/>
        <w:jc w:val="center"/>
        <w:rPr>
          <w:sz w:val="18"/>
          <w:szCs w:val="18"/>
        </w:rPr>
      </w:pPr>
      <w:r>
        <w:rPr>
          <w:rFonts w:hint="eastAsia" w:ascii="宋体" w:hAnsi="宋体"/>
          <w:sz w:val="18"/>
          <w:szCs w:val="18"/>
        </w:rPr>
        <w:t>各环节成绩评定占比</w:t>
      </w:r>
      <w:r>
        <w:rPr>
          <w:sz w:val="18"/>
          <w:szCs w:val="18"/>
        </w:rPr>
        <w:t>%</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57"/>
        <w:gridCol w:w="37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743" w:type="pct"/>
            <w:tcBorders>
              <w:top w:val="single" w:color="auto" w:sz="4" w:space="0"/>
              <w:left w:val="nil"/>
              <w:bottom w:val="single" w:color="auto" w:sz="4" w:space="0"/>
              <w:right w:val="single" w:color="auto" w:sz="4" w:space="0"/>
            </w:tcBorders>
            <w:vAlign w:val="center"/>
          </w:tcPr>
          <w:p>
            <w:pPr>
              <w:ind w:left="210" w:leftChars="100"/>
              <w:jc w:val="center"/>
              <w:rPr>
                <w:sz w:val="18"/>
                <w:szCs w:val="18"/>
              </w:rPr>
            </w:pPr>
            <w:r>
              <w:rPr>
                <w:rFonts w:hint="eastAsia"/>
                <w:sz w:val="18"/>
                <w:szCs w:val="18"/>
              </w:rPr>
              <w:t>作业（平时）</w:t>
            </w:r>
          </w:p>
        </w:tc>
        <w:tc>
          <w:tcPr>
            <w:tcW w:w="2256" w:type="pct"/>
            <w:tcBorders>
              <w:top w:val="single" w:color="auto" w:sz="4" w:space="0"/>
              <w:left w:val="single" w:color="auto" w:sz="4" w:space="0"/>
              <w:bottom w:val="single" w:color="auto" w:sz="4" w:space="0"/>
              <w:right w:val="nil"/>
            </w:tcBorders>
            <w:vAlign w:val="center"/>
          </w:tcPr>
          <w:p>
            <w:pPr>
              <w:ind w:left="210" w:leftChars="100"/>
              <w:jc w:val="center"/>
              <w:rPr>
                <w:sz w:val="18"/>
                <w:szCs w:val="18"/>
              </w:rPr>
            </w:pPr>
            <w:r>
              <w:rPr>
                <w:color w:val="000000"/>
                <w:sz w:val="18"/>
                <w:szCs w:val="18"/>
              </w:rPr>
              <w:t>撰写实践报告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743" w:type="pct"/>
            <w:tcBorders>
              <w:top w:val="single" w:color="auto" w:sz="4" w:space="0"/>
              <w:left w:val="nil"/>
              <w:bottom w:val="single" w:color="auto" w:sz="4" w:space="0"/>
              <w:right w:val="single" w:color="auto" w:sz="4" w:space="0"/>
            </w:tcBorders>
            <w:vAlign w:val="center"/>
          </w:tcPr>
          <w:p>
            <w:pPr>
              <w:ind w:left="210" w:leftChars="100"/>
              <w:jc w:val="center"/>
              <w:rPr>
                <w:color w:val="C00000"/>
                <w:sz w:val="18"/>
                <w:szCs w:val="18"/>
              </w:rPr>
            </w:pPr>
            <w:r>
              <w:rPr>
                <w:rFonts w:hint="eastAsia"/>
                <w:color w:val="000000"/>
                <w:sz w:val="18"/>
                <w:szCs w:val="18"/>
              </w:rPr>
              <w:t>2</w:t>
            </w:r>
            <w:r>
              <w:rPr>
                <w:color w:val="000000"/>
                <w:sz w:val="18"/>
                <w:szCs w:val="18"/>
              </w:rPr>
              <w:t>0</w:t>
            </w:r>
          </w:p>
        </w:tc>
        <w:tc>
          <w:tcPr>
            <w:tcW w:w="2256" w:type="pct"/>
            <w:tcBorders>
              <w:top w:val="single" w:color="auto" w:sz="4" w:space="0"/>
              <w:left w:val="single" w:color="auto" w:sz="4" w:space="0"/>
              <w:bottom w:val="single" w:color="auto" w:sz="4" w:space="0"/>
              <w:right w:val="nil"/>
            </w:tcBorders>
            <w:vAlign w:val="center"/>
          </w:tcPr>
          <w:p>
            <w:pPr>
              <w:ind w:left="210" w:leftChars="100"/>
              <w:jc w:val="center"/>
              <w:rPr>
                <w:color w:val="C00000"/>
                <w:sz w:val="18"/>
                <w:szCs w:val="18"/>
              </w:rPr>
            </w:pPr>
            <w:r>
              <w:rPr>
                <w:rFonts w:hint="eastAsia"/>
                <w:color w:val="000000"/>
                <w:sz w:val="18"/>
                <w:szCs w:val="18"/>
              </w:rPr>
              <w:t>8</w:t>
            </w:r>
            <w:r>
              <w:rPr>
                <w:color w:val="000000"/>
                <w:sz w:val="18"/>
                <w:szCs w:val="18"/>
              </w:rPr>
              <w:t>0</w:t>
            </w:r>
          </w:p>
        </w:tc>
      </w:tr>
    </w:tbl>
    <w:p>
      <w:pPr>
        <w:spacing w:line="360" w:lineRule="auto"/>
        <w:jc w:val="center"/>
        <w:rPr>
          <w:rFonts w:ascii="Calibri" w:hAnsi="Calibri"/>
          <w:sz w:val="18"/>
          <w:szCs w:val="18"/>
        </w:rPr>
      </w:pPr>
      <w:r>
        <w:rPr>
          <w:sz w:val="18"/>
          <w:szCs w:val="18"/>
        </w:rPr>
        <w:t xml:space="preserve"> </w:t>
      </w:r>
    </w:p>
    <w:p>
      <w:pPr>
        <w:spacing w:line="360" w:lineRule="auto"/>
        <w:ind w:firstLine="420" w:firstLineChars="200"/>
        <w:rPr>
          <w:b/>
          <w:bCs/>
          <w:color w:val="1D41D5"/>
          <w:szCs w:val="21"/>
        </w:rPr>
      </w:pPr>
      <w:r>
        <w:rPr>
          <w:rFonts w:hint="eastAsia" w:ascii="宋体" w:hAnsi="宋体"/>
        </w:rPr>
        <w:t>指导性课程目标评价题目分数分配：</w:t>
      </w:r>
    </w:p>
    <w:tbl>
      <w:tblPr>
        <w:tblStyle w:val="22"/>
        <w:tblW w:w="4999" w:type="pct"/>
        <w:tblInd w:w="0" w:type="dxa"/>
        <w:tblLayout w:type="autofit"/>
        <w:tblCellMar>
          <w:top w:w="0" w:type="dxa"/>
          <w:left w:w="108" w:type="dxa"/>
          <w:bottom w:w="0" w:type="dxa"/>
          <w:right w:w="108" w:type="dxa"/>
        </w:tblCellMar>
      </w:tblPr>
      <w:tblGrid>
        <w:gridCol w:w="3095"/>
        <w:gridCol w:w="2798"/>
        <w:gridCol w:w="2411"/>
      </w:tblGrid>
      <w:tr>
        <w:tblPrEx>
          <w:tblCellMar>
            <w:top w:w="0" w:type="dxa"/>
            <w:left w:w="108" w:type="dxa"/>
            <w:bottom w:w="0" w:type="dxa"/>
            <w:right w:w="108" w:type="dxa"/>
          </w:tblCellMar>
        </w:tblPrEx>
        <w:trPr>
          <w:trHeight w:val="986" w:hRule="atLeast"/>
        </w:trPr>
        <w:tc>
          <w:tcPr>
            <w:tcW w:w="1863"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课程目标</w:t>
            </w:r>
          </w:p>
        </w:tc>
        <w:tc>
          <w:tcPr>
            <w:tcW w:w="1684" w:type="pct"/>
            <w:tcBorders>
              <w:top w:val="single" w:color="auto" w:sz="4" w:space="0"/>
              <w:left w:val="nil"/>
              <w:bottom w:val="single" w:color="auto" w:sz="4" w:space="0"/>
              <w:right w:val="single" w:color="auto" w:sz="4" w:space="0"/>
            </w:tcBorders>
            <w:vAlign w:val="center"/>
          </w:tcPr>
          <w:p>
            <w:pPr>
              <w:jc w:val="center"/>
              <w:rPr>
                <w:rFonts w:ascii="Calibri" w:hAnsi="Calibri"/>
                <w:sz w:val="18"/>
                <w:szCs w:val="18"/>
              </w:rPr>
            </w:pPr>
            <w:r>
              <w:rPr>
                <w:rFonts w:hint="eastAsia"/>
                <w:sz w:val="18"/>
                <w:szCs w:val="18"/>
              </w:rPr>
              <w:t>作业（平时）</w:t>
            </w:r>
          </w:p>
          <w:p>
            <w:pPr>
              <w:jc w:val="center"/>
              <w:rPr>
                <w:sz w:val="18"/>
                <w:szCs w:val="18"/>
              </w:rPr>
            </w:pPr>
            <w:r>
              <w:rPr>
                <w:rFonts w:hint="eastAsia"/>
                <w:sz w:val="18"/>
                <w:szCs w:val="18"/>
              </w:rPr>
              <w:t>W1</w:t>
            </w:r>
            <w:r>
              <w:rPr>
                <w:rFonts w:hint="eastAsia"/>
                <w:sz w:val="18"/>
                <w:szCs w:val="18"/>
                <w:vertAlign w:val="subscript"/>
              </w:rPr>
              <w:t>i</w:t>
            </w:r>
          </w:p>
        </w:tc>
        <w:tc>
          <w:tcPr>
            <w:tcW w:w="1452" w:type="pct"/>
            <w:tcBorders>
              <w:top w:val="single" w:color="auto" w:sz="4" w:space="0"/>
              <w:left w:val="nil"/>
              <w:bottom w:val="single" w:color="auto" w:sz="4" w:space="0"/>
              <w:right w:val="nil"/>
            </w:tcBorders>
            <w:vAlign w:val="center"/>
          </w:tcPr>
          <w:p>
            <w:pPr>
              <w:jc w:val="center"/>
              <w:rPr>
                <w:sz w:val="18"/>
                <w:szCs w:val="18"/>
              </w:rPr>
            </w:pPr>
            <w:r>
              <w:rPr>
                <w:color w:val="000000"/>
                <w:sz w:val="18"/>
                <w:szCs w:val="18"/>
              </w:rPr>
              <w:t>撰写实践报告</w:t>
            </w:r>
          </w:p>
          <w:p>
            <w:pPr>
              <w:jc w:val="center"/>
              <w:rPr>
                <w:sz w:val="18"/>
                <w:szCs w:val="18"/>
              </w:rPr>
            </w:pPr>
            <w:r>
              <w:rPr>
                <w:rFonts w:hint="eastAsia"/>
                <w:sz w:val="18"/>
                <w:szCs w:val="18"/>
              </w:rPr>
              <w:t>W2</w:t>
            </w:r>
            <w:r>
              <w:rPr>
                <w:rFonts w:hint="eastAsia"/>
                <w:sz w:val="18"/>
                <w:szCs w:val="18"/>
                <w:vertAlign w:val="subscript"/>
              </w:rPr>
              <w:t>i</w:t>
            </w:r>
          </w:p>
        </w:tc>
      </w:tr>
      <w:tr>
        <w:tblPrEx>
          <w:tblCellMar>
            <w:top w:w="0" w:type="dxa"/>
            <w:left w:w="108" w:type="dxa"/>
            <w:bottom w:w="0" w:type="dxa"/>
            <w:right w:w="108" w:type="dxa"/>
          </w:tblCellMar>
        </w:tblPrEx>
        <w:tc>
          <w:tcPr>
            <w:tcW w:w="1863" w:type="pct"/>
            <w:tcBorders>
              <w:top w:val="nil"/>
              <w:left w:val="nil"/>
              <w:bottom w:val="single" w:color="auto" w:sz="4" w:space="0"/>
              <w:right w:val="single" w:color="auto" w:sz="4" w:space="0"/>
            </w:tcBorders>
            <w:vAlign w:val="center"/>
          </w:tcPr>
          <w:p>
            <w:pPr>
              <w:jc w:val="center"/>
              <w:rPr>
                <w:sz w:val="18"/>
                <w:szCs w:val="18"/>
              </w:rPr>
            </w:pPr>
            <w:r>
              <w:rPr>
                <w:sz w:val="18"/>
                <w:szCs w:val="18"/>
              </w:rPr>
              <w:t>1</w:t>
            </w:r>
          </w:p>
        </w:tc>
        <w:tc>
          <w:tcPr>
            <w:tcW w:w="168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452" w:type="pct"/>
            <w:tcBorders>
              <w:top w:val="single" w:color="auto" w:sz="4" w:space="0"/>
              <w:left w:val="nil"/>
              <w:bottom w:val="single" w:color="auto" w:sz="4" w:space="0"/>
              <w:right w:val="nil"/>
            </w:tcBorders>
            <w:vAlign w:val="center"/>
          </w:tcPr>
          <w:p>
            <w:pPr>
              <w:jc w:val="center"/>
              <w:rPr>
                <w:color w:val="000000"/>
                <w:sz w:val="18"/>
                <w:szCs w:val="18"/>
              </w:rPr>
            </w:pPr>
            <w:r>
              <w:rPr>
                <w:color w:val="000000"/>
                <w:sz w:val="18"/>
                <w:szCs w:val="18"/>
              </w:rPr>
              <w:t>10-20</w:t>
            </w:r>
          </w:p>
        </w:tc>
      </w:tr>
      <w:tr>
        <w:tblPrEx>
          <w:tblCellMar>
            <w:top w:w="0" w:type="dxa"/>
            <w:left w:w="108" w:type="dxa"/>
            <w:bottom w:w="0" w:type="dxa"/>
            <w:right w:w="108" w:type="dxa"/>
          </w:tblCellMar>
        </w:tblPrEx>
        <w:tc>
          <w:tcPr>
            <w:tcW w:w="1863" w:type="pct"/>
            <w:tcBorders>
              <w:top w:val="nil"/>
              <w:left w:val="nil"/>
              <w:bottom w:val="single" w:color="auto" w:sz="4" w:space="0"/>
              <w:right w:val="single" w:color="auto" w:sz="4" w:space="0"/>
            </w:tcBorders>
            <w:vAlign w:val="center"/>
          </w:tcPr>
          <w:p>
            <w:pPr>
              <w:jc w:val="center"/>
              <w:rPr>
                <w:sz w:val="18"/>
                <w:szCs w:val="18"/>
              </w:rPr>
            </w:pPr>
            <w:r>
              <w:rPr>
                <w:sz w:val="18"/>
                <w:szCs w:val="18"/>
              </w:rPr>
              <w:t>2</w:t>
            </w:r>
          </w:p>
        </w:tc>
        <w:tc>
          <w:tcPr>
            <w:tcW w:w="168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452" w:type="pct"/>
            <w:tcBorders>
              <w:top w:val="single" w:color="auto" w:sz="4" w:space="0"/>
              <w:left w:val="nil"/>
              <w:bottom w:val="single" w:color="auto" w:sz="4" w:space="0"/>
              <w:right w:val="nil"/>
            </w:tcBorders>
            <w:vAlign w:val="center"/>
          </w:tcPr>
          <w:p>
            <w:pPr>
              <w:jc w:val="center"/>
              <w:rPr>
                <w:color w:val="000000"/>
                <w:sz w:val="18"/>
                <w:szCs w:val="18"/>
              </w:rPr>
            </w:pPr>
            <w:r>
              <w:rPr>
                <w:color w:val="000000"/>
                <w:sz w:val="18"/>
                <w:szCs w:val="18"/>
              </w:rPr>
              <w:t>30-40</w:t>
            </w:r>
          </w:p>
        </w:tc>
      </w:tr>
      <w:tr>
        <w:tblPrEx>
          <w:tblCellMar>
            <w:top w:w="0" w:type="dxa"/>
            <w:left w:w="108" w:type="dxa"/>
            <w:bottom w:w="0" w:type="dxa"/>
            <w:right w:w="108" w:type="dxa"/>
          </w:tblCellMar>
        </w:tblPrEx>
        <w:tc>
          <w:tcPr>
            <w:tcW w:w="1863"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68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452" w:type="pct"/>
            <w:tcBorders>
              <w:top w:val="single" w:color="auto" w:sz="4" w:space="0"/>
              <w:left w:val="nil"/>
              <w:bottom w:val="single" w:color="auto" w:sz="4" w:space="0"/>
              <w:right w:val="nil"/>
            </w:tcBorders>
            <w:vAlign w:val="center"/>
          </w:tcPr>
          <w:p>
            <w:pPr>
              <w:jc w:val="center"/>
              <w:rPr>
                <w:color w:val="000000"/>
                <w:sz w:val="18"/>
                <w:szCs w:val="18"/>
              </w:rPr>
            </w:pPr>
            <w:r>
              <w:rPr>
                <w:color w:val="000000"/>
                <w:sz w:val="18"/>
                <w:szCs w:val="18"/>
              </w:rPr>
              <w:t>5-10</w:t>
            </w:r>
          </w:p>
        </w:tc>
      </w:tr>
      <w:tr>
        <w:tblPrEx>
          <w:tblCellMar>
            <w:top w:w="0" w:type="dxa"/>
            <w:left w:w="108" w:type="dxa"/>
            <w:bottom w:w="0" w:type="dxa"/>
            <w:right w:w="108" w:type="dxa"/>
          </w:tblCellMar>
        </w:tblPrEx>
        <w:tc>
          <w:tcPr>
            <w:tcW w:w="1863"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4</w:t>
            </w:r>
          </w:p>
        </w:tc>
        <w:tc>
          <w:tcPr>
            <w:tcW w:w="168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452" w:type="pct"/>
            <w:tcBorders>
              <w:top w:val="single" w:color="auto" w:sz="4" w:space="0"/>
              <w:left w:val="nil"/>
              <w:bottom w:val="single" w:color="auto" w:sz="4" w:space="0"/>
              <w:right w:val="nil"/>
            </w:tcBorders>
            <w:vAlign w:val="center"/>
          </w:tcPr>
          <w:p>
            <w:pPr>
              <w:jc w:val="center"/>
              <w:rPr>
                <w:color w:val="000000"/>
                <w:sz w:val="18"/>
                <w:szCs w:val="18"/>
              </w:rPr>
            </w:pPr>
            <w:r>
              <w:rPr>
                <w:color w:val="000000"/>
                <w:sz w:val="18"/>
                <w:szCs w:val="18"/>
              </w:rPr>
              <w:t>10-20</w:t>
            </w:r>
          </w:p>
        </w:tc>
      </w:tr>
      <w:tr>
        <w:tblPrEx>
          <w:tblCellMar>
            <w:top w:w="0" w:type="dxa"/>
            <w:left w:w="108" w:type="dxa"/>
            <w:bottom w:w="0" w:type="dxa"/>
            <w:right w:w="108" w:type="dxa"/>
          </w:tblCellMar>
        </w:tblPrEx>
        <w:tc>
          <w:tcPr>
            <w:tcW w:w="1863"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w:t>
            </w:r>
          </w:p>
        </w:tc>
        <w:tc>
          <w:tcPr>
            <w:tcW w:w="168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452" w:type="pct"/>
            <w:tcBorders>
              <w:top w:val="single" w:color="auto" w:sz="4" w:space="0"/>
              <w:left w:val="nil"/>
              <w:bottom w:val="single" w:color="auto" w:sz="4" w:space="0"/>
              <w:right w:val="nil"/>
            </w:tcBorders>
            <w:vAlign w:val="center"/>
          </w:tcPr>
          <w:p>
            <w:pPr>
              <w:jc w:val="center"/>
              <w:rPr>
                <w:color w:val="000000"/>
                <w:sz w:val="18"/>
                <w:szCs w:val="18"/>
              </w:rPr>
            </w:pPr>
            <w:r>
              <w:rPr>
                <w:color w:val="000000"/>
                <w:sz w:val="18"/>
                <w:szCs w:val="18"/>
              </w:rPr>
              <w:t>10-20</w:t>
            </w:r>
          </w:p>
        </w:tc>
      </w:tr>
    </w:tbl>
    <w:p>
      <w:pPr>
        <w:autoSpaceDE w:val="0"/>
        <w:spacing w:line="360" w:lineRule="auto"/>
        <w:rPr>
          <w:rFonts w:ascii="Calibri" w:hAnsi="Calibri"/>
          <w:szCs w:val="21"/>
        </w:rPr>
      </w:pPr>
      <w:r>
        <w:rPr>
          <w:rFonts w:hint="eastAsia"/>
        </w:rPr>
        <w:tab/>
      </w:r>
      <w:r>
        <w:rPr>
          <w:rFonts w:hint="eastAsia" w:ascii="宋体" w:hAnsi="宋体"/>
        </w:rPr>
        <w:t>分目标达成值由每个部分对应的实际得分与题目总分数相比后，各环节加权求和得到。</w:t>
      </w:r>
    </w:p>
    <w:p>
      <w:pPr>
        <w:autoSpaceDE w:val="0"/>
        <w:spacing w:line="360" w:lineRule="auto"/>
      </w:pPr>
      <w:r>
        <w:rPr>
          <w:rFonts w:hint="eastAsia"/>
        </w:rPr>
        <w:tab/>
      </w:r>
      <w:r>
        <w:rPr>
          <w:rFonts w:hint="eastAsia" w:ascii="宋体" w:hAnsi="宋体"/>
        </w:rPr>
        <w:t>总课程目标达成值由每个环节的总平均分，按照各环节加权求和得到。</w:t>
      </w:r>
    </w:p>
    <w:p>
      <w:pPr>
        <w:autoSpaceDE w:val="0"/>
        <w:spacing w:line="360" w:lineRule="auto"/>
      </w:pPr>
      <w:r>
        <w:rPr>
          <w:rFonts w:hint="eastAsia"/>
        </w:rPr>
        <w:tab/>
      </w:r>
      <w:r>
        <w:rPr>
          <w:rFonts w:hint="eastAsia" w:ascii="宋体" w:hAnsi="宋体"/>
        </w:rPr>
        <w:t>各环节的评价标准参见课程成绩分析报告。</w:t>
      </w:r>
    </w:p>
    <w:p>
      <w:pPr>
        <w:rPr>
          <w:rFonts w:eastAsia="黑体"/>
        </w:rPr>
      </w:pPr>
      <w:r>
        <w:rPr>
          <w:rFonts w:eastAsia="黑体"/>
        </w:rPr>
        <w:t xml:space="preserve"> </w:t>
      </w:r>
    </w:p>
    <w:p>
      <w:pPr>
        <w:pStyle w:val="20"/>
        <w:spacing w:before="312" w:after="468"/>
      </w:pPr>
      <w:bookmarkStart w:id="152" w:name="_Toc498711468"/>
      <w:bookmarkEnd w:id="152"/>
      <w:bookmarkStart w:id="153" w:name="_Toc2116"/>
      <w:bookmarkEnd w:id="153"/>
      <w:bookmarkStart w:id="154" w:name="_Toc22043439"/>
      <w:bookmarkStart w:id="155" w:name="_Toc9487"/>
    </w:p>
    <w:p>
      <w:pPr>
        <w:pStyle w:val="20"/>
        <w:spacing w:before="312" w:after="468"/>
      </w:pPr>
      <w:r>
        <w:t>《</w:t>
      </w:r>
      <w:bookmarkEnd w:id="154"/>
      <w:r>
        <w:t>X07250005</w:t>
      </w:r>
      <w:r>
        <w:rPr>
          <w:rFonts w:hint="eastAsia"/>
        </w:rPr>
        <w:t>-军训（含军事理论）</w:t>
      </w:r>
      <w:r>
        <w:t>》教学大纲</w:t>
      </w:r>
      <w:bookmarkEnd w:id="155"/>
    </w:p>
    <w:p>
      <w:pPr>
        <w:autoSpaceDE w:val="0"/>
        <w:spacing w:line="360" w:lineRule="auto"/>
        <w:rPr>
          <w:rFonts w:eastAsia="黑体"/>
        </w:rPr>
      </w:pPr>
      <w:r>
        <w:rPr>
          <w:rFonts w:ascii="黑体" w:hAnsi="黑体" w:eastAsia="黑体"/>
        </w:rPr>
        <w:t>课程编号：</w:t>
      </w:r>
      <w:r>
        <w:rPr>
          <w:kern w:val="0"/>
        </w:rPr>
        <w:t>X07250005</w:t>
      </w:r>
    </w:p>
    <w:p>
      <w:pPr>
        <w:autoSpaceDE w:val="0"/>
        <w:snapToGrid w:val="0"/>
        <w:spacing w:line="360" w:lineRule="auto"/>
      </w:pPr>
      <w:r>
        <w:rPr>
          <w:rFonts w:ascii="黑体" w:hAnsi="黑体" w:eastAsia="黑体"/>
        </w:rPr>
        <w:t>课程名称：</w:t>
      </w:r>
      <w:r>
        <w:rPr>
          <w:rFonts w:hint="eastAsia" w:ascii="宋体" w:hAnsi="宋体"/>
          <w:color w:val="000000"/>
        </w:rPr>
        <w:t>军训（含军事理论）</w:t>
      </w:r>
      <w:r>
        <w:rPr>
          <w:rFonts w:hint="eastAsia"/>
          <w:color w:val="000000"/>
          <w:sz w:val="18"/>
          <w:szCs w:val="18"/>
        </w:rPr>
        <w:t xml:space="preserve">                         </w:t>
      </w:r>
      <w:r>
        <w:rPr>
          <w:rFonts w:ascii="黑体" w:hAnsi="黑体" w:eastAsia="黑体"/>
        </w:rPr>
        <w:t>开课单位：</w:t>
      </w:r>
      <w:r>
        <w:rPr>
          <w:rFonts w:ascii="宋体" w:hAnsi="宋体"/>
        </w:rPr>
        <w:t>武装部</w:t>
      </w:r>
    </w:p>
    <w:p>
      <w:pPr>
        <w:autoSpaceDE w:val="0"/>
        <w:adjustRightInd w:val="0"/>
        <w:snapToGrid w:val="0"/>
        <w:spacing w:line="360" w:lineRule="auto"/>
        <w:rPr>
          <w:rFonts w:eastAsia="黑体"/>
        </w:rPr>
      </w:pPr>
      <w:r>
        <w:rPr>
          <w:rFonts w:ascii="黑体" w:hAnsi="黑体" w:eastAsia="黑体"/>
        </w:rPr>
        <w:t>总</w:t>
      </w:r>
      <w:r>
        <w:rPr>
          <w:rFonts w:eastAsia="黑体"/>
        </w:rPr>
        <w:t xml:space="preserve"> </w:t>
      </w:r>
      <w:r>
        <w:rPr>
          <w:rFonts w:ascii="黑体" w:hAnsi="黑体" w:eastAsia="黑体"/>
        </w:rPr>
        <w:t>学</w:t>
      </w:r>
      <w:r>
        <w:rPr>
          <w:rFonts w:eastAsia="黑体"/>
        </w:rPr>
        <w:t xml:space="preserve"> </w:t>
      </w:r>
      <w:r>
        <w:rPr>
          <w:rFonts w:ascii="黑体" w:hAnsi="黑体" w:eastAsia="黑体"/>
        </w:rPr>
        <w:t>时</w:t>
      </w:r>
      <w:r>
        <w:rPr>
          <w:rFonts w:ascii="宋体" w:hAnsi="宋体"/>
        </w:rPr>
        <w:t>：</w:t>
      </w:r>
      <w:r>
        <w:rPr>
          <w:kern w:val="0"/>
        </w:rPr>
        <w:t>36+3</w:t>
      </w:r>
      <w:r>
        <w:rPr>
          <w:rFonts w:hint="eastAsia"/>
          <w:kern w:val="0"/>
        </w:rPr>
        <w:t>w</w:t>
      </w:r>
      <w:r>
        <w:tab/>
      </w:r>
      <w:r>
        <w:t xml:space="preserve">                    </w:t>
      </w:r>
      <w:r>
        <w:rPr>
          <w:rFonts w:hint="eastAsia"/>
        </w:rPr>
        <w:t xml:space="preserve">             </w:t>
      </w:r>
      <w:r>
        <w:rPr>
          <w:rFonts w:ascii="黑体" w:hAnsi="黑体" w:eastAsia="黑体"/>
        </w:rPr>
        <w:t>学</w:t>
      </w:r>
      <w:r>
        <w:rPr>
          <w:rFonts w:eastAsia="黑体"/>
        </w:rPr>
        <w:t xml:space="preserve">    </w:t>
      </w:r>
      <w:r>
        <w:rPr>
          <w:rFonts w:ascii="黑体" w:hAnsi="黑体" w:eastAsia="黑体"/>
        </w:rPr>
        <w:t>分：</w:t>
      </w:r>
      <w:r>
        <w:rPr>
          <w:rFonts w:eastAsia="黑体"/>
        </w:rPr>
        <w:t>2</w:t>
      </w:r>
    </w:p>
    <w:p>
      <w:pPr>
        <w:autoSpaceDE w:val="0"/>
        <w:adjustRightInd w:val="0"/>
        <w:snapToGrid w:val="0"/>
        <w:spacing w:line="360" w:lineRule="auto"/>
      </w:pPr>
      <w:r>
        <w:rPr>
          <w:rFonts w:ascii="黑体" w:hAnsi="黑体" w:eastAsia="黑体"/>
        </w:rPr>
        <w:t>适用专业：</w:t>
      </w:r>
      <w:r>
        <w:rPr>
          <w:rFonts w:ascii="宋体" w:hAnsi="宋体"/>
        </w:rPr>
        <w:t>工</w:t>
      </w:r>
      <w:r>
        <w:rPr>
          <w:rFonts w:hint="eastAsia" w:ascii="宋体" w:hAnsi="宋体"/>
        </w:rPr>
        <w:t>程类</w:t>
      </w:r>
      <w:r>
        <w:rPr>
          <w:rFonts w:ascii="宋体" w:hAnsi="宋体"/>
        </w:rPr>
        <w:t>各专业</w:t>
      </w:r>
      <w:r>
        <w:t xml:space="preserve">     </w:t>
      </w:r>
    </w:p>
    <w:p>
      <w:pPr>
        <w:autoSpaceDE w:val="0"/>
        <w:adjustRightInd w:val="0"/>
        <w:snapToGrid w:val="0"/>
        <w:spacing w:line="360" w:lineRule="auto"/>
      </w:pPr>
      <w:r>
        <w:rPr>
          <w:rFonts w:ascii="黑体" w:hAnsi="黑体" w:eastAsia="黑体"/>
        </w:rPr>
        <w:t>先修课程：</w:t>
      </w:r>
      <w:r>
        <w:rPr>
          <w:rFonts w:ascii="宋体" w:hAnsi="宋体"/>
        </w:rPr>
        <w:t>无</w:t>
      </w:r>
    </w:p>
    <w:p>
      <w:pPr>
        <w:adjustRightInd w:val="0"/>
        <w:snapToGrid w:val="0"/>
        <w:spacing w:line="360" w:lineRule="auto"/>
        <w:rPr>
          <w:rFonts w:hAnsi="宋体"/>
          <w:color w:val="000000"/>
        </w:rPr>
      </w:pPr>
      <w:r>
        <w:rPr>
          <w:rFonts w:hint="eastAsia" w:ascii="黑体" w:hAnsi="黑体" w:eastAsia="黑体"/>
        </w:rPr>
        <w:t>大纲编写（修订）时间</w:t>
      </w:r>
      <w:r>
        <w:rPr>
          <w:rFonts w:hint="eastAsia" w:ascii="宋体" w:hAnsi="宋体"/>
        </w:rPr>
        <w:t>：</w:t>
      </w:r>
      <w:r>
        <w:t>2019</w:t>
      </w:r>
      <w:r>
        <w:rPr>
          <w:rFonts w:ascii="宋体" w:hAnsi="宋体"/>
        </w:rPr>
        <w:t>年</w:t>
      </w:r>
      <w:r>
        <w:t>4</w:t>
      </w:r>
      <w:r>
        <w:rPr>
          <w:rFonts w:ascii="宋体" w:hAnsi="宋体"/>
        </w:rPr>
        <w:t>月</w:t>
      </w:r>
    </w:p>
    <w:p>
      <w:pPr>
        <w:rPr>
          <w:rFonts w:hAnsi="Calibri"/>
          <w:b/>
          <w:bCs/>
        </w:rPr>
      </w:pPr>
      <w:r>
        <w:rPr>
          <w:b/>
          <w:bCs/>
        </w:rPr>
        <w:t xml:space="preserve"> </w:t>
      </w:r>
    </w:p>
    <w:p>
      <w:pPr>
        <w:adjustRightInd w:val="0"/>
        <w:snapToGrid w:val="0"/>
        <w:spacing w:line="360" w:lineRule="auto"/>
        <w:rPr>
          <w:rFonts w:eastAsia="黑体"/>
        </w:rPr>
      </w:pPr>
      <w:bookmarkStart w:id="156" w:name="_Toc17429"/>
      <w:bookmarkEnd w:id="156"/>
      <w:r>
        <w:rPr>
          <w:rFonts w:hint="eastAsia" w:ascii="黑体" w:hAnsi="黑体" w:eastAsia="黑体"/>
        </w:rPr>
        <w:t>一、</w:t>
      </w:r>
      <w:r>
        <w:rPr>
          <w:rFonts w:ascii="黑体" w:hAnsi="黑体" w:eastAsia="黑体"/>
        </w:rPr>
        <w:t>课程在教学计划中的地位、作用</w:t>
      </w:r>
    </w:p>
    <w:p>
      <w:pPr>
        <w:adjustRightInd w:val="0"/>
        <w:snapToGrid w:val="0"/>
        <w:spacing w:line="360" w:lineRule="auto"/>
        <w:rPr>
          <w:rFonts w:ascii="宋体" w:hAnsi="宋体"/>
        </w:rPr>
      </w:pPr>
      <w:r>
        <w:rPr>
          <w:rFonts w:hint="eastAsia" w:eastAsia="黑体"/>
        </w:rPr>
        <w:t xml:space="preserve">    </w:t>
      </w:r>
      <w:r>
        <w:rPr>
          <w:rFonts w:hint="eastAsia" w:ascii="宋体" w:hAnsi="宋体"/>
        </w:rPr>
        <w:t>在普通高等学校开设军事技能课程，开展国防教育是教育基本规律的客观要求，军事技能训练课程以国防教育为主线，通过军事训练课，使大学生掌握基本军事技能，达到增强国防观念和国家安全意识，强化爱国主义、集体主义观念，加强组织纪律性，促进大学生综合素质的提高。</w:t>
      </w:r>
    </w:p>
    <w:p>
      <w:pPr>
        <w:adjustRightInd w:val="0"/>
        <w:snapToGrid w:val="0"/>
        <w:spacing w:line="360" w:lineRule="auto"/>
        <w:rPr>
          <w:rFonts w:ascii="宋体" w:hAnsi="宋体"/>
        </w:rPr>
      </w:pPr>
      <w:r>
        <w:rPr>
          <w:rFonts w:hint="eastAsia" w:ascii="宋体" w:hAnsi="宋体"/>
        </w:rPr>
        <w:t xml:space="preserve">    使同志们学会自动步枪卧姿有依托据枪、瞄准、击发的动作要领，为实弹射击打下良好基础。</w:t>
      </w:r>
    </w:p>
    <w:p>
      <w:pPr>
        <w:adjustRightInd w:val="0"/>
        <w:snapToGrid w:val="0"/>
        <w:spacing w:line="360" w:lineRule="auto"/>
        <w:rPr>
          <w:rFonts w:ascii="宋体" w:hAnsi="宋体"/>
        </w:rPr>
      </w:pPr>
      <w:r>
        <w:rPr>
          <w:rFonts w:hint="eastAsia" w:ascii="宋体" w:hAnsi="宋体"/>
        </w:rPr>
        <w:t xml:space="preserve">    通过训练，使同学们掌握单兵战术动作的基本要领和运用时机。</w:t>
      </w:r>
    </w:p>
    <w:p>
      <w:pPr>
        <w:autoSpaceDE w:val="0"/>
        <w:adjustRightInd w:val="0"/>
        <w:snapToGrid w:val="0"/>
        <w:spacing w:line="360" w:lineRule="auto"/>
        <w:ind w:firstLine="420" w:firstLineChars="200"/>
        <w:rPr>
          <w:rFonts w:ascii="宋体" w:hAnsi="宋体"/>
        </w:rPr>
      </w:pPr>
      <w:r>
        <w:rPr>
          <w:rFonts w:hint="eastAsia" w:ascii="宋体" w:hAnsi="宋体"/>
        </w:rPr>
        <w:t>《军事地形学》是一项融知识性、技术性、趣味性、竞争性为一体的军事运动学科。课程教学的目的是，使大学生学习和掌握军事地形学的相关知识，学会识图和用图，达到学习军事科学知识，增强国防观念，提高自身综合素质的目的。</w:t>
      </w:r>
    </w:p>
    <w:p>
      <w:pPr>
        <w:autoSpaceDE w:val="0"/>
        <w:adjustRightInd w:val="0"/>
        <w:snapToGrid w:val="0"/>
        <w:spacing w:line="360" w:lineRule="auto"/>
        <w:ind w:firstLine="420" w:firstLineChars="200"/>
        <w:rPr>
          <w:rFonts w:ascii="宋体" w:hAnsi="宋体"/>
        </w:rPr>
      </w:pPr>
      <w:r>
        <w:rPr>
          <w:rFonts w:hint="eastAsia" w:ascii="宋体" w:hAnsi="宋体"/>
        </w:rPr>
        <w:t>《综合训练》是一项集知识、技术、趣味为一体的军事运动学科。目的是通过理论教学，使同学们了解野外生存的基础理论知识，通过行军、野炊、宿营、夜间值勤等实践环节的教学，掌握野外生存的基本技能，进而提高同学们在困难的环境中，磨炼意志品质，树立战胜困难的信心，克服孤独、恐惧、饥饿、疲劳、伤痛等一切困难。在理论和实践的相互促进基础上，提高学生的综合素质。增强体能，培养学生冷静果断、坚忍不拔、勇于探索、克服困难的意志品质。</w:t>
      </w:r>
    </w:p>
    <w:p>
      <w:pPr>
        <w:autoSpaceDE w:val="0"/>
        <w:adjustRightInd w:val="0"/>
        <w:snapToGrid w:val="0"/>
        <w:spacing w:line="360" w:lineRule="auto"/>
        <w:ind w:firstLine="420" w:firstLineChars="200"/>
        <w:rPr>
          <w:rFonts w:ascii="宋体" w:hAnsi="宋体"/>
        </w:rPr>
      </w:pPr>
      <w:r>
        <w:rPr>
          <w:rFonts w:hint="eastAsia" w:ascii="宋体" w:hAnsi="宋体"/>
        </w:rPr>
        <w:t xml:space="preserve"> </w:t>
      </w:r>
    </w:p>
    <w:p>
      <w:pPr>
        <w:adjustRightInd w:val="0"/>
        <w:snapToGrid w:val="0"/>
        <w:spacing w:line="360" w:lineRule="auto"/>
        <w:ind w:left="420" w:hanging="420"/>
        <w:rPr>
          <w:rFonts w:ascii="Calibri" w:hAnsi="Calibri" w:eastAsia="黑体"/>
        </w:rPr>
      </w:pPr>
      <w:bookmarkStart w:id="157" w:name="_Toc2587"/>
      <w:bookmarkEnd w:id="157"/>
      <w:r>
        <w:rPr>
          <w:rFonts w:ascii="黑体" w:hAnsi="黑体" w:eastAsia="黑体"/>
        </w:rPr>
        <w:t>二、课程目标</w:t>
      </w:r>
    </w:p>
    <w:p>
      <w:pPr>
        <w:pStyle w:val="64"/>
        <w:spacing w:line="360" w:lineRule="auto"/>
        <w:ind w:firstLine="420"/>
        <w:jc w:val="left"/>
        <w:rPr>
          <w:rFonts w:cs="Times New Roman"/>
          <w:b w:val="0"/>
          <w:bCs w:val="0"/>
          <w:color w:val="000000"/>
          <w:kern w:val="0"/>
          <w:sz w:val="21"/>
          <w:szCs w:val="21"/>
        </w:rPr>
      </w:pPr>
      <w:r>
        <w:rPr>
          <w:rFonts w:hint="eastAsia" w:ascii="宋体" w:hAnsi="宋体"/>
          <w:b w:val="0"/>
          <w:bCs w:val="0"/>
          <w:color w:val="000000"/>
          <w:sz w:val="21"/>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824"/>
        <w:gridCol w:w="39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utoSpaceDE w:val="0"/>
              <w:adjustRightInd w:val="0"/>
              <w:spacing w:line="360" w:lineRule="auto"/>
              <w:jc w:val="center"/>
              <w:rPr>
                <w:sz w:val="18"/>
                <w:szCs w:val="18"/>
              </w:rPr>
            </w:pPr>
            <w:r>
              <w:rPr>
                <w:rFonts w:hint="eastAsia"/>
                <w:sz w:val="18"/>
                <w:szCs w:val="18"/>
              </w:rPr>
              <w:t>序号</w:t>
            </w:r>
          </w:p>
        </w:tc>
        <w:tc>
          <w:tcPr>
            <w:tcW w:w="2301" w:type="pct"/>
            <w:tcBorders>
              <w:top w:val="single" w:color="auto" w:sz="4" w:space="0"/>
              <w:left w:val="single" w:color="auto" w:sz="4" w:space="0"/>
              <w:bottom w:val="single" w:color="auto" w:sz="4" w:space="0"/>
              <w:right w:val="single" w:color="auto" w:sz="4" w:space="0"/>
            </w:tcBorders>
          </w:tcPr>
          <w:p>
            <w:pPr>
              <w:autoSpaceDE w:val="0"/>
              <w:adjustRightInd w:val="0"/>
              <w:spacing w:line="360" w:lineRule="auto"/>
              <w:jc w:val="center"/>
              <w:rPr>
                <w:sz w:val="18"/>
                <w:szCs w:val="18"/>
              </w:rPr>
            </w:pPr>
            <w:r>
              <w:rPr>
                <w:rFonts w:hint="eastAsia"/>
                <w:sz w:val="18"/>
                <w:szCs w:val="18"/>
              </w:rPr>
              <w:t>课程目标</w:t>
            </w:r>
          </w:p>
        </w:tc>
        <w:tc>
          <w:tcPr>
            <w:tcW w:w="2355" w:type="pct"/>
            <w:tcBorders>
              <w:top w:val="single" w:color="auto" w:sz="4" w:space="0"/>
              <w:left w:val="single" w:color="auto" w:sz="4" w:space="0"/>
              <w:bottom w:val="single" w:color="auto" w:sz="4" w:space="0"/>
              <w:right w:val="nil"/>
            </w:tcBorders>
          </w:tcPr>
          <w:p>
            <w:pPr>
              <w:autoSpaceDE w:val="0"/>
              <w:adjustRightInd w:val="0"/>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1</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课程目标1：</w:t>
            </w:r>
            <w:r>
              <w:rPr>
                <w:rFonts w:hint="eastAsia" w:ascii="宋体" w:hAnsi="宋体"/>
                <w:kern w:val="0"/>
                <w:sz w:val="18"/>
                <w:szCs w:val="18"/>
              </w:rPr>
              <w:t>使学生了解中国人民解放军三大条令的主要内容，掌握队列动作的基本要领，养成良好的军人作风，增强组织纪律观念、培养集体主义的精神；</w:t>
            </w:r>
          </w:p>
        </w:tc>
        <w:tc>
          <w:tcPr>
            <w:tcW w:w="2355"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2</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课程目标2：</w:t>
            </w:r>
            <w:r>
              <w:rPr>
                <w:rFonts w:hint="eastAsia" w:ascii="宋体" w:hAnsi="宋体"/>
                <w:kern w:val="0"/>
                <w:sz w:val="18"/>
                <w:szCs w:val="18"/>
              </w:rPr>
              <w:t>使学生了解轻武器的战斗性能和基本的射击理论，掌握射击的动作要领，完成第一练习实弹射击；</w:t>
            </w:r>
          </w:p>
        </w:tc>
        <w:tc>
          <w:tcPr>
            <w:tcW w:w="2355"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3</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课程目标3：</w:t>
            </w:r>
            <w:r>
              <w:rPr>
                <w:rFonts w:hint="eastAsia" w:ascii="宋体" w:hAnsi="宋体"/>
                <w:kern w:val="0"/>
                <w:sz w:val="18"/>
                <w:szCs w:val="18"/>
              </w:rPr>
              <w:t>使学生了解战斗的基本类型和基本战斗样式，掌握战术基本原则的主要内容，学会单兵战术的基本要领；</w:t>
            </w:r>
          </w:p>
        </w:tc>
        <w:tc>
          <w:tcPr>
            <w:tcW w:w="2355"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4</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课程目标4：</w:t>
            </w:r>
            <w:r>
              <w:rPr>
                <w:rFonts w:hint="eastAsia" w:ascii="宋体" w:hAnsi="宋体"/>
                <w:color w:val="333333"/>
                <w:sz w:val="18"/>
                <w:szCs w:val="18"/>
              </w:rPr>
              <w:t>使学生地形对作战行动的影响，掌握地形图的基本知识，学会现地使用地形的方法；</w:t>
            </w:r>
          </w:p>
        </w:tc>
        <w:tc>
          <w:tcPr>
            <w:tcW w:w="2355"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ascii="Calibri" w:hAnsi="Calibri"/>
                <w:sz w:val="18"/>
                <w:szCs w:val="18"/>
              </w:rPr>
            </w:pPr>
            <w:r>
              <w:rPr>
                <w:rFonts w:hint="eastAsia"/>
                <w:sz w:val="18"/>
                <w:szCs w:val="18"/>
              </w:rPr>
              <w:t>5</w:t>
            </w:r>
          </w:p>
        </w:tc>
        <w:tc>
          <w:tcPr>
            <w:tcW w:w="2301" w:type="pc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ascii="宋体" w:hAnsi="宋体"/>
                <w:sz w:val="18"/>
                <w:szCs w:val="18"/>
              </w:rPr>
            </w:pPr>
            <w:r>
              <w:rPr>
                <w:rFonts w:hint="eastAsia" w:ascii="宋体" w:hAnsi="宋体"/>
                <w:color w:val="000000"/>
                <w:sz w:val="18"/>
                <w:szCs w:val="18"/>
              </w:rPr>
              <w:t>课程目标5：</w:t>
            </w:r>
            <w:r>
              <w:rPr>
                <w:rFonts w:hint="eastAsia" w:ascii="宋体" w:hAnsi="宋体"/>
                <w:color w:val="333333"/>
                <w:sz w:val="18"/>
                <w:szCs w:val="18"/>
              </w:rPr>
              <w:t>使学生了解行军、宿营的基本程序、方法，培养野外生存能力。</w:t>
            </w:r>
          </w:p>
        </w:tc>
        <w:tc>
          <w:tcPr>
            <w:tcW w:w="2355" w:type="pct"/>
            <w:tcBorders>
              <w:top w:val="single" w:color="auto" w:sz="4" w:space="0"/>
              <w:left w:val="single" w:color="auto" w:sz="4" w:space="0"/>
              <w:bottom w:val="single" w:color="auto" w:sz="4" w:space="0"/>
              <w:right w:val="nil"/>
            </w:tcBorders>
          </w:tcPr>
          <w:p>
            <w:pPr>
              <w:adjustRightInd w:val="0"/>
              <w:snapToGrid w:val="0"/>
              <w:spacing w:line="360" w:lineRule="auto"/>
              <w:rPr>
                <w:rFonts w:ascii="宋体" w:hAnsi="宋体"/>
                <w:sz w:val="18"/>
                <w:szCs w:val="18"/>
              </w:rPr>
            </w:pPr>
            <w:r>
              <w:rPr>
                <w:rFonts w:hint="eastAsia" w:ascii="宋体" w:hAnsi="宋体"/>
                <w:b/>
                <w:bCs/>
                <w:color w:val="333333"/>
                <w:sz w:val="18"/>
                <w:szCs w:val="18"/>
                <w:shd w:val="clear" w:color="auto" w:fill="FFFFFF"/>
              </w:rPr>
              <w:t>毕业要求9个人和团队</w:t>
            </w:r>
            <w:r>
              <w:rPr>
                <w:rFonts w:hint="eastAsia" w:ascii="宋体" w:hAnsi="宋体"/>
                <w:color w:val="333333"/>
                <w:sz w:val="18"/>
                <w:szCs w:val="18"/>
                <w:shd w:val="clear" w:color="auto" w:fill="FFFFFF"/>
              </w:rPr>
              <w:t>：能够在多学科背景下的团队中承担个体、团队成员以及负责人的角色。</w:t>
            </w:r>
          </w:p>
        </w:tc>
      </w:tr>
    </w:tbl>
    <w:p>
      <w:pPr>
        <w:adjustRightInd w:val="0"/>
        <w:snapToGrid w:val="0"/>
        <w:spacing w:line="360" w:lineRule="auto"/>
        <w:rPr>
          <w:rFonts w:ascii="Calibri" w:hAnsi="Calibri" w:eastAsia="黑体"/>
          <w:szCs w:val="21"/>
        </w:rPr>
      </w:pPr>
      <w:bookmarkStart w:id="158" w:name="_Toc15881"/>
      <w:bookmarkEnd w:id="158"/>
      <w:r>
        <w:rPr>
          <w:rFonts w:eastAsia="黑体"/>
        </w:rPr>
        <w:t xml:space="preserve"> </w:t>
      </w:r>
    </w:p>
    <w:p>
      <w:pPr>
        <w:adjustRightInd w:val="0"/>
        <w:snapToGrid w:val="0"/>
        <w:spacing w:line="360" w:lineRule="auto"/>
        <w:rPr>
          <w:rFonts w:eastAsia="黑体"/>
        </w:rPr>
      </w:pPr>
      <w:r>
        <w:rPr>
          <w:rFonts w:ascii="黑体" w:hAnsi="黑体" w:eastAsia="黑体"/>
        </w:rPr>
        <w:t>三、</w:t>
      </w:r>
      <w:r>
        <w:rPr>
          <w:rFonts w:hint="eastAsia" w:ascii="黑体" w:hAnsi="黑体" w:eastAsia="黑体"/>
        </w:rPr>
        <w:t>教学</w:t>
      </w:r>
      <w:r>
        <w:rPr>
          <w:rFonts w:ascii="黑体" w:hAnsi="黑体" w:eastAsia="黑体"/>
        </w:rPr>
        <w:t>内容及基本要求</w:t>
      </w:r>
    </w:p>
    <w:p>
      <w:pPr>
        <w:adjustRightInd w:val="0"/>
        <w:snapToGrid w:val="0"/>
        <w:spacing w:line="360" w:lineRule="auto"/>
        <w:ind w:firstLine="420"/>
        <w:rPr>
          <w:rFonts w:eastAsia="黑体"/>
        </w:rPr>
      </w:pPr>
      <w:r>
        <w:rPr>
          <w:rFonts w:ascii="黑体" w:hAnsi="黑体" w:eastAsia="黑体"/>
        </w:rPr>
        <w:t>基本要求</w:t>
      </w:r>
    </w:p>
    <w:p>
      <w:pPr>
        <w:adjustRightInd w:val="0"/>
        <w:snapToGrid w:val="0"/>
        <w:spacing w:line="360" w:lineRule="auto"/>
        <w:ind w:firstLine="420" w:firstLineChars="200"/>
        <w:rPr>
          <w:color w:val="000000"/>
          <w:shd w:val="clear" w:color="auto" w:fill="FFFFFF"/>
        </w:rPr>
      </w:pPr>
      <w:r>
        <w:rPr>
          <w:color w:val="000000"/>
          <w:shd w:val="clear" w:color="auto" w:fill="FFFFFF"/>
        </w:rPr>
        <w:t>1</w:t>
      </w:r>
      <w:r>
        <w:rPr>
          <w:rFonts w:ascii="宋体" w:hAnsi="宋体"/>
          <w:color w:val="000000"/>
          <w:shd w:val="clear" w:color="auto" w:fill="FFFFFF"/>
        </w:rPr>
        <w:t>、要重视军事教师队伍建设，并充分利用军民共建，请部队派人员帮训等形式，不断充实和加强教学力量。要搞好军事训练教学保障，落实训练教学经费，切实完善训练教学设施，要定期分析训练教学形势，及时解决训练教学中遇到的实际问题。要认真总结交流训练教学经验，不断提高训练教学质量。</w:t>
      </w:r>
    </w:p>
    <w:p>
      <w:pPr>
        <w:adjustRightInd w:val="0"/>
        <w:snapToGrid w:val="0"/>
        <w:spacing w:line="360" w:lineRule="auto"/>
        <w:ind w:firstLine="420" w:firstLineChars="200"/>
        <w:rPr>
          <w:color w:val="000000"/>
          <w:shd w:val="clear" w:color="auto" w:fill="FFFFFF"/>
        </w:rPr>
      </w:pPr>
      <w:r>
        <w:rPr>
          <w:color w:val="000000"/>
          <w:shd w:val="clear" w:color="auto" w:fill="FFFFFF"/>
        </w:rPr>
        <w:t>2</w:t>
      </w:r>
      <w:r>
        <w:rPr>
          <w:rFonts w:ascii="宋体" w:hAnsi="宋体"/>
          <w:color w:val="000000"/>
          <w:shd w:val="clear" w:color="auto" w:fill="FFFFFF"/>
        </w:rPr>
        <w:t>、重视训练教学改革。要紧紧围绕培养目标，研究课堂教学与社会实践结合的有效教学手段。要根据学生的实际和军事训练的具体内容，不断研究改进训练教学方法。提倡由浅入深，启发式，诱导式、示范式的教学形式。要广泛运用现代教学技术，增强训练教学效果。要积极开展训练教学、学术研究和交流，不断推进训练教学改革的深化。</w:t>
      </w:r>
    </w:p>
    <w:p>
      <w:pPr>
        <w:adjustRightInd w:val="0"/>
        <w:snapToGrid w:val="0"/>
        <w:spacing w:line="360" w:lineRule="auto"/>
        <w:ind w:firstLine="420" w:firstLineChars="200"/>
        <w:rPr>
          <w:color w:val="000000"/>
          <w:shd w:val="clear" w:color="auto" w:fill="FFFFFF"/>
        </w:rPr>
      </w:pPr>
      <w:r>
        <w:rPr>
          <w:color w:val="000000"/>
          <w:shd w:val="clear" w:color="auto" w:fill="FFFFFF"/>
        </w:rPr>
        <w:t>3</w:t>
      </w:r>
      <w:r>
        <w:rPr>
          <w:rFonts w:ascii="宋体" w:hAnsi="宋体"/>
          <w:color w:val="000000"/>
          <w:shd w:val="clear" w:color="auto" w:fill="FFFFFF"/>
        </w:rPr>
        <w:t>、坚持科学施教。要按照《大纲》的要求组织训练教学，不得随意变动训练教学内容和时间。要贯彻循序渐进、精讲多练的训练教学原则。要注意搞好各科目之间的衔接，室内室外课、训练课与理论讲解课要穿插进行，合理搭配。要针对不同对象合理编组，因人施教，努力提高整体训练教学水平，要通过组织军事知识竞赛、参观军营等活动，丰富学生军训生活，增强军训效果。</w:t>
      </w:r>
    </w:p>
    <w:p>
      <w:pPr>
        <w:adjustRightInd w:val="0"/>
        <w:snapToGrid w:val="0"/>
        <w:spacing w:line="360" w:lineRule="auto"/>
        <w:ind w:firstLine="420" w:firstLineChars="200"/>
        <w:rPr>
          <w:color w:val="000000"/>
          <w:shd w:val="clear" w:color="auto" w:fill="FFFFFF"/>
        </w:rPr>
      </w:pPr>
      <w:r>
        <w:rPr>
          <w:color w:val="000000"/>
          <w:shd w:val="clear" w:color="auto" w:fill="FFFFFF"/>
        </w:rPr>
        <w:t>4</w:t>
      </w:r>
      <w:r>
        <w:rPr>
          <w:rFonts w:ascii="宋体" w:hAnsi="宋体"/>
          <w:color w:val="000000"/>
          <w:shd w:val="clear" w:color="auto" w:fill="FFFFFF"/>
        </w:rPr>
        <w:t>、建立训练教学安全保障制度。要从实际出发，建立有效的训练教学安全制度。对训练教学的各个环节做出规定；对训练枪支、器材、场地使用管理问题予以明确；对参训学生需要注意的问题提出要求。在训练教学中，要严格执行安全制度，严防人员伤亡和器材丢失、损坏等训练事故的发生。</w:t>
      </w:r>
    </w:p>
    <w:p>
      <w:pPr>
        <w:spacing w:line="360" w:lineRule="auto"/>
        <w:ind w:right="2380" w:firstLine="420"/>
        <w:rPr>
          <w:rFonts w:ascii="黑体" w:hAnsi="黑体" w:eastAsia="黑体"/>
        </w:rPr>
      </w:pPr>
      <w:r>
        <w:rPr>
          <w:rFonts w:hint="eastAsia" w:ascii="黑体" w:hAnsi="黑体" w:eastAsia="黑体"/>
        </w:rPr>
        <w:t>教学内容</w:t>
      </w:r>
    </w:p>
    <w:p>
      <w:pPr>
        <w:spacing w:line="360" w:lineRule="auto"/>
        <w:ind w:right="2380" w:firstLine="420"/>
        <w:rPr>
          <w:rFonts w:ascii="黑体" w:hAnsi="黑体" w:eastAsia="黑体"/>
          <w:color w:val="0000FF"/>
          <w:kern w:val="0"/>
        </w:rPr>
      </w:pPr>
      <w:r>
        <w:rPr>
          <w:rFonts w:ascii="黑体" w:hAnsi="黑体" w:eastAsia="黑体"/>
        </w:rPr>
        <w:t>第</w:t>
      </w:r>
      <w:r>
        <w:rPr>
          <w:rFonts w:hint="eastAsia" w:ascii="黑体" w:hAnsi="黑体" w:eastAsia="黑体"/>
        </w:rPr>
        <w:t>一</w:t>
      </w:r>
      <w:r>
        <w:rPr>
          <w:rFonts w:ascii="黑体" w:hAnsi="黑体" w:eastAsia="黑体"/>
        </w:rPr>
        <w:t>章</w:t>
      </w:r>
      <w:r>
        <w:rPr>
          <w:rFonts w:hint="eastAsia" w:eastAsia="黑体"/>
        </w:rPr>
        <w:t xml:space="preserve"> </w:t>
      </w:r>
      <w:r>
        <w:rPr>
          <w:rFonts w:hint="eastAsia" w:ascii="黑体" w:hAnsi="黑体" w:eastAsia="黑体"/>
        </w:rPr>
        <w:t>单个军人的队列动作</w:t>
      </w:r>
      <w:r>
        <w:rPr>
          <w:rFonts w:hint="eastAsia" w:ascii="黑体" w:hAnsi="黑体" w:eastAsia="黑体" w:cs="宋体"/>
          <w:kern w:val="0"/>
        </w:rPr>
        <w:t>（</w:t>
      </w:r>
      <w:r>
        <w:rPr>
          <w:rFonts w:hint="eastAsia" w:ascii="黑体" w:hAnsi="宋体" w:eastAsia="黑体" w:cs="宋体"/>
          <w:kern w:val="0"/>
        </w:rPr>
        <w:t>10</w:t>
      </w:r>
      <w:r>
        <w:rPr>
          <w:rFonts w:hint="eastAsia" w:ascii="黑体" w:hAnsi="黑体" w:eastAsia="黑体" w:cs="宋体"/>
          <w:kern w:val="0"/>
        </w:rPr>
        <w:t>学时）</w:t>
      </w:r>
    </w:p>
    <w:p>
      <w:pPr>
        <w:spacing w:line="360" w:lineRule="auto"/>
        <w:ind w:firstLine="420" w:firstLineChars="200"/>
        <w:rPr>
          <w:rFonts w:ascii="Calibri" w:hAnsi="Calibri"/>
        </w:rPr>
      </w:pPr>
      <w:r>
        <w:rPr>
          <w:rFonts w:ascii="宋体" w:hAnsi="宋体"/>
        </w:rPr>
        <w:t>队列条令是规定军队队列动作、队列队形和队列指挥的法规。由军队最高领导机关或领导人颁发全军执行。是军队队列动作的准则，队列训练和队列生活的依据。在高校施行队列条令教学，可以有效地规范学生的言行和举止，正确地实施队列训练，培养良好的军姿、严整的军容、过硬的作风、严格的纪律和协调一致的动作，有利于促进校风和学风建设，培养大学生的团结精神和艰苦耐老的精神</w:t>
      </w:r>
      <w:r>
        <w:t>.</w:t>
      </w:r>
    </w:p>
    <w:p>
      <w:pPr>
        <w:spacing w:line="360" w:lineRule="auto"/>
        <w:ind w:firstLine="420" w:firstLineChars="200"/>
      </w:pPr>
      <w:r>
        <w:rPr>
          <w:rFonts w:ascii="宋体" w:hAnsi="宋体"/>
        </w:rPr>
        <w:t>依据中国人民解放军</w:t>
      </w:r>
      <w:r>
        <w:rPr>
          <w:rFonts w:hint="eastAsia" w:ascii="宋体" w:hAnsi="宋体"/>
        </w:rPr>
        <w:t>《</w:t>
      </w:r>
      <w:r>
        <w:rPr>
          <w:rFonts w:ascii="宋体" w:hAnsi="宋体"/>
        </w:rPr>
        <w:t>队列条令</w:t>
      </w:r>
      <w:r>
        <w:rPr>
          <w:rFonts w:hint="eastAsia" w:ascii="宋体" w:hAnsi="宋体"/>
        </w:rPr>
        <w:t>》</w:t>
      </w:r>
      <w:r>
        <w:rPr>
          <w:rFonts w:ascii="宋体" w:hAnsi="宋体"/>
        </w:rPr>
        <w:t>，讲授施行队列条令的意义，队列指挥的基本要求，单个军人队列动作要领，培养良好的军人仪表和气质、协调一致的队列动作、令行禁止的作风。</w:t>
      </w:r>
    </w:p>
    <w:p>
      <w:pPr>
        <w:spacing w:line="360" w:lineRule="auto"/>
        <w:rPr>
          <w:rFonts w:ascii="黑体" w:hAnsi="黑体" w:eastAsia="黑体"/>
        </w:rPr>
      </w:pPr>
      <w:r>
        <w:rPr>
          <w:rFonts w:hint="eastAsia" w:ascii="黑体" w:hAnsi="黑体" w:eastAsia="黑体"/>
        </w:rPr>
        <w:tab/>
      </w:r>
      <w:r>
        <w:rPr>
          <w:rFonts w:hint="eastAsia" w:ascii="黑体" w:hAnsi="黑体" w:eastAsia="黑体"/>
        </w:rPr>
        <w:t>1、 总则</w:t>
      </w:r>
    </w:p>
    <w:p>
      <w:pPr>
        <w:spacing w:line="360" w:lineRule="auto"/>
        <w:ind w:firstLine="420" w:firstLineChars="200"/>
        <w:rPr>
          <w:rFonts w:ascii="Calibri" w:hAnsi="Calibri"/>
        </w:rPr>
      </w:pPr>
      <w:r>
        <w:rPr>
          <w:rFonts w:hint="eastAsia"/>
        </w:rPr>
        <w:t>(</w:t>
      </w:r>
      <w:r>
        <w:t>1</w:t>
      </w:r>
      <w:r>
        <w:rPr>
          <w:rFonts w:hint="eastAsia"/>
        </w:rPr>
        <w:t>)</w:t>
      </w:r>
      <w:r>
        <w:rPr>
          <w:rFonts w:ascii="宋体" w:hAnsi="宋体"/>
        </w:rPr>
        <w:t>施行队列条令的意义</w:t>
      </w:r>
    </w:p>
    <w:p>
      <w:pPr>
        <w:spacing w:line="360" w:lineRule="auto"/>
        <w:ind w:firstLine="420" w:firstLineChars="200"/>
      </w:pPr>
      <w:r>
        <w:rPr>
          <w:rFonts w:hint="eastAsia"/>
        </w:rPr>
        <w:t>(</w:t>
      </w:r>
      <w:r>
        <w:t>2</w:t>
      </w:r>
      <w:r>
        <w:rPr>
          <w:rFonts w:hint="eastAsia"/>
        </w:rPr>
        <w:t>)</w:t>
      </w:r>
      <w:r>
        <w:rPr>
          <w:rFonts w:ascii="宋体" w:hAnsi="宋体"/>
        </w:rPr>
        <w:t>队列条令适用范围及首长、机关的责任</w:t>
      </w:r>
    </w:p>
    <w:p>
      <w:pPr>
        <w:spacing w:line="360" w:lineRule="auto"/>
        <w:ind w:firstLine="420" w:firstLineChars="200"/>
      </w:pPr>
      <w:r>
        <w:rPr>
          <w:rFonts w:hint="eastAsia"/>
        </w:rPr>
        <w:t>(</w:t>
      </w:r>
      <w:r>
        <w:t>3</w:t>
      </w:r>
      <w:r>
        <w:rPr>
          <w:rFonts w:hint="eastAsia"/>
        </w:rPr>
        <w:t>)</w:t>
      </w:r>
      <w:r>
        <w:rPr>
          <w:rFonts w:ascii="宋体" w:hAnsi="宋体"/>
        </w:rPr>
        <w:t>贯彻队列条令的要求</w:t>
      </w:r>
    </w:p>
    <w:p>
      <w:pPr>
        <w:spacing w:line="360" w:lineRule="auto"/>
        <w:ind w:firstLine="420" w:firstLineChars="200"/>
      </w:pPr>
      <w:r>
        <w:rPr>
          <w:rFonts w:hint="eastAsia"/>
        </w:rPr>
        <w:t>(</w:t>
      </w:r>
      <w:r>
        <w:t>4</w:t>
      </w:r>
      <w:r>
        <w:rPr>
          <w:rFonts w:hint="eastAsia" w:ascii="宋体" w:hAnsi="宋体"/>
        </w:rPr>
        <w:t>）</w:t>
      </w:r>
      <w:r>
        <w:rPr>
          <w:rFonts w:ascii="宋体" w:hAnsi="宋体"/>
        </w:rPr>
        <w:t>军人在队列生活中的基本要求</w:t>
      </w:r>
    </w:p>
    <w:p>
      <w:pPr>
        <w:spacing w:line="360" w:lineRule="auto"/>
        <w:ind w:firstLine="420" w:firstLineChars="200"/>
        <w:rPr>
          <w:rFonts w:ascii="黑体" w:hAnsi="黑体" w:eastAsia="黑体"/>
        </w:rPr>
      </w:pPr>
      <w:r>
        <w:rPr>
          <w:rFonts w:hint="eastAsia" w:ascii="黑体" w:hAnsi="黑体" w:eastAsia="黑体"/>
        </w:rPr>
        <w:t>2、 队列指挥</w:t>
      </w:r>
    </w:p>
    <w:p>
      <w:pPr>
        <w:spacing w:line="360" w:lineRule="auto"/>
        <w:ind w:firstLine="420" w:firstLineChars="200"/>
        <w:rPr>
          <w:rFonts w:ascii="Calibri" w:hAnsi="Calibri"/>
        </w:rPr>
      </w:pPr>
      <w:r>
        <w:rPr>
          <w:rFonts w:hint="eastAsia"/>
        </w:rPr>
        <w:t>(1)</w:t>
      </w:r>
      <w:r>
        <w:rPr>
          <w:rFonts w:ascii="宋体" w:hAnsi="宋体"/>
        </w:rPr>
        <w:t>队列指挥的位置</w:t>
      </w:r>
    </w:p>
    <w:p>
      <w:pPr>
        <w:spacing w:line="360" w:lineRule="auto"/>
        <w:ind w:firstLine="420" w:firstLineChars="200"/>
      </w:pPr>
      <w:r>
        <w:rPr>
          <w:rFonts w:hint="eastAsia"/>
        </w:rPr>
        <w:t>(</w:t>
      </w:r>
      <w:r>
        <w:t>2</w:t>
      </w:r>
      <w:r>
        <w:rPr>
          <w:rFonts w:hint="eastAsia"/>
        </w:rPr>
        <w:t>)</w:t>
      </w:r>
      <w:r>
        <w:rPr>
          <w:rFonts w:ascii="宋体" w:hAnsi="宋体"/>
        </w:rPr>
        <w:t>队列指挥的方法</w:t>
      </w:r>
    </w:p>
    <w:p>
      <w:pPr>
        <w:spacing w:line="360" w:lineRule="auto"/>
        <w:ind w:firstLine="420" w:firstLineChars="200"/>
      </w:pPr>
      <w:r>
        <w:rPr>
          <w:rFonts w:hint="eastAsia"/>
        </w:rPr>
        <w:t>(</w:t>
      </w:r>
      <w:r>
        <w:t>3</w:t>
      </w:r>
      <w:r>
        <w:rPr>
          <w:rFonts w:hint="eastAsia"/>
        </w:rPr>
        <w:t>)</w:t>
      </w:r>
      <w:r>
        <w:rPr>
          <w:rFonts w:ascii="宋体" w:hAnsi="宋体"/>
        </w:rPr>
        <w:t>队列指挥的要求</w:t>
      </w:r>
    </w:p>
    <w:p>
      <w:pPr>
        <w:spacing w:line="360" w:lineRule="auto"/>
        <w:ind w:firstLine="420" w:firstLineChars="200"/>
        <w:rPr>
          <w:rFonts w:ascii="黑体" w:hAnsi="黑体" w:eastAsia="黑体"/>
        </w:rPr>
      </w:pPr>
      <w:r>
        <w:rPr>
          <w:rFonts w:hint="eastAsia" w:ascii="黑体" w:hAnsi="黑体" w:eastAsia="黑体"/>
        </w:rPr>
        <w:t>3、单个军人的队列动作</w:t>
      </w:r>
    </w:p>
    <w:p>
      <w:pPr>
        <w:spacing w:line="360" w:lineRule="auto"/>
        <w:ind w:firstLine="420" w:firstLineChars="200"/>
        <w:rPr>
          <w:rFonts w:ascii="Calibri" w:hAnsi="Calibri"/>
        </w:rPr>
      </w:pPr>
      <w:r>
        <w:rPr>
          <w:rFonts w:hint="eastAsia"/>
        </w:rPr>
        <w:t>(</w:t>
      </w:r>
      <w:r>
        <w:t>1</w:t>
      </w:r>
      <w:r>
        <w:rPr>
          <w:rFonts w:hint="eastAsia"/>
        </w:rPr>
        <w:t>)</w:t>
      </w:r>
      <w:r>
        <w:rPr>
          <w:rFonts w:ascii="宋体" w:hAnsi="宋体"/>
        </w:rPr>
        <w:t>立正、跨立、稍息、停止间转法</w:t>
      </w:r>
      <w:r>
        <w:t xml:space="preserve"> </w:t>
      </w:r>
    </w:p>
    <w:p>
      <w:pPr>
        <w:spacing w:line="360" w:lineRule="auto"/>
        <w:ind w:firstLine="420" w:firstLineChars="200"/>
      </w:pPr>
      <w:r>
        <w:rPr>
          <w:rFonts w:hint="eastAsia"/>
        </w:rPr>
        <w:t>(</w:t>
      </w:r>
      <w:r>
        <w:t>2</w:t>
      </w:r>
      <w:r>
        <w:rPr>
          <w:rFonts w:hint="eastAsia"/>
        </w:rPr>
        <w:t>)</w:t>
      </w:r>
      <w:r>
        <w:rPr>
          <w:rFonts w:ascii="宋体" w:hAnsi="宋体"/>
        </w:rPr>
        <w:t>齐步行进及立定</w:t>
      </w:r>
    </w:p>
    <w:p>
      <w:pPr>
        <w:spacing w:line="360" w:lineRule="auto"/>
        <w:ind w:firstLine="420" w:firstLineChars="200"/>
      </w:pPr>
      <w:r>
        <w:rPr>
          <w:rFonts w:hint="eastAsia"/>
        </w:rPr>
        <w:t>(</w:t>
      </w:r>
      <w:r>
        <w:t>3</w:t>
      </w:r>
      <w:r>
        <w:rPr>
          <w:rFonts w:hint="eastAsia"/>
        </w:rPr>
        <w:t>)</w:t>
      </w:r>
      <w:r>
        <w:rPr>
          <w:rFonts w:ascii="宋体" w:hAnsi="宋体"/>
        </w:rPr>
        <w:t>正步行进及立定</w:t>
      </w:r>
    </w:p>
    <w:p>
      <w:pPr>
        <w:spacing w:line="360" w:lineRule="auto"/>
        <w:ind w:firstLine="420" w:firstLineChars="200"/>
      </w:pPr>
      <w:r>
        <w:rPr>
          <w:rFonts w:hint="eastAsia"/>
        </w:rPr>
        <w:t>(</w:t>
      </w:r>
      <w:r>
        <w:t>4</w:t>
      </w:r>
      <w:r>
        <w:rPr>
          <w:rFonts w:hint="eastAsia"/>
        </w:rPr>
        <w:t>)</w:t>
      </w:r>
      <w:r>
        <w:rPr>
          <w:rFonts w:ascii="宋体" w:hAnsi="宋体"/>
        </w:rPr>
        <w:t>跑步行进及立定</w:t>
      </w:r>
    </w:p>
    <w:p>
      <w:pPr>
        <w:spacing w:line="360" w:lineRule="auto"/>
        <w:ind w:firstLine="420" w:firstLineChars="200"/>
      </w:pPr>
      <w:r>
        <w:rPr>
          <w:rFonts w:hint="eastAsia"/>
        </w:rPr>
        <w:t>(</w:t>
      </w:r>
      <w:r>
        <w:t>5</w:t>
      </w:r>
      <w:r>
        <w:rPr>
          <w:rFonts w:hint="eastAsia"/>
        </w:rPr>
        <w:t>)</w:t>
      </w:r>
      <w:r>
        <w:rPr>
          <w:rFonts w:ascii="宋体" w:hAnsi="宋体"/>
        </w:rPr>
        <w:t>便步、踏步、移步</w:t>
      </w:r>
    </w:p>
    <w:p>
      <w:pPr>
        <w:spacing w:line="360" w:lineRule="auto"/>
        <w:ind w:firstLine="420" w:firstLineChars="200"/>
      </w:pPr>
      <w:r>
        <w:rPr>
          <w:rFonts w:hint="eastAsia"/>
        </w:rPr>
        <w:t>(</w:t>
      </w:r>
      <w:r>
        <w:t>6</w:t>
      </w:r>
      <w:r>
        <w:rPr>
          <w:rFonts w:hint="eastAsia"/>
        </w:rPr>
        <w:t>)</w:t>
      </w:r>
      <w:r>
        <w:rPr>
          <w:rFonts w:ascii="宋体" w:hAnsi="宋体"/>
        </w:rPr>
        <w:t>敬礼</w:t>
      </w:r>
    </w:p>
    <w:p>
      <w:pPr>
        <w:spacing w:line="360" w:lineRule="auto"/>
        <w:ind w:firstLine="420" w:firstLineChars="200"/>
      </w:pPr>
      <w:r>
        <w:rPr>
          <w:rFonts w:hint="eastAsia"/>
        </w:rPr>
        <w:t>(</w:t>
      </w:r>
      <w:r>
        <w:t>7</w:t>
      </w:r>
      <w:r>
        <w:rPr>
          <w:rFonts w:hint="eastAsia"/>
        </w:rPr>
        <w:t>)</w:t>
      </w:r>
      <w:r>
        <w:rPr>
          <w:rFonts w:ascii="宋体" w:hAnsi="宋体"/>
        </w:rPr>
        <w:t>脱帽、戴帽、坐下、蹲下、起立</w:t>
      </w:r>
    </w:p>
    <w:p>
      <w:pPr>
        <w:spacing w:line="360" w:lineRule="auto"/>
        <w:ind w:firstLine="420" w:firstLineChars="200"/>
      </w:pPr>
      <w:r>
        <w:rPr>
          <w:rFonts w:hint="eastAsia"/>
        </w:rPr>
        <w:t>(</w:t>
      </w:r>
      <w:r>
        <w:t>8</w:t>
      </w:r>
      <w:r>
        <w:rPr>
          <w:rFonts w:hint="eastAsia"/>
        </w:rPr>
        <w:t>)</w:t>
      </w:r>
      <w:r>
        <w:rPr>
          <w:rFonts w:ascii="宋体" w:hAnsi="宋体"/>
        </w:rPr>
        <w:t>步法变换及行进间转法</w:t>
      </w:r>
    </w:p>
    <w:p>
      <w:pPr>
        <w:spacing w:line="360" w:lineRule="auto"/>
        <w:ind w:firstLine="420"/>
      </w:pPr>
      <w:r>
        <w:rPr>
          <w:rFonts w:hint="eastAsia" w:ascii="宋体" w:hAnsi="宋体"/>
        </w:rPr>
        <w:t>本章节内容支撑课程目标</w:t>
      </w:r>
      <w:r>
        <w:rPr>
          <w:rFonts w:hint="eastAsia"/>
        </w:rPr>
        <w:t>1</w:t>
      </w:r>
      <w:r>
        <w:rPr>
          <w:rFonts w:hint="eastAsia" w:ascii="宋体" w:hAnsi="宋体"/>
        </w:rPr>
        <w:t>。</w:t>
      </w:r>
    </w:p>
    <w:p>
      <w:pPr>
        <w:widowControl/>
        <w:spacing w:line="360" w:lineRule="auto"/>
        <w:ind w:firstLine="420"/>
        <w:jc w:val="left"/>
        <w:rPr>
          <w:rFonts w:eastAsia="黑体"/>
          <w:color w:val="000000"/>
          <w:shd w:val="clear" w:color="auto" w:fill="FFFFFF"/>
        </w:rPr>
      </w:pPr>
      <w:r>
        <w:rPr>
          <w:rFonts w:ascii="黑体" w:hAnsi="黑体" w:eastAsia="黑体"/>
        </w:rPr>
        <w:t>第</w:t>
      </w:r>
      <w:r>
        <w:rPr>
          <w:rFonts w:hint="eastAsia" w:ascii="黑体" w:hAnsi="黑体" w:eastAsia="黑体"/>
        </w:rPr>
        <w:t>二</w:t>
      </w:r>
      <w:r>
        <w:rPr>
          <w:rFonts w:ascii="黑体" w:hAnsi="黑体" w:eastAsia="黑体"/>
        </w:rPr>
        <w:t>章</w:t>
      </w:r>
      <w:r>
        <w:rPr>
          <w:rFonts w:hint="eastAsia" w:eastAsia="黑体"/>
        </w:rPr>
        <w:t xml:space="preserve"> </w:t>
      </w:r>
      <w:r>
        <w:rPr>
          <w:rFonts w:ascii="黑体" w:hAnsi="黑体" w:eastAsia="黑体"/>
          <w:color w:val="000000"/>
          <w:shd w:val="clear" w:color="auto" w:fill="FFFFFF"/>
        </w:rPr>
        <w:t>轻武器射击射击</w:t>
      </w:r>
      <w:r>
        <w:rPr>
          <w:rFonts w:hint="eastAsia" w:ascii="黑体" w:hAnsi="黑体" w:eastAsia="黑体" w:cs="宋体"/>
          <w:kern w:val="0"/>
        </w:rPr>
        <w:t>（</w:t>
      </w:r>
      <w:r>
        <w:rPr>
          <w:rFonts w:hint="eastAsia" w:ascii="黑体" w:hAnsi="宋体" w:eastAsia="黑体" w:cs="宋体"/>
          <w:kern w:val="0"/>
        </w:rPr>
        <w:t>7</w:t>
      </w:r>
      <w:r>
        <w:rPr>
          <w:rFonts w:hint="eastAsia" w:ascii="黑体" w:hAnsi="黑体" w:eastAsia="黑体" w:cs="宋体"/>
          <w:kern w:val="0"/>
        </w:rPr>
        <w:t>学时）</w:t>
      </w:r>
    </w:p>
    <w:p>
      <w:pPr>
        <w:autoSpaceDE w:val="0"/>
        <w:spacing w:line="360" w:lineRule="auto"/>
        <w:ind w:left="420" w:leftChars="200"/>
        <w:rPr>
          <w:rFonts w:ascii="黑体" w:hAnsi="黑体" w:eastAsia="黑体"/>
          <w:color w:val="000000"/>
          <w:kern w:val="0"/>
          <w:shd w:val="clear" w:color="auto" w:fill="FFFFFF"/>
        </w:rPr>
      </w:pPr>
      <w:r>
        <w:rPr>
          <w:rFonts w:hint="eastAsia" w:eastAsia="黑体"/>
          <w:color w:val="000000"/>
          <w:kern w:val="0"/>
          <w:shd w:val="clear" w:color="auto" w:fill="FFFFFF"/>
        </w:rPr>
        <w:t>1</w:t>
      </w:r>
      <w:r>
        <w:rPr>
          <w:rFonts w:ascii="黑体" w:hAnsi="黑体" w:eastAsia="黑体"/>
          <w:color w:val="000000"/>
          <w:kern w:val="0"/>
          <w:shd w:val="clear" w:color="auto" w:fill="FFFFFF"/>
        </w:rPr>
        <w:t>、教学准备</w:t>
      </w:r>
      <w:r>
        <w:rPr>
          <w:color w:val="000000"/>
          <w:kern w:val="0"/>
          <w:shd w:val="clear" w:color="auto" w:fill="FFFFFF"/>
        </w:rPr>
        <w:br w:type="textWrapping"/>
      </w:r>
      <w:r>
        <w:rPr>
          <w:rFonts w:hint="eastAsia" w:ascii="宋体" w:hAnsi="宋体"/>
          <w:color w:val="000000"/>
          <w:kern w:val="0"/>
          <w:shd w:val="clear" w:color="auto" w:fill="FFFFFF"/>
        </w:rPr>
        <w:t>（</w:t>
      </w:r>
      <w:r>
        <w:rPr>
          <w:rFonts w:hint="eastAsia"/>
          <w:color w:val="000000"/>
          <w:kern w:val="0"/>
          <w:shd w:val="clear" w:color="auto" w:fill="FFFFFF"/>
        </w:rPr>
        <w:t>1</w:t>
      </w:r>
      <w:r>
        <w:rPr>
          <w:rFonts w:hint="eastAsia" w:ascii="宋体" w:hAnsi="宋体"/>
          <w:color w:val="000000"/>
          <w:kern w:val="0"/>
          <w:shd w:val="clear" w:color="auto" w:fill="FFFFFF"/>
        </w:rPr>
        <w:t>）</w:t>
      </w:r>
      <w:r>
        <w:rPr>
          <w:rFonts w:ascii="宋体" w:hAnsi="宋体"/>
          <w:color w:val="000000"/>
          <w:kern w:val="0"/>
          <w:shd w:val="clear" w:color="auto" w:fill="FFFFFF"/>
        </w:rPr>
        <w:t>清点人数，验枪，整理装具</w:t>
      </w:r>
      <w:r>
        <w:rPr>
          <w:color w:val="000000"/>
          <w:kern w:val="0"/>
          <w:shd w:val="clear" w:color="auto" w:fill="FFFFFF"/>
        </w:rPr>
        <w:br w:type="textWrapping"/>
      </w:r>
      <w:r>
        <w:rPr>
          <w:rFonts w:hint="eastAsia" w:ascii="宋体" w:hAnsi="宋体"/>
          <w:color w:val="000000"/>
          <w:kern w:val="0"/>
          <w:shd w:val="clear" w:color="auto" w:fill="FFFFFF"/>
        </w:rPr>
        <w:t>（</w:t>
      </w:r>
      <w:r>
        <w:rPr>
          <w:rFonts w:hint="eastAsia"/>
          <w:color w:val="000000"/>
          <w:kern w:val="0"/>
          <w:shd w:val="clear" w:color="auto" w:fill="FFFFFF"/>
        </w:rPr>
        <w:t>2</w:t>
      </w:r>
      <w:r>
        <w:rPr>
          <w:rFonts w:hint="eastAsia" w:ascii="宋体" w:hAnsi="宋体"/>
          <w:color w:val="000000"/>
          <w:kern w:val="0"/>
          <w:shd w:val="clear" w:color="auto" w:fill="FFFFFF"/>
        </w:rPr>
        <w:t>）</w:t>
      </w:r>
      <w:r>
        <w:rPr>
          <w:rFonts w:ascii="宋体" w:hAnsi="宋体"/>
          <w:color w:val="000000"/>
          <w:kern w:val="0"/>
          <w:shd w:val="clear" w:color="auto" w:fill="FFFFFF"/>
        </w:rPr>
        <w:t>宣布教学提要</w:t>
      </w:r>
      <w:r>
        <w:rPr>
          <w:color w:val="000000"/>
          <w:kern w:val="0"/>
          <w:shd w:val="clear" w:color="auto" w:fill="FFFFFF"/>
        </w:rPr>
        <w:br w:type="textWrapping"/>
      </w:r>
      <w:r>
        <w:rPr>
          <w:rFonts w:hint="eastAsia" w:eastAsia="黑体"/>
          <w:color w:val="000000"/>
          <w:kern w:val="0"/>
          <w:shd w:val="clear" w:color="auto" w:fill="FFFFFF"/>
        </w:rPr>
        <w:t>2</w:t>
      </w:r>
      <w:r>
        <w:rPr>
          <w:rFonts w:ascii="黑体" w:hAnsi="黑体" w:eastAsia="黑体"/>
          <w:color w:val="000000"/>
          <w:kern w:val="0"/>
          <w:shd w:val="clear" w:color="auto" w:fill="FFFFFF"/>
        </w:rPr>
        <w:t>、教学</w:t>
      </w:r>
      <w:r>
        <w:fldChar w:fldCharType="begin"/>
      </w:r>
      <w:r>
        <w:instrText xml:space="preserve"> HYPERLINK "http://xiangmushishifangan.unjs.com/" </w:instrText>
      </w:r>
      <w:r>
        <w:fldChar w:fldCharType="separate"/>
      </w:r>
      <w:r>
        <w:rPr>
          <w:rStyle w:val="65"/>
          <w:rFonts w:ascii="黑体" w:hAnsi="黑体" w:eastAsia="黑体"/>
          <w:color w:val="000000"/>
          <w:shd w:val="clear" w:color="auto" w:fill="FFFFFF"/>
        </w:rPr>
        <w:t>实施</w:t>
      </w:r>
      <w:r>
        <w:rPr>
          <w:rStyle w:val="65"/>
          <w:rFonts w:ascii="黑体" w:hAnsi="黑体" w:eastAsia="黑体"/>
          <w:color w:val="000000"/>
          <w:shd w:val="clear" w:color="auto" w:fill="FFFFFF"/>
        </w:rPr>
        <w:fldChar w:fldCharType="end"/>
      </w:r>
    </w:p>
    <w:p>
      <w:pPr>
        <w:autoSpaceDE w:val="0"/>
        <w:spacing w:line="360" w:lineRule="auto"/>
        <w:rPr>
          <w:rFonts w:ascii="Calibri" w:hAnsi="Calibri" w:eastAsia="黑体"/>
          <w:color w:val="000000"/>
          <w:kern w:val="0"/>
          <w:shd w:val="clear" w:color="auto" w:fill="FFFFFF"/>
        </w:rPr>
      </w:pPr>
      <w:r>
        <w:rPr>
          <w:rFonts w:hint="eastAsia"/>
          <w:color w:val="000000"/>
          <w:kern w:val="0"/>
          <w:shd w:val="clear" w:color="auto" w:fill="FFFFFF"/>
        </w:rPr>
        <w:tab/>
      </w:r>
      <w:r>
        <w:rPr>
          <w:rFonts w:hint="eastAsia" w:ascii="宋体" w:hAnsi="宋体"/>
          <w:color w:val="000000"/>
          <w:kern w:val="0"/>
          <w:shd w:val="clear" w:color="auto" w:fill="FFFFFF"/>
        </w:rPr>
        <w:t>（</w:t>
      </w:r>
      <w:r>
        <w:rPr>
          <w:rFonts w:hint="eastAsia" w:ascii="黑体" w:hAnsi="黑体" w:eastAsia="黑体"/>
          <w:color w:val="000000"/>
          <w:kern w:val="0"/>
          <w:shd w:val="clear" w:color="auto" w:fill="FFFFFF"/>
        </w:rPr>
        <w:t>1）对依托物的利用</w:t>
      </w:r>
      <w:r>
        <w:rPr>
          <w:color w:val="000000"/>
          <w:kern w:val="0"/>
          <w:shd w:val="clear" w:color="auto" w:fill="FFFFFF"/>
        </w:rPr>
        <w:br w:type="textWrapping"/>
      </w:r>
      <w:r>
        <w:rPr>
          <w:rFonts w:hint="eastAsia"/>
          <w:color w:val="000000"/>
          <w:kern w:val="0"/>
          <w:shd w:val="clear" w:color="auto" w:fill="FFFFFF"/>
        </w:rPr>
        <w:t xml:space="preserve">    </w:t>
      </w:r>
      <w:r>
        <w:rPr>
          <w:rFonts w:ascii="宋体" w:hAnsi="宋体"/>
          <w:color w:val="000000"/>
          <w:kern w:val="0"/>
          <w:shd w:val="clear" w:color="auto" w:fill="FFFFFF"/>
        </w:rPr>
        <w:t>射击时，为了获得更好的射击效果，提高射击精度，射手应力求利用地物和构筑依托物实施射击，一般构筑依托物应根据射手的高矮和手臂长短而定，通常长约</w:t>
      </w:r>
      <w:r>
        <w:rPr>
          <w:color w:val="000000"/>
          <w:kern w:val="0"/>
          <w:shd w:val="clear" w:color="auto" w:fill="FFFFFF"/>
        </w:rPr>
        <w:t>25-30</w:t>
      </w:r>
      <w:r>
        <w:rPr>
          <w:rFonts w:ascii="宋体" w:hAnsi="宋体"/>
          <w:color w:val="000000"/>
          <w:kern w:val="0"/>
          <w:shd w:val="clear" w:color="auto" w:fill="FFFFFF"/>
        </w:rPr>
        <w:t>厘米，高</w:t>
      </w:r>
      <w:r>
        <w:rPr>
          <w:rFonts w:cs="Calibri"/>
          <w:color w:val="000000"/>
          <w:kern w:val="0"/>
          <w:shd w:val="clear" w:color="auto" w:fill="FFFFFF"/>
        </w:rPr>
        <w:t>20-25</w:t>
      </w:r>
      <w:r>
        <w:rPr>
          <w:rFonts w:ascii="宋体" w:hAnsi="宋体"/>
          <w:color w:val="000000"/>
          <w:kern w:val="0"/>
          <w:shd w:val="clear" w:color="auto" w:fill="FFFFFF"/>
        </w:rPr>
        <w:t>厘米，宽</w:t>
      </w:r>
      <w:r>
        <w:rPr>
          <w:rFonts w:cs="Calibri"/>
          <w:color w:val="000000"/>
          <w:kern w:val="0"/>
          <w:shd w:val="clear" w:color="auto" w:fill="FFFFFF"/>
        </w:rPr>
        <w:t>10-15</w:t>
      </w:r>
      <w:r>
        <w:rPr>
          <w:rFonts w:ascii="宋体" w:hAnsi="宋体"/>
          <w:color w:val="000000"/>
          <w:kern w:val="0"/>
          <w:shd w:val="clear" w:color="auto" w:fill="FFFFFF"/>
        </w:rPr>
        <w:t>厘米，要求土质适宜，软硬适合，便于操枪，其内侧应陡些。在</w:t>
      </w:r>
      <w:r>
        <w:fldChar w:fldCharType="begin"/>
      </w:r>
      <w:r>
        <w:instrText xml:space="preserve"> HYPERLINK "http://zhanzheng.unjs.com/" </w:instrText>
      </w:r>
      <w:r>
        <w:fldChar w:fldCharType="separate"/>
      </w:r>
      <w:r>
        <w:rPr>
          <w:rStyle w:val="65"/>
          <w:rFonts w:ascii="宋体" w:hAnsi="宋体"/>
          <w:color w:val="000000"/>
          <w:shd w:val="clear" w:color="auto" w:fill="FFFFFF"/>
        </w:rPr>
        <w:t>战斗</w:t>
      </w:r>
      <w:r>
        <w:rPr>
          <w:rStyle w:val="65"/>
          <w:rFonts w:ascii="宋体" w:hAnsi="宋体"/>
          <w:color w:val="000000"/>
          <w:shd w:val="clear" w:color="auto" w:fill="FFFFFF"/>
        </w:rPr>
        <w:fldChar w:fldCharType="end"/>
      </w:r>
      <w:r>
        <w:rPr>
          <w:rFonts w:ascii="宋体" w:hAnsi="宋体"/>
          <w:color w:val="000000"/>
          <w:kern w:val="0"/>
          <w:shd w:val="clear" w:color="auto" w:fill="FFFFFF"/>
        </w:rPr>
        <w:t>中为了不失时机地消灭敌人，应善于利用不同高度的依托物进行射击，以增加枪身的稳固性</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hint="eastAsia" w:ascii="宋体" w:hAnsi="宋体"/>
          <w:color w:val="000000"/>
          <w:kern w:val="0"/>
          <w:shd w:val="clear" w:color="auto" w:fill="FFFFFF"/>
        </w:rPr>
        <w:t>（</w:t>
      </w:r>
      <w:r>
        <w:rPr>
          <w:rFonts w:hint="eastAsia"/>
          <w:color w:val="000000"/>
          <w:kern w:val="0"/>
          <w:shd w:val="clear" w:color="auto" w:fill="FFFFFF"/>
        </w:rPr>
        <w:t>2</w:t>
      </w:r>
      <w:r>
        <w:rPr>
          <w:rFonts w:hint="eastAsia" w:ascii="宋体" w:hAnsi="宋体"/>
          <w:color w:val="000000"/>
          <w:kern w:val="0"/>
          <w:shd w:val="clear" w:color="auto" w:fill="FFFFFF"/>
        </w:rPr>
        <w:t>）</w:t>
      </w:r>
      <w:r>
        <w:rPr>
          <w:rFonts w:hint="eastAsia" w:ascii="黑体" w:hAnsi="黑体" w:eastAsia="黑体"/>
          <w:color w:val="000000"/>
          <w:kern w:val="0"/>
          <w:shd w:val="clear" w:color="auto" w:fill="FFFFFF"/>
        </w:rPr>
        <w:t>卧姿有依托据枪、瞄准、击发</w:t>
      </w:r>
      <w:r>
        <w:rPr>
          <w:color w:val="000000"/>
          <w:kern w:val="0"/>
          <w:shd w:val="clear" w:color="auto" w:fill="FFFFFF"/>
        </w:rPr>
        <w:br w:type="textWrapping"/>
      </w:r>
      <w:r>
        <w:rPr>
          <w:rFonts w:hint="eastAsia"/>
          <w:color w:val="000000"/>
          <w:kern w:val="0"/>
          <w:shd w:val="clear" w:color="auto" w:fill="FFFFFF"/>
        </w:rPr>
        <w:tab/>
      </w:r>
      <w:r>
        <w:rPr>
          <w:rFonts w:hint="eastAsia"/>
          <w:color w:val="000000"/>
          <w:kern w:val="0"/>
          <w:shd w:val="clear" w:color="auto" w:fill="FFFFFF"/>
        </w:rPr>
        <w:t>①</w:t>
      </w:r>
      <w:r>
        <w:rPr>
          <w:rFonts w:hint="eastAsia" w:ascii="黑体" w:hAnsi="黑体" w:eastAsia="黑体"/>
          <w:color w:val="000000"/>
          <w:kern w:val="0"/>
          <w:shd w:val="clear" w:color="auto" w:fill="FFFFFF"/>
        </w:rPr>
        <w:t>、</w:t>
      </w:r>
      <w:r>
        <w:rPr>
          <w:rFonts w:ascii="黑体" w:hAnsi="黑体" w:eastAsia="黑体"/>
          <w:color w:val="000000"/>
          <w:kern w:val="0"/>
          <w:shd w:val="clear" w:color="auto" w:fill="FFFFFF"/>
        </w:rPr>
        <w:t>讲解示范</w:t>
      </w:r>
      <w:r>
        <w:rPr>
          <w:color w:val="000000"/>
          <w:kern w:val="0"/>
          <w:shd w:val="clear" w:color="auto" w:fill="FFFFFF"/>
        </w:rPr>
        <w:br w:type="textWrapping"/>
      </w:r>
      <w:r>
        <w:rPr>
          <w:color w:val="000000"/>
          <w:kern w:val="0"/>
          <w:shd w:val="clear" w:color="auto" w:fill="FFFFFF"/>
        </w:rPr>
        <w:t xml:space="preserve">   </w:t>
      </w:r>
      <w:r>
        <w:rPr>
          <w:rFonts w:hint="eastAsia"/>
          <w:color w:val="000000"/>
          <w:kern w:val="0"/>
          <w:shd w:val="clear" w:color="auto" w:fill="FFFFFF"/>
        </w:rPr>
        <w:t xml:space="preserve"> </w:t>
      </w:r>
      <w:r>
        <w:rPr>
          <w:rFonts w:ascii="宋体" w:hAnsi="宋体"/>
          <w:color w:val="000000"/>
          <w:kern w:val="0"/>
          <w:shd w:val="clear" w:color="auto" w:fill="FFFFFF"/>
        </w:rPr>
        <w:t>讲解：卧姿据枪是在卧姿装子弹的基础上进行的，据枪时，下护木前导气箍下枪管放在依托物上，身体右侧与枪身略成一线，左手握弹匣，左肘着地外撑，两肘保持稳固，胸部挺起，身体稍前跟</w:t>
      </w:r>
      <w:r>
        <w:rPr>
          <w:color w:val="000000"/>
          <w:kern w:val="0"/>
          <w:shd w:val="clear" w:color="auto" w:fill="FFFFFF"/>
        </w:rPr>
        <w:t>(</w:t>
      </w:r>
      <w:r>
        <w:rPr>
          <w:rFonts w:ascii="宋体" w:hAnsi="宋体"/>
          <w:color w:val="000000"/>
          <w:kern w:val="0"/>
          <w:shd w:val="clear" w:color="auto" w:fill="FFFFFF"/>
        </w:rPr>
        <w:t>肘不离地</w:t>
      </w:r>
      <w:r>
        <w:rPr>
          <w:rFonts w:cs="Calibri"/>
          <w:color w:val="000000"/>
          <w:kern w:val="0"/>
          <w:shd w:val="clear" w:color="auto" w:fill="FFFFFF"/>
        </w:rPr>
        <w:t>)</w:t>
      </w:r>
      <w:r>
        <w:rPr>
          <w:rFonts w:ascii="宋体" w:hAnsi="宋体"/>
          <w:color w:val="000000"/>
          <w:kern w:val="0"/>
          <w:shd w:val="clear" w:color="auto" w:fill="FFFFFF"/>
        </w:rPr>
        <w:t>，上体</w:t>
      </w:r>
      <w:r>
        <w:fldChar w:fldCharType="begin"/>
      </w:r>
      <w:r>
        <w:instrText xml:space="preserve"> HYPERLINK "http://dazirandeqishizuowen.unjs.com/" </w:instrText>
      </w:r>
      <w:r>
        <w:fldChar w:fldCharType="separate"/>
      </w:r>
      <w:r>
        <w:rPr>
          <w:rStyle w:val="65"/>
          <w:rFonts w:ascii="宋体" w:hAnsi="宋体"/>
          <w:color w:val="000000"/>
          <w:shd w:val="clear" w:color="auto" w:fill="FFFFFF"/>
        </w:rPr>
        <w:t>自然</w:t>
      </w:r>
      <w:r>
        <w:rPr>
          <w:rStyle w:val="65"/>
          <w:rFonts w:ascii="宋体" w:hAnsi="宋体"/>
          <w:color w:val="000000"/>
          <w:shd w:val="clear" w:color="auto" w:fill="FFFFFF"/>
        </w:rPr>
        <w:fldChar w:fldCharType="end"/>
      </w:r>
      <w:r>
        <w:rPr>
          <w:rFonts w:ascii="宋体" w:hAnsi="宋体"/>
          <w:color w:val="000000"/>
          <w:kern w:val="0"/>
          <w:shd w:val="clear" w:color="auto" w:fill="FFFFFF"/>
        </w:rPr>
        <w:t>下塌，两手用力保持不变，使枪托确实抵于肩窝，头稍向前倾，自然贴腮。瞄准时，首先使瞄准线自然指向目标，若未指向目标，不可迁就强扭枪身</w:t>
      </w:r>
      <w:r>
        <w:rPr>
          <w:color w:val="000000"/>
          <w:kern w:val="0"/>
          <w:shd w:val="clear" w:color="auto" w:fill="FFFFFF"/>
        </w:rPr>
        <w:t>(</w:t>
      </w:r>
      <w:r>
        <w:rPr>
          <w:rFonts w:ascii="宋体" w:hAnsi="宋体"/>
          <w:color w:val="000000"/>
          <w:kern w:val="0"/>
          <w:shd w:val="clear" w:color="auto" w:fill="FFFFFF"/>
        </w:rPr>
        <w:t>腕部、上体勉强用力</w:t>
      </w:r>
      <w:r>
        <w:rPr>
          <w:rFonts w:cs="Calibri"/>
          <w:color w:val="000000"/>
          <w:kern w:val="0"/>
          <w:shd w:val="clear" w:color="auto" w:fill="FFFFFF"/>
        </w:rPr>
        <w:t>)</w:t>
      </w:r>
      <w:r>
        <w:rPr>
          <w:rFonts w:ascii="宋体" w:hAnsi="宋体"/>
          <w:color w:val="000000"/>
          <w:kern w:val="0"/>
          <w:shd w:val="clear" w:color="auto" w:fill="FFFFFF"/>
        </w:rPr>
        <w:t>，必须调整姿势，修正方向时，可左右移动身体或两肘；修正高低时可前后移动身体或依托物。</w:t>
      </w:r>
      <w:r>
        <w:rPr>
          <w:rFonts w:cs="Calibri"/>
          <w:color w:val="000000"/>
          <w:kern w:val="0"/>
          <w:shd w:val="clear" w:color="auto" w:fill="FFFFFF"/>
        </w:rPr>
        <w:t>(</w:t>
      </w:r>
      <w:r>
        <w:rPr>
          <w:rFonts w:ascii="宋体" w:hAnsi="宋体"/>
          <w:color w:val="000000"/>
          <w:kern w:val="0"/>
          <w:shd w:val="clear" w:color="auto" w:fill="FFFFFF"/>
        </w:rPr>
        <w:t>连发时，不管修正方向或高低，都要重做正、握、抵、跟、塌动作</w:t>
      </w:r>
      <w:r>
        <w:rPr>
          <w:rFonts w:cs="Calibri"/>
          <w:color w:val="000000"/>
          <w:kern w:val="0"/>
          <w:shd w:val="clear" w:color="auto" w:fill="FFFFFF"/>
        </w:rPr>
        <w:t>)</w:t>
      </w:r>
      <w:r>
        <w:rPr>
          <w:rFonts w:ascii="宋体" w:hAnsi="宋体"/>
          <w:color w:val="000000"/>
          <w:kern w:val="0"/>
          <w:shd w:val="clear" w:color="auto" w:fill="FFFFFF"/>
        </w:rPr>
        <w:t>。击发时，右手食指第一节均匀正直地向后扣压扳机，余指力量不变。当瞄准线接近瞄准点时，开始预压扳机，并减缓呼吸。当瞄准线指向瞄准点时，应停止呼吸，继续增加对扳机的压力，直至击发。击发瞬间应保持正确一致的瞄准。当瞄准线偏离瞄准点或不能继续停止呼吸时，应既不增加也不放松对扳机的压力，待修正或换气后，再继续扣压扳机。</w:t>
      </w:r>
      <w:r>
        <w:rPr>
          <w:color w:val="000000"/>
          <w:kern w:val="0"/>
          <w:shd w:val="clear" w:color="auto" w:fill="FFFFFF"/>
        </w:rPr>
        <w:br w:type="textWrapping"/>
      </w:r>
      <w:r>
        <w:rPr>
          <w:rFonts w:ascii="宋体" w:hAnsi="宋体"/>
          <w:color w:val="000000"/>
          <w:kern w:val="0"/>
          <w:shd w:val="clear" w:color="auto" w:fill="FFFFFF"/>
        </w:rPr>
        <w:t>示范射击：</w:t>
      </w:r>
      <w:r>
        <w:rPr>
          <w:color w:val="000000"/>
          <w:kern w:val="0"/>
          <w:shd w:val="clear" w:color="auto" w:fill="FFFFFF"/>
        </w:rPr>
        <w:t>(</w:t>
      </w:r>
      <w:r>
        <w:rPr>
          <w:rFonts w:ascii="宋体" w:hAnsi="宋体"/>
          <w:color w:val="000000"/>
          <w:kern w:val="0"/>
          <w:shd w:val="clear" w:color="auto" w:fill="FFFFFF"/>
        </w:rPr>
        <w:t>按一练习条件实施</w:t>
      </w:r>
      <w:r>
        <w:rPr>
          <w:rFonts w:cs="Calibri"/>
          <w:color w:val="000000"/>
          <w:kern w:val="0"/>
          <w:shd w:val="clear" w:color="auto" w:fill="FFFFFF"/>
        </w:rPr>
        <w:t>)</w:t>
      </w:r>
      <w:r>
        <w:rPr>
          <w:color w:val="000000"/>
          <w:kern w:val="0"/>
          <w:shd w:val="clear" w:color="auto" w:fill="FFFFFF"/>
        </w:rPr>
        <w:br w:type="textWrapping"/>
      </w:r>
      <w:r>
        <w:rPr>
          <w:rFonts w:ascii="宋体" w:hAnsi="宋体"/>
          <w:color w:val="000000"/>
          <w:kern w:val="0"/>
          <w:shd w:val="clear" w:color="auto" w:fill="FFFFFF"/>
        </w:rPr>
        <w:t>讲评射击</w:t>
      </w:r>
      <w:r>
        <w:fldChar w:fldCharType="begin"/>
      </w:r>
      <w:r>
        <w:instrText xml:space="preserve"> HYPERLINK "http://qingkuangshuoming.unjs.com/" </w:instrText>
      </w:r>
      <w:r>
        <w:fldChar w:fldCharType="separate"/>
      </w:r>
      <w:r>
        <w:rPr>
          <w:rStyle w:val="65"/>
          <w:rFonts w:ascii="宋体" w:hAnsi="宋体"/>
          <w:color w:val="000000"/>
          <w:shd w:val="clear" w:color="auto" w:fill="FFFFFF"/>
        </w:rPr>
        <w:t>情况</w:t>
      </w:r>
      <w:r>
        <w:rPr>
          <w:rStyle w:val="65"/>
          <w:rFonts w:ascii="宋体" w:hAnsi="宋体"/>
          <w:color w:val="000000"/>
          <w:shd w:val="clear" w:color="auto" w:fill="FFFFFF"/>
        </w:rPr>
        <w:fldChar w:fldCharType="end"/>
      </w:r>
      <w:r>
        <w:rPr>
          <w:rFonts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hint="eastAsia" w:eastAsia="黑体"/>
          <w:color w:val="000000"/>
          <w:kern w:val="0"/>
          <w:shd w:val="clear" w:color="auto" w:fill="FFFFFF"/>
        </w:rPr>
        <w:t>②</w:t>
      </w:r>
      <w:r>
        <w:rPr>
          <w:rFonts w:ascii="黑体" w:hAnsi="黑体" w:eastAsia="黑体"/>
          <w:color w:val="000000"/>
          <w:kern w:val="0"/>
          <w:shd w:val="clear" w:color="auto" w:fill="FFFFFF"/>
        </w:rPr>
        <w:t>、组织练习</w:t>
      </w:r>
      <w:r>
        <w:rPr>
          <w:rFonts w:eastAsia="黑体"/>
          <w:color w:val="000000"/>
          <w:kern w:val="0"/>
          <w:shd w:val="clear" w:color="auto" w:fill="FFFFFF"/>
        </w:rPr>
        <w:br w:type="textWrapping"/>
      </w:r>
      <w:r>
        <w:rPr>
          <w:rFonts w:hint="eastAsia" w:eastAsia="黑体"/>
          <w:color w:val="000000"/>
          <w:kern w:val="0"/>
          <w:shd w:val="clear" w:color="auto" w:fill="FFFFFF"/>
        </w:rPr>
        <w:tab/>
      </w:r>
      <w:r>
        <w:rPr>
          <w:rFonts w:ascii="宋体" w:hAnsi="宋体"/>
          <w:color w:val="000000"/>
          <w:kern w:val="0"/>
          <w:shd w:val="clear" w:color="auto" w:fill="FFFFFF"/>
        </w:rPr>
        <w:t>第一步：据枪；</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(1)</w:t>
      </w:r>
      <w:r>
        <w:rPr>
          <w:rFonts w:ascii="宋体" w:hAnsi="宋体"/>
          <w:color w:val="000000"/>
          <w:kern w:val="0"/>
          <w:shd w:val="clear" w:color="auto" w:fill="FFFFFF"/>
        </w:rPr>
        <w:t>领练练习：教员做一动，学员跟着做一动</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(2)</w:t>
      </w:r>
      <w:r>
        <w:fldChar w:fldCharType="begin"/>
      </w:r>
      <w:r>
        <w:instrText xml:space="preserve"> HYPERLINK "http://gerenjianlifanwen.unjs.com/" </w:instrText>
      </w:r>
      <w:r>
        <w:fldChar w:fldCharType="separate"/>
      </w:r>
      <w:r>
        <w:rPr>
          <w:rStyle w:val="65"/>
          <w:rFonts w:ascii="宋体" w:hAnsi="宋体"/>
          <w:color w:val="000000"/>
          <w:shd w:val="clear" w:color="auto" w:fill="FFFFFF"/>
        </w:rPr>
        <w:t>个人</w:t>
      </w:r>
      <w:r>
        <w:rPr>
          <w:rStyle w:val="65"/>
          <w:rFonts w:ascii="宋体" w:hAnsi="宋体"/>
          <w:color w:val="000000"/>
          <w:shd w:val="clear" w:color="auto" w:fill="FFFFFF"/>
        </w:rPr>
        <w:fldChar w:fldCharType="end"/>
      </w:r>
      <w:r>
        <w:fldChar w:fldCharType="begin"/>
      </w:r>
      <w:r>
        <w:instrText xml:space="preserve"> HYPERLINK "http://www.unjs.com/fanwenwang/xdth/" </w:instrText>
      </w:r>
      <w:r>
        <w:fldChar w:fldCharType="separate"/>
      </w:r>
      <w:r>
        <w:rPr>
          <w:rStyle w:val="65"/>
          <w:rFonts w:ascii="宋体" w:hAnsi="宋体"/>
          <w:color w:val="000000"/>
          <w:shd w:val="clear" w:color="auto" w:fill="FFFFFF"/>
        </w:rPr>
        <w:t>体会</w:t>
      </w:r>
      <w:r>
        <w:rPr>
          <w:rStyle w:val="65"/>
          <w:rFonts w:ascii="宋体" w:hAnsi="宋体"/>
          <w:color w:val="000000"/>
          <w:shd w:val="clear" w:color="auto" w:fill="FFFFFF"/>
        </w:rPr>
        <w:fldChar w:fldCharType="end"/>
      </w:r>
      <w:r>
        <w:rPr>
          <w:rFonts w:ascii="宋体" w:hAnsi="宋体"/>
          <w:color w:val="000000"/>
          <w:kern w:val="0"/>
          <w:shd w:val="clear" w:color="auto" w:fill="FFFFFF"/>
        </w:rPr>
        <w:t>，熟悉动作要领。</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教员首先检查骨干，尔后利用骨干逐个检查纠正，并与骨干研究</w:t>
      </w:r>
      <w:r>
        <w:fldChar w:fldCharType="begin"/>
      </w:r>
      <w:r>
        <w:instrText xml:space="preserve"> HYPERLINK "http://tuozhanxunlian.unjs.com/" </w:instrText>
      </w:r>
      <w:r>
        <w:fldChar w:fldCharType="separate"/>
      </w:r>
      <w:r>
        <w:rPr>
          <w:rStyle w:val="65"/>
          <w:rFonts w:ascii="宋体" w:hAnsi="宋体"/>
          <w:color w:val="000000"/>
          <w:shd w:val="clear" w:color="auto" w:fill="FFFFFF"/>
        </w:rPr>
        <w:t>训练</w:t>
      </w:r>
      <w:r>
        <w:rPr>
          <w:rStyle w:val="65"/>
          <w:rFonts w:ascii="宋体" w:hAnsi="宋体"/>
          <w:color w:val="000000"/>
          <w:shd w:val="clear" w:color="auto" w:fill="FFFFFF"/>
        </w:rPr>
        <w:fldChar w:fldCharType="end"/>
      </w:r>
      <w:r>
        <w:rPr>
          <w:rFonts w:ascii="宋体" w:hAnsi="宋体"/>
          <w:color w:val="000000"/>
          <w:kern w:val="0"/>
          <w:shd w:val="clear" w:color="auto" w:fill="FFFFFF"/>
        </w:rPr>
        <w:t>中的难点</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动作要领归纳：一稳、二紧、三实</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稳</w:t>
      </w:r>
      <w:r>
        <w:rPr>
          <w:color w:val="000000"/>
          <w:kern w:val="0"/>
          <w:shd w:val="clear" w:color="auto" w:fill="FFFFFF"/>
        </w:rPr>
        <w:t>--</w:t>
      </w:r>
      <w:r>
        <w:rPr>
          <w:rFonts w:ascii="宋体" w:hAnsi="宋体"/>
          <w:color w:val="000000"/>
          <w:kern w:val="0"/>
          <w:shd w:val="clear" w:color="auto" w:fill="FFFFFF"/>
        </w:rPr>
        <w:t>两肘撑地要稳</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紧</w:t>
      </w:r>
      <w:r>
        <w:rPr>
          <w:color w:val="000000"/>
          <w:kern w:val="0"/>
          <w:shd w:val="clear" w:color="auto" w:fill="FFFFFF"/>
        </w:rPr>
        <w:t>--</w:t>
      </w:r>
      <w:r>
        <w:rPr>
          <w:rFonts w:ascii="宋体" w:hAnsi="宋体"/>
          <w:color w:val="000000"/>
          <w:kern w:val="0"/>
          <w:shd w:val="clear" w:color="auto" w:fill="FFFFFF"/>
        </w:rPr>
        <w:t>腹部贴地要紧</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实</w:t>
      </w:r>
      <w:r>
        <w:rPr>
          <w:color w:val="000000"/>
          <w:kern w:val="0"/>
          <w:shd w:val="clear" w:color="auto" w:fill="FFFFFF"/>
        </w:rPr>
        <w:t>--</w:t>
      </w:r>
      <w:r>
        <w:rPr>
          <w:rFonts w:ascii="宋体" w:hAnsi="宋体"/>
          <w:color w:val="000000"/>
          <w:kern w:val="0"/>
          <w:shd w:val="clear" w:color="auto" w:fill="FFFFFF"/>
        </w:rPr>
        <w:t>枪托抵肩要确实。</w:t>
      </w:r>
      <w:r>
        <w:rPr>
          <w:color w:val="000000"/>
          <w:kern w:val="0"/>
          <w:shd w:val="clear" w:color="auto" w:fill="FFFFFF"/>
        </w:rPr>
        <w:br w:type="textWrapping"/>
      </w:r>
      <w:r>
        <w:rPr>
          <w:rFonts w:hint="eastAsia"/>
          <w:color w:val="000000"/>
          <w:kern w:val="0"/>
          <w:shd w:val="clear" w:color="auto" w:fill="FFFFFF"/>
        </w:rPr>
        <w:tab/>
      </w:r>
      <w:r>
        <w:rPr>
          <w:rFonts w:hint="eastAsia"/>
          <w:color w:val="000000"/>
          <w:kern w:val="0"/>
          <w:shd w:val="clear" w:color="auto" w:fill="FFFFFF"/>
        </w:rPr>
        <w:t>③</w:t>
      </w:r>
      <w:r>
        <w:rPr>
          <w:rFonts w:ascii="宋体" w:hAnsi="宋体"/>
          <w:color w:val="000000"/>
          <w:kern w:val="0"/>
          <w:shd w:val="clear" w:color="auto" w:fill="FFFFFF"/>
        </w:rPr>
        <w:t>分组练习。</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可将一个班分成几个组展开练习，教员逐组检查。检查方法可归纳为五个字：看、摸、推、拉、问。</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看</w:t>
      </w:r>
      <w:r>
        <w:rPr>
          <w:color w:val="000000"/>
          <w:kern w:val="0"/>
          <w:shd w:val="clear" w:color="auto" w:fill="FFFFFF"/>
        </w:rPr>
        <w:t>--</w:t>
      </w:r>
      <w:r>
        <w:rPr>
          <w:rFonts w:ascii="宋体" w:hAnsi="宋体"/>
          <w:color w:val="000000"/>
          <w:kern w:val="0"/>
          <w:shd w:val="clear" w:color="auto" w:fill="FFFFFF"/>
        </w:rPr>
        <w:t>射手外观姿势是否与枪身略成一线</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摸</w:t>
      </w:r>
      <w:r>
        <w:rPr>
          <w:color w:val="000000"/>
          <w:kern w:val="0"/>
          <w:shd w:val="clear" w:color="auto" w:fill="FFFFFF"/>
        </w:rPr>
        <w:t>--</w:t>
      </w:r>
      <w:r>
        <w:rPr>
          <w:rFonts w:ascii="宋体" w:hAnsi="宋体"/>
          <w:color w:val="000000"/>
          <w:kern w:val="0"/>
          <w:shd w:val="clear" w:color="auto" w:fill="FFFFFF"/>
        </w:rPr>
        <w:t>摸腹部与地面是否贴紧，抵肩是否正确</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推</w:t>
      </w:r>
      <w:r>
        <w:rPr>
          <w:color w:val="000000"/>
          <w:kern w:val="0"/>
          <w:shd w:val="clear" w:color="auto" w:fill="FFFFFF"/>
        </w:rPr>
        <w:t>--</w:t>
      </w:r>
      <w:r>
        <w:rPr>
          <w:rFonts w:ascii="宋体" w:hAnsi="宋体"/>
          <w:color w:val="000000"/>
          <w:kern w:val="0"/>
          <w:shd w:val="clear" w:color="auto" w:fill="FFFFFF"/>
        </w:rPr>
        <w:t>右手拇指轻推准星座，看枪与身体是否结合一体</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拉</w:t>
      </w:r>
      <w:r>
        <w:rPr>
          <w:color w:val="000000"/>
          <w:kern w:val="0"/>
          <w:shd w:val="clear" w:color="auto" w:fill="FFFFFF"/>
        </w:rPr>
        <w:t>--</w:t>
      </w:r>
      <w:r>
        <w:rPr>
          <w:rFonts w:ascii="宋体" w:hAnsi="宋体"/>
          <w:color w:val="000000"/>
          <w:kern w:val="0"/>
          <w:shd w:val="clear" w:color="auto" w:fill="FFFFFF"/>
        </w:rPr>
        <w:t>拉枪机看操作是否稳固</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问</w:t>
      </w:r>
      <w:r>
        <w:rPr>
          <w:color w:val="000000"/>
          <w:kern w:val="0"/>
          <w:shd w:val="clear" w:color="auto" w:fill="FFFFFF"/>
        </w:rPr>
        <w:t>--</w:t>
      </w:r>
      <w:r>
        <w:rPr>
          <w:rFonts w:ascii="宋体" w:hAnsi="宋体"/>
          <w:color w:val="000000"/>
          <w:kern w:val="0"/>
          <w:shd w:val="clear" w:color="auto" w:fill="FFFFFF"/>
        </w:rPr>
        <w:t>问射手操枪后各部位的感觉。</w:t>
      </w:r>
      <w:r>
        <w:rPr>
          <w:color w:val="000000"/>
          <w:kern w:val="0"/>
          <w:shd w:val="clear" w:color="auto" w:fill="FFFFFF"/>
        </w:rPr>
        <w:br w:type="textWrapping"/>
      </w:r>
      <w:r>
        <w:rPr>
          <w:rFonts w:hint="eastAsia"/>
          <w:color w:val="000000"/>
          <w:kern w:val="0"/>
          <w:shd w:val="clear" w:color="auto" w:fill="FFFFFF"/>
        </w:rPr>
        <w:tab/>
      </w:r>
      <w:r>
        <w:rPr>
          <w:rFonts w:hint="eastAsia"/>
          <w:color w:val="000000"/>
          <w:kern w:val="0"/>
          <w:shd w:val="clear" w:color="auto" w:fill="FFFFFF"/>
        </w:rPr>
        <w:t>④</w:t>
      </w:r>
      <w:r>
        <w:rPr>
          <w:rFonts w:ascii="宋体" w:hAnsi="宋体"/>
          <w:color w:val="000000"/>
          <w:kern w:val="0"/>
          <w:shd w:val="clear" w:color="auto" w:fill="FFFFFF"/>
        </w:rPr>
        <w:t>重点辅导。</w:t>
      </w:r>
      <w:r>
        <w:rPr>
          <w:color w:val="000000"/>
          <w:kern w:val="0"/>
          <w:shd w:val="clear" w:color="auto" w:fill="FFFFFF"/>
        </w:rPr>
        <w:br w:type="textWrapping"/>
      </w:r>
      <w:r>
        <w:rPr>
          <w:rFonts w:hint="eastAsia"/>
          <w:color w:val="000000"/>
          <w:kern w:val="0"/>
          <w:shd w:val="clear" w:color="auto" w:fill="FFFFFF"/>
        </w:rPr>
        <w:tab/>
      </w:r>
      <w:r>
        <w:rPr>
          <w:rFonts w:hint="eastAsia" w:ascii="宋体" w:hAnsi="宋体"/>
          <w:color w:val="000000"/>
          <w:kern w:val="0"/>
          <w:shd w:val="clear" w:color="auto" w:fill="FFFFFF"/>
        </w:rPr>
        <w:t>第一步：</w:t>
      </w:r>
      <w:r>
        <w:rPr>
          <w:rFonts w:ascii="宋体" w:hAnsi="宋体"/>
          <w:color w:val="000000"/>
          <w:kern w:val="0"/>
          <w:shd w:val="clear" w:color="auto" w:fill="FFFFFF"/>
        </w:rPr>
        <w:t>对掌握动作要领较差的学员，集中由教员或指定骨干进行重点纠正和辅导。</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第二步：瞄准、击发练习；</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(1)</w:t>
      </w:r>
      <w:r>
        <w:rPr>
          <w:rFonts w:ascii="宋体" w:hAnsi="宋体"/>
          <w:color w:val="000000"/>
          <w:kern w:val="0"/>
          <w:shd w:val="clear" w:color="auto" w:fill="FFFFFF"/>
        </w:rPr>
        <w:t>复习理论。对射击学理和瞄准课所学基础知识进行复习，启发学员更好地运用</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(2)</w:t>
      </w:r>
      <w:r>
        <w:rPr>
          <w:rFonts w:ascii="宋体" w:hAnsi="宋体"/>
          <w:color w:val="000000"/>
          <w:kern w:val="0"/>
          <w:shd w:val="clear" w:color="auto" w:fill="FFFFFF"/>
        </w:rPr>
        <w:t>互相检查练习：让掌握要领好的谈体会，做示范并进行以好带差，互帮互学</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(3)</w:t>
      </w:r>
      <w:r>
        <w:rPr>
          <w:rFonts w:ascii="宋体" w:hAnsi="宋体"/>
          <w:color w:val="000000"/>
          <w:kern w:val="0"/>
          <w:shd w:val="clear" w:color="auto" w:fill="FFFFFF"/>
        </w:rPr>
        <w:t>要领归纳：</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瞄向目标别着急，心平气和收视力；</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认真检查平和正，停止呼吸压到底。</w:t>
      </w:r>
      <w:r>
        <w:rPr>
          <w:color w:val="000000"/>
          <w:kern w:val="0"/>
          <w:shd w:val="clear" w:color="auto" w:fill="FFFFFF"/>
        </w:rPr>
        <w:br w:type="textWrapping"/>
      </w:r>
      <w:r>
        <w:rPr>
          <w:rFonts w:hint="eastAsia"/>
          <w:color w:val="000000"/>
          <w:kern w:val="0"/>
          <w:shd w:val="clear" w:color="auto" w:fill="FFFFFF"/>
        </w:rPr>
        <w:tab/>
      </w:r>
      <w:r>
        <w:rPr>
          <w:rFonts w:ascii="宋体" w:hAnsi="宋体"/>
          <w:color w:val="000000"/>
          <w:kern w:val="0"/>
          <w:shd w:val="clear" w:color="auto" w:fill="FFFFFF"/>
        </w:rPr>
        <w:t>第三步：综合练习。</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(1)</w:t>
      </w:r>
      <w:r>
        <w:rPr>
          <w:rFonts w:ascii="宋体" w:hAnsi="宋体"/>
          <w:color w:val="000000"/>
          <w:kern w:val="0"/>
          <w:shd w:val="clear" w:color="auto" w:fill="FFFFFF"/>
        </w:rPr>
        <w:t>增加难度练习。为解决实弹射击时的心理素质对射击的影响，可采取跑、跳后进行据、瞄、击练习，使学员逐步消除心理因素对射击带来的影响</w:t>
      </w:r>
      <w:r>
        <w:rPr>
          <w:rFonts w:hint="eastAsia" w:ascii="宋体" w:hAnsi="宋体"/>
          <w:color w:val="000000"/>
          <w:kern w:val="0"/>
          <w:shd w:val="clear" w:color="auto" w:fill="FFFFFF"/>
        </w:rPr>
        <w:t>；</w:t>
      </w:r>
      <w:r>
        <w:rPr>
          <w:color w:val="000000"/>
          <w:kern w:val="0"/>
          <w:shd w:val="clear" w:color="auto" w:fill="FFFFFF"/>
        </w:rPr>
        <w:br w:type="textWrapping"/>
      </w:r>
      <w:r>
        <w:rPr>
          <w:rFonts w:hint="eastAsia"/>
          <w:color w:val="000000"/>
          <w:kern w:val="0"/>
          <w:shd w:val="clear" w:color="auto" w:fill="FFFFFF"/>
        </w:rPr>
        <w:tab/>
      </w:r>
      <w:r>
        <w:rPr>
          <w:color w:val="000000"/>
          <w:kern w:val="0"/>
          <w:shd w:val="clear" w:color="auto" w:fill="FFFFFF"/>
        </w:rPr>
        <w:t>(2)</w:t>
      </w:r>
      <w:r>
        <w:rPr>
          <w:rFonts w:ascii="宋体" w:hAnsi="宋体"/>
          <w:color w:val="000000"/>
          <w:kern w:val="0"/>
          <w:shd w:val="clear" w:color="auto" w:fill="FFFFFF"/>
        </w:rPr>
        <w:t>开展评比竞赛，检查训练效果。</w:t>
      </w:r>
      <w:r>
        <w:rPr>
          <w:color w:val="000000"/>
          <w:kern w:val="0"/>
          <w:shd w:val="clear" w:color="auto" w:fill="FFFFFF"/>
        </w:rPr>
        <w:br w:type="textWrapping"/>
      </w:r>
      <w:r>
        <w:rPr>
          <w:rFonts w:hint="eastAsia"/>
          <w:color w:val="000000"/>
          <w:kern w:val="0"/>
          <w:shd w:val="clear" w:color="auto" w:fill="FFFFFF"/>
        </w:rPr>
        <w:tab/>
      </w:r>
      <w:r>
        <w:rPr>
          <w:rFonts w:hint="eastAsia"/>
          <w:color w:val="000000"/>
          <w:kern w:val="0"/>
          <w:shd w:val="clear" w:color="auto" w:fill="FFFFFF"/>
        </w:rPr>
        <w:t>(</w:t>
      </w:r>
      <w:r>
        <w:rPr>
          <w:rFonts w:eastAsia="黑体"/>
          <w:color w:val="000000"/>
          <w:kern w:val="0"/>
          <w:shd w:val="clear" w:color="auto" w:fill="FFFFFF"/>
        </w:rPr>
        <w:t>3</w:t>
      </w:r>
      <w:r>
        <w:rPr>
          <w:rFonts w:hint="eastAsia" w:ascii="黑体" w:hAnsi="黑体" w:eastAsia="黑体"/>
          <w:color w:val="000000"/>
          <w:kern w:val="0"/>
          <w:shd w:val="clear" w:color="auto" w:fill="FFFFFF"/>
        </w:rPr>
        <w:t>）</w:t>
      </w:r>
      <w:r>
        <w:rPr>
          <w:rFonts w:hint="eastAsia" w:ascii="宋体" w:hAnsi="宋体"/>
          <w:color w:val="000000"/>
          <w:kern w:val="0"/>
          <w:shd w:val="clear" w:color="auto" w:fill="FFFFFF"/>
        </w:rPr>
        <w:t>检查验收</w:t>
      </w:r>
    </w:p>
    <w:p>
      <w:pPr>
        <w:autoSpaceDE w:val="0"/>
        <w:spacing w:line="360" w:lineRule="auto"/>
        <w:ind w:firstLine="420"/>
      </w:pPr>
      <w:r>
        <w:rPr>
          <w:rFonts w:hint="eastAsia" w:ascii="宋体" w:hAnsi="宋体"/>
        </w:rPr>
        <w:t>本章节内容支撑课程目标</w:t>
      </w:r>
      <w:r>
        <w:rPr>
          <w:rFonts w:hint="eastAsia"/>
        </w:rPr>
        <w:t>2</w:t>
      </w:r>
      <w:r>
        <w:rPr>
          <w:rFonts w:hint="eastAsia" w:ascii="宋体" w:hAnsi="宋体"/>
        </w:rPr>
        <w:t>。</w:t>
      </w:r>
    </w:p>
    <w:p>
      <w:pPr>
        <w:autoSpaceDE w:val="0"/>
        <w:spacing w:line="360" w:lineRule="auto"/>
        <w:ind w:firstLine="420"/>
        <w:rPr>
          <w:rFonts w:eastAsia="黑体"/>
        </w:rPr>
      </w:pPr>
      <w:r>
        <w:rPr>
          <w:rFonts w:ascii="黑体" w:hAnsi="黑体" w:eastAsia="黑体"/>
        </w:rPr>
        <w:t>第</w:t>
      </w:r>
      <w:r>
        <w:rPr>
          <w:rFonts w:hint="eastAsia" w:ascii="黑体" w:hAnsi="黑体" w:eastAsia="黑体"/>
        </w:rPr>
        <w:t>三</w:t>
      </w:r>
      <w:r>
        <w:rPr>
          <w:rFonts w:ascii="黑体" w:hAnsi="黑体" w:eastAsia="黑体"/>
        </w:rPr>
        <w:t>章</w:t>
      </w:r>
      <w:r>
        <w:rPr>
          <w:rFonts w:hint="eastAsia" w:eastAsia="黑体"/>
        </w:rPr>
        <w:t xml:space="preserve"> </w:t>
      </w:r>
      <w:r>
        <w:rPr>
          <w:rFonts w:ascii="黑体" w:hAnsi="黑体" w:eastAsia="黑体"/>
        </w:rPr>
        <w:t>单兵战术动作</w:t>
      </w:r>
      <w:r>
        <w:rPr>
          <w:rFonts w:hint="eastAsia" w:ascii="黑体" w:hAnsi="黑体" w:eastAsia="黑体" w:cs="宋体"/>
          <w:kern w:val="0"/>
        </w:rPr>
        <w:t>（</w:t>
      </w:r>
      <w:r>
        <w:rPr>
          <w:rFonts w:hint="eastAsia" w:ascii="黑体" w:hAnsi="宋体" w:eastAsia="黑体" w:cs="宋体"/>
          <w:kern w:val="0"/>
        </w:rPr>
        <w:t>7</w:t>
      </w:r>
      <w:r>
        <w:rPr>
          <w:rFonts w:hint="eastAsia" w:ascii="黑体" w:hAnsi="黑体" w:eastAsia="黑体" w:cs="宋体"/>
          <w:kern w:val="0"/>
        </w:rPr>
        <w:t>学时）</w:t>
      </w:r>
    </w:p>
    <w:p>
      <w:pPr>
        <w:autoSpaceDE w:val="0"/>
        <w:spacing w:line="360" w:lineRule="auto"/>
        <w:ind w:left="420" w:leftChars="200"/>
        <w:rPr>
          <w:color w:val="333333"/>
          <w:shd w:val="clear" w:color="auto" w:fill="FFFFFF"/>
        </w:rPr>
      </w:pPr>
      <w:r>
        <w:rPr>
          <w:rFonts w:hint="eastAsia" w:eastAsia="黑体"/>
        </w:rPr>
        <w:t>1</w:t>
      </w:r>
      <w:r>
        <w:rPr>
          <w:rFonts w:hint="eastAsia" w:ascii="黑体" w:hAnsi="黑体" w:eastAsia="黑体"/>
        </w:rPr>
        <w:t>、</w:t>
      </w:r>
      <w:r>
        <w:rPr>
          <w:rFonts w:ascii="黑体" w:hAnsi="黑体" w:eastAsia="黑体"/>
        </w:rPr>
        <w:t>内容</w:t>
      </w:r>
      <w:r>
        <w:rPr>
          <w:rFonts w:hint="eastAsia" w:eastAsia="黑体"/>
        </w:rPr>
        <w:t xml:space="preserve"> 1</w:t>
      </w:r>
      <w:r>
        <w:rPr>
          <w:rFonts w:hint="eastAsia" w:ascii="宋体" w:hAnsi="宋体"/>
        </w:rPr>
        <w:t>）</w:t>
      </w:r>
      <w:r>
        <w:rPr>
          <w:rFonts w:ascii="宋体" w:hAnsi="宋体"/>
          <w:color w:val="333333"/>
          <w:shd w:val="clear" w:color="auto" w:fill="FFFFFF"/>
        </w:rPr>
        <w:t>利用地形</w:t>
      </w:r>
    </w:p>
    <w:p>
      <w:pPr>
        <w:autoSpaceDE w:val="0"/>
        <w:spacing w:line="360" w:lineRule="auto"/>
        <w:ind w:left="420" w:leftChars="200"/>
        <w:rPr>
          <w:color w:val="333333"/>
          <w:shd w:val="clear" w:color="auto" w:fill="FFFFFF"/>
        </w:rPr>
      </w:pPr>
      <w:r>
        <w:rPr>
          <w:color w:val="333333"/>
          <w:shd w:val="clear" w:color="auto" w:fill="FFFFFF"/>
        </w:rPr>
        <w:t xml:space="preserve">      </w:t>
      </w:r>
      <w:r>
        <w:rPr>
          <w:rFonts w:hint="eastAsia"/>
          <w:color w:val="333333"/>
          <w:shd w:val="clear" w:color="auto" w:fill="FFFFFF"/>
        </w:rPr>
        <w:t xml:space="preserve">  2</w:t>
      </w:r>
      <w:r>
        <w:rPr>
          <w:rFonts w:hint="eastAsia" w:ascii="宋体" w:hAnsi="宋体"/>
          <w:color w:val="333333"/>
          <w:shd w:val="clear" w:color="auto" w:fill="FFFFFF"/>
        </w:rPr>
        <w:t>）</w:t>
      </w:r>
      <w:r>
        <w:rPr>
          <w:rFonts w:ascii="宋体" w:hAnsi="宋体"/>
          <w:color w:val="333333"/>
          <w:shd w:val="clear" w:color="auto" w:fill="FFFFFF"/>
        </w:rPr>
        <w:t>敌火下运动</w:t>
      </w:r>
    </w:p>
    <w:p>
      <w:pPr>
        <w:autoSpaceDE w:val="0"/>
        <w:spacing w:line="360" w:lineRule="auto"/>
        <w:ind w:left="420" w:leftChars="200"/>
        <w:rPr>
          <w:color w:val="333333"/>
          <w:shd w:val="clear" w:color="auto" w:fill="FFFFFF"/>
        </w:rPr>
      </w:pPr>
      <w:r>
        <w:rPr>
          <w:rFonts w:hint="eastAsia" w:eastAsia="黑体"/>
        </w:rPr>
        <w:t>2</w:t>
      </w:r>
      <w:r>
        <w:rPr>
          <w:rFonts w:hint="eastAsia" w:ascii="黑体" w:hAnsi="黑体" w:eastAsia="黑体"/>
        </w:rPr>
        <w:t>、方法</w:t>
      </w:r>
      <w:r>
        <w:rPr>
          <w:rFonts w:hint="eastAsia"/>
        </w:rPr>
        <w:t xml:space="preserve">  </w:t>
      </w:r>
      <w:r>
        <w:rPr>
          <w:rFonts w:ascii="宋体" w:hAnsi="宋体"/>
        </w:rPr>
        <w:t>自我感受</w:t>
      </w:r>
      <w:r>
        <w:rPr>
          <w:rFonts w:hint="eastAsia" w:ascii="宋体" w:hAnsi="宋体"/>
        </w:rPr>
        <w:t>、</w:t>
      </w:r>
      <w:r>
        <w:rPr>
          <w:rFonts w:ascii="宋体" w:hAnsi="宋体"/>
        </w:rPr>
        <w:t>交流体会</w:t>
      </w:r>
      <w:r>
        <w:rPr>
          <w:rFonts w:hint="eastAsia" w:ascii="宋体" w:hAnsi="宋体"/>
        </w:rPr>
        <w:t>、</w:t>
      </w:r>
      <w:r>
        <w:rPr>
          <w:rFonts w:ascii="宋体" w:hAnsi="宋体"/>
        </w:rPr>
        <w:t>归纳示范</w:t>
      </w:r>
      <w:r>
        <w:rPr>
          <w:rFonts w:hint="eastAsia" w:ascii="宋体" w:hAnsi="宋体"/>
        </w:rPr>
        <w:t>、</w:t>
      </w:r>
      <w:r>
        <w:rPr>
          <w:rFonts w:ascii="宋体" w:hAnsi="宋体"/>
        </w:rPr>
        <w:t>组织练习</w:t>
      </w:r>
      <w:r>
        <w:rPr>
          <w:rFonts w:hint="eastAsia" w:ascii="宋体" w:hAnsi="宋体"/>
        </w:rPr>
        <w:t>、</w:t>
      </w:r>
      <w:r>
        <w:rPr>
          <w:rFonts w:ascii="宋体" w:hAnsi="宋体"/>
        </w:rPr>
        <w:t>小结讲评。</w:t>
      </w:r>
    </w:p>
    <w:p>
      <w:pPr>
        <w:autoSpaceDE w:val="0"/>
        <w:spacing w:line="360" w:lineRule="auto"/>
        <w:ind w:left="420" w:leftChars="200"/>
      </w:pPr>
      <w:r>
        <w:rPr>
          <w:rFonts w:eastAsia="黑体"/>
        </w:rPr>
        <w:t>3</w:t>
      </w:r>
      <w:r>
        <w:rPr>
          <w:rFonts w:hint="eastAsia" w:ascii="黑体" w:hAnsi="黑体" w:eastAsia="黑体"/>
        </w:rPr>
        <w:t>、理论提示</w:t>
      </w:r>
      <w:r>
        <w:t></w:t>
      </w:r>
    </w:p>
    <w:p>
      <w:pPr>
        <w:autoSpaceDE w:val="0"/>
        <w:spacing w:line="360" w:lineRule="auto"/>
        <w:rPr>
          <w:rFonts w:ascii="宋体" w:hAnsi="宋体"/>
        </w:rPr>
      </w:pPr>
      <w:r>
        <w:rPr>
          <w:rFonts w:hint="eastAsia" w:ascii="宋体" w:hAnsi="宋体"/>
        </w:rPr>
        <w:tab/>
      </w:r>
      <w:r>
        <w:rPr>
          <w:rFonts w:hint="eastAsia" w:ascii="宋体" w:hAnsi="宋体"/>
        </w:rPr>
        <w:t>同学们，现代条件下的局部战争中，高新技术武器装备大量投入战场，未来作战没有严格的前沿和纵深之分。战斗基本上是双方的全纵深同时展开，不管是山地战斗、平原作战还是近海登陆作战，都涉及到实兵。对实兵的战术动作提出了很高的要求。因此，在未来战场上我们只有灵活巧妙地采用各种运动姿势，充分隐蔽企图是消灭敌人，保存自己的基础和前提，而战术动作又是在战场上最常用的运动姿势。</w:t>
      </w:r>
    </w:p>
    <w:p>
      <w:pPr>
        <w:autoSpaceDE w:val="0"/>
        <w:spacing w:line="360" w:lineRule="auto"/>
        <w:rPr>
          <w:rFonts w:ascii="宋体" w:hAnsi="宋体"/>
        </w:rPr>
      </w:pPr>
      <w:r>
        <w:rPr>
          <w:rFonts w:hint="eastAsia" w:ascii="宋体" w:hAnsi="宋体"/>
          <w:color w:val="333333"/>
          <w:shd w:val="clear" w:color="auto" w:fill="FFFFFF"/>
        </w:rPr>
        <w:tab/>
      </w:r>
      <w:r>
        <w:rPr>
          <w:rFonts w:hint="eastAsia" w:ascii="宋体" w:hAnsi="宋体"/>
          <w:color w:val="333333"/>
          <w:shd w:val="clear" w:color="auto" w:fill="FFFFFF"/>
        </w:rPr>
        <w:t>单兵通常在班（组）内行动，主要任务是以手中武器和爆破器材，打、炸敌坦克、战斗车，消灭敌步兵。在战斗中，单兵必须发扬优良的战斗作风，巧妙地利用地形，以灵活机动的战斗动作，坚决完成战斗任务。</w:t>
      </w:r>
    </w:p>
    <w:p>
      <w:pPr>
        <w:pStyle w:val="19"/>
        <w:shd w:val="clear" w:color="auto" w:fill="FFFFFF"/>
        <w:autoSpaceDE w:val="0"/>
        <w:spacing w:before="0" w:beforeAutospacing="0" w:after="0" w:afterAutospacing="0" w:line="360" w:lineRule="auto"/>
        <w:ind w:left="420" w:leftChars="200"/>
        <w:rPr>
          <w:rFonts w:eastAsia="黑体"/>
          <w:color w:val="333333"/>
          <w:sz w:val="21"/>
          <w:szCs w:val="21"/>
          <w:shd w:val="clear" w:color="auto" w:fill="FFFFFF"/>
        </w:rPr>
      </w:pPr>
      <w:r>
        <w:rPr>
          <w:rFonts w:hint="eastAsia" w:eastAsia="黑体"/>
          <w:color w:val="333333"/>
          <w:sz w:val="21"/>
          <w:szCs w:val="21"/>
          <w:shd w:val="clear" w:color="auto" w:fill="FFFFFF"/>
        </w:rPr>
        <w:t>4</w:t>
      </w:r>
      <w:r>
        <w:rPr>
          <w:rFonts w:hint="eastAsia" w:ascii="黑体" w:hAnsi="黑体" w:eastAsia="黑体"/>
        </w:rPr>
        <w:t>、</w:t>
      </w:r>
      <w:r>
        <w:rPr>
          <w:rFonts w:hint="eastAsia" w:ascii="黑体" w:hAnsi="黑体" w:eastAsia="黑体"/>
          <w:color w:val="333333"/>
          <w:sz w:val="21"/>
          <w:szCs w:val="21"/>
          <w:shd w:val="clear" w:color="auto" w:fill="FFFFFF"/>
        </w:rPr>
        <w:t>教学实施</w:t>
      </w:r>
    </w:p>
    <w:p>
      <w:pPr>
        <w:pStyle w:val="19"/>
        <w:shd w:val="clear" w:color="auto" w:fill="FFFFFF"/>
        <w:autoSpaceDE w:val="0"/>
        <w:spacing w:before="0" w:beforeAutospacing="0" w:after="0" w:afterAutospacing="0" w:line="360" w:lineRule="auto"/>
        <w:ind w:left="420" w:leftChars="200"/>
        <w:rPr>
          <w:color w:val="333333"/>
          <w:sz w:val="21"/>
          <w:szCs w:val="21"/>
          <w:shd w:val="clear" w:color="auto" w:fill="FFFFFF"/>
        </w:rPr>
      </w:pPr>
      <w:r>
        <w:rPr>
          <w:rFonts w:hint="eastAsia" w:eastAsia="黑体"/>
          <w:color w:val="333333"/>
          <w:sz w:val="21"/>
          <w:szCs w:val="21"/>
          <w:shd w:val="clear" w:color="auto" w:fill="FFFFFF"/>
        </w:rPr>
        <w:t>1</w:t>
      </w:r>
      <w:r>
        <w:rPr>
          <w:rFonts w:hint="eastAsia" w:ascii="黑体" w:hAnsi="黑体" w:eastAsia="黑体"/>
          <w:color w:val="333333"/>
          <w:sz w:val="21"/>
          <w:szCs w:val="21"/>
          <w:shd w:val="clear" w:color="auto" w:fill="FFFFFF"/>
        </w:rPr>
        <w:t>）利用地形</w:t>
      </w:r>
    </w:p>
    <w:p>
      <w:pPr>
        <w:pStyle w:val="19"/>
        <w:shd w:val="clear" w:color="auto" w:fill="FFFFFF"/>
        <w:autoSpaceDE w:val="0"/>
        <w:spacing w:before="0" w:beforeAutospacing="0" w:after="0" w:afterAutospacing="0" w:line="360" w:lineRule="auto"/>
        <w:ind w:firstLine="420" w:firstLineChars="200"/>
        <w:rPr>
          <w:color w:val="333333"/>
          <w:sz w:val="21"/>
          <w:szCs w:val="21"/>
          <w:shd w:val="clear" w:color="auto" w:fill="FFFFFF"/>
        </w:rPr>
      </w:pPr>
      <w:r>
        <w:rPr>
          <w:rFonts w:hint="eastAsia"/>
          <w:color w:val="333333"/>
          <w:sz w:val="21"/>
          <w:szCs w:val="21"/>
          <w:shd w:val="clear" w:color="auto" w:fill="FFFFFF"/>
        </w:rPr>
        <w:t>利用地形的目的在于隐蔽身体，发扬火力。利用地形时，就做到“三便于、三不要、一避开”。“三便于”：即便于观察和射击，便于隐蔽身体，便于接近、利用和变换位置；“三不要”：即不要妨碍班（组）长的指挥、邻兵火器的射击，不要几个人拥护在一起，以免接连大伤亡，不要在一地停留过久；“一避开”：即昼避开独立、明显、易燃、易倒塌的物体和难以通行的地段。利用地形时，应根据敌情和遮蔽物的高低取适当姿势，迅速隐蔽地接近，由下而上地占领，周密细致地观察，不失时机地出木仓。下面介绍一下对几种觉地形的利用方法。</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（1）</w:t>
      </w:r>
      <w:r>
        <w:rPr>
          <w:rFonts w:hint="eastAsia"/>
          <w:color w:val="000000"/>
          <w:shd w:val="clear" w:color="auto" w:fill="FFFFFF"/>
        </w:rPr>
        <w:t>、</w:t>
      </w:r>
      <w:r>
        <w:rPr>
          <w:rFonts w:hint="eastAsia"/>
          <w:color w:val="333333"/>
          <w:sz w:val="21"/>
          <w:szCs w:val="21"/>
          <w:shd w:val="clear" w:color="auto" w:fill="FFFFFF"/>
        </w:rPr>
        <w:t>对坎的利用。坎有纵向、横向和高低之分。横向坎要利用背敌面隐蔽身体，纵向坎要利用弯曲部、残缺部或顶端的一侧隐蔽身体，以其上沿做射击依托。对土坎最好利用残缺部，对堤坎昼利用凹陷部。根据坎的高度可取立、跪、卧等姿势。  接近坎时，通常应采用跃进的方法。当进至坎的最大遮蔽界后，迅速卧倒，再匍匐至坎的底部，视情况可左右移动，选择好利用的部位。占领时，应由下而上地占领，隐蔽地观察，需要射击时，应迅速出木仓。占领后，应不断观察战场，选择好前进的路线和暂停的位置。转移时，迅速收木仓缩体，视情况可采取左右移动、扬土、施放烟幕等方法欺骗、迷惑敌人，突然跃起（出）前进。当敌火力被我压制时，可直接跃起（出）前进。</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（2）</w:t>
      </w:r>
      <w:r>
        <w:rPr>
          <w:rFonts w:hint="eastAsia"/>
          <w:color w:val="000000"/>
          <w:shd w:val="clear" w:color="auto" w:fill="FFFFFF"/>
        </w:rPr>
        <w:t>、</w:t>
      </w:r>
      <w:r>
        <w:rPr>
          <w:rFonts w:hint="eastAsia"/>
          <w:color w:val="333333"/>
          <w:sz w:val="21"/>
          <w:szCs w:val="21"/>
          <w:shd w:val="clear" w:color="auto" w:fill="FFFFFF"/>
        </w:rPr>
        <w:t>对土堆的利用。对独立土信通常利用其右侧，视情况也可利用其左侧或顶端。双土堆可以利用其草案部。对空射击时，通常利用其后侧或顶端。接近、占领、转移的动作与利用坎时相类似。</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（3）</w:t>
      </w:r>
      <w:r>
        <w:rPr>
          <w:rFonts w:hint="eastAsia"/>
          <w:color w:val="000000"/>
          <w:shd w:val="clear" w:color="auto" w:fill="FFFFFF"/>
        </w:rPr>
        <w:t>、</w:t>
      </w:r>
      <w:r>
        <w:rPr>
          <w:rFonts w:hint="eastAsia"/>
          <w:color w:val="333333"/>
          <w:sz w:val="21"/>
          <w:szCs w:val="21"/>
          <w:shd w:val="clear" w:color="auto" w:fill="FFFFFF"/>
        </w:rPr>
        <w:t>对坑的利用。对坑通常利用其前切面隐蔽身体，利用其上沿作射击依托，按其深浅、大小、以跳、跨、匍匐等方法进入，取立、跪、卧等姿势射击。跳入通常是在进入较深的坑时采用。其要领是右手持木仓，左手撑坑沿顺势跳入坑内。跨入通常是在进入较浅的坑时采用。其要领是接近至接近至坑沿时，左脚迅速跨入，顺势侧卧于坑内。滚入的要领是卧倒后迅速以滚到坑沿，观察后再进入。转移时，应根据坑的深浅，采取不同的方法，突然跃起前进。</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（4）</w:t>
      </w:r>
      <w:r>
        <w:rPr>
          <w:rFonts w:hint="eastAsia"/>
          <w:color w:val="000000"/>
          <w:shd w:val="clear" w:color="auto" w:fill="FFFFFF"/>
        </w:rPr>
        <w:t>、</w:t>
      </w:r>
      <w:r>
        <w:rPr>
          <w:rFonts w:hint="eastAsia"/>
          <w:color w:val="333333"/>
          <w:sz w:val="21"/>
          <w:szCs w:val="21"/>
          <w:shd w:val="clear" w:color="auto" w:fill="FFFFFF"/>
        </w:rPr>
        <w:t>对壕沟的利用。对壕沟通常利用其壕壁或拐弯处隐蔽身体，利用其上沿或拐角作射击依托。</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（5）</w:t>
      </w:r>
      <w:r>
        <w:rPr>
          <w:rFonts w:hint="eastAsia"/>
          <w:color w:val="000000"/>
          <w:shd w:val="clear" w:color="auto" w:fill="FFFFFF"/>
        </w:rPr>
        <w:t>、</w:t>
      </w:r>
      <w:r>
        <w:rPr>
          <w:rFonts w:hint="eastAsia"/>
          <w:color w:val="333333"/>
          <w:sz w:val="21"/>
          <w:szCs w:val="21"/>
          <w:shd w:val="clear" w:color="auto" w:fill="FFFFFF"/>
        </w:rPr>
        <w:t>对树木的利用。树木通常利用其背敌面隐蔽身体，依其右后侧作射击依托。利用大树时，可取立、跪、卧等姿势；利用小树后，通常采取卧姿。</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（6）</w:t>
      </w:r>
      <w:r>
        <w:rPr>
          <w:rFonts w:hint="eastAsia"/>
          <w:color w:val="000000"/>
          <w:shd w:val="clear" w:color="auto" w:fill="FFFFFF"/>
        </w:rPr>
        <w:t>、</w:t>
      </w:r>
      <w:r>
        <w:rPr>
          <w:rFonts w:hint="eastAsia"/>
          <w:color w:val="333333"/>
          <w:sz w:val="21"/>
          <w:szCs w:val="21"/>
          <w:shd w:val="clear" w:color="auto" w:fill="FFFFFF"/>
        </w:rPr>
        <w:t>对高苗地、丛林地的利用。对高苗地、丛林地通常应尽量利用靠近敌方的边缘内侧，以便观察和射击。接近时，右手持木仓，左手分开高苗侧身前进。</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（7）</w:t>
      </w:r>
      <w:r>
        <w:rPr>
          <w:rFonts w:hint="eastAsia"/>
          <w:color w:val="000000"/>
          <w:shd w:val="clear" w:color="auto" w:fill="FFFFFF"/>
        </w:rPr>
        <w:t>、</w:t>
      </w:r>
      <w:r>
        <w:rPr>
          <w:rFonts w:hint="eastAsia"/>
          <w:color w:val="333333"/>
          <w:sz w:val="21"/>
          <w:szCs w:val="21"/>
          <w:shd w:val="clear" w:color="auto" w:fill="FFFFFF"/>
        </w:rPr>
        <w:t>对墙壁、墙角、门窗的利用。利用墙壁时，根据其高度取适当姿势。对矮墙可利用顶端或残缺部作射击依托。墙高于人体时，可将脚垫高或挖射击孔。转移时，可绕过或跃过。利用墙角时，通常利用其右侧作射击依托。射击时，左小臂外侧紧靠墙角，取适当姿势。利用门时，通常利用其左侧，右臂依靠门框进行射击，利用窗时，通常利用其左下角，也可胜利其左侧下角，也可利用其左侧或下窗框射击。</w:t>
      </w:r>
    </w:p>
    <w:p>
      <w:pPr>
        <w:pStyle w:val="19"/>
        <w:shd w:val="clear" w:color="auto" w:fill="FFFFFF"/>
        <w:autoSpaceDE w:val="0"/>
        <w:spacing w:before="0" w:beforeAutospacing="0" w:after="0" w:afterAutospacing="0" w:line="360" w:lineRule="auto"/>
        <w:rPr>
          <w:rFonts w:ascii="黑体" w:hAnsi="黑体" w:eastAsia="黑体"/>
          <w:color w:val="333333"/>
          <w:sz w:val="21"/>
          <w:szCs w:val="21"/>
          <w:shd w:val="clear" w:color="auto" w:fill="FFFFFF"/>
        </w:rPr>
      </w:pPr>
      <w:r>
        <w:rPr>
          <w:rFonts w:hint="eastAsia" w:eastAsia="黑体"/>
          <w:color w:val="333333"/>
          <w:sz w:val="21"/>
          <w:szCs w:val="21"/>
          <w:shd w:val="clear" w:color="auto" w:fill="FFFFFF"/>
        </w:rPr>
        <w:tab/>
      </w:r>
      <w:r>
        <w:rPr>
          <w:rFonts w:hint="eastAsia" w:eastAsia="黑体"/>
          <w:color w:val="333333"/>
          <w:sz w:val="21"/>
          <w:szCs w:val="21"/>
          <w:shd w:val="clear" w:color="auto" w:fill="FFFFFF"/>
        </w:rPr>
        <w:t>2</w:t>
      </w:r>
      <w:r>
        <w:rPr>
          <w:rFonts w:hint="eastAsia" w:ascii="黑体" w:hAnsi="黑体" w:eastAsia="黑体"/>
          <w:color w:val="333333"/>
          <w:sz w:val="21"/>
          <w:szCs w:val="21"/>
          <w:shd w:val="clear" w:color="auto" w:fill="FFFFFF"/>
        </w:rPr>
        <w:t>）敌火下运动</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单兵通常按班（组）长的口令，利用我火力掩护或敌火减弱、中断、转移的瞬间，迅速隐蔽地前进。有时，也可采取欺骗、迷惑敌人的方法突然前进。单兵在运动前应选择好运动路线和暂停位置；运动中应不断观察敌情、地形、班（组）长的指挥和友瓴的行动，保持前进方向；发现目标后，应按班（组）长的口令或自行射击。下面介绍几种主要的运动姿势和方法。</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（1）</w:t>
      </w:r>
      <w:r>
        <w:rPr>
          <w:rFonts w:hint="eastAsia"/>
          <w:color w:val="000000"/>
          <w:shd w:val="clear" w:color="auto" w:fill="FFFFFF"/>
        </w:rPr>
        <w:t>、</w:t>
      </w:r>
      <w:r>
        <w:rPr>
          <w:rFonts w:hint="eastAsia"/>
          <w:color w:val="333333"/>
          <w:sz w:val="21"/>
          <w:szCs w:val="21"/>
          <w:shd w:val="clear" w:color="auto" w:fill="FFFFFF"/>
        </w:rPr>
        <w:t>直身前进。直微量前进是在地形隐蔽，敌人对我观察不到时采用。通常以大步或快步持枪前进。</w:t>
      </w:r>
    </w:p>
    <w:p>
      <w:pPr>
        <w:pStyle w:val="19"/>
        <w:shd w:val="clear" w:color="auto" w:fill="FFFFFF"/>
        <w:autoSpaceDE w:val="0"/>
        <w:spacing w:before="0" w:beforeAutospacing="0" w:after="0" w:afterAutospacing="0" w:line="360" w:lineRule="auto"/>
        <w:ind w:firstLine="420"/>
        <w:rPr>
          <w:color w:val="333333"/>
          <w:sz w:val="21"/>
          <w:szCs w:val="21"/>
          <w:shd w:val="clear" w:color="auto" w:fill="FFFFFF"/>
        </w:rPr>
      </w:pPr>
      <w:r>
        <w:rPr>
          <w:rFonts w:hint="eastAsia"/>
          <w:color w:val="333333"/>
          <w:sz w:val="21"/>
          <w:szCs w:val="21"/>
          <w:shd w:val="clear" w:color="auto" w:fill="FFFFFF"/>
        </w:rPr>
        <w:t>（2）</w:t>
      </w:r>
      <w:r>
        <w:rPr>
          <w:rFonts w:hint="eastAsia"/>
          <w:color w:val="000000"/>
          <w:shd w:val="clear" w:color="auto" w:fill="FFFFFF"/>
        </w:rPr>
        <w:t>、</w:t>
      </w:r>
      <w:r>
        <w:rPr>
          <w:rFonts w:hint="eastAsia"/>
          <w:color w:val="333333"/>
          <w:sz w:val="21"/>
          <w:szCs w:val="21"/>
          <w:shd w:val="clear" w:color="auto" w:fill="FFFFFF"/>
        </w:rPr>
        <w:t>屈身前进。屈身前进通常是在遮蔽物略低于人体时采用。其要领是：右手持枪，上体前倾，两腿弯曲，屈身程度视遮蔽物高低而定，目视前方，以大步或快步前进。</w:t>
      </w:r>
    </w:p>
    <w:p>
      <w:pPr>
        <w:widowControl/>
        <w:autoSpaceDE w:val="0"/>
        <w:spacing w:line="360" w:lineRule="auto"/>
        <w:ind w:firstLine="420"/>
        <w:jc w:val="left"/>
        <w:rPr>
          <w:color w:val="333333"/>
          <w:szCs w:val="21"/>
          <w:shd w:val="clear" w:color="auto" w:fill="FFFFFF"/>
        </w:rPr>
      </w:pPr>
      <w:r>
        <w:rPr>
          <w:rFonts w:hint="eastAsia" w:ascii="宋体" w:hAnsi="宋体"/>
          <w:color w:val="333333"/>
          <w:shd w:val="clear" w:color="auto" w:fill="FFFFFF"/>
        </w:rPr>
        <w:t>（</w:t>
      </w:r>
      <w:r>
        <w:rPr>
          <w:color w:val="333333"/>
          <w:shd w:val="clear" w:color="auto" w:fill="FFFFFF"/>
        </w:rPr>
        <w:t>3</w:t>
      </w:r>
      <w:r>
        <w:rPr>
          <w:rFonts w:hint="eastAsia" w:ascii="宋体" w:hAnsi="宋体"/>
          <w:color w:val="333333"/>
          <w:shd w:val="clear" w:color="auto" w:fill="FFFFFF"/>
        </w:rPr>
        <w:t>）</w:t>
      </w:r>
      <w:r>
        <w:rPr>
          <w:rFonts w:hint="eastAsia" w:ascii="宋体" w:hAnsi="宋体"/>
          <w:color w:val="000000"/>
          <w:shd w:val="clear" w:color="auto" w:fill="FFFFFF"/>
        </w:rPr>
        <w:t>、</w:t>
      </w:r>
      <w:r>
        <w:rPr>
          <w:rFonts w:ascii="宋体" w:hAnsi="宋体"/>
          <w:color w:val="333333"/>
          <w:shd w:val="clear" w:color="auto" w:fill="FFFFFF"/>
        </w:rPr>
        <w:t>跃进</w:t>
      </w:r>
      <w:r>
        <w:rPr>
          <w:rFonts w:hint="eastAsia" w:ascii="宋体" w:hAnsi="宋体"/>
          <w:color w:val="333333"/>
          <w:shd w:val="clear" w:color="auto" w:fill="FFFFFF"/>
        </w:rPr>
        <w:t>。</w:t>
      </w:r>
      <w:r>
        <w:rPr>
          <w:rFonts w:ascii="宋体" w:hAnsi="宋体"/>
          <w:color w:val="333333"/>
          <w:shd w:val="clear" w:color="auto" w:fill="FFFFFF"/>
        </w:rPr>
        <w:t>跃时是在敌火下迅速通过开阔地时经常采用的运动方法。其要领是：跃进前，可左、右移动（滚动）以迷惑敌人，迅速收木仓，屈左脚于右腿下，右手提木仓，以左手、左膝、左脚的力量将身体撑起，迈出右脚，突然跃起前进。也可在收枪的同时，屈左腿于腹下，以左手、右膝和左小腿的外侧支撑身体，迈出右脚，突然跃起前进。跃进时，右手持枪，目视敌方，屈身快跑。跃进的距离、速度应根据敌火力强弱和地形情况而定。地形越开阔，敌火力越猛烈，跃进的距离应越短，速度应越快。每次跃进的距离通常为</w:t>
      </w:r>
      <w:r>
        <w:rPr>
          <w:color w:val="333333"/>
          <w:shd w:val="clear" w:color="auto" w:fill="FFFFFF"/>
        </w:rPr>
        <w:t>20~40</w:t>
      </w:r>
      <w:r>
        <w:rPr>
          <w:rFonts w:ascii="宋体" w:hAnsi="宋体"/>
          <w:color w:val="333333"/>
          <w:shd w:val="clear" w:color="auto" w:fill="FFFFFF"/>
        </w:rPr>
        <w:t>步。停止时，应迅速隐蔽或卧倒。卧倒时，左脚向前一大步，按左小腿的外侧、左手、左肘的顺势卧倒；或右脚向前一大步，左手撑地迅速卧倒，并做好射击准备或继续前进的准备。</w:t>
      </w:r>
    </w:p>
    <w:p>
      <w:pPr>
        <w:widowControl/>
        <w:autoSpaceDE w:val="0"/>
        <w:spacing w:line="360" w:lineRule="auto"/>
        <w:ind w:firstLine="420"/>
        <w:jc w:val="left"/>
        <w:rPr>
          <w:rFonts w:eastAsia="黑体"/>
          <w:kern w:val="0"/>
        </w:rPr>
      </w:pPr>
      <w:r>
        <w:rPr>
          <w:rFonts w:hint="eastAsia" w:ascii="宋体" w:hAnsi="宋体"/>
        </w:rPr>
        <w:t>本章节内容支撑课程目标</w:t>
      </w:r>
      <w:r>
        <w:rPr>
          <w:rFonts w:hint="eastAsia"/>
        </w:rPr>
        <w:t>3</w:t>
      </w:r>
      <w:r>
        <w:rPr>
          <w:rFonts w:hint="eastAsia" w:ascii="宋体" w:hAnsi="宋体"/>
        </w:rPr>
        <w:t>。</w:t>
      </w:r>
    </w:p>
    <w:p>
      <w:pPr>
        <w:widowControl/>
        <w:autoSpaceDE w:val="0"/>
        <w:spacing w:line="360" w:lineRule="auto"/>
        <w:jc w:val="left"/>
      </w:pPr>
      <w:r>
        <w:rPr>
          <w:rFonts w:hint="eastAsia" w:eastAsia="黑体"/>
        </w:rPr>
        <w:tab/>
      </w:r>
      <w:r>
        <w:rPr>
          <w:rFonts w:ascii="黑体" w:hAnsi="黑体" w:eastAsia="黑体"/>
        </w:rPr>
        <w:t>第</w:t>
      </w:r>
      <w:r>
        <w:rPr>
          <w:rFonts w:hint="eastAsia" w:ascii="黑体" w:hAnsi="黑体" w:eastAsia="黑体"/>
        </w:rPr>
        <w:t>四</w:t>
      </w:r>
      <w:r>
        <w:rPr>
          <w:rFonts w:ascii="黑体" w:hAnsi="黑体" w:eastAsia="黑体"/>
        </w:rPr>
        <w:t>章</w:t>
      </w:r>
      <w:r>
        <w:rPr>
          <w:rFonts w:hint="eastAsia" w:eastAsia="黑体"/>
        </w:rPr>
        <w:t xml:space="preserve"> </w:t>
      </w:r>
      <w:r>
        <w:rPr>
          <w:rFonts w:ascii="黑体" w:hAnsi="黑体" w:eastAsia="黑体"/>
          <w:kern w:val="0"/>
        </w:rPr>
        <w:t>军事地形学</w:t>
      </w:r>
      <w:r>
        <w:rPr>
          <w:rFonts w:hint="eastAsia" w:ascii="黑体" w:hAnsi="黑体" w:eastAsia="黑体" w:cs="宋体"/>
          <w:kern w:val="0"/>
        </w:rPr>
        <w:t>（</w:t>
      </w:r>
      <w:r>
        <w:rPr>
          <w:rFonts w:hint="eastAsia" w:ascii="黑体" w:hAnsi="宋体" w:eastAsia="黑体" w:cs="宋体"/>
          <w:kern w:val="0"/>
        </w:rPr>
        <w:t>6</w:t>
      </w:r>
      <w:r>
        <w:rPr>
          <w:rFonts w:hint="eastAsia" w:ascii="黑体" w:hAnsi="黑体" w:eastAsia="黑体" w:cs="宋体"/>
          <w:kern w:val="0"/>
        </w:rPr>
        <w:t>学时）</w:t>
      </w:r>
    </w:p>
    <w:p>
      <w:pPr>
        <w:widowControl/>
        <w:autoSpaceDE w:val="0"/>
        <w:spacing w:line="360" w:lineRule="auto"/>
        <w:ind w:firstLine="420" w:firstLineChars="200"/>
        <w:jc w:val="left"/>
        <w:rPr>
          <w:kern w:val="0"/>
        </w:rPr>
      </w:pPr>
      <w:r>
        <w:rPr>
          <w:rFonts w:ascii="宋体" w:hAnsi="宋体"/>
          <w:kern w:val="0"/>
        </w:rPr>
        <w:t>军事地形学以实践教学为主，教学内容要求要精炼，以传授基本知识和基本技能为主，循序渐进，扎扎实实打好基础。</w:t>
      </w:r>
    </w:p>
    <w:p>
      <w:pPr>
        <w:widowControl/>
        <w:autoSpaceDE w:val="0"/>
        <w:spacing w:line="360" w:lineRule="auto"/>
        <w:ind w:firstLine="420" w:firstLineChars="200"/>
        <w:jc w:val="left"/>
        <w:rPr>
          <w:rFonts w:ascii="黑体" w:hAnsi="黑体" w:eastAsia="黑体"/>
        </w:rPr>
      </w:pPr>
      <w:r>
        <w:rPr>
          <w:rFonts w:eastAsia="黑体"/>
          <w:kern w:val="0"/>
        </w:rPr>
        <w:t>1</w:t>
      </w:r>
      <w:r>
        <w:rPr>
          <w:rFonts w:hint="eastAsia" w:ascii="黑体" w:hAnsi="黑体" w:eastAsia="黑体"/>
          <w:kern w:val="0"/>
        </w:rPr>
        <w:t>、地形对作战行动的影响</w:t>
      </w:r>
    </w:p>
    <w:p>
      <w:pPr>
        <w:autoSpaceDE w:val="0"/>
        <w:spacing w:line="360" w:lineRule="auto"/>
        <w:ind w:firstLine="420" w:firstLineChars="200"/>
        <w:rPr>
          <w:rFonts w:ascii="黑体" w:hAnsi="黑体" w:eastAsia="黑体"/>
          <w:kern w:val="0"/>
        </w:rPr>
      </w:pPr>
      <w:r>
        <w:rPr>
          <w:rFonts w:eastAsia="黑体"/>
          <w:kern w:val="0"/>
        </w:rPr>
        <w:t>2</w:t>
      </w:r>
      <w:r>
        <w:rPr>
          <w:rFonts w:hint="eastAsia" w:ascii="黑体" w:hAnsi="黑体" w:eastAsia="黑体"/>
          <w:kern w:val="0"/>
        </w:rPr>
        <w:t>、地形图基本知识</w:t>
      </w:r>
    </w:p>
    <w:p>
      <w:pPr>
        <w:widowControl/>
        <w:autoSpaceDE w:val="0"/>
        <w:spacing w:line="360" w:lineRule="auto"/>
        <w:ind w:firstLine="420" w:firstLineChars="200"/>
        <w:jc w:val="left"/>
        <w:rPr>
          <w:rFonts w:ascii="Calibri" w:hAnsi="Calibri"/>
          <w:kern w:val="0"/>
        </w:rPr>
      </w:pPr>
      <w:r>
        <w:rPr>
          <w:rFonts w:ascii="宋体" w:hAnsi="宋体"/>
          <w:kern w:val="0"/>
        </w:rPr>
        <w:t>采取多媒体教学，同时播放《军事地形学》光盘，组织室外教学。</w:t>
      </w:r>
    </w:p>
    <w:p>
      <w:pPr>
        <w:widowControl/>
        <w:autoSpaceDE w:val="0"/>
        <w:spacing w:line="360" w:lineRule="auto"/>
        <w:ind w:firstLine="420"/>
        <w:jc w:val="left"/>
        <w:rPr>
          <w:kern w:val="0"/>
        </w:rPr>
      </w:pPr>
      <w:r>
        <w:rPr>
          <w:rFonts w:hint="eastAsia" w:ascii="宋体" w:hAnsi="宋体"/>
        </w:rPr>
        <w:t>本章节内容支撑课程目标</w:t>
      </w:r>
      <w:r>
        <w:rPr>
          <w:rFonts w:hint="eastAsia"/>
        </w:rPr>
        <w:t>4</w:t>
      </w:r>
      <w:r>
        <w:rPr>
          <w:rFonts w:hint="eastAsia" w:ascii="宋体" w:hAnsi="宋体"/>
        </w:rPr>
        <w:t>。</w:t>
      </w:r>
    </w:p>
    <w:p>
      <w:pPr>
        <w:widowControl/>
        <w:autoSpaceDE w:val="0"/>
        <w:spacing w:line="360" w:lineRule="auto"/>
        <w:ind w:firstLine="420"/>
        <w:jc w:val="left"/>
        <w:rPr>
          <w:rFonts w:ascii="黑体" w:hAnsi="黑体" w:eastAsia="黑体"/>
        </w:rPr>
      </w:pPr>
      <w:r>
        <w:rPr>
          <w:rFonts w:ascii="黑体" w:hAnsi="黑体" w:eastAsia="黑体"/>
        </w:rPr>
        <w:t>第</w:t>
      </w:r>
      <w:r>
        <w:rPr>
          <w:rFonts w:hint="eastAsia" w:ascii="黑体" w:hAnsi="黑体" w:eastAsia="黑体"/>
        </w:rPr>
        <w:t>五</w:t>
      </w:r>
      <w:r>
        <w:rPr>
          <w:rFonts w:ascii="黑体" w:hAnsi="黑体" w:eastAsia="黑体"/>
        </w:rPr>
        <w:t>章</w:t>
      </w:r>
      <w:r>
        <w:rPr>
          <w:rFonts w:hint="eastAsia" w:eastAsia="黑体"/>
        </w:rPr>
        <w:t xml:space="preserve"> </w:t>
      </w:r>
      <w:r>
        <w:rPr>
          <w:rFonts w:hint="eastAsia" w:ascii="黑体" w:hAnsi="黑体" w:eastAsia="黑体"/>
          <w:kern w:val="0"/>
        </w:rPr>
        <w:t>综合训练</w:t>
      </w:r>
      <w:r>
        <w:rPr>
          <w:rFonts w:hint="eastAsia" w:ascii="黑体" w:hAnsi="黑体" w:eastAsia="黑体" w:cs="宋体"/>
          <w:kern w:val="0"/>
        </w:rPr>
        <w:t>（</w:t>
      </w:r>
      <w:r>
        <w:rPr>
          <w:rFonts w:hint="eastAsia" w:ascii="黑体" w:hAnsi="宋体" w:eastAsia="黑体" w:cs="宋体"/>
          <w:kern w:val="0"/>
        </w:rPr>
        <w:t>6</w:t>
      </w:r>
      <w:r>
        <w:rPr>
          <w:rFonts w:hint="eastAsia" w:ascii="黑体" w:hAnsi="黑体" w:eastAsia="黑体" w:cs="宋体"/>
          <w:kern w:val="0"/>
        </w:rPr>
        <w:t>学时）</w:t>
      </w:r>
    </w:p>
    <w:p>
      <w:pPr>
        <w:widowControl/>
        <w:autoSpaceDE w:val="0"/>
        <w:spacing w:line="360" w:lineRule="auto"/>
        <w:ind w:firstLine="420" w:firstLineChars="200"/>
        <w:jc w:val="left"/>
        <w:rPr>
          <w:rFonts w:ascii="Calibri" w:hAnsi="Calibri"/>
          <w:kern w:val="0"/>
        </w:rPr>
      </w:pPr>
      <w:r>
        <w:rPr>
          <w:rFonts w:ascii="宋体" w:hAnsi="宋体"/>
          <w:kern w:val="0"/>
        </w:rPr>
        <w:t>合训练以实践教学为主，使同学们了解综合的基础理论知识，通过行军、野炊、宿营、夜间值勤等实践环节的教学，掌握野外生存的基本技能，进而提高同学们在困难的环境中，磨炼意志品质，树立战胜困难的信心，克服孤独、恐惧、饥饿、疲劳、伤痛等一切困难。在理论和实践的相互促进基础上，提高学生的综合素质。增强体能，培养学生冷静果断、坚忍不拔、勇于探索、克服困难的意志品质。</w:t>
      </w:r>
    </w:p>
    <w:p>
      <w:pPr>
        <w:widowControl/>
        <w:autoSpaceDE w:val="0"/>
        <w:spacing w:line="360" w:lineRule="auto"/>
        <w:ind w:left="420" w:leftChars="200"/>
        <w:jc w:val="left"/>
        <w:rPr>
          <w:rFonts w:ascii="宋体" w:hAnsi="宋体"/>
        </w:rPr>
      </w:pPr>
      <w:r>
        <w:rPr>
          <w:rFonts w:hint="eastAsia" w:ascii="宋体" w:hAnsi="宋体"/>
          <w:kern w:val="0"/>
        </w:rPr>
        <w:t>1、行军</w:t>
      </w:r>
    </w:p>
    <w:p>
      <w:pPr>
        <w:autoSpaceDE w:val="0"/>
        <w:spacing w:line="360" w:lineRule="auto"/>
        <w:ind w:left="420" w:leftChars="200"/>
        <w:rPr>
          <w:rFonts w:ascii="宋体" w:hAnsi="宋体"/>
          <w:kern w:val="0"/>
        </w:rPr>
      </w:pPr>
      <w:r>
        <w:rPr>
          <w:rFonts w:hint="eastAsia" w:ascii="宋体" w:hAnsi="宋体"/>
          <w:kern w:val="0"/>
        </w:rPr>
        <w:t>2、野外生存</w:t>
      </w:r>
    </w:p>
    <w:p>
      <w:pPr>
        <w:widowControl/>
        <w:autoSpaceDE w:val="0"/>
        <w:spacing w:line="360" w:lineRule="auto"/>
        <w:ind w:firstLine="420" w:firstLineChars="200"/>
        <w:jc w:val="left"/>
        <w:rPr>
          <w:rFonts w:ascii="Calibri" w:hAnsi="Calibri"/>
          <w:kern w:val="0"/>
        </w:rPr>
      </w:pPr>
      <w:r>
        <w:rPr>
          <w:rFonts w:ascii="宋体" w:hAnsi="宋体"/>
          <w:kern w:val="0"/>
        </w:rPr>
        <w:t>采取多媒体教学，同时播放《军事地形学》光盘，组织室外教学。</w:t>
      </w:r>
    </w:p>
    <w:p>
      <w:pPr>
        <w:widowControl/>
        <w:autoSpaceDE w:val="0"/>
        <w:spacing w:line="360" w:lineRule="auto"/>
        <w:ind w:firstLine="420"/>
        <w:jc w:val="left"/>
      </w:pPr>
      <w:r>
        <w:rPr>
          <w:rFonts w:hint="eastAsia" w:ascii="宋体" w:hAnsi="宋体"/>
        </w:rPr>
        <w:t>本章节内容支撑课程目标</w:t>
      </w:r>
      <w:r>
        <w:rPr>
          <w:rFonts w:hint="eastAsia"/>
        </w:rPr>
        <w:t>5</w:t>
      </w:r>
      <w:r>
        <w:rPr>
          <w:rFonts w:hint="eastAsia" w:ascii="宋体" w:hAnsi="宋体"/>
        </w:rPr>
        <w:t>。</w:t>
      </w:r>
    </w:p>
    <w:p>
      <w:pPr>
        <w:widowControl/>
        <w:spacing w:line="360" w:lineRule="auto"/>
        <w:ind w:firstLine="420" w:firstLineChars="200"/>
        <w:jc w:val="left"/>
      </w:pPr>
      <w:r>
        <w:rPr>
          <w:rFonts w:hint="eastAsia"/>
        </w:rPr>
        <w:t xml:space="preserve"> </w:t>
      </w:r>
    </w:p>
    <w:p>
      <w:pPr>
        <w:spacing w:line="360" w:lineRule="auto"/>
        <w:ind w:left="420" w:hanging="420"/>
        <w:rPr>
          <w:rFonts w:eastAsia="黑体"/>
        </w:rPr>
      </w:pPr>
      <w:r>
        <w:rPr>
          <w:rFonts w:hint="eastAsia" w:ascii="黑体" w:hAnsi="黑体" w:eastAsia="黑体"/>
        </w:rPr>
        <w:t>四、实验教学内容</w:t>
      </w:r>
    </w:p>
    <w:p>
      <w:pPr>
        <w:autoSpaceDE w:val="0"/>
        <w:spacing w:line="360" w:lineRule="auto"/>
        <w:rPr>
          <w:rFonts w:eastAsia="黑体"/>
        </w:rPr>
      </w:pPr>
      <w:r>
        <w:rPr>
          <w:rFonts w:hint="eastAsia" w:ascii="宋体" w:hAnsi="宋体"/>
          <w:kern w:val="0"/>
          <w:sz w:val="20"/>
        </w:rPr>
        <w:tab/>
      </w:r>
      <w:r>
        <w:rPr>
          <w:rFonts w:hint="eastAsia" w:ascii="宋体" w:hAnsi="宋体"/>
          <w:kern w:val="0"/>
          <w:sz w:val="20"/>
        </w:rPr>
        <w:t>单个军人队列动作</w:t>
      </w:r>
    </w:p>
    <w:p>
      <w:pPr>
        <w:autoSpaceDE w:val="0"/>
        <w:spacing w:line="360" w:lineRule="auto"/>
        <w:ind w:firstLine="420" w:firstLineChars="200"/>
        <w:rPr>
          <w:color w:val="000000"/>
          <w:shd w:val="clear" w:color="auto" w:fill="FFFFFF"/>
        </w:rPr>
      </w:pPr>
      <w:r>
        <w:rPr>
          <w:rFonts w:ascii="宋体" w:hAnsi="宋体"/>
        </w:rPr>
        <w:t>本课程重点讲授的内容包括：</w:t>
      </w:r>
      <w:r>
        <w:rPr>
          <w:color w:val="000000"/>
          <w:shd w:val="clear" w:color="auto" w:fill="FFFFFF"/>
        </w:rPr>
        <w:t>1</w:t>
      </w:r>
      <w:r>
        <w:rPr>
          <w:rFonts w:hint="eastAsia" w:ascii="宋体" w:hAnsi="宋体"/>
          <w:color w:val="000000"/>
          <w:shd w:val="clear" w:color="auto" w:fill="FFFFFF"/>
        </w:rPr>
        <w:t>）</w:t>
      </w:r>
      <w:r>
        <w:rPr>
          <w:rFonts w:ascii="宋体" w:hAnsi="宋体"/>
          <w:color w:val="000000"/>
          <w:shd w:val="clear" w:color="auto" w:fill="FFFFFF"/>
        </w:rPr>
        <w:t>立正、稍息、跨立、敬礼；</w:t>
      </w:r>
      <w:r>
        <w:rPr>
          <w:color w:val="000000"/>
          <w:shd w:val="clear" w:color="auto" w:fill="FFFFFF"/>
        </w:rPr>
        <w:t>2</w:t>
      </w:r>
      <w:r>
        <w:rPr>
          <w:rFonts w:hint="eastAsia" w:ascii="宋体" w:hAnsi="宋体"/>
          <w:color w:val="000000"/>
          <w:shd w:val="clear" w:color="auto" w:fill="FFFFFF"/>
        </w:rPr>
        <w:t>）</w:t>
      </w:r>
      <w:r>
        <w:rPr>
          <w:rFonts w:ascii="宋体" w:hAnsi="宋体"/>
          <w:color w:val="000000"/>
          <w:shd w:val="clear" w:color="auto" w:fill="FFFFFF"/>
        </w:rPr>
        <w:t>停止间转法；</w:t>
      </w:r>
      <w:r>
        <w:rPr>
          <w:color w:val="000000"/>
          <w:shd w:val="clear" w:color="auto" w:fill="FFFFFF"/>
        </w:rPr>
        <w:t>3</w:t>
      </w:r>
      <w:r>
        <w:rPr>
          <w:rFonts w:hint="eastAsia" w:ascii="宋体" w:hAnsi="宋体"/>
          <w:color w:val="000000"/>
          <w:shd w:val="clear" w:color="auto" w:fill="FFFFFF"/>
        </w:rPr>
        <w:t>）</w:t>
      </w:r>
      <w:r>
        <w:rPr>
          <w:rFonts w:ascii="宋体" w:hAnsi="宋体"/>
          <w:color w:val="000000"/>
          <w:shd w:val="clear" w:color="auto" w:fill="FFFFFF"/>
        </w:rPr>
        <w:t>坐下、蹲下、起立；</w:t>
      </w:r>
      <w:r>
        <w:rPr>
          <w:color w:val="000000"/>
          <w:shd w:val="clear" w:color="auto" w:fill="FFFFFF"/>
        </w:rPr>
        <w:t>4</w:t>
      </w:r>
      <w:r>
        <w:rPr>
          <w:rFonts w:hint="eastAsia" w:ascii="宋体" w:hAnsi="宋体"/>
          <w:color w:val="000000"/>
          <w:shd w:val="clear" w:color="auto" w:fill="FFFFFF"/>
        </w:rPr>
        <w:t>）</w:t>
      </w:r>
      <w:r>
        <w:rPr>
          <w:rFonts w:ascii="宋体" w:hAnsi="宋体"/>
          <w:color w:val="000000"/>
          <w:shd w:val="clear" w:color="auto" w:fill="FFFFFF"/>
        </w:rPr>
        <w:t>行进与停止（齐步、正步、跑步）；</w:t>
      </w:r>
      <w:r>
        <w:rPr>
          <w:color w:val="000000"/>
          <w:shd w:val="clear" w:color="auto" w:fill="FFFFFF"/>
        </w:rPr>
        <w:t>5</w:t>
      </w:r>
      <w:r>
        <w:rPr>
          <w:rFonts w:hint="eastAsia" w:ascii="宋体" w:hAnsi="宋体"/>
          <w:color w:val="000000"/>
          <w:shd w:val="clear" w:color="auto" w:fill="FFFFFF"/>
        </w:rPr>
        <w:t>）</w:t>
      </w:r>
      <w:r>
        <w:rPr>
          <w:rFonts w:ascii="宋体" w:hAnsi="宋体"/>
          <w:color w:val="000000"/>
          <w:shd w:val="clear" w:color="auto" w:fill="FFFFFF"/>
        </w:rPr>
        <w:t>半自动步枪对不动目标射击要领；</w:t>
      </w:r>
      <w:r>
        <w:rPr>
          <w:color w:val="000000"/>
          <w:shd w:val="clear" w:color="auto" w:fill="FFFFFF"/>
        </w:rPr>
        <w:t>6</w:t>
      </w:r>
      <w:r>
        <w:rPr>
          <w:rFonts w:hint="eastAsia" w:ascii="宋体" w:hAnsi="宋体"/>
          <w:color w:val="000000"/>
          <w:shd w:val="clear" w:color="auto" w:fill="FFFFFF"/>
        </w:rPr>
        <w:t>）</w:t>
      </w:r>
      <w:r>
        <w:rPr>
          <w:rFonts w:ascii="宋体" w:hAnsi="宋体"/>
          <w:color w:val="000000"/>
          <w:shd w:val="clear" w:color="auto" w:fill="FFFFFF"/>
        </w:rPr>
        <w:t>卧倒、起立；</w:t>
      </w:r>
      <w:r>
        <w:rPr>
          <w:color w:val="000000"/>
          <w:shd w:val="clear" w:color="auto" w:fill="FFFFFF"/>
        </w:rPr>
        <w:t>7</w:t>
      </w:r>
      <w:r>
        <w:rPr>
          <w:rFonts w:hint="eastAsia" w:ascii="宋体" w:hAnsi="宋体"/>
          <w:color w:val="000000"/>
          <w:shd w:val="clear" w:color="auto" w:fill="FFFFFF"/>
        </w:rPr>
        <w:t>）</w:t>
      </w:r>
      <w:r>
        <w:rPr>
          <w:rFonts w:ascii="宋体" w:hAnsi="宋体"/>
          <w:color w:val="000000"/>
          <w:shd w:val="clear" w:color="auto" w:fill="FFFFFF"/>
        </w:rPr>
        <w:t>战斗中地形地物利用等。教学方法以班为单位讲解示范，组织练习。单兵战术教学要使学生了解战斗中可利用地形、地物的种类，掌握卧倒、起立和侧身低姿匍匐前进的动作要领。</w:t>
      </w:r>
    </w:p>
    <w:p>
      <w:pPr>
        <w:autoSpaceDE w:val="0"/>
        <w:spacing w:line="360" w:lineRule="auto"/>
        <w:ind w:firstLine="420" w:firstLineChars="200"/>
        <w:rPr>
          <w:color w:val="000000"/>
          <w:shd w:val="clear" w:color="auto" w:fill="FFFFFF"/>
        </w:rPr>
      </w:pPr>
      <w:r>
        <w:rPr>
          <w:rFonts w:hint="eastAsia"/>
          <w:color w:val="000000"/>
          <w:shd w:val="clear" w:color="auto" w:fill="FFFFFF"/>
        </w:rPr>
        <w:t xml:space="preserve"> </w:t>
      </w:r>
    </w:p>
    <w:p>
      <w:pPr>
        <w:spacing w:line="360" w:lineRule="auto"/>
        <w:rPr>
          <w:rFonts w:eastAsia="黑体"/>
        </w:rPr>
      </w:pPr>
      <w:r>
        <w:rPr>
          <w:rFonts w:hint="eastAsia" w:ascii="黑体" w:hAnsi="黑体" w:eastAsia="黑体"/>
        </w:rPr>
        <w:t>五</w:t>
      </w:r>
      <w:r>
        <w:rPr>
          <w:rFonts w:ascii="黑体" w:hAnsi="黑体" w:eastAsia="黑体"/>
        </w:rPr>
        <w:t>、学时分配</w:t>
      </w:r>
    </w:p>
    <w:tbl>
      <w:tblPr>
        <w:tblStyle w:val="22"/>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91"/>
        <w:gridCol w:w="1636"/>
        <w:gridCol w:w="1817"/>
        <w:gridCol w:w="175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jc w:val="center"/>
              <w:rPr>
                <w:sz w:val="18"/>
                <w:szCs w:val="18"/>
              </w:rPr>
            </w:pPr>
            <w:r>
              <w:rPr>
                <w:sz w:val="18"/>
                <w:szCs w:val="18"/>
              </w:rPr>
              <w:t>章节名称</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讲授（学时）</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rFonts w:hint="eastAsia"/>
                <w:sz w:val="18"/>
                <w:szCs w:val="18"/>
              </w:rPr>
              <w:t>实验</w:t>
            </w:r>
            <w:r>
              <w:rPr>
                <w:sz w:val="18"/>
                <w:szCs w:val="18"/>
              </w:rPr>
              <w:t>（学时）</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小计</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autoSpaceDE w:val="0"/>
              <w:ind w:firstLine="270" w:firstLineChars="150"/>
              <w:jc w:val="left"/>
              <w:rPr>
                <w:sz w:val="18"/>
                <w:szCs w:val="18"/>
              </w:rPr>
            </w:pPr>
            <w:r>
              <w:rPr>
                <w:sz w:val="18"/>
                <w:szCs w:val="18"/>
              </w:rPr>
              <w:t>第</w:t>
            </w:r>
            <w:r>
              <w:rPr>
                <w:rFonts w:hint="eastAsia"/>
                <w:sz w:val="18"/>
                <w:szCs w:val="18"/>
              </w:rPr>
              <w:t>一</w:t>
            </w:r>
            <w:r>
              <w:rPr>
                <w:sz w:val="18"/>
                <w:szCs w:val="18"/>
              </w:rPr>
              <w:t>章：单个军人队列动作</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10</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3w</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10+3w</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autoSpaceDE w:val="0"/>
              <w:ind w:firstLine="270" w:firstLineChars="150"/>
              <w:jc w:val="left"/>
              <w:rPr>
                <w:rFonts w:ascii="宋体" w:hAnsi="宋体"/>
                <w:sz w:val="18"/>
                <w:szCs w:val="18"/>
              </w:rPr>
            </w:pPr>
            <w:r>
              <w:rPr>
                <w:rFonts w:hint="eastAsia" w:ascii="宋体" w:hAnsi="宋体"/>
                <w:sz w:val="18"/>
                <w:szCs w:val="18"/>
              </w:rPr>
              <w:t xml:space="preserve">第二章 </w:t>
            </w:r>
            <w:r>
              <w:rPr>
                <w:rFonts w:hint="eastAsia" w:ascii="宋体" w:hAnsi="宋体"/>
                <w:color w:val="000000"/>
                <w:sz w:val="18"/>
                <w:szCs w:val="18"/>
                <w:shd w:val="clear" w:color="auto" w:fill="FFFFFF"/>
              </w:rPr>
              <w:t>轻武器射击射击</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7</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0</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7</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autoSpaceDE w:val="0"/>
              <w:ind w:firstLine="270" w:firstLineChars="150"/>
              <w:jc w:val="left"/>
              <w:rPr>
                <w:rFonts w:ascii="宋体" w:hAnsi="宋体"/>
                <w:sz w:val="18"/>
                <w:szCs w:val="18"/>
              </w:rPr>
            </w:pPr>
            <w:r>
              <w:rPr>
                <w:rFonts w:hint="eastAsia" w:ascii="宋体" w:hAnsi="宋体"/>
                <w:sz w:val="18"/>
                <w:szCs w:val="18"/>
              </w:rPr>
              <w:t>第三章 单兵战术动作</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7</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0</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7</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autoSpaceDE w:val="0"/>
              <w:ind w:firstLine="270" w:firstLineChars="150"/>
              <w:jc w:val="left"/>
              <w:rPr>
                <w:rFonts w:ascii="宋体" w:hAnsi="宋体"/>
                <w:sz w:val="18"/>
                <w:szCs w:val="18"/>
              </w:rPr>
            </w:pPr>
            <w:r>
              <w:rPr>
                <w:rFonts w:hint="eastAsia" w:ascii="宋体" w:hAnsi="宋体"/>
                <w:sz w:val="18"/>
                <w:szCs w:val="18"/>
              </w:rPr>
              <w:t xml:space="preserve">第四章 </w:t>
            </w:r>
            <w:r>
              <w:rPr>
                <w:rFonts w:hint="eastAsia" w:ascii="宋体" w:hAnsi="宋体"/>
                <w:kern w:val="0"/>
                <w:sz w:val="18"/>
                <w:szCs w:val="18"/>
              </w:rPr>
              <w:t>军事地形学</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6</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0</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autoSpaceDE w:val="0"/>
              <w:ind w:firstLine="270" w:firstLineChars="150"/>
              <w:jc w:val="left"/>
              <w:rPr>
                <w:rFonts w:ascii="宋体" w:hAnsi="宋体"/>
                <w:sz w:val="18"/>
                <w:szCs w:val="18"/>
              </w:rPr>
            </w:pPr>
            <w:r>
              <w:rPr>
                <w:rFonts w:hint="eastAsia" w:ascii="宋体" w:hAnsi="宋体"/>
                <w:sz w:val="18"/>
                <w:szCs w:val="18"/>
              </w:rPr>
              <w:t xml:space="preserve">第五章 </w:t>
            </w:r>
            <w:r>
              <w:rPr>
                <w:rFonts w:hint="eastAsia" w:ascii="宋体" w:hAnsi="宋体"/>
                <w:kern w:val="0"/>
                <w:sz w:val="18"/>
                <w:szCs w:val="18"/>
              </w:rPr>
              <w:t>综合训练</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6</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0</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860" w:type="pct"/>
            <w:tcBorders>
              <w:top w:val="single" w:color="auto" w:sz="6" w:space="0"/>
              <w:left w:val="nil"/>
              <w:bottom w:val="single" w:color="auto" w:sz="6" w:space="0"/>
              <w:right w:val="single" w:color="auto" w:sz="6" w:space="0"/>
            </w:tcBorders>
          </w:tcPr>
          <w:p>
            <w:pPr>
              <w:widowControl/>
              <w:jc w:val="center"/>
              <w:rPr>
                <w:rFonts w:ascii="Calibri" w:hAnsi="Calibri"/>
                <w:sz w:val="18"/>
                <w:szCs w:val="18"/>
              </w:rPr>
            </w:pPr>
            <w:r>
              <w:rPr>
                <w:sz w:val="18"/>
                <w:szCs w:val="18"/>
              </w:rPr>
              <w:t>合计</w:t>
            </w:r>
          </w:p>
        </w:tc>
        <w:tc>
          <w:tcPr>
            <w:tcW w:w="985"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36</w:t>
            </w:r>
          </w:p>
        </w:tc>
        <w:tc>
          <w:tcPr>
            <w:tcW w:w="1094" w:type="pct"/>
            <w:tcBorders>
              <w:top w:val="single" w:color="auto" w:sz="6" w:space="0"/>
              <w:left w:val="single" w:color="auto" w:sz="6" w:space="0"/>
              <w:bottom w:val="single" w:color="auto" w:sz="6" w:space="0"/>
              <w:right w:val="single" w:color="auto" w:sz="6" w:space="0"/>
            </w:tcBorders>
          </w:tcPr>
          <w:p>
            <w:pPr>
              <w:widowControl/>
              <w:jc w:val="center"/>
              <w:rPr>
                <w:sz w:val="18"/>
                <w:szCs w:val="18"/>
              </w:rPr>
            </w:pPr>
            <w:r>
              <w:rPr>
                <w:sz w:val="18"/>
                <w:szCs w:val="18"/>
              </w:rPr>
              <w:t>3w</w:t>
            </w:r>
          </w:p>
        </w:tc>
        <w:tc>
          <w:tcPr>
            <w:tcW w:w="1059" w:type="pct"/>
            <w:tcBorders>
              <w:top w:val="single" w:color="auto" w:sz="6" w:space="0"/>
              <w:left w:val="single" w:color="auto" w:sz="6" w:space="0"/>
              <w:bottom w:val="single" w:color="auto" w:sz="6" w:space="0"/>
              <w:right w:val="nil"/>
            </w:tcBorders>
          </w:tcPr>
          <w:p>
            <w:pPr>
              <w:widowControl/>
              <w:jc w:val="center"/>
              <w:rPr>
                <w:sz w:val="18"/>
                <w:szCs w:val="18"/>
              </w:rPr>
            </w:pPr>
            <w:r>
              <w:rPr>
                <w:sz w:val="18"/>
                <w:szCs w:val="18"/>
              </w:rPr>
              <w:t>36+3w</w:t>
            </w:r>
          </w:p>
        </w:tc>
      </w:tr>
    </w:tbl>
    <w:p>
      <w:pPr>
        <w:spacing w:line="360" w:lineRule="auto"/>
        <w:ind w:left="420" w:hanging="420"/>
        <w:rPr>
          <w:rFonts w:ascii="Calibri" w:hAnsi="Calibri"/>
          <w:color w:val="0000FF"/>
          <w:szCs w:val="21"/>
        </w:rPr>
      </w:pPr>
      <w:r>
        <w:rPr>
          <w:rFonts w:hint="eastAsia" w:ascii="黑体" w:hAnsi="黑体" w:eastAsia="黑体"/>
        </w:rPr>
        <w:t>六、教材、补充教材及参考资料</w:t>
      </w:r>
    </w:p>
    <w:p>
      <w:pPr>
        <w:widowControl/>
        <w:spacing w:line="360" w:lineRule="auto"/>
        <w:ind w:firstLine="420" w:firstLineChars="200"/>
        <w:jc w:val="left"/>
      </w:pPr>
      <w:r>
        <w:rPr>
          <w:rFonts w:ascii="宋体" w:hAnsi="宋体"/>
        </w:rPr>
        <w:t>中国人民解放军《队列条令》</w:t>
      </w:r>
      <w:r>
        <w:rPr>
          <w:rFonts w:hint="eastAsia" w:ascii="宋体" w:hAnsi="宋体"/>
        </w:rPr>
        <w:t>。</w:t>
      </w:r>
    </w:p>
    <w:p>
      <w:pPr>
        <w:widowControl/>
        <w:spacing w:line="360" w:lineRule="auto"/>
        <w:ind w:firstLine="420" w:firstLineChars="200"/>
        <w:jc w:val="left"/>
      </w:pPr>
      <w:r>
        <w:rPr>
          <w:rFonts w:ascii="宋体" w:hAnsi="宋体"/>
        </w:rPr>
        <w:t>中国人民解放军新兵训练教材</w:t>
      </w:r>
      <w:r>
        <w:rPr>
          <w:rFonts w:hint="eastAsia" w:ascii="宋体" w:hAnsi="宋体"/>
        </w:rPr>
        <w:t>。</w:t>
      </w:r>
    </w:p>
    <w:p>
      <w:pPr>
        <w:widowControl/>
        <w:spacing w:line="360" w:lineRule="auto"/>
        <w:ind w:firstLine="420" w:firstLineChars="200"/>
        <w:jc w:val="left"/>
        <w:rPr>
          <w:kern w:val="0"/>
        </w:rPr>
      </w:pPr>
      <w:r>
        <w:rPr>
          <w:rFonts w:ascii="宋体" w:hAnsi="宋体"/>
          <w:kern w:val="0"/>
        </w:rPr>
        <w:t>中国人民解放军《军事地形学》</w:t>
      </w:r>
      <w:r>
        <w:rPr>
          <w:rFonts w:hint="eastAsia" w:ascii="宋体" w:hAnsi="宋体"/>
          <w:kern w:val="0"/>
        </w:rPr>
        <w:t>。</w:t>
      </w:r>
    </w:p>
    <w:p>
      <w:pPr>
        <w:widowControl/>
        <w:spacing w:line="360" w:lineRule="auto"/>
        <w:jc w:val="left"/>
        <w:rPr>
          <w:rFonts w:eastAsia="黑体"/>
        </w:rPr>
      </w:pPr>
      <w:r>
        <w:rPr>
          <w:rFonts w:hint="eastAsia" w:ascii="黑体" w:hAnsi="黑体" w:eastAsia="黑体"/>
        </w:rPr>
        <w:t>七</w:t>
      </w:r>
      <w:r>
        <w:rPr>
          <w:rFonts w:ascii="黑体" w:hAnsi="黑体" w:eastAsia="黑体"/>
        </w:rPr>
        <w:t>、课程目标达成评价的途径和措施</w:t>
      </w:r>
    </w:p>
    <w:p>
      <w:pPr>
        <w:spacing w:line="360" w:lineRule="auto"/>
        <w:ind w:firstLine="420" w:firstLineChars="200"/>
        <w:rPr>
          <w:b/>
          <w:bCs/>
          <w:color w:val="000000"/>
        </w:rPr>
      </w:pPr>
      <w:r>
        <w:rPr>
          <w:rFonts w:hint="eastAsia"/>
          <w:color w:val="000000"/>
        </w:rPr>
        <w:t>1</w:t>
      </w:r>
      <w:r>
        <w:rPr>
          <w:rFonts w:hint="eastAsia" w:ascii="宋体" w:hAnsi="宋体"/>
          <w:color w:val="000000"/>
        </w:rPr>
        <w:t>、考核方式：</w:t>
      </w:r>
      <w:r>
        <w:rPr>
          <w:rFonts w:ascii="宋体" w:hAnsi="宋体"/>
          <w:color w:val="000000"/>
        </w:rPr>
        <w:t>作业、测验、考试</w:t>
      </w:r>
      <w:r>
        <w:rPr>
          <w:rFonts w:hint="eastAsia" w:ascii="宋体" w:hAnsi="宋体"/>
          <w:color w:val="000000"/>
        </w:rPr>
        <w:t>。</w:t>
      </w:r>
    </w:p>
    <w:p>
      <w:pPr>
        <w:spacing w:line="360" w:lineRule="auto"/>
        <w:ind w:firstLine="420" w:firstLineChars="200"/>
        <w:rPr>
          <w:color w:val="000000"/>
        </w:rPr>
      </w:pPr>
      <w:r>
        <w:rPr>
          <w:rFonts w:hint="eastAsia"/>
          <w:color w:val="000000"/>
        </w:rPr>
        <w:t>2</w:t>
      </w:r>
      <w:r>
        <w:rPr>
          <w:rFonts w:hint="eastAsia" w:ascii="宋体" w:hAnsi="宋体"/>
          <w:color w:val="000000"/>
        </w:rPr>
        <w:t>、成绩构成：</w:t>
      </w:r>
    </w:p>
    <w:p>
      <w:pPr>
        <w:spacing w:line="360" w:lineRule="auto"/>
        <w:ind w:firstLine="420" w:firstLineChars="200"/>
      </w:pPr>
      <w:r>
        <w:rPr>
          <w:rFonts w:hint="eastAsia" w:ascii="宋体" w:hAnsi="宋体"/>
        </w:rPr>
        <w:t>本课程通过</w:t>
      </w:r>
      <w:r>
        <w:rPr>
          <w:rFonts w:hint="eastAsia"/>
        </w:rPr>
        <w:t>“平时成绩”和“</w:t>
      </w:r>
      <w:r>
        <w:rPr>
          <w:rFonts w:hint="eastAsia" w:ascii="宋体" w:hAnsi="宋体"/>
        </w:rPr>
        <w:t>期末考试</w:t>
      </w:r>
      <w:r>
        <w:rPr>
          <w:rFonts w:hint="eastAsia"/>
        </w:rPr>
        <w:t>”两种方式对课程目标达成进行评价，（本大纲中成绩均采用百分制）：</w:t>
      </w:r>
    </w:p>
    <w:p>
      <w:pPr>
        <w:spacing w:line="360" w:lineRule="auto"/>
        <w:jc w:val="center"/>
      </w:pPr>
      <w:r>
        <w:rPr>
          <w:rFonts w:hint="eastAsia" w:ascii="宋体" w:hAnsi="宋体"/>
          <w:sz w:val="18"/>
          <w:szCs w:val="18"/>
        </w:rPr>
        <w:t>各环节成绩评定占比</w:t>
      </w:r>
      <w:r>
        <w:rPr>
          <w:sz w:val="18"/>
          <w:szCs w:val="18"/>
        </w:rPr>
        <w:t>%</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3"/>
        <w:gridCol w:w="2889"/>
        <w:gridCol w:w="21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964"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作业（平时）</w:t>
            </w:r>
          </w:p>
        </w:tc>
        <w:tc>
          <w:tcPr>
            <w:tcW w:w="173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测试（平时）</w:t>
            </w:r>
          </w:p>
        </w:tc>
        <w:tc>
          <w:tcPr>
            <w:tcW w:w="1296"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964" w:type="pct"/>
            <w:tcBorders>
              <w:top w:val="single" w:color="auto" w:sz="4" w:space="0"/>
              <w:left w:val="nil"/>
              <w:bottom w:val="single" w:color="auto" w:sz="4" w:space="0"/>
              <w:right w:val="single" w:color="auto" w:sz="4" w:space="0"/>
            </w:tcBorders>
            <w:vAlign w:val="center"/>
          </w:tcPr>
          <w:p>
            <w:pPr>
              <w:jc w:val="center"/>
              <w:rPr>
                <w:color w:val="000000"/>
                <w:sz w:val="18"/>
                <w:szCs w:val="18"/>
              </w:rPr>
            </w:pPr>
            <w:r>
              <w:rPr>
                <w:color w:val="000000"/>
                <w:sz w:val="18"/>
                <w:szCs w:val="18"/>
              </w:rPr>
              <w:t>10</w:t>
            </w:r>
          </w:p>
        </w:tc>
        <w:tc>
          <w:tcPr>
            <w:tcW w:w="173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w:t>
            </w:r>
          </w:p>
        </w:tc>
        <w:tc>
          <w:tcPr>
            <w:tcW w:w="1296"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70</w:t>
            </w:r>
          </w:p>
        </w:tc>
      </w:tr>
    </w:tbl>
    <w:p>
      <w:pPr>
        <w:spacing w:line="360" w:lineRule="auto"/>
        <w:ind w:firstLine="420" w:firstLineChars="200"/>
        <w:rPr>
          <w:rFonts w:ascii="Calibri" w:hAnsi="Calibri"/>
          <w:b/>
          <w:bCs/>
          <w:color w:val="1D41D5"/>
          <w:szCs w:val="21"/>
        </w:rPr>
      </w:pPr>
      <w:r>
        <w:rPr>
          <w:rFonts w:hint="eastAsia" w:ascii="宋体" w:hAnsi="宋体"/>
        </w:rPr>
        <w:t>指导性课程目标评价题目分数分配：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1808"/>
        <w:gridCol w:w="1681"/>
        <w:gridCol w:w="26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25" w:type="pct"/>
            <w:tcBorders>
              <w:top w:val="single" w:color="auto" w:sz="4" w:space="0"/>
              <w:left w:val="nil"/>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kern w:val="0"/>
                <w:sz w:val="18"/>
                <w:szCs w:val="18"/>
              </w:rPr>
              <w:t>课程目标</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sz w:val="18"/>
                <w:szCs w:val="18"/>
              </w:rPr>
            </w:pPr>
            <w:r>
              <w:rPr>
                <w:rFonts w:hint="eastAsia"/>
                <w:sz w:val="18"/>
                <w:szCs w:val="18"/>
              </w:rPr>
              <w:t>作业（平时）</w:t>
            </w:r>
          </w:p>
          <w:p>
            <w:pPr>
              <w:jc w:val="center"/>
              <w:rPr>
                <w:sz w:val="18"/>
                <w:szCs w:val="18"/>
              </w:rPr>
            </w:pPr>
            <w:r>
              <w:rPr>
                <w:rFonts w:hint="eastAsia"/>
                <w:sz w:val="18"/>
                <w:szCs w:val="18"/>
              </w:rPr>
              <w:t>W1</w:t>
            </w:r>
            <w:r>
              <w:rPr>
                <w:rFonts w:hint="eastAsia"/>
                <w:sz w:val="18"/>
                <w:szCs w:val="18"/>
                <w:vertAlign w:val="subscript"/>
              </w:rPr>
              <w:t>i</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测试（平时）</w:t>
            </w:r>
          </w:p>
          <w:p>
            <w:pPr>
              <w:jc w:val="center"/>
              <w:rPr>
                <w:sz w:val="18"/>
                <w:szCs w:val="18"/>
              </w:rPr>
            </w:pPr>
            <w:r>
              <w:rPr>
                <w:rFonts w:hint="eastAsia"/>
                <w:sz w:val="18"/>
                <w:szCs w:val="18"/>
              </w:rPr>
              <w:t>W2</w:t>
            </w:r>
            <w:r>
              <w:rPr>
                <w:rFonts w:hint="eastAsia"/>
                <w:sz w:val="18"/>
                <w:szCs w:val="18"/>
                <w:vertAlign w:val="subscript"/>
              </w:rPr>
              <w:t>i</w:t>
            </w:r>
          </w:p>
        </w:tc>
        <w:tc>
          <w:tcPr>
            <w:tcW w:w="1572"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期末考试</w:t>
            </w:r>
          </w:p>
          <w:p>
            <w:pPr>
              <w:jc w:val="center"/>
              <w:rPr>
                <w:sz w:val="18"/>
                <w:szCs w:val="18"/>
              </w:rPr>
            </w:pPr>
            <w:r>
              <w:rPr>
                <w:rFonts w:hint="eastAsia"/>
                <w:sz w:val="18"/>
                <w:szCs w:val="18"/>
              </w:rPr>
              <w:t>W3</w:t>
            </w:r>
            <w:r>
              <w:rPr>
                <w:rFonts w:hint="eastAsia"/>
                <w:sz w:val="18"/>
                <w:szCs w:val="18"/>
                <w:vertAlign w:val="subscript"/>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1</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50-60</w:t>
            </w:r>
          </w:p>
        </w:tc>
        <w:tc>
          <w:tcPr>
            <w:tcW w:w="1572"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2</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20-30</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40-50</w:t>
            </w:r>
          </w:p>
        </w:tc>
        <w:tc>
          <w:tcPr>
            <w:tcW w:w="1572"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20-40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3</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572"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5-10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4</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572"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5-10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5"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5</w:t>
            </w:r>
          </w:p>
        </w:tc>
        <w:tc>
          <w:tcPr>
            <w:tcW w:w="1089"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10-20</w:t>
            </w:r>
          </w:p>
        </w:tc>
        <w:tc>
          <w:tcPr>
            <w:tcW w:w="1012" w:type="pct"/>
            <w:tcBorders>
              <w:top w:val="single" w:color="auto" w:sz="4" w:space="0"/>
              <w:left w:val="single" w:color="auto" w:sz="4" w:space="0"/>
              <w:bottom w:val="single" w:color="auto" w:sz="4" w:space="0"/>
              <w:right w:val="single" w:color="auto" w:sz="4" w:space="0"/>
            </w:tcBorders>
            <w:vAlign w:val="center"/>
          </w:tcPr>
          <w:p>
            <w:pPr>
              <w:jc w:val="center"/>
              <w:rPr>
                <w:color w:val="000000"/>
                <w:sz w:val="18"/>
                <w:szCs w:val="18"/>
              </w:rPr>
            </w:pPr>
            <w:r>
              <w:rPr>
                <w:color w:val="000000"/>
                <w:sz w:val="18"/>
                <w:szCs w:val="18"/>
              </w:rPr>
              <w:t>0</w:t>
            </w:r>
          </w:p>
        </w:tc>
        <w:tc>
          <w:tcPr>
            <w:tcW w:w="1572" w:type="pct"/>
            <w:tcBorders>
              <w:top w:val="single" w:color="auto" w:sz="4" w:space="0"/>
              <w:left w:val="single" w:color="auto" w:sz="4" w:space="0"/>
              <w:bottom w:val="single" w:color="auto" w:sz="4" w:space="0"/>
              <w:right w:val="nil"/>
            </w:tcBorders>
            <w:vAlign w:val="center"/>
          </w:tcPr>
          <w:p>
            <w:pPr>
              <w:jc w:val="center"/>
              <w:rPr>
                <w:color w:val="000000"/>
                <w:sz w:val="18"/>
                <w:szCs w:val="18"/>
              </w:rPr>
            </w:pPr>
            <w:r>
              <w:rPr>
                <w:color w:val="000000"/>
                <w:sz w:val="18"/>
                <w:szCs w:val="18"/>
              </w:rPr>
              <w:t>5-10</w:t>
            </w:r>
          </w:p>
        </w:tc>
      </w:tr>
    </w:tbl>
    <w:p>
      <w:pPr>
        <w:autoSpaceDE w:val="0"/>
        <w:spacing w:line="360" w:lineRule="auto"/>
        <w:rPr>
          <w:rFonts w:ascii="Calibri" w:hAnsi="Calibri"/>
          <w:szCs w:val="21"/>
        </w:rPr>
      </w:pPr>
      <w:r>
        <w:rPr>
          <w:rFonts w:hint="eastAsia"/>
        </w:rPr>
        <w:tab/>
      </w:r>
      <w:r>
        <w:rPr>
          <w:rFonts w:hint="eastAsia" w:ascii="宋体" w:hAnsi="宋体"/>
        </w:rPr>
        <w:t>分目标达成值由每个部分对应的实际得分与题目总分数相比后，各环节加权求和得到。</w:t>
      </w:r>
    </w:p>
    <w:p>
      <w:pPr>
        <w:autoSpaceDE w:val="0"/>
        <w:spacing w:line="360" w:lineRule="auto"/>
      </w:pPr>
      <w:r>
        <w:rPr>
          <w:rFonts w:hint="eastAsia"/>
        </w:rPr>
        <w:tab/>
      </w:r>
      <w:r>
        <w:rPr>
          <w:rFonts w:hint="eastAsia" w:ascii="宋体" w:hAnsi="宋体"/>
        </w:rPr>
        <w:t>总课程目标达成值由每个环节的总平均分，按照各环节加权求和得到。</w:t>
      </w:r>
    </w:p>
    <w:p>
      <w:pPr>
        <w:autoSpaceDE w:val="0"/>
        <w:spacing w:line="360" w:lineRule="auto"/>
        <w:rPr>
          <w:kern w:val="0"/>
        </w:rPr>
      </w:pPr>
      <w:r>
        <w:rPr>
          <w:rFonts w:hint="eastAsia"/>
        </w:rPr>
        <w:tab/>
      </w:r>
      <w:r>
        <w:rPr>
          <w:rFonts w:hint="eastAsia" w:ascii="宋体" w:hAnsi="宋体"/>
        </w:rPr>
        <w:t>各环节的评价标准参见课程成绩分析报告。</w:t>
      </w:r>
    </w:p>
    <w:p>
      <w:r>
        <w:t xml:space="preserve"> </w:t>
      </w:r>
    </w:p>
    <w:p>
      <w:r>
        <w:br w:type="page"/>
      </w:r>
    </w:p>
    <w:p>
      <w:pPr>
        <w:pStyle w:val="20"/>
        <w:spacing w:before="312" w:after="468"/>
        <w:rPr>
          <w:szCs w:val="21"/>
          <w:highlight w:val="yellow"/>
        </w:rPr>
      </w:pPr>
      <w:bookmarkStart w:id="159" w:name="_Toc21306"/>
      <w:r>
        <w:rPr>
          <w:rFonts w:hint="eastAsia"/>
        </w:rPr>
        <w:t>《</w:t>
      </w:r>
      <w:r>
        <w:rPr>
          <w:color w:val="000000"/>
          <w:kern w:val="0"/>
        </w:rPr>
        <w:t>X07250011</w:t>
      </w:r>
      <w:r>
        <w:rPr>
          <w:rFonts w:hint="eastAsia"/>
          <w:color w:val="000000"/>
          <w:kern w:val="0"/>
        </w:rPr>
        <w:t>-</w:t>
      </w:r>
      <w:r>
        <w:rPr>
          <w:rFonts w:hint="eastAsia"/>
        </w:rPr>
        <w:t>工程训练C》</w:t>
      </w:r>
      <w:r>
        <w:t>教学大纲</w:t>
      </w:r>
      <w:bookmarkEnd w:id="159"/>
    </w:p>
    <w:p>
      <w:pPr>
        <w:adjustRightInd w:val="0"/>
        <w:snapToGrid w:val="0"/>
        <w:spacing w:line="360" w:lineRule="auto"/>
        <w:rPr>
          <w:rFonts w:eastAsia="黑体"/>
          <w:szCs w:val="21"/>
        </w:rPr>
      </w:pPr>
      <w:r>
        <w:rPr>
          <w:rFonts w:hint="eastAsia" w:eastAsia="黑体"/>
          <w:szCs w:val="21"/>
        </w:rPr>
        <w:t xml:space="preserve">   </w:t>
      </w:r>
      <w:r>
        <w:rPr>
          <w:rFonts w:eastAsia="黑体"/>
          <w:szCs w:val="21"/>
        </w:rPr>
        <w:t>课程编号：</w:t>
      </w:r>
      <w:r>
        <w:rPr>
          <w:rFonts w:eastAsia="黑体"/>
          <w:color w:val="000000"/>
          <w:kern w:val="0"/>
          <w:szCs w:val="21"/>
        </w:rPr>
        <w:t>X07250011</w:t>
      </w:r>
    </w:p>
    <w:p>
      <w:pPr>
        <w:adjustRightInd w:val="0"/>
        <w:snapToGrid w:val="0"/>
        <w:spacing w:line="360" w:lineRule="auto"/>
        <w:rPr>
          <w:rFonts w:eastAsia="黑体"/>
          <w:szCs w:val="21"/>
          <w:highlight w:val="yellow"/>
        </w:rPr>
      </w:pPr>
      <w:r>
        <w:rPr>
          <w:rFonts w:eastAsia="黑体"/>
          <w:szCs w:val="21"/>
        </w:rPr>
        <w:t xml:space="preserve">   课程名称：</w:t>
      </w:r>
      <w:r>
        <w:rPr>
          <w:rFonts w:hint="eastAsia"/>
          <w:szCs w:val="21"/>
        </w:rPr>
        <w:t xml:space="preserve">工程训练C                       </w:t>
      </w:r>
      <w:r>
        <w:rPr>
          <w:rFonts w:eastAsia="黑体"/>
          <w:szCs w:val="21"/>
        </w:rPr>
        <w:t>开课单位：</w:t>
      </w:r>
      <w:r>
        <w:rPr>
          <w:rFonts w:hint="eastAsia" w:hAnsi="宋体"/>
          <w:szCs w:val="21"/>
        </w:rPr>
        <w:t xml:space="preserve">仪器与电子学院 </w:t>
      </w:r>
      <w:r>
        <w:rPr>
          <w:rFonts w:hAnsi="宋体"/>
          <w:szCs w:val="21"/>
        </w:rPr>
        <w:t xml:space="preserve">  </w:t>
      </w:r>
    </w:p>
    <w:p>
      <w:pPr>
        <w:adjustRightInd w:val="0"/>
        <w:snapToGrid w:val="0"/>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时：2</w:t>
      </w:r>
      <w:r>
        <w:rPr>
          <w:rFonts w:hint="eastAsia" w:eastAsia="黑体"/>
          <w:szCs w:val="21"/>
        </w:rPr>
        <w:t>W</w:t>
      </w:r>
      <w:r>
        <w:rPr>
          <w:rFonts w:eastAsia="黑体"/>
          <w:szCs w:val="21"/>
        </w:rPr>
        <w:t xml:space="preserve">                              学    分：1</w:t>
      </w:r>
    </w:p>
    <w:p>
      <w:pPr>
        <w:adjustRightInd w:val="0"/>
        <w:snapToGrid w:val="0"/>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adjustRightInd w:val="0"/>
        <w:snapToGrid w:val="0"/>
        <w:spacing w:line="360" w:lineRule="auto"/>
        <w:rPr>
          <w:rFonts w:ascii="等线" w:hAnsi="等线" w:eastAsia="等线"/>
          <w:color w:val="000000"/>
          <w:szCs w:val="21"/>
        </w:rPr>
      </w:pPr>
      <w:r>
        <w:rPr>
          <w:rFonts w:eastAsia="黑体"/>
          <w:szCs w:val="21"/>
        </w:rPr>
        <w:t xml:space="preserve">   先修课程：</w:t>
      </w:r>
      <w:r>
        <w:rPr>
          <w:rFonts w:hint="eastAsia" w:ascii="等线" w:hAnsi="等线" w:eastAsia="等线"/>
          <w:color w:val="000000"/>
          <w:szCs w:val="21"/>
        </w:rPr>
        <w:t>无</w:t>
      </w:r>
    </w:p>
    <w:p>
      <w:pPr>
        <w:adjustRightInd w:val="0"/>
        <w:snapToGrid w:val="0"/>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adjustRightInd w:val="0"/>
        <w:snapToGrid w:val="0"/>
        <w:spacing w:line="360" w:lineRule="auto"/>
        <w:rPr>
          <w:sz w:val="24"/>
        </w:rPr>
      </w:pPr>
    </w:p>
    <w:p>
      <w:pPr>
        <w:adjustRightInd w:val="0"/>
        <w:snapToGrid w:val="0"/>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adjustRightInd w:val="0"/>
        <w:snapToGrid w:val="0"/>
        <w:spacing w:line="360" w:lineRule="auto"/>
        <w:ind w:firstLine="420" w:firstLineChars="200"/>
        <w:rPr>
          <w:rFonts w:hAnsi="宋体"/>
          <w:szCs w:val="21"/>
        </w:rPr>
      </w:pPr>
      <w:r>
        <w:rPr>
          <w:rFonts w:hint="eastAsia" w:hAnsi="宋体"/>
          <w:szCs w:val="21"/>
        </w:rPr>
        <w:t>工程训练是工科院校教训计划中的一个重要环节，是工程技术基础训练的重要组成部分，是工科院校学生的必修课。</w:t>
      </w:r>
    </w:p>
    <w:p>
      <w:pPr>
        <w:adjustRightInd w:val="0"/>
        <w:snapToGrid w:val="0"/>
        <w:spacing w:line="360" w:lineRule="auto"/>
        <w:ind w:firstLine="420" w:firstLineChars="200"/>
        <w:rPr>
          <w:rFonts w:hAnsi="宋体"/>
          <w:szCs w:val="21"/>
        </w:rPr>
      </w:pPr>
      <w:r>
        <w:rPr>
          <w:rFonts w:hint="eastAsia" w:hAnsi="宋体"/>
          <w:szCs w:val="21"/>
        </w:rPr>
        <w:t>通过金工实习使学生初步接触生产实际，了解机械制造基础方面的知识，为学习有关课程建立一定的实践基础。</w:t>
      </w:r>
    </w:p>
    <w:p>
      <w:pPr>
        <w:adjustRightInd w:val="0"/>
        <w:snapToGrid w:val="0"/>
        <w:spacing w:line="360" w:lineRule="auto"/>
        <w:ind w:firstLine="420" w:firstLineChars="200"/>
        <w:rPr>
          <w:rFonts w:hAnsi="宋体"/>
          <w:szCs w:val="21"/>
        </w:rPr>
      </w:pPr>
      <w:r>
        <w:rPr>
          <w:rFonts w:hint="eastAsia" w:hAnsi="宋体"/>
          <w:szCs w:val="21"/>
        </w:rPr>
        <w:t>金工实习以学生独立操作为主，热加工实习以铸工为主，冷加工实习以车，銑，钳为主。</w:t>
      </w:r>
    </w:p>
    <w:p>
      <w:pPr>
        <w:adjustRightInd w:val="0"/>
        <w:snapToGrid w:val="0"/>
        <w:spacing w:line="360" w:lineRule="auto"/>
        <w:ind w:firstLine="420" w:firstLineChars="200"/>
        <w:rPr>
          <w:rFonts w:hAnsi="宋体"/>
          <w:szCs w:val="21"/>
        </w:rPr>
      </w:pPr>
      <w:r>
        <w:rPr>
          <w:rFonts w:hint="eastAsia" w:hAnsi="宋体"/>
          <w:szCs w:val="21"/>
        </w:rPr>
        <w:t>实习中学生参加实践操作，培养机械工程观念，培养理论联系实际的作风，工作作风，组织纪律，质量观念和爱护国家财产的观念。</w:t>
      </w:r>
    </w:p>
    <w:p>
      <w:pPr>
        <w:adjustRightInd w:val="0"/>
        <w:snapToGrid w:val="0"/>
        <w:spacing w:line="360" w:lineRule="auto"/>
        <w:rPr>
          <w:rFonts w:eastAsia="黑体"/>
          <w:szCs w:val="21"/>
        </w:rPr>
      </w:pPr>
    </w:p>
    <w:p>
      <w:pPr>
        <w:adjustRightInd w:val="0"/>
        <w:snapToGrid w:val="0"/>
        <w:spacing w:line="360" w:lineRule="auto"/>
        <w:rPr>
          <w:rFonts w:eastAsia="黑体"/>
          <w:szCs w:val="21"/>
        </w:rPr>
      </w:pPr>
      <w:r>
        <w:rPr>
          <w:rFonts w:eastAsia="黑体"/>
          <w:szCs w:val="21"/>
        </w:rPr>
        <w:t>二、课程目标</w:t>
      </w:r>
    </w:p>
    <w:p>
      <w:pPr>
        <w:adjustRightInd w:val="0"/>
        <w:snapToGrid w:val="0"/>
        <w:spacing w:line="360" w:lineRule="auto"/>
        <w:ind w:firstLine="420" w:firstLineChars="200"/>
        <w:rPr>
          <w:b/>
          <w:bCs/>
          <w:color w:val="0B5FD1"/>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4093"/>
        <w:gridCol w:w="3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463" w:type="pct"/>
            <w:shd w:val="clear" w:color="auto" w:fill="auto"/>
          </w:tcPr>
          <w:p>
            <w:pPr>
              <w:spacing w:line="360" w:lineRule="auto"/>
              <w:jc w:val="center"/>
              <w:rPr>
                <w:sz w:val="18"/>
                <w:szCs w:val="18"/>
              </w:rPr>
            </w:pPr>
            <w:r>
              <w:rPr>
                <w:rFonts w:hint="eastAsia"/>
                <w:sz w:val="18"/>
                <w:szCs w:val="18"/>
              </w:rPr>
              <w:t>课程目标</w:t>
            </w:r>
          </w:p>
        </w:tc>
        <w:tc>
          <w:tcPr>
            <w:tcW w:w="2192" w:type="pct"/>
            <w:shd w:val="clear" w:color="auto" w:fill="auto"/>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463" w:type="pct"/>
            <w:shd w:val="clear" w:color="auto" w:fill="auto"/>
          </w:tcPr>
          <w:p>
            <w:pPr>
              <w:adjustRightInd w:val="0"/>
              <w:snapToGrid w:val="0"/>
              <w:spacing w:line="360" w:lineRule="auto"/>
              <w:rPr>
                <w:rFonts w:hAnsi="宋体"/>
                <w:sz w:val="18"/>
                <w:szCs w:val="18"/>
              </w:rPr>
            </w:pPr>
            <w:r>
              <w:rPr>
                <w:rFonts w:hint="eastAsia" w:hAnsi="宋体"/>
                <w:sz w:val="18"/>
                <w:szCs w:val="18"/>
              </w:rPr>
              <w:t>能够</w:t>
            </w:r>
            <w:r>
              <w:rPr>
                <w:rFonts w:hint="eastAsia" w:hAnsi="宋体"/>
                <w:bCs/>
                <w:sz w:val="18"/>
                <w:szCs w:val="18"/>
              </w:rPr>
              <w:t>建立机械制造过程的基本概念（毛坯制造—零件加工—机器装配与调试）</w:t>
            </w:r>
            <w:r>
              <w:rPr>
                <w:rFonts w:hAnsi="宋体"/>
                <w:bCs/>
                <w:sz w:val="18"/>
                <w:szCs w:val="18"/>
              </w:rPr>
              <w:t>；</w:t>
            </w:r>
            <w:r>
              <w:rPr>
                <w:rFonts w:hint="eastAsia" w:hAnsi="宋体"/>
                <w:bCs/>
                <w:sz w:val="18"/>
                <w:szCs w:val="18"/>
              </w:rPr>
              <w:t>能够掌握有关设备、附件、刀具、工具、两局的结构，了解</w:t>
            </w:r>
            <w:r>
              <w:rPr>
                <w:rFonts w:hint="eastAsia" w:hAnsi="宋体"/>
                <w:sz w:val="18"/>
                <w:szCs w:val="18"/>
              </w:rPr>
              <w:t>数控机床加工等新技术；</w:t>
            </w:r>
          </w:p>
        </w:tc>
        <w:tc>
          <w:tcPr>
            <w:tcW w:w="2192" w:type="pct"/>
            <w:shd w:val="clear" w:color="auto" w:fill="auto"/>
          </w:tcPr>
          <w:p>
            <w:pPr>
              <w:adjustRightInd w:val="0"/>
              <w:snapToGrid w:val="0"/>
              <w:spacing w:line="360" w:lineRule="auto"/>
              <w:rPr>
                <w:sz w:val="18"/>
                <w:szCs w:val="18"/>
              </w:rPr>
            </w:pPr>
            <w:r>
              <w:rPr>
                <w:rFonts w:hint="eastAsia"/>
                <w:b/>
                <w:sz w:val="18"/>
                <w:szCs w:val="18"/>
              </w:rPr>
              <w:t>毕业要求1工程知识：</w:t>
            </w:r>
            <w:r>
              <w:rPr>
                <w:rFonts w:hint="eastAsia"/>
                <w:sz w:val="18"/>
                <w:szCs w:val="18"/>
              </w:rPr>
              <w:t>能够将数学、自然科学、工程基础和专业知识用于解决复杂工程问题。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463" w:type="pct"/>
            <w:shd w:val="clear" w:color="auto" w:fill="auto"/>
          </w:tcPr>
          <w:p>
            <w:pPr>
              <w:adjustRightInd w:val="0"/>
              <w:snapToGrid w:val="0"/>
              <w:spacing w:line="360" w:lineRule="auto"/>
              <w:rPr>
                <w:sz w:val="18"/>
                <w:szCs w:val="18"/>
              </w:rPr>
            </w:pPr>
            <w:r>
              <w:rPr>
                <w:rFonts w:hint="eastAsia" w:hAnsi="宋体"/>
                <w:bCs/>
                <w:sz w:val="18"/>
                <w:szCs w:val="18"/>
              </w:rPr>
              <w:t>能够进行毛坯制造和零件切削，具有对简单零件加工方法的初步选择及工艺过程的分析能力，</w:t>
            </w:r>
            <w:r>
              <w:rPr>
                <w:rFonts w:hint="eastAsia" w:hAnsi="宋体"/>
                <w:sz w:val="18"/>
                <w:szCs w:val="18"/>
              </w:rPr>
              <w:t>培养基本操作技能和科技创新意识，能够使用有关设备、附件、刀具、工具、量具，并具有操作主要设备和加工一般零件的实践能力；</w:t>
            </w:r>
          </w:p>
        </w:tc>
        <w:tc>
          <w:tcPr>
            <w:tcW w:w="2192" w:type="pct"/>
            <w:shd w:val="clear" w:color="auto" w:fill="auto"/>
          </w:tcPr>
          <w:p>
            <w:pPr>
              <w:adjustRightInd w:val="0"/>
              <w:snapToGrid w:val="0"/>
              <w:spacing w:line="360" w:lineRule="auto"/>
              <w:rPr>
                <w:sz w:val="18"/>
                <w:szCs w:val="18"/>
              </w:rPr>
            </w:pPr>
            <w:r>
              <w:rPr>
                <w:rFonts w:hint="eastAsia"/>
                <w:b/>
                <w:sz w:val="18"/>
                <w:szCs w:val="18"/>
              </w:rPr>
              <w:t>毕业要求5使用现代工具：</w:t>
            </w:r>
            <w:r>
              <w:rPr>
                <w:rFonts w:hint="eastAsia"/>
                <w:sz w:val="18"/>
                <w:szCs w:val="18"/>
              </w:rPr>
              <w:t>能够针对复杂工程问题，开发、选择与使用恰当的技术、资源、现代工程工具和信息技术工具，包括对复杂工程问题的预测与模拟，并能够理解其局限性。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463" w:type="pct"/>
            <w:shd w:val="clear" w:color="auto" w:fill="auto"/>
          </w:tcPr>
          <w:p>
            <w:pPr>
              <w:adjustRightInd w:val="0"/>
              <w:snapToGrid w:val="0"/>
              <w:spacing w:line="360" w:lineRule="auto"/>
              <w:rPr>
                <w:rFonts w:hAnsi="宋体"/>
                <w:sz w:val="18"/>
                <w:szCs w:val="18"/>
              </w:rPr>
            </w:pPr>
            <w:r>
              <w:rPr>
                <w:rFonts w:hint="eastAsia" w:hAnsi="宋体"/>
                <w:sz w:val="18"/>
                <w:szCs w:val="18"/>
              </w:rPr>
              <w:t>能够安全操作工具设备，做到安全实习培养劳动意识；机械工程意识，质量意识，成本意识，理论联系实际和严谨的工作作风。</w:t>
            </w:r>
          </w:p>
        </w:tc>
        <w:tc>
          <w:tcPr>
            <w:tcW w:w="2192" w:type="pct"/>
            <w:shd w:val="clear" w:color="auto" w:fill="auto"/>
          </w:tcPr>
          <w:p>
            <w:pPr>
              <w:adjustRightInd w:val="0"/>
              <w:snapToGrid w:val="0"/>
              <w:spacing w:line="360" w:lineRule="auto"/>
              <w:rPr>
                <w:sz w:val="18"/>
                <w:szCs w:val="18"/>
              </w:rPr>
            </w:pPr>
            <w:r>
              <w:rPr>
                <w:rFonts w:hint="eastAsia"/>
                <w:b/>
                <w:sz w:val="18"/>
                <w:szCs w:val="18"/>
              </w:rPr>
              <w:t>毕业要求8职业规范：</w:t>
            </w:r>
            <w:r>
              <w:rPr>
                <w:rFonts w:hint="eastAsia"/>
                <w:sz w:val="18"/>
                <w:szCs w:val="18"/>
              </w:rPr>
              <w:t>具有人文社会科学素养、社会责任感和社会主义核心价值观，初步了解航天、航空、兵器以及民用领域的规范性基础知识，在工程实践中理解并遵守工程职业道德和规范，履行责任。</w:t>
            </w:r>
          </w:p>
        </w:tc>
      </w:tr>
    </w:tbl>
    <w:p>
      <w:pPr>
        <w:adjustRightInd w:val="0"/>
        <w:snapToGrid w:val="0"/>
        <w:spacing w:line="360" w:lineRule="auto"/>
        <w:rPr>
          <w:rFonts w:eastAsia="黑体"/>
          <w:szCs w:val="21"/>
        </w:rPr>
      </w:pPr>
    </w:p>
    <w:p>
      <w:pPr>
        <w:adjustRightInd w:val="0"/>
        <w:snapToGrid w:val="0"/>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adjustRightInd w:val="0"/>
        <w:snapToGrid w:val="0"/>
        <w:spacing w:line="360" w:lineRule="auto"/>
        <w:ind w:firstLine="420" w:firstLineChars="200"/>
      </w:pPr>
      <w:r>
        <w:rPr>
          <w:rFonts w:hint="eastAsia" w:ascii="黑体" w:hAnsi="黑体" w:eastAsia="黑体"/>
          <w:szCs w:val="21"/>
        </w:rPr>
        <w:t>基本要求</w:t>
      </w:r>
    </w:p>
    <w:p>
      <w:pPr>
        <w:adjustRightInd w:val="0"/>
        <w:snapToGrid w:val="0"/>
        <w:spacing w:line="360" w:lineRule="auto"/>
        <w:ind w:firstLine="420" w:firstLineChars="200"/>
        <w:rPr>
          <w:rFonts w:hAnsi="宋体"/>
          <w:szCs w:val="21"/>
        </w:rPr>
      </w:pPr>
      <w:r>
        <w:rPr>
          <w:rFonts w:hint="eastAsia"/>
        </w:rPr>
        <w:t>建立机械制造过程的基本概念，了解毛坯制造和零件切削加工的主要方法，了解冷、热加工的有关设备、附件、刀具、工具、量具的结构性、用途机器使用方法，通过各主要工种的的操作练习，加强动手能力和分析问题与解决问题能力的培养，加深工艺知识的理解，在完成基本要求的同时，让学生接触数控机床加工等新技术，了解现代加工工艺知识。</w:t>
      </w:r>
    </w:p>
    <w:p>
      <w:pPr>
        <w:adjustRightInd w:val="0"/>
        <w:snapToGrid w:val="0"/>
        <w:spacing w:line="360" w:lineRule="auto"/>
        <w:ind w:firstLine="420" w:firstLineChars="200"/>
        <w:rPr>
          <w:rFonts w:eastAsia="黑体"/>
          <w:bCs/>
          <w:szCs w:val="21"/>
        </w:rPr>
      </w:pPr>
      <w:r>
        <w:rPr>
          <w:rFonts w:hint="eastAsia" w:eastAsia="黑体"/>
          <w:bCs/>
          <w:szCs w:val="21"/>
        </w:rPr>
        <w:t>第一部分  热处理0.5天</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left="420" w:leftChars="200"/>
        <w:rPr>
          <w:rFonts w:hAnsi="宋体"/>
          <w:szCs w:val="21"/>
        </w:rPr>
      </w:pPr>
      <w:r>
        <w:rPr>
          <w:rFonts w:hint="eastAsia" w:hAnsi="宋体"/>
          <w:szCs w:val="21"/>
        </w:rPr>
        <w:t>了解热处理安全操作规程，常用钢材的种类、牌号、性能、特点及选用常用热处理方法。</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left="420" w:leftChars="200"/>
        <w:rPr>
          <w:rFonts w:hAnsi="宋体"/>
          <w:szCs w:val="21"/>
        </w:rPr>
      </w:pPr>
      <w:r>
        <w:rPr>
          <w:rFonts w:hint="eastAsia" w:hAnsi="宋体"/>
          <w:szCs w:val="21"/>
        </w:rPr>
        <w:t>教材，安全操作规程，教学指导书。</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left="420" w:leftChars="200"/>
        <w:rPr>
          <w:rFonts w:hAnsi="宋体"/>
          <w:szCs w:val="21"/>
        </w:rPr>
      </w:pPr>
      <w:r>
        <w:rPr>
          <w:rFonts w:hint="eastAsia" w:hAnsi="宋体"/>
          <w:szCs w:val="21"/>
        </w:rPr>
        <w:t>分组由指导老师示范讲解。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left="420" w:leftChars="200"/>
        <w:rPr>
          <w:rFonts w:hAnsi="宋体"/>
          <w:szCs w:val="21"/>
        </w:rPr>
      </w:pPr>
      <w:r>
        <w:rPr>
          <w:rFonts w:hint="eastAsia" w:hAnsi="宋体"/>
          <w:szCs w:val="21"/>
        </w:rPr>
        <w:t>1） 二级安全教育；</w:t>
      </w:r>
    </w:p>
    <w:p>
      <w:pPr>
        <w:adjustRightInd w:val="0"/>
        <w:snapToGrid w:val="0"/>
        <w:spacing w:line="360" w:lineRule="auto"/>
        <w:ind w:left="420" w:leftChars="200"/>
        <w:rPr>
          <w:rFonts w:hAnsi="宋体"/>
          <w:szCs w:val="21"/>
        </w:rPr>
      </w:pPr>
      <w:r>
        <w:rPr>
          <w:rFonts w:hint="eastAsia" w:hAnsi="宋体"/>
          <w:szCs w:val="21"/>
        </w:rPr>
        <w:t>2） 热处理的概念:为了改变钢材内部的组织结构，以满足对零件的加工性能和使用性能的要求所施加的一种综合的热加工工艺过程。它包括三个环节：</w:t>
      </w:r>
    </w:p>
    <w:p>
      <w:pPr>
        <w:adjustRightInd w:val="0"/>
        <w:snapToGrid w:val="0"/>
        <w:spacing w:line="360" w:lineRule="auto"/>
        <w:ind w:left="420" w:leftChars="200"/>
        <w:rPr>
          <w:rFonts w:hAnsi="宋体"/>
          <w:szCs w:val="21"/>
        </w:rPr>
      </w:pPr>
      <w:r>
        <w:rPr>
          <w:rFonts w:hint="eastAsia" w:hAnsi="宋体"/>
          <w:szCs w:val="21"/>
        </w:rPr>
        <w:t>（1）加热到预定的温度（加热）；</w:t>
      </w:r>
    </w:p>
    <w:p>
      <w:pPr>
        <w:adjustRightInd w:val="0"/>
        <w:snapToGrid w:val="0"/>
        <w:spacing w:line="360" w:lineRule="auto"/>
        <w:ind w:left="420" w:leftChars="200"/>
        <w:rPr>
          <w:rFonts w:hAnsi="宋体"/>
          <w:szCs w:val="21"/>
        </w:rPr>
      </w:pPr>
      <w:r>
        <w:rPr>
          <w:rFonts w:hint="eastAsia" w:hAnsi="宋体"/>
          <w:szCs w:val="21"/>
        </w:rPr>
        <w:t>（2）在预定的温度下适当保温（保温），保温的时间与工件的尺寸和性能有关；</w:t>
      </w:r>
    </w:p>
    <w:p>
      <w:pPr>
        <w:adjustRightInd w:val="0"/>
        <w:snapToGrid w:val="0"/>
        <w:spacing w:line="360" w:lineRule="auto"/>
        <w:ind w:left="420" w:leftChars="200"/>
        <w:rPr>
          <w:rFonts w:hAnsi="宋体"/>
          <w:szCs w:val="21"/>
        </w:rPr>
      </w:pPr>
      <w:r>
        <w:rPr>
          <w:rFonts w:hint="eastAsia" w:hAnsi="宋体"/>
          <w:szCs w:val="21"/>
        </w:rPr>
        <w:t>（3）以预定的冷却速度冷却（冷却）。</w:t>
      </w:r>
    </w:p>
    <w:p>
      <w:pPr>
        <w:adjustRightInd w:val="0"/>
        <w:snapToGrid w:val="0"/>
        <w:spacing w:line="360" w:lineRule="auto"/>
        <w:ind w:left="420" w:leftChars="200"/>
        <w:rPr>
          <w:rFonts w:hAnsi="宋体"/>
          <w:szCs w:val="21"/>
        </w:rPr>
      </w:pPr>
      <w:r>
        <w:rPr>
          <w:rFonts w:hint="eastAsia" w:hAnsi="宋体"/>
          <w:szCs w:val="21"/>
        </w:rPr>
        <w:t>3） 介绍常见的热处理方法，目的要求及缺陷的产生；</w:t>
      </w:r>
    </w:p>
    <w:p>
      <w:pPr>
        <w:adjustRightInd w:val="0"/>
        <w:snapToGrid w:val="0"/>
        <w:spacing w:line="360" w:lineRule="auto"/>
        <w:ind w:left="420" w:leftChars="200"/>
        <w:rPr>
          <w:rFonts w:hAnsi="宋体"/>
          <w:szCs w:val="21"/>
        </w:rPr>
      </w:pPr>
      <w:r>
        <w:rPr>
          <w:rFonts w:hint="eastAsia" w:hAnsi="宋体"/>
          <w:szCs w:val="21"/>
        </w:rPr>
        <w:t>普通热处理包括：退火，正火，淬火，回火；</w:t>
      </w:r>
    </w:p>
    <w:p>
      <w:pPr>
        <w:adjustRightInd w:val="0"/>
        <w:snapToGrid w:val="0"/>
        <w:spacing w:line="360" w:lineRule="auto"/>
        <w:ind w:firstLine="424" w:firstLineChars="202"/>
        <w:rPr>
          <w:rFonts w:hAnsi="宋体"/>
          <w:szCs w:val="21"/>
        </w:rPr>
      </w:pPr>
      <w:r>
        <w:rPr>
          <w:rFonts w:hint="eastAsia" w:hAnsi="宋体"/>
          <w:szCs w:val="21"/>
        </w:rPr>
        <w:t>表面热处理包括：表面淬火（火焰加热表面和感应加热表面），化学热处理（渗碳，渗氮，碳氮共渗）。</w:t>
      </w:r>
    </w:p>
    <w:p>
      <w:pPr>
        <w:adjustRightInd w:val="0"/>
        <w:snapToGrid w:val="0"/>
        <w:spacing w:line="360" w:lineRule="auto"/>
        <w:ind w:left="420" w:leftChars="200"/>
        <w:rPr>
          <w:rFonts w:hAnsi="宋体"/>
          <w:szCs w:val="21"/>
        </w:rPr>
      </w:pPr>
      <w:r>
        <w:rPr>
          <w:rFonts w:hint="eastAsia" w:hAnsi="宋体"/>
          <w:szCs w:val="21"/>
        </w:rPr>
        <w:t>4）、介绍常用钢材的种类、牌号、性能、特点及选用。</w:t>
      </w:r>
    </w:p>
    <w:p>
      <w:pPr>
        <w:adjustRightInd w:val="0"/>
        <w:snapToGrid w:val="0"/>
        <w:spacing w:line="360" w:lineRule="auto"/>
        <w:ind w:left="420" w:leftChars="200"/>
        <w:rPr>
          <w:rFonts w:hAnsi="宋体"/>
          <w:szCs w:val="21"/>
        </w:rPr>
      </w:pPr>
      <w:r>
        <w:rPr>
          <w:rFonts w:hint="eastAsia" w:hAnsi="宋体"/>
          <w:szCs w:val="21"/>
        </w:rPr>
        <w:t>5）、介绍热处理的作用及退火、正火、淬火、回火方法目的。</w:t>
      </w:r>
    </w:p>
    <w:p>
      <w:pPr>
        <w:adjustRightInd w:val="0"/>
        <w:snapToGrid w:val="0"/>
        <w:spacing w:line="360" w:lineRule="auto"/>
        <w:ind w:left="420" w:leftChars="200"/>
        <w:rPr>
          <w:rFonts w:hAnsi="宋体"/>
          <w:szCs w:val="21"/>
        </w:rPr>
      </w:pPr>
      <w:r>
        <w:rPr>
          <w:rFonts w:hint="eastAsia" w:hAnsi="宋体"/>
          <w:szCs w:val="21"/>
        </w:rPr>
        <w:t>6）、三级安全教育</w:t>
      </w:r>
    </w:p>
    <w:p>
      <w:pPr>
        <w:adjustRightInd w:val="0"/>
        <w:snapToGrid w:val="0"/>
        <w:spacing w:line="360" w:lineRule="auto"/>
        <w:ind w:left="420" w:leftChars="200"/>
        <w:rPr>
          <w:rFonts w:hAnsi="宋体"/>
          <w:szCs w:val="21"/>
        </w:rPr>
      </w:pPr>
      <w:r>
        <w:rPr>
          <w:rFonts w:hint="eastAsia" w:hAnsi="宋体"/>
          <w:szCs w:val="21"/>
        </w:rPr>
        <w:t>7）、示范讲解</w:t>
      </w:r>
    </w:p>
    <w:p>
      <w:pPr>
        <w:adjustRightInd w:val="0"/>
        <w:snapToGrid w:val="0"/>
        <w:spacing w:line="360" w:lineRule="auto"/>
        <w:ind w:left="420" w:leftChars="200"/>
        <w:rPr>
          <w:rFonts w:hAnsi="宋体"/>
          <w:szCs w:val="21"/>
        </w:rPr>
      </w:pPr>
      <w:r>
        <w:rPr>
          <w:rFonts w:hint="eastAsia" w:hAnsi="宋体"/>
          <w:szCs w:val="21"/>
        </w:rPr>
        <w:t>（1）介绍常用热处理设备及操作方法。</w:t>
      </w:r>
    </w:p>
    <w:p>
      <w:pPr>
        <w:adjustRightInd w:val="0"/>
        <w:snapToGrid w:val="0"/>
        <w:spacing w:line="360" w:lineRule="auto"/>
        <w:ind w:left="420" w:leftChars="200"/>
        <w:rPr>
          <w:rFonts w:hAnsi="宋体"/>
          <w:szCs w:val="21"/>
        </w:rPr>
      </w:pPr>
      <w:r>
        <w:rPr>
          <w:rFonts w:hint="eastAsia" w:hAnsi="宋体"/>
          <w:szCs w:val="21"/>
        </w:rPr>
        <w:t>（2）淬火工艺的表演。</w:t>
      </w:r>
    </w:p>
    <w:p>
      <w:pPr>
        <w:adjustRightInd w:val="0"/>
        <w:snapToGrid w:val="0"/>
        <w:spacing w:line="360" w:lineRule="auto"/>
        <w:ind w:firstLine="420" w:firstLineChars="200"/>
        <w:rPr>
          <w:rFonts w:hAnsi="宋体"/>
          <w:szCs w:val="21"/>
        </w:rPr>
      </w:pPr>
      <w:r>
        <w:rPr>
          <w:rFonts w:hint="eastAsia"/>
          <w:szCs w:val="21"/>
        </w:rPr>
        <w:t>本章节内容支撑课程目标 1、3。</w:t>
      </w:r>
    </w:p>
    <w:p>
      <w:pPr>
        <w:adjustRightInd w:val="0"/>
        <w:snapToGrid w:val="0"/>
        <w:spacing w:line="360" w:lineRule="auto"/>
        <w:ind w:firstLine="424" w:firstLineChars="202"/>
        <w:rPr>
          <w:rFonts w:eastAsia="黑体"/>
          <w:bCs/>
          <w:szCs w:val="21"/>
        </w:rPr>
      </w:pPr>
      <w:r>
        <w:rPr>
          <w:rFonts w:hint="eastAsia" w:eastAsia="黑体"/>
          <w:bCs/>
          <w:szCs w:val="21"/>
        </w:rPr>
        <w:t>铸  造  2天</w:t>
      </w:r>
    </w:p>
    <w:p>
      <w:pPr>
        <w:adjustRightInd w:val="0"/>
        <w:snapToGrid w:val="0"/>
        <w:spacing w:line="360" w:lineRule="auto"/>
        <w:ind w:firstLine="420" w:firstLineChars="200"/>
        <w:rPr>
          <w:rFonts w:hAnsi="宋体"/>
          <w:szCs w:val="21"/>
        </w:rPr>
      </w:pPr>
      <w:r>
        <w:rPr>
          <w:rFonts w:hint="eastAsia" w:hAnsi="宋体"/>
          <w:szCs w:val="21"/>
        </w:rPr>
        <w:t>（一）铸造实习概述</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left="420" w:firstLine="420" w:firstLineChars="200"/>
        <w:rPr>
          <w:rFonts w:hAnsi="宋体"/>
          <w:szCs w:val="21"/>
        </w:rPr>
      </w:pPr>
      <w:r>
        <w:rPr>
          <w:rFonts w:hint="eastAsia" w:hAnsi="宋体"/>
          <w:szCs w:val="21"/>
        </w:rPr>
        <w:t>使学生明确铸工实习的内容、教学基本要求、教学环节、分组编号和注意事项。</w:t>
      </w:r>
    </w:p>
    <w:p>
      <w:pPr>
        <w:adjustRightInd w:val="0"/>
        <w:snapToGrid w:val="0"/>
        <w:spacing w:line="360" w:lineRule="auto"/>
        <w:ind w:firstLine="420" w:firstLineChars="200"/>
        <w:rPr>
          <w:rFonts w:hAnsi="宋体"/>
          <w:szCs w:val="21"/>
        </w:rPr>
      </w:pPr>
      <w:r>
        <w:rPr>
          <w:rFonts w:hint="eastAsia" w:hAnsi="宋体"/>
          <w:szCs w:val="21"/>
        </w:rPr>
        <w:t>2、教学文件及模型样品</w:t>
      </w:r>
    </w:p>
    <w:p>
      <w:pPr>
        <w:adjustRightInd w:val="0"/>
        <w:snapToGrid w:val="0"/>
        <w:spacing w:line="360" w:lineRule="auto"/>
        <w:ind w:left="420" w:firstLine="420" w:firstLineChars="200"/>
        <w:rPr>
          <w:rFonts w:hAnsi="宋体"/>
          <w:szCs w:val="21"/>
        </w:rPr>
      </w:pPr>
      <w:r>
        <w:rPr>
          <w:rFonts w:hint="eastAsia" w:hAnsi="宋体"/>
          <w:szCs w:val="21"/>
        </w:rPr>
        <w:t>教学文件：金工实习进程表、铸工实习签到表、实习有关规定、学生实习成绩登记卡、教学记录、教材、金工实习报告等。</w:t>
      </w:r>
    </w:p>
    <w:p>
      <w:pPr>
        <w:adjustRightInd w:val="0"/>
        <w:snapToGrid w:val="0"/>
        <w:spacing w:line="360" w:lineRule="auto"/>
        <w:ind w:firstLine="420" w:firstLineChars="200"/>
        <w:rPr>
          <w:rFonts w:hAnsi="宋体"/>
          <w:szCs w:val="21"/>
        </w:rPr>
      </w:pPr>
      <w:r>
        <w:rPr>
          <w:rFonts w:hint="eastAsia" w:hAnsi="宋体"/>
          <w:szCs w:val="21"/>
        </w:rPr>
        <w:t>模型样品：铸型模型、模样、型芯、芯盒、带浇注系统的铸件、铸件等。</w:t>
      </w:r>
    </w:p>
    <w:p>
      <w:pPr>
        <w:adjustRightInd w:val="0"/>
        <w:snapToGrid w:val="0"/>
        <w:spacing w:line="360" w:lineRule="auto"/>
        <w:ind w:firstLine="420" w:firstLineChars="200"/>
        <w:rPr>
          <w:rFonts w:hAnsi="宋体"/>
          <w:szCs w:val="21"/>
        </w:rPr>
      </w:pPr>
      <w:r>
        <w:rPr>
          <w:rFonts w:hint="eastAsia" w:hAnsi="宋体"/>
          <w:szCs w:val="21"/>
        </w:rPr>
        <w:t>3、讲解内容</w:t>
      </w:r>
    </w:p>
    <w:p>
      <w:pPr>
        <w:adjustRightInd w:val="0"/>
        <w:snapToGrid w:val="0"/>
        <w:spacing w:line="360" w:lineRule="auto"/>
        <w:ind w:left="210" w:leftChars="100" w:firstLine="420" w:firstLineChars="200"/>
        <w:rPr>
          <w:rFonts w:hAnsi="宋体"/>
          <w:szCs w:val="21"/>
        </w:rPr>
      </w:pPr>
      <w:r>
        <w:rPr>
          <w:rFonts w:hint="eastAsia" w:hAnsi="宋体"/>
          <w:szCs w:val="21"/>
        </w:rPr>
        <w:t>1）铸造安全操作规程</w:t>
      </w:r>
    </w:p>
    <w:p>
      <w:pPr>
        <w:adjustRightInd w:val="0"/>
        <w:snapToGrid w:val="0"/>
        <w:spacing w:line="360" w:lineRule="auto"/>
        <w:ind w:left="210" w:leftChars="100" w:firstLine="420" w:firstLineChars="200"/>
        <w:rPr>
          <w:rFonts w:hAnsi="宋体"/>
          <w:szCs w:val="21"/>
        </w:rPr>
      </w:pPr>
      <w:r>
        <w:rPr>
          <w:rFonts w:hint="eastAsia" w:hAnsi="宋体"/>
          <w:szCs w:val="21"/>
        </w:rPr>
        <w:t>2）结合模型样品讲解铸造及其生产工艺过程，指明生产铸件的两个主要条件是铸型和金属液。</w:t>
      </w:r>
    </w:p>
    <w:p>
      <w:pPr>
        <w:adjustRightInd w:val="0"/>
        <w:snapToGrid w:val="0"/>
        <w:spacing w:line="360" w:lineRule="auto"/>
        <w:ind w:left="210" w:leftChars="100" w:firstLine="420" w:firstLineChars="200"/>
        <w:rPr>
          <w:rFonts w:hAnsi="宋体"/>
          <w:szCs w:val="21"/>
        </w:rPr>
      </w:pPr>
      <w:r>
        <w:rPr>
          <w:rFonts w:hint="eastAsia" w:hAnsi="宋体"/>
          <w:szCs w:val="21"/>
        </w:rPr>
        <w:t>砂型铸造的生产过程包括：混制型砂、芯砂——造型、造芯——合型——熔化金属——浇注——落砂——清理——检验</w:t>
      </w:r>
    </w:p>
    <w:p>
      <w:pPr>
        <w:adjustRightInd w:val="0"/>
        <w:snapToGrid w:val="0"/>
        <w:spacing w:line="360" w:lineRule="auto"/>
        <w:ind w:left="210" w:leftChars="100" w:firstLine="420" w:firstLineChars="200"/>
        <w:rPr>
          <w:rFonts w:hAnsi="宋体"/>
          <w:szCs w:val="21"/>
        </w:rPr>
      </w:pPr>
      <w:r>
        <w:rPr>
          <w:rFonts w:hint="eastAsia" w:hAnsi="宋体"/>
          <w:szCs w:val="21"/>
        </w:rPr>
        <w:t>3）实习内容</w:t>
      </w:r>
    </w:p>
    <w:p>
      <w:pPr>
        <w:adjustRightInd w:val="0"/>
        <w:snapToGrid w:val="0"/>
        <w:spacing w:line="360" w:lineRule="auto"/>
        <w:ind w:left="210" w:leftChars="100" w:firstLine="420" w:firstLineChars="200"/>
        <w:rPr>
          <w:rFonts w:hAnsi="宋体"/>
          <w:szCs w:val="21"/>
        </w:rPr>
      </w:pPr>
      <w:r>
        <w:rPr>
          <w:rFonts w:hint="eastAsia" w:hAnsi="宋体"/>
          <w:szCs w:val="21"/>
        </w:rPr>
        <w:t>（1）造型：整模、分模、挖砂、三箱、活块、活砂等手工造型方法。</w:t>
      </w:r>
    </w:p>
    <w:p>
      <w:pPr>
        <w:adjustRightInd w:val="0"/>
        <w:snapToGrid w:val="0"/>
        <w:spacing w:line="360" w:lineRule="auto"/>
        <w:ind w:left="210" w:leftChars="100" w:firstLine="420" w:firstLineChars="200"/>
        <w:rPr>
          <w:rFonts w:hAnsi="宋体"/>
          <w:szCs w:val="21"/>
        </w:rPr>
      </w:pPr>
      <w:r>
        <w:rPr>
          <w:rFonts w:hint="eastAsia" w:hAnsi="宋体"/>
          <w:szCs w:val="21"/>
        </w:rPr>
        <w:t>（2）造芯。</w:t>
      </w:r>
    </w:p>
    <w:p>
      <w:pPr>
        <w:adjustRightInd w:val="0"/>
        <w:snapToGrid w:val="0"/>
        <w:spacing w:line="360" w:lineRule="auto"/>
        <w:ind w:left="210" w:leftChars="100" w:firstLine="420" w:firstLineChars="200"/>
        <w:rPr>
          <w:rFonts w:hAnsi="宋体"/>
          <w:szCs w:val="21"/>
        </w:rPr>
      </w:pPr>
      <w:r>
        <w:rPr>
          <w:rFonts w:hint="eastAsia" w:hAnsi="宋体"/>
          <w:szCs w:val="21"/>
        </w:rPr>
        <w:t>（3）熔化浇注、落砂清理。</w:t>
      </w:r>
    </w:p>
    <w:p>
      <w:pPr>
        <w:adjustRightInd w:val="0"/>
        <w:snapToGrid w:val="0"/>
        <w:spacing w:line="360" w:lineRule="auto"/>
        <w:ind w:left="210" w:leftChars="100" w:firstLine="420" w:firstLineChars="200"/>
        <w:rPr>
          <w:rFonts w:hAnsi="宋体"/>
          <w:szCs w:val="21"/>
        </w:rPr>
      </w:pPr>
      <w:r>
        <w:rPr>
          <w:rFonts w:hint="eastAsia" w:hAnsi="宋体"/>
          <w:szCs w:val="21"/>
        </w:rPr>
        <w:t>（4）创新铸件生产。</w:t>
      </w:r>
    </w:p>
    <w:p>
      <w:pPr>
        <w:adjustRightInd w:val="0"/>
        <w:snapToGrid w:val="0"/>
        <w:spacing w:line="360" w:lineRule="auto"/>
        <w:ind w:left="210" w:leftChars="100" w:firstLine="420" w:firstLineChars="200"/>
        <w:rPr>
          <w:rFonts w:hAnsi="宋体"/>
          <w:szCs w:val="21"/>
        </w:rPr>
      </w:pPr>
      <w:r>
        <w:rPr>
          <w:rFonts w:hint="eastAsia" w:hAnsi="宋体"/>
          <w:szCs w:val="21"/>
        </w:rPr>
        <w:t>4）实习方式与教学环节</w:t>
      </w:r>
    </w:p>
    <w:p>
      <w:pPr>
        <w:adjustRightInd w:val="0"/>
        <w:snapToGrid w:val="0"/>
        <w:spacing w:line="360" w:lineRule="auto"/>
        <w:ind w:left="210" w:leftChars="100" w:firstLine="420" w:firstLineChars="200"/>
        <w:rPr>
          <w:rFonts w:hAnsi="宋体"/>
          <w:szCs w:val="21"/>
        </w:rPr>
      </w:pPr>
      <w:r>
        <w:rPr>
          <w:rFonts w:hint="eastAsia" w:hAnsi="宋体"/>
          <w:szCs w:val="21"/>
        </w:rPr>
        <w:t>（1）指导师傅示范讲解。</w:t>
      </w:r>
    </w:p>
    <w:p>
      <w:pPr>
        <w:adjustRightInd w:val="0"/>
        <w:snapToGrid w:val="0"/>
        <w:spacing w:line="360" w:lineRule="auto"/>
        <w:ind w:left="210" w:leftChars="100" w:firstLine="420" w:firstLineChars="200"/>
        <w:rPr>
          <w:rFonts w:hAnsi="宋体"/>
          <w:szCs w:val="21"/>
        </w:rPr>
      </w:pPr>
      <w:r>
        <w:rPr>
          <w:rFonts w:hint="eastAsia" w:hAnsi="宋体"/>
          <w:szCs w:val="21"/>
        </w:rPr>
        <w:t>（2）学生独立操作。</w:t>
      </w:r>
    </w:p>
    <w:p>
      <w:pPr>
        <w:adjustRightInd w:val="0"/>
        <w:snapToGrid w:val="0"/>
        <w:spacing w:line="360" w:lineRule="auto"/>
        <w:ind w:left="210" w:leftChars="100" w:firstLine="420" w:firstLineChars="200"/>
        <w:rPr>
          <w:rFonts w:hAnsi="宋体"/>
          <w:szCs w:val="21"/>
        </w:rPr>
      </w:pPr>
      <w:r>
        <w:rPr>
          <w:rFonts w:hint="eastAsia" w:hAnsi="宋体"/>
          <w:szCs w:val="21"/>
        </w:rPr>
        <w:t>（3）现场解决学生所出现的问题。</w:t>
      </w:r>
    </w:p>
    <w:p>
      <w:pPr>
        <w:adjustRightInd w:val="0"/>
        <w:snapToGrid w:val="0"/>
        <w:spacing w:line="360" w:lineRule="auto"/>
        <w:ind w:left="210" w:leftChars="100" w:firstLine="420" w:firstLineChars="200"/>
        <w:rPr>
          <w:rFonts w:hAnsi="宋体"/>
          <w:szCs w:val="21"/>
        </w:rPr>
      </w:pPr>
      <w:r>
        <w:rPr>
          <w:rFonts w:hint="eastAsia" w:hAnsi="宋体"/>
          <w:szCs w:val="21"/>
        </w:rPr>
        <w:t>（4）创新铸件生产。</w:t>
      </w:r>
    </w:p>
    <w:p>
      <w:pPr>
        <w:adjustRightInd w:val="0"/>
        <w:snapToGrid w:val="0"/>
        <w:spacing w:line="360" w:lineRule="auto"/>
        <w:ind w:left="210" w:leftChars="100" w:firstLine="420" w:firstLineChars="200"/>
        <w:rPr>
          <w:rFonts w:hAnsi="宋体"/>
          <w:szCs w:val="21"/>
        </w:rPr>
      </w:pPr>
      <w:r>
        <w:rPr>
          <w:rFonts w:hint="eastAsia" w:hAnsi="宋体"/>
          <w:szCs w:val="21"/>
        </w:rPr>
        <w:t>（5）了解熔化工艺。</w:t>
      </w:r>
    </w:p>
    <w:p>
      <w:pPr>
        <w:adjustRightInd w:val="0"/>
        <w:snapToGrid w:val="0"/>
        <w:spacing w:line="360" w:lineRule="auto"/>
        <w:ind w:left="210" w:leftChars="100" w:firstLine="420" w:firstLineChars="200"/>
        <w:rPr>
          <w:rFonts w:hAnsi="宋体"/>
          <w:szCs w:val="21"/>
        </w:rPr>
      </w:pPr>
      <w:r>
        <w:rPr>
          <w:rFonts w:hint="eastAsia" w:hAnsi="宋体"/>
          <w:szCs w:val="21"/>
        </w:rPr>
        <w:t>（6）工艺综合训练。</w:t>
      </w:r>
    </w:p>
    <w:p>
      <w:pPr>
        <w:adjustRightInd w:val="0"/>
        <w:snapToGrid w:val="0"/>
        <w:spacing w:line="360" w:lineRule="auto"/>
        <w:ind w:left="210" w:leftChars="100" w:firstLine="420" w:firstLineChars="200"/>
        <w:rPr>
          <w:rFonts w:hAnsi="宋体"/>
          <w:szCs w:val="21"/>
        </w:rPr>
      </w:pPr>
      <w:r>
        <w:rPr>
          <w:rFonts w:hint="eastAsia" w:hAnsi="宋体"/>
          <w:szCs w:val="21"/>
        </w:rPr>
        <w:t>（7）造型操作考试。</w:t>
      </w:r>
    </w:p>
    <w:p>
      <w:pPr>
        <w:adjustRightInd w:val="0"/>
        <w:snapToGrid w:val="0"/>
        <w:spacing w:line="360" w:lineRule="auto"/>
        <w:ind w:left="210" w:leftChars="100" w:firstLine="420" w:firstLineChars="200"/>
        <w:rPr>
          <w:rFonts w:hAnsi="宋体"/>
          <w:szCs w:val="21"/>
        </w:rPr>
      </w:pPr>
      <w:r>
        <w:rPr>
          <w:rFonts w:hint="eastAsia" w:hAnsi="宋体"/>
          <w:szCs w:val="21"/>
        </w:rPr>
        <w:t>（8）实习总结。</w:t>
      </w:r>
    </w:p>
    <w:p>
      <w:pPr>
        <w:adjustRightInd w:val="0"/>
        <w:snapToGrid w:val="0"/>
        <w:spacing w:line="360" w:lineRule="auto"/>
        <w:ind w:left="210" w:leftChars="100" w:firstLine="420" w:firstLineChars="200"/>
        <w:rPr>
          <w:rFonts w:hAnsi="宋体"/>
          <w:szCs w:val="21"/>
        </w:rPr>
      </w:pPr>
      <w:r>
        <w:rPr>
          <w:rFonts w:hint="eastAsia" w:hAnsi="宋体"/>
          <w:szCs w:val="21"/>
        </w:rPr>
        <w:t>5）铸工实习教学基本要求</w:t>
      </w:r>
    </w:p>
    <w:p>
      <w:pPr>
        <w:adjustRightInd w:val="0"/>
        <w:snapToGrid w:val="0"/>
        <w:spacing w:line="360" w:lineRule="auto"/>
        <w:ind w:left="210" w:leftChars="100" w:firstLine="420" w:firstLineChars="200"/>
        <w:rPr>
          <w:rFonts w:hAnsi="宋体"/>
          <w:szCs w:val="21"/>
        </w:rPr>
      </w:pPr>
      <w:r>
        <w:rPr>
          <w:rFonts w:hint="eastAsia" w:hAnsi="宋体"/>
          <w:szCs w:val="21"/>
        </w:rPr>
        <w:t>（1）熟悉砂型铸造生产工艺过程、铸件成形特点、铸造生产优缺点和应用。</w:t>
      </w:r>
    </w:p>
    <w:p>
      <w:pPr>
        <w:adjustRightInd w:val="0"/>
        <w:snapToGrid w:val="0"/>
        <w:spacing w:line="360" w:lineRule="auto"/>
        <w:ind w:left="210" w:leftChars="100" w:firstLine="420" w:firstLineChars="200"/>
        <w:rPr>
          <w:rFonts w:hAnsi="宋体"/>
          <w:szCs w:val="21"/>
        </w:rPr>
      </w:pPr>
      <w:r>
        <w:rPr>
          <w:rFonts w:hint="eastAsia" w:hAnsi="宋体"/>
          <w:szCs w:val="21"/>
        </w:rPr>
        <w:t>（2）了解型砂的组成和性能要求。</w:t>
      </w:r>
    </w:p>
    <w:p>
      <w:pPr>
        <w:adjustRightInd w:val="0"/>
        <w:snapToGrid w:val="0"/>
        <w:spacing w:line="360" w:lineRule="auto"/>
        <w:ind w:left="210" w:leftChars="100" w:firstLine="420" w:firstLineChars="200"/>
        <w:rPr>
          <w:rFonts w:hAnsi="宋体"/>
          <w:szCs w:val="21"/>
        </w:rPr>
      </w:pPr>
      <w:r>
        <w:rPr>
          <w:rFonts w:hint="eastAsia" w:hAnsi="宋体"/>
          <w:szCs w:val="21"/>
        </w:rPr>
        <w:t>（3）掌握手工造型方法及其选择。熟悉砂型铸造工艺：浇注位置与分型面的确定及其表示方法，常见铸造工艺参数选择，型芯及其芯头的作用与型芯轮廓表示方法，浇注系统的组成及其作用。</w:t>
      </w:r>
    </w:p>
    <w:p>
      <w:pPr>
        <w:adjustRightInd w:val="0"/>
        <w:snapToGrid w:val="0"/>
        <w:spacing w:line="360" w:lineRule="auto"/>
        <w:ind w:left="210" w:leftChars="100" w:firstLine="420" w:firstLineChars="200"/>
        <w:rPr>
          <w:rFonts w:hAnsi="宋体"/>
          <w:szCs w:val="21"/>
        </w:rPr>
      </w:pPr>
      <w:r>
        <w:rPr>
          <w:rFonts w:hint="eastAsia" w:hAnsi="宋体"/>
          <w:szCs w:val="21"/>
        </w:rPr>
        <w:t>（4）掌握机器造型的工艺特点与应用。</w:t>
      </w:r>
    </w:p>
    <w:p>
      <w:pPr>
        <w:adjustRightInd w:val="0"/>
        <w:snapToGrid w:val="0"/>
        <w:spacing w:line="360" w:lineRule="auto"/>
        <w:ind w:left="210" w:leftChars="100" w:firstLine="420" w:firstLineChars="200"/>
        <w:rPr>
          <w:rFonts w:hAnsi="宋体"/>
          <w:szCs w:val="21"/>
        </w:rPr>
      </w:pPr>
      <w:r>
        <w:rPr>
          <w:rFonts w:hint="eastAsia" w:hAnsi="宋体"/>
          <w:szCs w:val="21"/>
        </w:rPr>
        <w:t>（5）了解常用铸造合金的熔炼方法和熔化设备。</w:t>
      </w:r>
    </w:p>
    <w:p>
      <w:pPr>
        <w:adjustRightInd w:val="0"/>
        <w:snapToGrid w:val="0"/>
        <w:spacing w:line="360" w:lineRule="auto"/>
        <w:ind w:left="210" w:leftChars="100" w:firstLine="420" w:firstLineChars="200"/>
        <w:rPr>
          <w:rFonts w:hAnsi="宋体"/>
          <w:szCs w:val="21"/>
        </w:rPr>
      </w:pPr>
      <w:r>
        <w:rPr>
          <w:rFonts w:hint="eastAsia" w:hAnsi="宋体"/>
          <w:szCs w:val="21"/>
        </w:rPr>
        <w:t>（6）了解浇注、落砂、清理的方法及其对铸件质量的影响。</w:t>
      </w:r>
    </w:p>
    <w:p>
      <w:pPr>
        <w:adjustRightInd w:val="0"/>
        <w:snapToGrid w:val="0"/>
        <w:spacing w:line="360" w:lineRule="auto"/>
        <w:ind w:left="210" w:leftChars="100" w:firstLine="420" w:firstLineChars="200"/>
        <w:rPr>
          <w:rFonts w:hAnsi="宋体"/>
          <w:szCs w:val="21"/>
        </w:rPr>
      </w:pPr>
      <w:r>
        <w:rPr>
          <w:rFonts w:hint="eastAsia" w:hAnsi="宋体"/>
          <w:szCs w:val="21"/>
        </w:rPr>
        <w:t>（7）了解常见铸造缺陷的名称、特征及其产生原因。</w:t>
      </w:r>
    </w:p>
    <w:p>
      <w:pPr>
        <w:adjustRightInd w:val="0"/>
        <w:snapToGrid w:val="0"/>
        <w:spacing w:line="360" w:lineRule="auto"/>
        <w:ind w:left="210" w:leftChars="100" w:firstLine="420" w:firstLineChars="200"/>
        <w:rPr>
          <w:rFonts w:hAnsi="宋体"/>
          <w:szCs w:val="21"/>
        </w:rPr>
      </w:pPr>
      <w:r>
        <w:rPr>
          <w:rFonts w:hint="eastAsia" w:hAnsi="宋体"/>
          <w:szCs w:val="21"/>
        </w:rPr>
        <w:t>（8）能独立进行整模、分模、挖砂等手工造型操作。</w:t>
      </w:r>
    </w:p>
    <w:p>
      <w:pPr>
        <w:adjustRightInd w:val="0"/>
        <w:snapToGrid w:val="0"/>
        <w:spacing w:line="360" w:lineRule="auto"/>
        <w:ind w:firstLine="420" w:firstLineChars="200"/>
        <w:rPr>
          <w:rFonts w:eastAsia="黑体"/>
          <w:bCs/>
          <w:szCs w:val="21"/>
        </w:rPr>
      </w:pPr>
      <w:r>
        <w:rPr>
          <w:rFonts w:hint="eastAsia" w:eastAsia="黑体"/>
          <w:bCs/>
          <w:szCs w:val="21"/>
        </w:rPr>
        <w:t>整模造型示范讲解及操作过程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1）了解砂型的制作过程和铸造生产工艺过程。</w:t>
      </w:r>
    </w:p>
    <w:p>
      <w:pPr>
        <w:adjustRightInd w:val="0"/>
        <w:snapToGrid w:val="0"/>
        <w:spacing w:line="360" w:lineRule="auto"/>
        <w:ind w:firstLine="420" w:firstLineChars="200"/>
        <w:rPr>
          <w:rFonts w:hAnsi="宋体"/>
          <w:szCs w:val="21"/>
        </w:rPr>
      </w:pPr>
      <w:r>
        <w:rPr>
          <w:rFonts w:hint="eastAsia" w:hAnsi="宋体"/>
          <w:szCs w:val="21"/>
        </w:rPr>
        <w:t>2）了解模样、铸件、零件的关系与区别。</w:t>
      </w:r>
    </w:p>
    <w:p>
      <w:pPr>
        <w:adjustRightInd w:val="0"/>
        <w:snapToGrid w:val="0"/>
        <w:spacing w:line="360" w:lineRule="auto"/>
        <w:ind w:firstLine="420" w:firstLineChars="200"/>
        <w:rPr>
          <w:rFonts w:hAnsi="宋体"/>
          <w:szCs w:val="21"/>
        </w:rPr>
      </w:pPr>
      <w:r>
        <w:rPr>
          <w:rFonts w:hint="eastAsia" w:hAnsi="宋体"/>
          <w:szCs w:val="21"/>
        </w:rPr>
        <w:t>3）了解工装和工具的名称、用途与使用方法。</w:t>
      </w:r>
    </w:p>
    <w:p>
      <w:pPr>
        <w:adjustRightInd w:val="0"/>
        <w:snapToGrid w:val="0"/>
        <w:spacing w:line="360" w:lineRule="auto"/>
        <w:ind w:firstLine="420" w:firstLineChars="200"/>
        <w:rPr>
          <w:rFonts w:hAnsi="宋体"/>
          <w:szCs w:val="21"/>
        </w:rPr>
      </w:pPr>
      <w:r>
        <w:rPr>
          <w:rFonts w:hint="eastAsia" w:hAnsi="宋体"/>
          <w:szCs w:val="21"/>
        </w:rPr>
        <w:t>4）了解砂芯的制作方法，初步了解砂芯、芯头、芯座的作用、形状和配合关系。</w:t>
      </w:r>
    </w:p>
    <w:p>
      <w:pPr>
        <w:adjustRightInd w:val="0"/>
        <w:snapToGrid w:val="0"/>
        <w:spacing w:line="360" w:lineRule="auto"/>
        <w:ind w:firstLine="420" w:firstLineChars="200"/>
        <w:rPr>
          <w:rFonts w:hAnsi="宋体"/>
          <w:szCs w:val="21"/>
        </w:rPr>
      </w:pPr>
      <w:r>
        <w:rPr>
          <w:rFonts w:hint="eastAsia" w:hAnsi="宋体"/>
          <w:szCs w:val="21"/>
        </w:rPr>
        <w:t>5）了解手工造型的安全技术。</w:t>
      </w:r>
    </w:p>
    <w:p>
      <w:pPr>
        <w:adjustRightInd w:val="0"/>
        <w:snapToGrid w:val="0"/>
        <w:spacing w:line="360" w:lineRule="auto"/>
        <w:ind w:firstLine="420" w:firstLineChars="200"/>
        <w:rPr>
          <w:rFonts w:hAnsi="宋体"/>
          <w:szCs w:val="21"/>
        </w:rPr>
      </w:pPr>
      <w:r>
        <w:rPr>
          <w:rFonts w:hint="eastAsia" w:hAnsi="宋体"/>
          <w:szCs w:val="21"/>
        </w:rPr>
        <w:t>2、教学工装及工具</w:t>
      </w:r>
    </w:p>
    <w:p>
      <w:pPr>
        <w:adjustRightInd w:val="0"/>
        <w:snapToGrid w:val="0"/>
        <w:spacing w:line="360" w:lineRule="auto"/>
        <w:ind w:firstLine="420" w:firstLineChars="200"/>
        <w:rPr>
          <w:rFonts w:hAnsi="宋体"/>
          <w:szCs w:val="21"/>
        </w:rPr>
      </w:pPr>
      <w:r>
        <w:rPr>
          <w:rFonts w:hint="eastAsia" w:hAnsi="宋体"/>
          <w:szCs w:val="21"/>
        </w:rPr>
        <w:t>1）整模造型模型及芯盒，工具箱底板还有两个砂箱。</w:t>
      </w:r>
    </w:p>
    <w:p>
      <w:pPr>
        <w:adjustRightInd w:val="0"/>
        <w:snapToGrid w:val="0"/>
        <w:spacing w:line="360" w:lineRule="auto"/>
        <w:ind w:firstLine="420" w:firstLineChars="200"/>
        <w:rPr>
          <w:rFonts w:hAnsi="宋体"/>
          <w:szCs w:val="21"/>
        </w:rPr>
      </w:pPr>
      <w:r>
        <w:rPr>
          <w:rFonts w:hint="eastAsia" w:hAnsi="宋体"/>
          <w:szCs w:val="21"/>
        </w:rPr>
        <w:t>2）手工造型工具1套（包括砂冲子、压勺、小铁锹、提钩、刮板、气孔针、取模针、直浇口棒、冒口棒、毛刷、水罐、刷水笔、分型砂盒等）。</w:t>
      </w:r>
    </w:p>
    <w:p>
      <w:pPr>
        <w:adjustRightInd w:val="0"/>
        <w:snapToGrid w:val="0"/>
        <w:spacing w:line="360" w:lineRule="auto"/>
        <w:ind w:firstLine="420" w:firstLineChars="200"/>
        <w:rPr>
          <w:rFonts w:hAnsi="宋体"/>
          <w:szCs w:val="21"/>
        </w:rPr>
      </w:pPr>
      <w:r>
        <w:rPr>
          <w:rFonts w:hint="eastAsia" w:hAnsi="宋体"/>
          <w:szCs w:val="21"/>
        </w:rPr>
        <w:t>3、教学内容、方法及步骤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2）边示范讲解手工两箱整模造型的操作过程和操作要领，并讲解所用工装与工具名称、用途和使用方法。</w:t>
      </w:r>
    </w:p>
    <w:p>
      <w:pPr>
        <w:adjustRightInd w:val="0"/>
        <w:snapToGrid w:val="0"/>
        <w:spacing w:line="360" w:lineRule="auto"/>
        <w:ind w:firstLine="420" w:firstLineChars="200"/>
        <w:rPr>
          <w:rFonts w:hAnsi="宋体"/>
          <w:szCs w:val="21"/>
        </w:rPr>
      </w:pPr>
      <w:r>
        <w:rPr>
          <w:rFonts w:hint="eastAsia" w:hAnsi="宋体"/>
          <w:szCs w:val="21"/>
        </w:rPr>
        <w:t>3）结合所造砂型和有型芯的整模造型的铸型模型，讲解铸型的组成和模样、型腔、铸件、零件之间的关系与区别。</w:t>
      </w:r>
    </w:p>
    <w:p>
      <w:pPr>
        <w:adjustRightInd w:val="0"/>
        <w:snapToGrid w:val="0"/>
        <w:spacing w:line="360" w:lineRule="auto"/>
        <w:ind w:firstLine="420" w:firstLineChars="200"/>
        <w:rPr>
          <w:rFonts w:hAnsi="宋体"/>
          <w:szCs w:val="21"/>
        </w:rPr>
      </w:pPr>
      <w:r>
        <w:rPr>
          <w:rFonts w:hint="eastAsia" w:hAnsi="宋体"/>
          <w:szCs w:val="21"/>
        </w:rPr>
        <w:t>4）讲解手工造型安全技术。</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1）型砂的组成：原砂、粘结剂、附加物、水</w:t>
      </w:r>
    </w:p>
    <w:p>
      <w:pPr>
        <w:adjustRightInd w:val="0"/>
        <w:snapToGrid w:val="0"/>
        <w:spacing w:line="360" w:lineRule="auto"/>
        <w:ind w:firstLine="420" w:firstLineChars="200"/>
        <w:rPr>
          <w:rFonts w:hAnsi="宋体"/>
          <w:szCs w:val="21"/>
        </w:rPr>
      </w:pPr>
      <w:r>
        <w:rPr>
          <w:rFonts w:hint="eastAsia" w:hAnsi="宋体"/>
          <w:szCs w:val="21"/>
        </w:rPr>
        <w:t>2）型砂的性能：强度、透气性、耐火性、退让性等</w:t>
      </w:r>
    </w:p>
    <w:p>
      <w:pPr>
        <w:adjustRightInd w:val="0"/>
        <w:snapToGrid w:val="0"/>
        <w:spacing w:line="360" w:lineRule="auto"/>
        <w:ind w:firstLine="420" w:firstLineChars="200"/>
        <w:rPr>
          <w:rFonts w:hAnsi="宋体"/>
          <w:szCs w:val="21"/>
        </w:rPr>
      </w:pPr>
      <w:r>
        <w:rPr>
          <w:rFonts w:hint="eastAsia" w:hAnsi="宋体"/>
          <w:szCs w:val="21"/>
        </w:rPr>
        <w:t>3）型芯也是铸型的重要组成部分，其主要作用是形成铸件的内腔。形状复杂的铸件，为了简化工艺和造型方便，有时利用型芯形成铸型的局部外形。</w:t>
      </w:r>
    </w:p>
    <w:p>
      <w:pPr>
        <w:adjustRightInd w:val="0"/>
        <w:snapToGrid w:val="0"/>
        <w:spacing w:line="360" w:lineRule="auto"/>
        <w:ind w:firstLine="420" w:firstLineChars="200"/>
        <w:rPr>
          <w:rFonts w:hAnsi="宋体"/>
          <w:szCs w:val="21"/>
        </w:rPr>
      </w:pPr>
      <w:r>
        <w:rPr>
          <w:rFonts w:hint="eastAsia" w:hAnsi="宋体"/>
          <w:szCs w:val="21"/>
        </w:rPr>
        <w:t>4）浇注系统是铸型中接受浇入液态金属并将其引入铸型型腔的一系列通道，简称浇口。</w:t>
      </w:r>
    </w:p>
    <w:p>
      <w:pPr>
        <w:adjustRightInd w:val="0"/>
        <w:snapToGrid w:val="0"/>
        <w:spacing w:line="360" w:lineRule="auto"/>
        <w:ind w:firstLine="420" w:firstLineChars="200"/>
        <w:rPr>
          <w:rFonts w:hAnsi="宋体"/>
          <w:szCs w:val="21"/>
        </w:rPr>
      </w:pPr>
      <w:r>
        <w:rPr>
          <w:rFonts w:hint="eastAsia"/>
          <w:szCs w:val="21"/>
        </w:rPr>
        <w:t xml:space="preserve">本节内容支撑课程目标 </w:t>
      </w:r>
      <w:r>
        <w:rPr>
          <w:szCs w:val="21"/>
        </w:rPr>
        <w:t>1</w:t>
      </w:r>
      <w:r>
        <w:rPr>
          <w:rFonts w:hint="eastAsia"/>
          <w:szCs w:val="21"/>
        </w:rPr>
        <w:t>、2、3。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挖砂造型示范讲解和操作过程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1）了解用挖砂造型的铸件的形状结构特点，不平分型面的制作要求和操作要领。</w:t>
      </w:r>
    </w:p>
    <w:p>
      <w:pPr>
        <w:adjustRightInd w:val="0"/>
        <w:snapToGrid w:val="0"/>
        <w:spacing w:line="360" w:lineRule="auto"/>
        <w:ind w:firstLine="420" w:firstLineChars="200"/>
        <w:rPr>
          <w:rFonts w:hAnsi="宋体"/>
          <w:szCs w:val="21"/>
        </w:rPr>
      </w:pPr>
      <w:r>
        <w:rPr>
          <w:rFonts w:hint="eastAsia" w:hAnsi="宋体"/>
          <w:szCs w:val="21"/>
        </w:rPr>
        <w:t>2）了解采用假箱和成型底板造型的条件和制作过程。</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1）常用手工造型的工装和工具。</w:t>
      </w:r>
    </w:p>
    <w:p>
      <w:pPr>
        <w:adjustRightInd w:val="0"/>
        <w:snapToGrid w:val="0"/>
        <w:spacing w:line="360" w:lineRule="auto"/>
        <w:ind w:firstLine="420" w:firstLineChars="200"/>
        <w:rPr>
          <w:rFonts w:hAnsi="宋体"/>
          <w:szCs w:val="21"/>
        </w:rPr>
      </w:pPr>
      <w:r>
        <w:rPr>
          <w:rFonts w:hint="eastAsia" w:hAnsi="宋体"/>
          <w:szCs w:val="21"/>
        </w:rPr>
        <w:t>2）成型底板和假箱实物模型。</w:t>
      </w:r>
    </w:p>
    <w:p>
      <w:pPr>
        <w:adjustRightInd w:val="0"/>
        <w:snapToGrid w:val="0"/>
        <w:spacing w:line="360" w:lineRule="auto"/>
        <w:ind w:firstLine="420" w:firstLineChars="200"/>
        <w:rPr>
          <w:rFonts w:hAnsi="宋体"/>
          <w:szCs w:val="21"/>
        </w:rPr>
      </w:pPr>
      <w:r>
        <w:rPr>
          <w:rFonts w:hint="eastAsia" w:hAnsi="宋体"/>
          <w:szCs w:val="21"/>
        </w:rPr>
        <w:t>3）挖砂造型的模样。</w:t>
      </w:r>
    </w:p>
    <w:p>
      <w:pPr>
        <w:adjustRightInd w:val="0"/>
        <w:snapToGrid w:val="0"/>
        <w:spacing w:line="360" w:lineRule="auto"/>
        <w:ind w:firstLine="420" w:firstLineChars="200"/>
        <w:rPr>
          <w:rFonts w:hAnsi="宋体"/>
          <w:szCs w:val="21"/>
        </w:rPr>
      </w:pPr>
      <w:r>
        <w:rPr>
          <w:rFonts w:hint="eastAsia" w:hAnsi="宋体"/>
          <w:szCs w:val="21"/>
        </w:rPr>
        <w:t>4）挖砂造型、假箱造型和成型底板造型挂图。</w:t>
      </w:r>
    </w:p>
    <w:p>
      <w:pPr>
        <w:adjustRightInd w:val="0"/>
        <w:snapToGrid w:val="0"/>
        <w:spacing w:line="360" w:lineRule="auto"/>
        <w:ind w:firstLine="420" w:firstLineChars="200"/>
        <w:rPr>
          <w:rFonts w:hAnsi="宋体"/>
          <w:szCs w:val="21"/>
        </w:rPr>
      </w:pPr>
      <w:r>
        <w:rPr>
          <w:rFonts w:hint="eastAsia" w:hAnsi="宋体"/>
          <w:szCs w:val="21"/>
        </w:rPr>
        <w:t>3、教学内容、方法及步骤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2）在示范讲解前，先发给学生挖砂造型的模样，布置操作要求。让学生自己考虑，如何造型并让学生试作。提示启发学生：分型面仍应在模样的最大截面处，以便取出模样。</w:t>
      </w:r>
    </w:p>
    <w:p>
      <w:pPr>
        <w:adjustRightInd w:val="0"/>
        <w:snapToGrid w:val="0"/>
        <w:spacing w:line="360" w:lineRule="auto"/>
        <w:ind w:firstLine="420" w:firstLineChars="200"/>
        <w:rPr>
          <w:rFonts w:hAnsi="宋体"/>
          <w:szCs w:val="21"/>
        </w:rPr>
      </w:pPr>
      <w:r>
        <w:rPr>
          <w:rFonts w:hint="eastAsia" w:hAnsi="宋体"/>
          <w:szCs w:val="21"/>
        </w:rPr>
        <w:t>3）由于模样的最大截面不在砂型表面，不能取模，因此需要把妨碍取模的那部分砂挖掉。讲解不平分型面的选择和操作要领。</w:t>
      </w:r>
    </w:p>
    <w:p>
      <w:pPr>
        <w:adjustRightInd w:val="0"/>
        <w:snapToGrid w:val="0"/>
        <w:spacing w:line="360" w:lineRule="auto"/>
        <w:ind w:firstLine="420" w:firstLineChars="200"/>
        <w:rPr>
          <w:rFonts w:hAnsi="宋体"/>
          <w:szCs w:val="21"/>
        </w:rPr>
      </w:pPr>
      <w:r>
        <w:rPr>
          <w:rFonts w:hint="eastAsia" w:hAnsi="宋体"/>
          <w:szCs w:val="21"/>
        </w:rPr>
        <w:t>4）总结挖砂造型的特点和适用范围，采用启发讨论式引出在小批量生产中，采用假箱和成型底板造型。</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分型面是砂型之间的面，分型面在模型的最大截面处，设置分型面的原则是使模型顺利取出。</w:t>
      </w:r>
    </w:p>
    <w:p>
      <w:pPr>
        <w:adjustRightInd w:val="0"/>
        <w:snapToGrid w:val="0"/>
        <w:spacing w:line="360" w:lineRule="auto"/>
        <w:ind w:firstLine="420" w:firstLineChars="200"/>
        <w:rPr>
          <w:rFonts w:hAnsi="宋体"/>
          <w:szCs w:val="21"/>
        </w:rPr>
      </w:pPr>
      <w:r>
        <w:rPr>
          <w:rFonts w:hint="eastAsia"/>
          <w:szCs w:val="21"/>
        </w:rPr>
        <w:t xml:space="preserve">本节内容支撑课程目标 </w:t>
      </w:r>
      <w:r>
        <w:rPr>
          <w:szCs w:val="21"/>
        </w:rPr>
        <w:t>1</w:t>
      </w:r>
      <w:r>
        <w:rPr>
          <w:rFonts w:hint="eastAsia"/>
          <w:szCs w:val="21"/>
        </w:rPr>
        <w:t>、2。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分模造型示范讲解和操作过程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1）了解分模模样的结构特点，分模造型的操作。</w:t>
      </w:r>
    </w:p>
    <w:p>
      <w:pPr>
        <w:adjustRightInd w:val="0"/>
        <w:snapToGrid w:val="0"/>
        <w:spacing w:line="360" w:lineRule="auto"/>
        <w:ind w:firstLine="420" w:firstLineChars="200"/>
        <w:rPr>
          <w:rFonts w:hAnsi="宋体"/>
          <w:szCs w:val="21"/>
        </w:rPr>
      </w:pPr>
      <w:r>
        <w:rPr>
          <w:rFonts w:hint="eastAsia" w:hAnsi="宋体"/>
          <w:szCs w:val="21"/>
        </w:rPr>
        <w:t>2）进一步了解砂芯的制作方法，了解芯骨的作用。</w:t>
      </w:r>
    </w:p>
    <w:p>
      <w:pPr>
        <w:adjustRightInd w:val="0"/>
        <w:snapToGrid w:val="0"/>
        <w:spacing w:line="360" w:lineRule="auto"/>
        <w:ind w:firstLine="420" w:firstLineChars="200"/>
        <w:rPr>
          <w:rFonts w:hAnsi="宋体"/>
          <w:szCs w:val="21"/>
        </w:rPr>
      </w:pPr>
      <w:r>
        <w:rPr>
          <w:rFonts w:hint="eastAsia" w:hAnsi="宋体"/>
          <w:szCs w:val="21"/>
        </w:rPr>
        <w:t>3）了解浇注系统的设置、组成及各部分的作用和比例关系。</w:t>
      </w:r>
    </w:p>
    <w:p>
      <w:pPr>
        <w:adjustRightInd w:val="0"/>
        <w:snapToGrid w:val="0"/>
        <w:spacing w:line="360" w:lineRule="auto"/>
        <w:ind w:firstLine="420" w:firstLineChars="200"/>
        <w:rPr>
          <w:rFonts w:hAnsi="宋体"/>
          <w:szCs w:val="21"/>
        </w:rPr>
      </w:pPr>
      <w:r>
        <w:rPr>
          <w:rFonts w:hint="eastAsia" w:hAnsi="宋体"/>
          <w:szCs w:val="21"/>
        </w:rPr>
        <w:t>4）了解下芯、合箱、验箱操作的基本要求和方法，以及由此操作不当产生的铸造缺陷。</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1）手工造型工装和工具。</w:t>
      </w:r>
    </w:p>
    <w:p>
      <w:pPr>
        <w:adjustRightInd w:val="0"/>
        <w:snapToGrid w:val="0"/>
        <w:spacing w:line="360" w:lineRule="auto"/>
        <w:ind w:firstLine="420" w:firstLineChars="200"/>
        <w:rPr>
          <w:rFonts w:hAnsi="宋体"/>
          <w:szCs w:val="21"/>
        </w:rPr>
      </w:pPr>
      <w:r>
        <w:rPr>
          <w:rFonts w:hint="eastAsia" w:hAnsi="宋体"/>
          <w:szCs w:val="21"/>
        </w:rPr>
        <w:t>2）分模模样和相应的铸件。</w:t>
      </w:r>
    </w:p>
    <w:p>
      <w:pPr>
        <w:adjustRightInd w:val="0"/>
        <w:snapToGrid w:val="0"/>
        <w:spacing w:line="360" w:lineRule="auto"/>
        <w:ind w:firstLine="420" w:firstLineChars="200"/>
        <w:rPr>
          <w:rFonts w:hAnsi="宋体"/>
          <w:szCs w:val="21"/>
        </w:rPr>
      </w:pPr>
      <w:r>
        <w:rPr>
          <w:rFonts w:hint="eastAsia" w:hAnsi="宋体"/>
          <w:szCs w:val="21"/>
        </w:rPr>
        <w:t>3）分模造型示范用的芯盒、芯骨等。</w:t>
      </w:r>
    </w:p>
    <w:p>
      <w:pPr>
        <w:adjustRightInd w:val="0"/>
        <w:snapToGrid w:val="0"/>
        <w:spacing w:line="360" w:lineRule="auto"/>
        <w:ind w:firstLine="420" w:firstLineChars="200"/>
        <w:rPr>
          <w:rFonts w:hAnsi="宋体"/>
          <w:szCs w:val="21"/>
        </w:rPr>
      </w:pPr>
      <w:r>
        <w:rPr>
          <w:rFonts w:hint="eastAsia" w:hAnsi="宋体"/>
          <w:szCs w:val="21"/>
        </w:rPr>
        <w:t>4）错箱和偏芯等铸造缺陷样品。</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2）结合两通接盘铸件，对比整模造型的铸件（或模样），分析铸件结构特点</w:t>
      </w:r>
    </w:p>
    <w:p>
      <w:pPr>
        <w:adjustRightInd w:val="0"/>
        <w:snapToGrid w:val="0"/>
        <w:spacing w:line="360" w:lineRule="auto"/>
        <w:ind w:firstLine="420" w:firstLineChars="200"/>
        <w:rPr>
          <w:rFonts w:hAnsi="宋体"/>
          <w:szCs w:val="21"/>
        </w:rPr>
      </w:pPr>
      <w:r>
        <w:rPr>
          <w:rFonts w:hint="eastAsia" w:hAnsi="宋体"/>
          <w:szCs w:val="21"/>
        </w:rPr>
        <w:t>3）铸件最大截面在中部，因此为了取模，要把模样制成分开模，引出分模造型。在两箱分模造型时，分型面和分模面重合（讲述分型面与分模面的概念）。</w:t>
      </w:r>
    </w:p>
    <w:p>
      <w:pPr>
        <w:adjustRightInd w:val="0"/>
        <w:snapToGrid w:val="0"/>
        <w:spacing w:line="360" w:lineRule="auto"/>
        <w:ind w:firstLine="420" w:firstLineChars="200"/>
        <w:rPr>
          <w:rFonts w:hAnsi="宋体"/>
          <w:szCs w:val="21"/>
        </w:rPr>
      </w:pPr>
      <w:r>
        <w:rPr>
          <w:rFonts w:hint="eastAsia" w:hAnsi="宋体"/>
          <w:szCs w:val="21"/>
        </w:rPr>
        <w:t>4）边示范边讲解分模造型的操作过程和要领。</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1）浇注系统的组成部分：外浇口、直浇口、横浇口、内浇口等。</w:t>
      </w:r>
    </w:p>
    <w:p>
      <w:pPr>
        <w:adjustRightInd w:val="0"/>
        <w:snapToGrid w:val="0"/>
        <w:spacing w:line="360" w:lineRule="auto"/>
        <w:ind w:firstLine="420" w:firstLineChars="200"/>
        <w:rPr>
          <w:rFonts w:hAnsi="宋体"/>
          <w:szCs w:val="21"/>
        </w:rPr>
      </w:pPr>
      <w:r>
        <w:rPr>
          <w:rFonts w:hint="eastAsia" w:hAnsi="宋体"/>
          <w:szCs w:val="21"/>
        </w:rPr>
        <w:t>2）型芯骨插在型芯的中间，是为了加强型芯的强度及刚度。</w:t>
      </w:r>
    </w:p>
    <w:p>
      <w:pPr>
        <w:adjustRightInd w:val="0"/>
        <w:snapToGrid w:val="0"/>
        <w:spacing w:line="360" w:lineRule="auto"/>
        <w:ind w:firstLine="420" w:firstLineChars="200"/>
        <w:rPr>
          <w:rFonts w:hAnsi="宋体"/>
          <w:szCs w:val="21"/>
        </w:rPr>
      </w:pPr>
      <w:r>
        <w:rPr>
          <w:rFonts w:hint="eastAsia" w:hAnsi="宋体"/>
          <w:szCs w:val="21"/>
        </w:rPr>
        <w:t>3）分模面是模型分开的面，分模面的设定原则是在不影响铸件外形的情况下把模型分成几部分，是模型能够顺利取出。</w:t>
      </w:r>
    </w:p>
    <w:p>
      <w:pPr>
        <w:adjustRightInd w:val="0"/>
        <w:snapToGrid w:val="0"/>
        <w:spacing w:line="360" w:lineRule="auto"/>
        <w:ind w:firstLine="420" w:firstLineChars="200"/>
        <w:rPr>
          <w:rFonts w:hAnsi="宋体"/>
          <w:szCs w:val="21"/>
        </w:rPr>
      </w:pPr>
      <w:r>
        <w:rPr>
          <w:rFonts w:hint="eastAsia"/>
          <w:szCs w:val="21"/>
        </w:rPr>
        <w:t xml:space="preserve">本节内容支撑课程目标 </w:t>
      </w:r>
      <w:r>
        <w:rPr>
          <w:szCs w:val="21"/>
        </w:rPr>
        <w:t>1</w:t>
      </w:r>
      <w:r>
        <w:rPr>
          <w:rFonts w:hint="eastAsia"/>
          <w:szCs w:val="21"/>
        </w:rPr>
        <w:t>、2。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活块造型示范讲解和操作过程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1）了解活块造型的方法、特点和适用范围。</w:t>
      </w:r>
    </w:p>
    <w:p>
      <w:pPr>
        <w:adjustRightInd w:val="0"/>
        <w:snapToGrid w:val="0"/>
        <w:spacing w:line="360" w:lineRule="auto"/>
        <w:ind w:firstLine="420" w:firstLineChars="200"/>
        <w:rPr>
          <w:rFonts w:hAnsi="宋体"/>
          <w:szCs w:val="21"/>
        </w:rPr>
      </w:pPr>
      <w:r>
        <w:rPr>
          <w:rFonts w:hint="eastAsia" w:hAnsi="宋体"/>
          <w:szCs w:val="21"/>
        </w:rPr>
        <w:t>2）了解活块造型操作步骤和操作要领。</w:t>
      </w:r>
    </w:p>
    <w:p>
      <w:pPr>
        <w:adjustRightInd w:val="0"/>
        <w:snapToGrid w:val="0"/>
        <w:spacing w:line="360" w:lineRule="auto"/>
        <w:ind w:firstLine="420" w:firstLineChars="200"/>
        <w:rPr>
          <w:rFonts w:hAnsi="宋体"/>
          <w:szCs w:val="21"/>
        </w:rPr>
      </w:pPr>
      <w:r>
        <w:rPr>
          <w:rFonts w:hint="eastAsia" w:hAnsi="宋体"/>
          <w:szCs w:val="21"/>
        </w:rPr>
        <w:t>3）了解压边浇口及活块的作用。</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1）手工造型工装和工具。</w:t>
      </w:r>
    </w:p>
    <w:p>
      <w:pPr>
        <w:adjustRightInd w:val="0"/>
        <w:snapToGrid w:val="0"/>
        <w:spacing w:line="360" w:lineRule="auto"/>
        <w:ind w:firstLine="420" w:firstLineChars="200"/>
        <w:rPr>
          <w:rFonts w:hAnsi="宋体"/>
          <w:szCs w:val="21"/>
        </w:rPr>
      </w:pPr>
      <w:r>
        <w:rPr>
          <w:rFonts w:hint="eastAsia" w:hAnsi="宋体"/>
          <w:szCs w:val="21"/>
        </w:rPr>
        <w:t>2）活块模型及活块、钉子、小勾子等。</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1）讲解目的要求和安排。</w:t>
      </w:r>
    </w:p>
    <w:p>
      <w:pPr>
        <w:adjustRightInd w:val="0"/>
        <w:snapToGrid w:val="0"/>
        <w:spacing w:line="360" w:lineRule="auto"/>
        <w:ind w:firstLine="420" w:firstLineChars="200"/>
        <w:rPr>
          <w:rFonts w:hAnsi="宋体"/>
          <w:szCs w:val="21"/>
        </w:rPr>
      </w:pPr>
      <w:r>
        <w:rPr>
          <w:rFonts w:hint="eastAsia" w:hAnsi="宋体"/>
          <w:szCs w:val="21"/>
        </w:rPr>
        <w:t>2）铸件沿取模方向侧壁有两个凸台，影响取模。可把凸台部分做成分离主体模的结构。从而引出活块造型方法。</w:t>
      </w:r>
    </w:p>
    <w:p>
      <w:pPr>
        <w:adjustRightInd w:val="0"/>
        <w:snapToGrid w:val="0"/>
        <w:spacing w:line="360" w:lineRule="auto"/>
        <w:ind w:firstLine="420" w:firstLineChars="200"/>
        <w:rPr>
          <w:rFonts w:hAnsi="宋体"/>
          <w:szCs w:val="21"/>
        </w:rPr>
      </w:pPr>
      <w:r>
        <w:rPr>
          <w:rFonts w:hint="eastAsia" w:hAnsi="宋体"/>
          <w:szCs w:val="21"/>
        </w:rPr>
        <w:t>3）边示范边讲解活块造型的操作过程和要领。</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1）铸件的凝固方法：同时凝固和顺序凝固。</w:t>
      </w:r>
    </w:p>
    <w:p>
      <w:pPr>
        <w:adjustRightInd w:val="0"/>
        <w:snapToGrid w:val="0"/>
        <w:spacing w:line="360" w:lineRule="auto"/>
        <w:ind w:firstLine="420" w:firstLineChars="200"/>
        <w:rPr>
          <w:rFonts w:hAnsi="宋体"/>
          <w:szCs w:val="21"/>
        </w:rPr>
      </w:pPr>
      <w:r>
        <w:rPr>
          <w:rFonts w:hint="eastAsia" w:hAnsi="宋体"/>
          <w:szCs w:val="21"/>
        </w:rPr>
        <w:t>2）浇注系统的选择，应该考虑铸件的结构以及凝固方法。</w:t>
      </w:r>
    </w:p>
    <w:p>
      <w:pPr>
        <w:adjustRightInd w:val="0"/>
        <w:snapToGrid w:val="0"/>
        <w:spacing w:line="360" w:lineRule="auto"/>
        <w:ind w:firstLine="420" w:firstLineChars="200"/>
        <w:rPr>
          <w:rFonts w:hAnsi="宋体"/>
          <w:szCs w:val="21"/>
        </w:rPr>
      </w:pPr>
      <w:r>
        <w:rPr>
          <w:rFonts w:hint="eastAsia"/>
          <w:szCs w:val="21"/>
        </w:rPr>
        <w:t>本节内容支撑课程目标1、2。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三箱造型示范讲解和操作过程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1）了解三箱造型的方法、特点和适用范围。</w:t>
      </w:r>
    </w:p>
    <w:p>
      <w:pPr>
        <w:adjustRightInd w:val="0"/>
        <w:snapToGrid w:val="0"/>
        <w:spacing w:line="360" w:lineRule="auto"/>
        <w:ind w:firstLine="420" w:firstLineChars="200"/>
        <w:rPr>
          <w:rFonts w:hAnsi="宋体"/>
          <w:szCs w:val="21"/>
        </w:rPr>
      </w:pPr>
      <w:r>
        <w:rPr>
          <w:rFonts w:hint="eastAsia" w:hAnsi="宋体"/>
          <w:szCs w:val="21"/>
        </w:rPr>
        <w:t>2）了解三箱造型操作步骤和操作要领。</w:t>
      </w:r>
    </w:p>
    <w:p>
      <w:pPr>
        <w:adjustRightInd w:val="0"/>
        <w:snapToGrid w:val="0"/>
        <w:spacing w:line="360" w:lineRule="auto"/>
        <w:ind w:firstLine="420" w:firstLineChars="200"/>
        <w:rPr>
          <w:rFonts w:hAnsi="宋体"/>
          <w:szCs w:val="21"/>
        </w:rPr>
      </w:pPr>
      <w:r>
        <w:rPr>
          <w:rFonts w:hint="eastAsia" w:hAnsi="宋体"/>
          <w:szCs w:val="21"/>
        </w:rPr>
        <w:t>3）了解冒口的分类作用以及形状。</w:t>
      </w:r>
    </w:p>
    <w:p>
      <w:pPr>
        <w:adjustRightInd w:val="0"/>
        <w:snapToGrid w:val="0"/>
        <w:spacing w:line="360" w:lineRule="auto"/>
        <w:ind w:firstLine="420" w:firstLineChars="200"/>
        <w:rPr>
          <w:rFonts w:hAnsi="宋体"/>
          <w:szCs w:val="21"/>
        </w:rPr>
      </w:pPr>
      <w:r>
        <w:rPr>
          <w:rFonts w:hint="eastAsia" w:hAnsi="宋体"/>
          <w:szCs w:val="21"/>
        </w:rPr>
        <w:t>4）了解两箱造型和三箱造型的区别。</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1）手工造型工装和工具。</w:t>
      </w:r>
    </w:p>
    <w:p>
      <w:pPr>
        <w:adjustRightInd w:val="0"/>
        <w:snapToGrid w:val="0"/>
        <w:spacing w:line="360" w:lineRule="auto"/>
        <w:ind w:firstLine="420" w:firstLineChars="200"/>
        <w:rPr>
          <w:rFonts w:hAnsi="宋体"/>
          <w:szCs w:val="21"/>
        </w:rPr>
      </w:pPr>
      <w:r>
        <w:rPr>
          <w:rFonts w:hint="eastAsia" w:hAnsi="宋体"/>
          <w:szCs w:val="21"/>
        </w:rPr>
        <w:t>2）三箱造型的模型。</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1）讲解目的要求和安排。</w:t>
      </w:r>
    </w:p>
    <w:p>
      <w:pPr>
        <w:adjustRightInd w:val="0"/>
        <w:snapToGrid w:val="0"/>
        <w:spacing w:line="360" w:lineRule="auto"/>
        <w:ind w:firstLine="420" w:firstLineChars="200"/>
        <w:rPr>
          <w:rFonts w:hAnsi="宋体"/>
          <w:szCs w:val="21"/>
        </w:rPr>
      </w:pPr>
      <w:r>
        <w:rPr>
          <w:rFonts w:hint="eastAsia" w:hAnsi="宋体"/>
          <w:szCs w:val="21"/>
        </w:rPr>
        <w:t>2）铸件沿起模方向两端大中间小。因此要设置两个分型面和一个分模面，以便取出模样。从而引出三箱造型方法。</w:t>
      </w:r>
    </w:p>
    <w:p>
      <w:pPr>
        <w:adjustRightInd w:val="0"/>
        <w:snapToGrid w:val="0"/>
        <w:spacing w:line="360" w:lineRule="auto"/>
        <w:ind w:firstLine="420" w:firstLineChars="200"/>
        <w:rPr>
          <w:rFonts w:hAnsi="宋体"/>
          <w:szCs w:val="21"/>
        </w:rPr>
      </w:pPr>
      <w:r>
        <w:rPr>
          <w:rFonts w:hint="eastAsia" w:hAnsi="宋体"/>
          <w:szCs w:val="21"/>
        </w:rPr>
        <w:t>3）边示范三箱造型边讲解操作过程和要领。</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1）内浇口位置的选择：顶注式、中注式、阶梯式、底注式</w:t>
      </w:r>
    </w:p>
    <w:p>
      <w:pPr>
        <w:adjustRightInd w:val="0"/>
        <w:snapToGrid w:val="0"/>
        <w:spacing w:line="360" w:lineRule="auto"/>
        <w:ind w:firstLine="420" w:firstLineChars="200"/>
        <w:rPr>
          <w:rFonts w:hAnsi="宋体"/>
          <w:szCs w:val="21"/>
        </w:rPr>
      </w:pPr>
      <w:r>
        <w:rPr>
          <w:rFonts w:hint="eastAsia" w:hAnsi="宋体"/>
          <w:szCs w:val="21"/>
        </w:rPr>
        <w:t>2）冒口是对于铸件凝固收缩进行补给，非铸件本体的附加部分。它具有补缩、排气、集渣等作用。</w:t>
      </w:r>
    </w:p>
    <w:p>
      <w:pPr>
        <w:adjustRightInd w:val="0"/>
        <w:snapToGrid w:val="0"/>
        <w:spacing w:line="360" w:lineRule="auto"/>
        <w:ind w:firstLine="420" w:firstLineChars="200"/>
        <w:rPr>
          <w:rFonts w:hAnsi="宋体"/>
          <w:szCs w:val="21"/>
        </w:rPr>
      </w:pPr>
      <w:r>
        <w:rPr>
          <w:rFonts w:hint="eastAsia" w:hAnsi="宋体"/>
          <w:szCs w:val="21"/>
        </w:rPr>
        <w:t>3）铸造圆角</w:t>
      </w:r>
    </w:p>
    <w:p>
      <w:pPr>
        <w:adjustRightInd w:val="0"/>
        <w:snapToGrid w:val="0"/>
        <w:spacing w:line="360" w:lineRule="auto"/>
        <w:ind w:firstLine="420" w:firstLineChars="200"/>
        <w:rPr>
          <w:rFonts w:ascii="黑体" w:hAnsi="黑体" w:eastAsia="黑体"/>
          <w:szCs w:val="21"/>
        </w:rPr>
      </w:pPr>
      <w:r>
        <w:rPr>
          <w:rFonts w:hint="eastAsia"/>
          <w:szCs w:val="21"/>
        </w:rPr>
        <w:t>本节内容支撑课程目标 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活砂造型示范讲解和操作过程</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1）了解活砂造型操作方法与要领。</w:t>
      </w:r>
    </w:p>
    <w:p>
      <w:pPr>
        <w:adjustRightInd w:val="0"/>
        <w:snapToGrid w:val="0"/>
        <w:spacing w:line="360" w:lineRule="auto"/>
        <w:ind w:firstLine="420" w:firstLineChars="200"/>
        <w:rPr>
          <w:rFonts w:hAnsi="宋体"/>
          <w:szCs w:val="21"/>
        </w:rPr>
      </w:pPr>
      <w:r>
        <w:rPr>
          <w:rFonts w:hint="eastAsia" w:hAnsi="宋体"/>
          <w:szCs w:val="21"/>
        </w:rPr>
        <w:t>2）了解活砂造型的特点和适用范围。</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1）手工造型的工装和工具。</w:t>
      </w:r>
    </w:p>
    <w:p>
      <w:pPr>
        <w:adjustRightInd w:val="0"/>
        <w:snapToGrid w:val="0"/>
        <w:spacing w:line="360" w:lineRule="auto"/>
        <w:ind w:firstLine="420" w:firstLineChars="200"/>
        <w:rPr>
          <w:rFonts w:hAnsi="宋体"/>
          <w:szCs w:val="21"/>
        </w:rPr>
      </w:pPr>
      <w:r>
        <w:rPr>
          <w:rFonts w:hint="eastAsia" w:hAnsi="宋体"/>
          <w:szCs w:val="21"/>
        </w:rPr>
        <w:t>2）活砂造型用的模样。</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2）分析模样结构特点，从三箱造型引到活砂造型。</w:t>
      </w:r>
    </w:p>
    <w:p>
      <w:pPr>
        <w:adjustRightInd w:val="0"/>
        <w:snapToGrid w:val="0"/>
        <w:spacing w:line="360" w:lineRule="auto"/>
        <w:ind w:firstLine="420" w:firstLineChars="200"/>
        <w:rPr>
          <w:rFonts w:hAnsi="宋体"/>
          <w:szCs w:val="21"/>
        </w:rPr>
      </w:pPr>
      <w:r>
        <w:rPr>
          <w:rFonts w:hint="eastAsia" w:hAnsi="宋体"/>
          <w:szCs w:val="21"/>
        </w:rPr>
        <w:t>3）边示范活砂造型，边讲解活砂造型的操作过程与要领。</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1）相同结构的铸件，由于形状和尺寸的不同，所选择的造型方法也有区别。</w:t>
      </w:r>
    </w:p>
    <w:p>
      <w:pPr>
        <w:adjustRightInd w:val="0"/>
        <w:snapToGrid w:val="0"/>
        <w:spacing w:line="360" w:lineRule="auto"/>
        <w:ind w:firstLine="420" w:firstLineChars="200"/>
        <w:rPr>
          <w:rFonts w:hAnsi="宋体"/>
          <w:szCs w:val="21"/>
        </w:rPr>
      </w:pPr>
      <w:r>
        <w:rPr>
          <w:rFonts w:hint="eastAsia" w:hAnsi="宋体"/>
          <w:szCs w:val="21"/>
        </w:rPr>
        <w:t>2）造型工艺的制定对于铸件的影响很大，操作不当会造成很多铸造缺陷。</w:t>
      </w:r>
    </w:p>
    <w:p>
      <w:pPr>
        <w:adjustRightInd w:val="0"/>
        <w:snapToGrid w:val="0"/>
        <w:spacing w:line="360" w:lineRule="auto"/>
        <w:ind w:firstLine="420" w:firstLineChars="200"/>
        <w:rPr>
          <w:rFonts w:hAnsi="宋体"/>
          <w:szCs w:val="21"/>
        </w:rPr>
      </w:pPr>
      <w:r>
        <w:rPr>
          <w:rFonts w:hint="eastAsia"/>
          <w:szCs w:val="21"/>
        </w:rPr>
        <w:t>本节内容支撑课程目标 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熔炼工艺以及创新件的操作</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1）了解常用铸造合金（铸铁、铸钢、铝、铜）的熔炼方法。</w:t>
      </w:r>
    </w:p>
    <w:p>
      <w:pPr>
        <w:adjustRightInd w:val="0"/>
        <w:snapToGrid w:val="0"/>
        <w:spacing w:line="360" w:lineRule="auto"/>
        <w:ind w:firstLine="420" w:firstLineChars="200"/>
        <w:rPr>
          <w:rFonts w:hAnsi="宋体"/>
          <w:szCs w:val="21"/>
        </w:rPr>
      </w:pPr>
      <w:r>
        <w:rPr>
          <w:rFonts w:hint="eastAsia" w:hAnsi="宋体"/>
          <w:szCs w:val="21"/>
        </w:rPr>
        <w:t>2）了解常用熔化设备的工作原理及应用特点。</w:t>
      </w:r>
    </w:p>
    <w:p>
      <w:pPr>
        <w:adjustRightInd w:val="0"/>
        <w:snapToGrid w:val="0"/>
        <w:spacing w:line="360" w:lineRule="auto"/>
        <w:ind w:firstLine="420" w:firstLineChars="200"/>
        <w:rPr>
          <w:rFonts w:hAnsi="宋体"/>
          <w:szCs w:val="21"/>
        </w:rPr>
      </w:pPr>
      <w:r>
        <w:rPr>
          <w:rFonts w:hint="eastAsia" w:hAnsi="宋体"/>
          <w:szCs w:val="21"/>
        </w:rPr>
        <w:t>3）通过创新件的浇注成形，了解金属液浇注的注意事项和要领。</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1）熔化铝的电阻坩埚炉。</w:t>
      </w:r>
    </w:p>
    <w:p>
      <w:pPr>
        <w:adjustRightInd w:val="0"/>
        <w:snapToGrid w:val="0"/>
        <w:spacing w:line="360" w:lineRule="auto"/>
        <w:ind w:firstLine="420" w:firstLineChars="200"/>
        <w:rPr>
          <w:rFonts w:hAnsi="宋体"/>
          <w:szCs w:val="21"/>
        </w:rPr>
      </w:pPr>
      <w:r>
        <w:rPr>
          <w:rFonts w:hint="eastAsia" w:hAnsi="宋体"/>
          <w:szCs w:val="21"/>
        </w:rPr>
        <w:t>2）手工造型的工装和工具。</w:t>
      </w:r>
    </w:p>
    <w:p>
      <w:pPr>
        <w:adjustRightInd w:val="0"/>
        <w:snapToGrid w:val="0"/>
        <w:spacing w:line="360" w:lineRule="auto"/>
        <w:ind w:firstLine="420" w:firstLineChars="200"/>
        <w:rPr>
          <w:rFonts w:hAnsi="宋体"/>
          <w:szCs w:val="21"/>
        </w:rPr>
      </w:pPr>
      <w:r>
        <w:rPr>
          <w:rFonts w:hint="eastAsia" w:hAnsi="宋体"/>
          <w:szCs w:val="21"/>
        </w:rPr>
        <w:t>3）创新件用的模样。</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2）三种典型熔炼设备（冲天炉、中频感应电炉和电阻坩锅炉）的名称和用途。</w:t>
      </w:r>
    </w:p>
    <w:p>
      <w:pPr>
        <w:adjustRightInd w:val="0"/>
        <w:snapToGrid w:val="0"/>
        <w:spacing w:line="360" w:lineRule="auto"/>
        <w:ind w:firstLine="420" w:firstLineChars="200"/>
        <w:rPr>
          <w:rFonts w:hAnsi="宋体"/>
          <w:szCs w:val="21"/>
        </w:rPr>
      </w:pPr>
      <w:r>
        <w:rPr>
          <w:rFonts w:hint="eastAsia" w:hAnsi="宋体"/>
          <w:szCs w:val="21"/>
        </w:rPr>
        <w:t>3）熔炼工艺及熔化的过程。</w:t>
      </w:r>
    </w:p>
    <w:p>
      <w:pPr>
        <w:adjustRightInd w:val="0"/>
        <w:snapToGrid w:val="0"/>
        <w:spacing w:line="360" w:lineRule="auto"/>
        <w:ind w:firstLine="420" w:firstLineChars="200"/>
        <w:rPr>
          <w:rFonts w:hAnsi="宋体"/>
          <w:szCs w:val="21"/>
        </w:rPr>
      </w:pPr>
      <w:r>
        <w:rPr>
          <w:rFonts w:hint="eastAsia" w:hAnsi="宋体"/>
          <w:szCs w:val="21"/>
        </w:rPr>
        <w:t>4）浇注温度和浇注速度的控制与掌握。</w:t>
      </w:r>
    </w:p>
    <w:p>
      <w:pPr>
        <w:adjustRightInd w:val="0"/>
        <w:snapToGrid w:val="0"/>
        <w:spacing w:line="360" w:lineRule="auto"/>
        <w:ind w:firstLine="420" w:firstLineChars="200"/>
        <w:rPr>
          <w:rFonts w:hAnsi="宋体"/>
          <w:szCs w:val="21"/>
        </w:rPr>
      </w:pPr>
      <w:r>
        <w:rPr>
          <w:rFonts w:hint="eastAsia" w:hAnsi="宋体"/>
          <w:szCs w:val="21"/>
        </w:rPr>
        <w:t>4、基础知识</w:t>
      </w:r>
    </w:p>
    <w:p>
      <w:pPr>
        <w:adjustRightInd w:val="0"/>
        <w:snapToGrid w:val="0"/>
        <w:spacing w:line="360" w:lineRule="auto"/>
        <w:ind w:firstLine="420" w:firstLineChars="200"/>
        <w:rPr>
          <w:rFonts w:hAnsi="宋体"/>
          <w:szCs w:val="21"/>
        </w:rPr>
      </w:pPr>
      <w:r>
        <w:rPr>
          <w:rFonts w:hint="eastAsia" w:hAnsi="宋体"/>
          <w:szCs w:val="21"/>
        </w:rPr>
        <w:t>1） 铸件一般是用合金制成。铸造用合金统称为铸造合金。常用的铸造合金有：铸铁、铸钢、铜合金及铝合金等。</w:t>
      </w:r>
    </w:p>
    <w:p>
      <w:pPr>
        <w:adjustRightInd w:val="0"/>
        <w:snapToGrid w:val="0"/>
        <w:spacing w:line="360" w:lineRule="auto"/>
        <w:ind w:firstLine="420" w:firstLineChars="200"/>
        <w:rPr>
          <w:rFonts w:hAnsi="宋体"/>
          <w:szCs w:val="21"/>
        </w:rPr>
      </w:pPr>
      <w:r>
        <w:rPr>
          <w:rFonts w:hint="eastAsia" w:hAnsi="宋体"/>
          <w:szCs w:val="21"/>
        </w:rPr>
        <w:t>2） 常用的化铁炉有搀炉、三节炉、冲天炉和工频电炉等，其中以冲天炉应用最广；炼铸钢的方法多用碱性电弧炉；铸造铝合金的熔炼所使用的熔炼炉很多，按传热方式可分为坩埚炉和反射炉。</w:t>
      </w:r>
    </w:p>
    <w:p>
      <w:pPr>
        <w:adjustRightInd w:val="0"/>
        <w:snapToGrid w:val="0"/>
        <w:spacing w:line="360" w:lineRule="auto"/>
        <w:ind w:firstLine="420" w:firstLineChars="200"/>
        <w:rPr>
          <w:rFonts w:hAnsi="宋体"/>
          <w:szCs w:val="21"/>
        </w:rPr>
      </w:pPr>
      <w:r>
        <w:rPr>
          <w:rFonts w:hint="eastAsia" w:hAnsi="宋体"/>
          <w:szCs w:val="21"/>
        </w:rPr>
        <w:t>3） 典型的铝合金熔炼大致分为以下几个环节：</w:t>
      </w:r>
    </w:p>
    <w:p>
      <w:pPr>
        <w:adjustRightInd w:val="0"/>
        <w:snapToGrid w:val="0"/>
        <w:spacing w:line="360" w:lineRule="auto"/>
        <w:ind w:firstLine="420" w:firstLineChars="200"/>
        <w:rPr>
          <w:rFonts w:hAnsi="宋体"/>
          <w:szCs w:val="21"/>
        </w:rPr>
      </w:pPr>
      <w:r>
        <w:rPr>
          <w:rFonts w:hint="eastAsia" w:hAnsi="宋体"/>
          <w:szCs w:val="21"/>
        </w:rPr>
        <w:t>熔化前的准备→装料→熔化→调整化学成分→精炼→变质处理→调整炉温→浇注。</w:t>
      </w:r>
    </w:p>
    <w:p>
      <w:pPr>
        <w:adjustRightInd w:val="0"/>
        <w:snapToGrid w:val="0"/>
        <w:spacing w:line="360" w:lineRule="auto"/>
        <w:ind w:firstLine="420" w:firstLineChars="200"/>
        <w:rPr>
          <w:rFonts w:hAnsi="宋体"/>
          <w:szCs w:val="21"/>
        </w:rPr>
      </w:pPr>
      <w:r>
        <w:rPr>
          <w:rFonts w:hint="eastAsia" w:hAnsi="宋体"/>
          <w:szCs w:val="21"/>
        </w:rPr>
        <w:t>4）浇注温度的高低和浇注速度的快慢要按照铸件的金属材料和结构设定。</w:t>
      </w:r>
    </w:p>
    <w:p>
      <w:pPr>
        <w:adjustRightInd w:val="0"/>
        <w:snapToGrid w:val="0"/>
        <w:spacing w:line="360" w:lineRule="auto"/>
        <w:ind w:firstLine="420" w:firstLineChars="200"/>
        <w:rPr>
          <w:rFonts w:hAnsi="宋体"/>
          <w:szCs w:val="21"/>
        </w:rPr>
      </w:pPr>
      <w:r>
        <w:rPr>
          <w:rFonts w:hint="eastAsia"/>
          <w:szCs w:val="21"/>
        </w:rPr>
        <w:t>本节内容支撑课程目标1、2。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铸造缺陷分析</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1）了解常见的铸件缺陷的名称、特征和产生原因。</w:t>
      </w:r>
    </w:p>
    <w:p>
      <w:pPr>
        <w:adjustRightInd w:val="0"/>
        <w:snapToGrid w:val="0"/>
        <w:spacing w:line="360" w:lineRule="auto"/>
        <w:ind w:firstLine="420" w:firstLineChars="200"/>
        <w:rPr>
          <w:rFonts w:hAnsi="宋体"/>
          <w:szCs w:val="21"/>
        </w:rPr>
      </w:pPr>
      <w:r>
        <w:rPr>
          <w:rFonts w:hint="eastAsia" w:hAnsi="宋体"/>
          <w:szCs w:val="21"/>
        </w:rPr>
        <w:t>2）了解铸件缺陷造成的影响。</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常见的铸件缺陷的样品，包括气孔、缩孔、缩松、裂纹（热裂、冷裂）、冷隔、夹砂、粘砂、表面粗糙、浇不到、错箱、偏芯、变形、砂眼、渣眼等，每种1-2件。</w:t>
      </w:r>
    </w:p>
    <w:p>
      <w:pPr>
        <w:adjustRightInd w:val="0"/>
        <w:snapToGrid w:val="0"/>
        <w:spacing w:line="360" w:lineRule="auto"/>
        <w:ind w:firstLine="420" w:firstLineChars="200"/>
        <w:rPr>
          <w:rFonts w:hAnsi="宋体"/>
          <w:szCs w:val="21"/>
        </w:rPr>
      </w:pPr>
      <w:r>
        <w:rPr>
          <w:rFonts w:hint="eastAsia" w:hAnsi="宋体"/>
          <w:szCs w:val="21"/>
        </w:rPr>
        <w:t>3、教学内容、方法与步骤</w:t>
      </w:r>
    </w:p>
    <w:p>
      <w:pPr>
        <w:adjustRightInd w:val="0"/>
        <w:snapToGrid w:val="0"/>
        <w:spacing w:line="360" w:lineRule="auto"/>
        <w:ind w:firstLine="420" w:firstLineChars="200"/>
        <w:rPr>
          <w:rFonts w:hAnsi="宋体"/>
          <w:szCs w:val="21"/>
        </w:rPr>
      </w:pPr>
      <w:r>
        <w:rPr>
          <w:rFonts w:hint="eastAsia" w:hAnsi="宋体"/>
          <w:szCs w:val="21"/>
        </w:rPr>
        <w:t>1）讲解目的要求。</w:t>
      </w:r>
    </w:p>
    <w:p>
      <w:pPr>
        <w:adjustRightInd w:val="0"/>
        <w:snapToGrid w:val="0"/>
        <w:spacing w:line="360" w:lineRule="auto"/>
        <w:ind w:firstLine="420" w:firstLineChars="200"/>
        <w:rPr>
          <w:rFonts w:hAnsi="宋体"/>
          <w:szCs w:val="21"/>
        </w:rPr>
      </w:pPr>
      <w:r>
        <w:rPr>
          <w:rFonts w:hint="eastAsia" w:hAnsi="宋体"/>
          <w:szCs w:val="21"/>
        </w:rPr>
        <w:t>2）把铸件缺陷样品按类别陈列，并有名称标牌。结合样品讲解常见的铸件缺陷的种类、名称、特征和产生原因。</w:t>
      </w:r>
    </w:p>
    <w:p>
      <w:pPr>
        <w:adjustRightInd w:val="0"/>
        <w:snapToGrid w:val="0"/>
        <w:spacing w:line="360" w:lineRule="auto"/>
        <w:ind w:firstLine="420" w:firstLineChars="200"/>
        <w:rPr>
          <w:rFonts w:hAnsi="宋体"/>
          <w:szCs w:val="21"/>
        </w:rPr>
      </w:pPr>
      <w:r>
        <w:rPr>
          <w:rFonts w:hint="eastAsia" w:hAnsi="宋体"/>
          <w:szCs w:val="21"/>
        </w:rPr>
        <w:t>（1）孔洞类缺陷  气孔、缩孔、缩松等。</w:t>
      </w:r>
    </w:p>
    <w:p>
      <w:pPr>
        <w:adjustRightInd w:val="0"/>
        <w:snapToGrid w:val="0"/>
        <w:spacing w:line="360" w:lineRule="auto"/>
        <w:ind w:firstLine="420" w:firstLineChars="200"/>
        <w:rPr>
          <w:rFonts w:hAnsi="宋体"/>
          <w:szCs w:val="21"/>
        </w:rPr>
      </w:pPr>
      <w:r>
        <w:rPr>
          <w:rFonts w:hint="eastAsia" w:hAnsi="宋体"/>
          <w:szCs w:val="21"/>
        </w:rPr>
        <w:t>（2）裂纹冷隔类缺陷  热裂、冷裂、冷隔等。</w:t>
      </w:r>
    </w:p>
    <w:p>
      <w:pPr>
        <w:adjustRightInd w:val="0"/>
        <w:snapToGrid w:val="0"/>
        <w:spacing w:line="360" w:lineRule="auto"/>
        <w:ind w:firstLine="420" w:firstLineChars="200"/>
        <w:rPr>
          <w:rFonts w:hAnsi="宋体"/>
          <w:szCs w:val="21"/>
        </w:rPr>
      </w:pPr>
      <w:r>
        <w:rPr>
          <w:rFonts w:hint="eastAsia" w:hAnsi="宋体"/>
          <w:szCs w:val="21"/>
        </w:rPr>
        <w:t>（3）表面缺陷  夹砂、粘砂、表面粗糙等。</w:t>
      </w:r>
    </w:p>
    <w:p>
      <w:pPr>
        <w:adjustRightInd w:val="0"/>
        <w:snapToGrid w:val="0"/>
        <w:spacing w:line="360" w:lineRule="auto"/>
        <w:ind w:firstLine="420" w:firstLineChars="200"/>
        <w:rPr>
          <w:rFonts w:hAnsi="宋体"/>
          <w:szCs w:val="21"/>
        </w:rPr>
      </w:pPr>
      <w:r>
        <w:rPr>
          <w:rFonts w:hint="eastAsia" w:hAnsi="宋体"/>
          <w:szCs w:val="21"/>
        </w:rPr>
        <w:t>（4）残缺类缺陷  浇不到等。</w:t>
      </w:r>
    </w:p>
    <w:p>
      <w:pPr>
        <w:adjustRightInd w:val="0"/>
        <w:snapToGrid w:val="0"/>
        <w:spacing w:line="360" w:lineRule="auto"/>
        <w:ind w:firstLine="420" w:firstLineChars="200"/>
        <w:rPr>
          <w:rFonts w:hAnsi="宋体"/>
          <w:szCs w:val="21"/>
        </w:rPr>
      </w:pPr>
      <w:r>
        <w:rPr>
          <w:rFonts w:hint="eastAsia" w:hAnsi="宋体"/>
          <w:szCs w:val="21"/>
        </w:rPr>
        <w:t>（5）形状类缺陷  错箱、偏芯、变形等。</w:t>
      </w:r>
    </w:p>
    <w:p>
      <w:pPr>
        <w:adjustRightInd w:val="0"/>
        <w:snapToGrid w:val="0"/>
        <w:spacing w:line="360" w:lineRule="auto"/>
        <w:ind w:firstLine="420" w:firstLineChars="200"/>
        <w:rPr>
          <w:rFonts w:hAnsi="宋体"/>
          <w:szCs w:val="21"/>
        </w:rPr>
      </w:pPr>
      <w:r>
        <w:rPr>
          <w:rFonts w:hint="eastAsia" w:hAnsi="宋体"/>
          <w:szCs w:val="21"/>
        </w:rPr>
        <w:t>（6）夹杂类缺陷  砂眼、渣眼等。</w:t>
      </w:r>
    </w:p>
    <w:p>
      <w:pPr>
        <w:adjustRightInd w:val="0"/>
        <w:snapToGrid w:val="0"/>
        <w:spacing w:line="360" w:lineRule="auto"/>
        <w:ind w:firstLine="420" w:firstLineChars="200"/>
        <w:rPr>
          <w:rFonts w:hAnsi="宋体"/>
          <w:szCs w:val="21"/>
        </w:rPr>
      </w:pPr>
      <w:r>
        <w:rPr>
          <w:rFonts w:hint="eastAsia" w:hAnsi="宋体"/>
          <w:szCs w:val="21"/>
        </w:rPr>
        <w:t>3）学生对照所陈列的铸件缺陷的样品，找出自己所做创新件的缺陷。</w:t>
      </w:r>
    </w:p>
    <w:p>
      <w:pPr>
        <w:adjustRightInd w:val="0"/>
        <w:snapToGrid w:val="0"/>
        <w:spacing w:line="360" w:lineRule="auto"/>
        <w:ind w:firstLine="420" w:firstLineChars="200"/>
        <w:rPr>
          <w:rFonts w:hAnsi="宋体"/>
          <w:szCs w:val="21"/>
        </w:rPr>
      </w:pPr>
      <w:r>
        <w:rPr>
          <w:rFonts w:hint="eastAsia" w:hAnsi="宋体"/>
          <w:szCs w:val="21"/>
        </w:rPr>
        <w:t>4）指导教师根据学生创新件所出现的铸件缺陷进行分析，并归纳出解决铸件缺陷的工艺及方法。</w:t>
      </w:r>
    </w:p>
    <w:p>
      <w:pPr>
        <w:adjustRightInd w:val="0"/>
        <w:snapToGrid w:val="0"/>
        <w:spacing w:line="360" w:lineRule="auto"/>
        <w:ind w:firstLine="420" w:firstLineChars="200"/>
        <w:rPr>
          <w:rFonts w:hAnsi="宋体"/>
          <w:szCs w:val="21"/>
        </w:rPr>
      </w:pPr>
      <w:r>
        <w:rPr>
          <w:rFonts w:hint="eastAsia"/>
          <w:szCs w:val="21"/>
        </w:rPr>
        <w:t xml:space="preserve">本节内容支撑课程目标 </w:t>
      </w:r>
      <w:r>
        <w:rPr>
          <w:szCs w:val="21"/>
        </w:rPr>
        <w:t>1</w:t>
      </w:r>
      <w:r>
        <w:rPr>
          <w:rFonts w:hint="eastAsia"/>
          <w:szCs w:val="21"/>
        </w:rPr>
        <w:t>、2。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锻  压 0.5天</w:t>
      </w:r>
    </w:p>
    <w:p>
      <w:pPr>
        <w:adjustRightInd w:val="0"/>
        <w:snapToGrid w:val="0"/>
        <w:spacing w:line="360" w:lineRule="auto"/>
        <w:ind w:firstLine="420" w:firstLineChars="200"/>
        <w:rPr>
          <w:rFonts w:hAnsi="宋体"/>
          <w:szCs w:val="21"/>
        </w:rPr>
      </w:pPr>
      <w:r>
        <w:rPr>
          <w:rFonts w:hint="eastAsia" w:hAnsi="宋体"/>
          <w:szCs w:val="21"/>
        </w:rPr>
        <w:t>1、</w:t>
      </w:r>
      <w:r>
        <w:rPr>
          <w:rFonts w:hint="eastAsia" w:hAnsi="宋体"/>
          <w:szCs w:val="21"/>
        </w:rPr>
        <w:tab/>
      </w:r>
      <w:r>
        <w:rPr>
          <w:rFonts w:hint="eastAsia" w:hAnsi="宋体"/>
          <w:szCs w:val="21"/>
        </w:rPr>
        <w:t>目的要求：</w:t>
      </w:r>
    </w:p>
    <w:p>
      <w:pPr>
        <w:adjustRightInd w:val="0"/>
        <w:snapToGrid w:val="0"/>
        <w:spacing w:line="360" w:lineRule="auto"/>
        <w:ind w:firstLine="420" w:firstLineChars="200"/>
        <w:rPr>
          <w:rFonts w:hAnsi="宋体"/>
          <w:szCs w:val="21"/>
        </w:rPr>
      </w:pPr>
      <w:r>
        <w:rPr>
          <w:rFonts w:hint="eastAsia" w:hAnsi="宋体"/>
          <w:szCs w:val="21"/>
        </w:rPr>
        <w:t>了解锻造安全操作规程，锻造的方法，了解自由锻造，模型锻造，板料冲压。</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教材，安全操作规程</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分组由指导老师示范讲解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1）二级安全教育</w:t>
      </w:r>
    </w:p>
    <w:p>
      <w:pPr>
        <w:adjustRightInd w:val="0"/>
        <w:snapToGrid w:val="0"/>
        <w:spacing w:line="360" w:lineRule="auto"/>
        <w:ind w:firstLine="420" w:firstLineChars="200"/>
        <w:rPr>
          <w:rFonts w:hAnsi="宋体"/>
          <w:szCs w:val="21"/>
        </w:rPr>
      </w:pPr>
      <w:r>
        <w:rPr>
          <w:rFonts w:hint="eastAsia" w:hAnsi="宋体"/>
          <w:szCs w:val="21"/>
        </w:rPr>
        <w:t>2）锻造实习的安全规则</w:t>
      </w:r>
    </w:p>
    <w:p>
      <w:pPr>
        <w:adjustRightInd w:val="0"/>
        <w:snapToGrid w:val="0"/>
        <w:spacing w:line="360" w:lineRule="auto"/>
        <w:ind w:firstLine="420" w:firstLineChars="200"/>
        <w:rPr>
          <w:rFonts w:hAnsi="宋体"/>
          <w:szCs w:val="21"/>
        </w:rPr>
      </w:pPr>
      <w:r>
        <w:rPr>
          <w:rFonts w:hint="eastAsia" w:hAnsi="宋体"/>
          <w:szCs w:val="21"/>
        </w:rPr>
        <w:t xml:space="preserve">3）了解自由锻造、模型锻造、板料冲压的特点和方法。 </w:t>
      </w:r>
    </w:p>
    <w:p>
      <w:pPr>
        <w:adjustRightInd w:val="0"/>
        <w:snapToGrid w:val="0"/>
        <w:spacing w:line="360" w:lineRule="auto"/>
        <w:ind w:firstLine="420" w:firstLineChars="200"/>
        <w:rPr>
          <w:rFonts w:hAnsi="宋体"/>
          <w:szCs w:val="21"/>
        </w:rPr>
      </w:pPr>
      <w:r>
        <w:rPr>
          <w:rFonts w:hint="eastAsia"/>
          <w:szCs w:val="21"/>
        </w:rPr>
        <w:t>本章节内容支撑课程目标1、2、3。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焊 接  1天</w:t>
      </w:r>
    </w:p>
    <w:p>
      <w:pPr>
        <w:adjustRightInd w:val="0"/>
        <w:snapToGrid w:val="0"/>
        <w:spacing w:line="360" w:lineRule="auto"/>
        <w:ind w:firstLine="420" w:firstLineChars="200"/>
        <w:rPr>
          <w:rFonts w:hAnsi="宋体"/>
          <w:szCs w:val="21"/>
        </w:rPr>
      </w:pPr>
      <w:r>
        <w:rPr>
          <w:rFonts w:hint="eastAsia" w:hAnsi="宋体"/>
          <w:szCs w:val="21"/>
        </w:rPr>
        <w:t>焊接概述</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使学生明确焊工安全操作规程，明确焊工实习内容、教学基本要求、教学环节了解焊工的特点及在机械制造和维修中的作用。</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金工实习课程表，考核卡，实习报告，实习有关安全规定，教学记录，教材焊工安全操作规程,教材</w:t>
      </w:r>
    </w:p>
    <w:p>
      <w:pPr>
        <w:adjustRightInd w:val="0"/>
        <w:snapToGrid w:val="0"/>
        <w:spacing w:line="360" w:lineRule="auto"/>
        <w:ind w:firstLine="420" w:firstLineChars="200"/>
        <w:rPr>
          <w:rFonts w:hAnsi="宋体"/>
          <w:szCs w:val="21"/>
        </w:rPr>
      </w:pPr>
      <w:r>
        <w:rPr>
          <w:rFonts w:hint="eastAsia" w:hAnsi="宋体"/>
          <w:szCs w:val="21"/>
        </w:rPr>
        <w:t>3、时间及教学方式</w:t>
      </w:r>
    </w:p>
    <w:p>
      <w:pPr>
        <w:adjustRightInd w:val="0"/>
        <w:snapToGrid w:val="0"/>
        <w:spacing w:line="360" w:lineRule="auto"/>
        <w:ind w:firstLine="420" w:firstLineChars="200"/>
        <w:rPr>
          <w:rFonts w:hAnsi="宋体"/>
          <w:szCs w:val="21"/>
        </w:rPr>
      </w:pPr>
      <w:r>
        <w:rPr>
          <w:rFonts w:hint="eastAsia" w:hAnsi="宋体"/>
          <w:szCs w:val="21"/>
        </w:rPr>
        <w:t>焊工教室由焊工班班长讲解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1）焊工安全操作规程</w:t>
      </w:r>
    </w:p>
    <w:p>
      <w:pPr>
        <w:adjustRightInd w:val="0"/>
        <w:snapToGrid w:val="0"/>
        <w:spacing w:line="360" w:lineRule="auto"/>
        <w:ind w:firstLine="420" w:firstLineChars="200"/>
        <w:rPr>
          <w:rFonts w:hAnsi="宋体"/>
          <w:szCs w:val="21"/>
        </w:rPr>
      </w:pPr>
      <w:r>
        <w:rPr>
          <w:rFonts w:hint="eastAsia" w:hAnsi="宋体"/>
          <w:szCs w:val="21"/>
        </w:rPr>
        <w:t>2）介绍焊工在工业生产中的地位和作用</w:t>
      </w:r>
    </w:p>
    <w:p>
      <w:pPr>
        <w:adjustRightInd w:val="0"/>
        <w:snapToGrid w:val="0"/>
        <w:spacing w:line="360" w:lineRule="auto"/>
        <w:ind w:firstLine="420" w:firstLineChars="200"/>
        <w:rPr>
          <w:rFonts w:hAnsi="宋体"/>
          <w:szCs w:val="21"/>
        </w:rPr>
      </w:pPr>
      <w:r>
        <w:rPr>
          <w:rFonts w:hint="eastAsia" w:hAnsi="宋体"/>
          <w:szCs w:val="21"/>
        </w:rPr>
        <w:t>3）介绍焊接分类</w:t>
      </w:r>
    </w:p>
    <w:p>
      <w:pPr>
        <w:adjustRightInd w:val="0"/>
        <w:snapToGrid w:val="0"/>
        <w:spacing w:line="360" w:lineRule="auto"/>
        <w:ind w:firstLine="420" w:firstLineChars="200"/>
        <w:rPr>
          <w:rFonts w:hAnsi="宋体"/>
          <w:szCs w:val="21"/>
        </w:rPr>
      </w:pPr>
      <w:r>
        <w:rPr>
          <w:rFonts w:hint="eastAsia" w:hAnsi="宋体"/>
          <w:szCs w:val="21"/>
        </w:rPr>
        <w:t>焊接的分类方法很多，若按焊接过程中金属所处的状态不同，可把焊接方法分为熔焊、压焊和钎焊三大类，每一类又包括许多焊接方法。</w:t>
      </w:r>
    </w:p>
    <w:p>
      <w:pPr>
        <w:adjustRightInd w:val="0"/>
        <w:snapToGrid w:val="0"/>
        <w:spacing w:line="360" w:lineRule="auto"/>
        <w:ind w:firstLine="420" w:firstLineChars="200"/>
        <w:rPr>
          <w:rFonts w:hAnsi="宋体"/>
          <w:szCs w:val="21"/>
        </w:rPr>
      </w:pPr>
      <w:r>
        <w:rPr>
          <w:rFonts w:hint="eastAsia" w:hAnsi="宋体"/>
          <w:szCs w:val="21"/>
        </w:rPr>
        <w:t>4）介绍焊接的特点和应用</w:t>
      </w:r>
    </w:p>
    <w:p>
      <w:pPr>
        <w:adjustRightInd w:val="0"/>
        <w:snapToGrid w:val="0"/>
        <w:spacing w:line="360" w:lineRule="auto"/>
        <w:ind w:firstLine="420" w:firstLineChars="200"/>
        <w:rPr>
          <w:rFonts w:hAnsi="宋体"/>
          <w:szCs w:val="21"/>
        </w:rPr>
      </w:pPr>
      <w:r>
        <w:rPr>
          <w:rFonts w:hint="eastAsia" w:hAnsi="宋体"/>
          <w:szCs w:val="21"/>
        </w:rPr>
        <w:t>焊接主要用于制造金属结构件，如压力容器、建筑、桥梁、船舶、管道、车辆、起重机、海洋结构、冶金设备。生产机器零件或毛坯，如重型机械和冶金设备中的机架、底座、箱体、轴、齿轮等。</w:t>
      </w:r>
    </w:p>
    <w:p>
      <w:pPr>
        <w:adjustRightInd w:val="0"/>
        <w:snapToGrid w:val="0"/>
        <w:spacing w:line="360" w:lineRule="auto"/>
        <w:ind w:firstLine="420" w:firstLineChars="200"/>
        <w:rPr>
          <w:rFonts w:hAnsi="宋体"/>
          <w:szCs w:val="21"/>
        </w:rPr>
      </w:pPr>
      <w:r>
        <w:rPr>
          <w:rFonts w:hint="eastAsia" w:hAnsi="宋体"/>
          <w:szCs w:val="21"/>
        </w:rPr>
        <w:t>5）介绍各种焊接方法的焊接设备、材料的可焊性及应用实例</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焊接操作</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1）基本掌握手工电弧焊的电路连接以及正确使用直流弧焊机</w:t>
      </w:r>
    </w:p>
    <w:p>
      <w:pPr>
        <w:adjustRightInd w:val="0"/>
        <w:snapToGrid w:val="0"/>
        <w:spacing w:line="360" w:lineRule="auto"/>
        <w:ind w:firstLine="420" w:firstLineChars="200"/>
        <w:rPr>
          <w:rFonts w:hAnsi="宋体"/>
          <w:szCs w:val="21"/>
        </w:rPr>
      </w:pPr>
      <w:r>
        <w:rPr>
          <w:rFonts w:hint="eastAsia" w:hAnsi="宋体"/>
          <w:szCs w:val="21"/>
        </w:rPr>
        <w:t>2）学会引弧的两种方法，掌握平焊的基本操作</w:t>
      </w:r>
    </w:p>
    <w:p>
      <w:pPr>
        <w:adjustRightInd w:val="0"/>
        <w:snapToGrid w:val="0"/>
        <w:spacing w:line="360" w:lineRule="auto"/>
        <w:ind w:firstLine="420" w:firstLineChars="200"/>
        <w:rPr>
          <w:rFonts w:hAnsi="宋体"/>
          <w:szCs w:val="21"/>
        </w:rPr>
      </w:pPr>
      <w:r>
        <w:rPr>
          <w:rFonts w:hint="eastAsia" w:hAnsi="宋体"/>
          <w:szCs w:val="21"/>
        </w:rPr>
        <w:t>3）交流弧焊机，直流弧焊机的大致使用方法</w:t>
      </w:r>
    </w:p>
    <w:p>
      <w:pPr>
        <w:adjustRightInd w:val="0"/>
        <w:snapToGrid w:val="0"/>
        <w:spacing w:line="360" w:lineRule="auto"/>
        <w:ind w:firstLine="420" w:firstLineChars="200"/>
        <w:rPr>
          <w:rFonts w:hAnsi="宋体"/>
          <w:szCs w:val="21"/>
        </w:rPr>
      </w:pPr>
      <w:r>
        <w:rPr>
          <w:rFonts w:hint="eastAsia" w:hAnsi="宋体"/>
          <w:szCs w:val="21"/>
        </w:rPr>
        <w:t>4）焊条的组成及其使用</w:t>
      </w:r>
    </w:p>
    <w:p>
      <w:pPr>
        <w:adjustRightInd w:val="0"/>
        <w:snapToGrid w:val="0"/>
        <w:spacing w:line="360" w:lineRule="auto"/>
        <w:ind w:firstLine="420" w:firstLineChars="200"/>
        <w:rPr>
          <w:rFonts w:hAnsi="宋体"/>
          <w:szCs w:val="21"/>
        </w:rPr>
      </w:pPr>
      <w:r>
        <w:rPr>
          <w:rFonts w:hint="eastAsia" w:hAnsi="宋体"/>
          <w:szCs w:val="21"/>
        </w:rPr>
        <w:t>5）手工电弧焊的安全注意事项</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教材，直流电焊机，氩弧焊机，CO2气体保护焊机，氩弧焊机，交流电焊机，焊条</w:t>
      </w:r>
    </w:p>
    <w:p>
      <w:pPr>
        <w:adjustRightInd w:val="0"/>
        <w:snapToGrid w:val="0"/>
        <w:spacing w:line="360" w:lineRule="auto"/>
        <w:ind w:firstLine="420" w:firstLineChars="200"/>
        <w:rPr>
          <w:rFonts w:hAnsi="宋体"/>
          <w:szCs w:val="21"/>
        </w:rPr>
      </w:pPr>
      <w:r>
        <w:rPr>
          <w:rFonts w:hint="eastAsia" w:hAnsi="宋体"/>
          <w:szCs w:val="21"/>
        </w:rPr>
        <w:t>3、时间及教学方式</w:t>
      </w:r>
    </w:p>
    <w:p>
      <w:pPr>
        <w:adjustRightInd w:val="0"/>
        <w:snapToGrid w:val="0"/>
        <w:spacing w:line="360" w:lineRule="auto"/>
        <w:ind w:firstLine="420" w:firstLineChars="200"/>
        <w:rPr>
          <w:rFonts w:hAnsi="宋体"/>
          <w:szCs w:val="21"/>
        </w:rPr>
      </w:pPr>
      <w:r>
        <w:rPr>
          <w:rFonts w:hint="eastAsia" w:hAnsi="宋体"/>
          <w:szCs w:val="21"/>
        </w:rPr>
        <w:t>机械类3天，近机类1—2天。分组由指导老师示范讲解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1）示范讲解手工电弧焊的操作，</w:t>
      </w:r>
    </w:p>
    <w:p>
      <w:pPr>
        <w:adjustRightInd w:val="0"/>
        <w:snapToGrid w:val="0"/>
        <w:spacing w:line="360" w:lineRule="auto"/>
        <w:ind w:firstLine="420" w:firstLineChars="200"/>
        <w:rPr>
          <w:rFonts w:hAnsi="宋体"/>
          <w:szCs w:val="21"/>
        </w:rPr>
      </w:pPr>
      <w:r>
        <w:rPr>
          <w:rFonts w:hint="eastAsia" w:hAnsi="宋体"/>
          <w:szCs w:val="21"/>
        </w:rPr>
        <w:t>2）焊缝成形的演示</w:t>
      </w:r>
    </w:p>
    <w:p>
      <w:pPr>
        <w:adjustRightInd w:val="0"/>
        <w:snapToGrid w:val="0"/>
        <w:spacing w:line="360" w:lineRule="auto"/>
        <w:ind w:firstLine="420" w:firstLineChars="200"/>
        <w:rPr>
          <w:rFonts w:hAnsi="宋体"/>
          <w:szCs w:val="21"/>
        </w:rPr>
      </w:pPr>
      <w:r>
        <w:rPr>
          <w:rFonts w:hint="eastAsia" w:hAnsi="宋体"/>
          <w:szCs w:val="21"/>
        </w:rPr>
        <w:t>3）演示两种引弧方法</w:t>
      </w:r>
    </w:p>
    <w:p>
      <w:pPr>
        <w:adjustRightInd w:val="0"/>
        <w:snapToGrid w:val="0"/>
        <w:spacing w:line="360" w:lineRule="auto"/>
        <w:ind w:firstLine="420" w:firstLineChars="200"/>
        <w:rPr>
          <w:rFonts w:hAnsi="宋体"/>
          <w:szCs w:val="21"/>
        </w:rPr>
      </w:pPr>
      <w:r>
        <w:rPr>
          <w:rFonts w:hint="eastAsia" w:hAnsi="宋体"/>
          <w:szCs w:val="21"/>
        </w:rPr>
        <w:t>（1）敲击法</w:t>
      </w:r>
    </w:p>
    <w:p>
      <w:pPr>
        <w:adjustRightInd w:val="0"/>
        <w:snapToGrid w:val="0"/>
        <w:spacing w:line="360" w:lineRule="auto"/>
        <w:ind w:firstLine="420" w:firstLineChars="200"/>
        <w:rPr>
          <w:rFonts w:hAnsi="宋体"/>
          <w:szCs w:val="21"/>
        </w:rPr>
      </w:pPr>
      <w:r>
        <w:rPr>
          <w:rFonts w:hint="eastAsia" w:hAnsi="宋体"/>
          <w:szCs w:val="21"/>
        </w:rPr>
        <w:t>（2）摩擦法</w:t>
      </w:r>
    </w:p>
    <w:p>
      <w:pPr>
        <w:adjustRightInd w:val="0"/>
        <w:snapToGrid w:val="0"/>
        <w:spacing w:line="360" w:lineRule="auto"/>
        <w:ind w:firstLine="420" w:firstLineChars="200"/>
        <w:rPr>
          <w:rFonts w:hAnsi="宋体"/>
          <w:szCs w:val="21"/>
        </w:rPr>
      </w:pPr>
      <w:r>
        <w:rPr>
          <w:rFonts w:hint="eastAsia" w:hAnsi="宋体"/>
          <w:szCs w:val="21"/>
        </w:rPr>
        <w:t>4）示范讲解气焊、气割及气焊火焰的种类和应用</w:t>
      </w:r>
    </w:p>
    <w:p>
      <w:pPr>
        <w:adjustRightInd w:val="0"/>
        <w:snapToGrid w:val="0"/>
        <w:spacing w:line="360" w:lineRule="auto"/>
        <w:ind w:firstLine="420" w:firstLineChars="200"/>
        <w:rPr>
          <w:rFonts w:hAnsi="宋体"/>
          <w:szCs w:val="21"/>
        </w:rPr>
      </w:pPr>
      <w:r>
        <w:rPr>
          <w:rFonts w:hint="eastAsia" w:hAnsi="宋体"/>
          <w:szCs w:val="21"/>
        </w:rPr>
        <w:t>5）演示讲解氩弧焊机，CO2气体保护焊，埋弧焊过程气体保护焊是利用特定的某种气体作为保护介质的一种电弧焊方法。常用的保护气体有氩气和二氧化碳气体。</w:t>
      </w:r>
    </w:p>
    <w:p>
      <w:pPr>
        <w:adjustRightInd w:val="0"/>
        <w:snapToGrid w:val="0"/>
        <w:spacing w:line="360" w:lineRule="auto"/>
        <w:ind w:firstLine="420" w:firstLineChars="200"/>
        <w:rPr>
          <w:rFonts w:hAnsi="宋体"/>
          <w:szCs w:val="21"/>
        </w:rPr>
      </w:pPr>
      <w:r>
        <w:rPr>
          <w:rFonts w:hint="eastAsia" w:hAnsi="宋体"/>
          <w:szCs w:val="21"/>
        </w:rPr>
        <w:t>6）演示讲解各种焊接方法的优缺点</w:t>
      </w:r>
    </w:p>
    <w:p>
      <w:pPr>
        <w:adjustRightInd w:val="0"/>
        <w:snapToGrid w:val="0"/>
        <w:spacing w:line="360" w:lineRule="auto"/>
        <w:ind w:firstLine="420" w:firstLineChars="200"/>
        <w:rPr>
          <w:rFonts w:hAnsi="宋体"/>
          <w:szCs w:val="21"/>
        </w:rPr>
      </w:pPr>
      <w:r>
        <w:rPr>
          <w:rFonts w:hint="eastAsia"/>
          <w:szCs w:val="21"/>
        </w:rPr>
        <w:t>本章节内容支撑课程目标1、2。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铣  削 1天</w:t>
      </w:r>
    </w:p>
    <w:p>
      <w:pPr>
        <w:adjustRightInd w:val="0"/>
        <w:snapToGrid w:val="0"/>
        <w:spacing w:line="360" w:lineRule="auto"/>
        <w:ind w:firstLine="420" w:firstLineChars="200"/>
        <w:rPr>
          <w:rFonts w:hAnsi="宋体"/>
          <w:szCs w:val="21"/>
        </w:rPr>
      </w:pPr>
      <w:r>
        <w:rPr>
          <w:rFonts w:hint="eastAsia" w:hAnsi="宋体"/>
          <w:szCs w:val="21"/>
        </w:rPr>
        <w:t>铣削实习二级安全教育</w:t>
      </w:r>
    </w:p>
    <w:p>
      <w:pPr>
        <w:adjustRightInd w:val="0"/>
        <w:snapToGrid w:val="0"/>
        <w:spacing w:line="360" w:lineRule="auto"/>
        <w:ind w:firstLine="420" w:firstLineChars="200"/>
        <w:rPr>
          <w:rFonts w:hAnsi="宋体"/>
          <w:szCs w:val="21"/>
        </w:rPr>
      </w:pPr>
      <w:r>
        <w:rPr>
          <w:rFonts w:hint="eastAsia" w:hAnsi="宋体"/>
          <w:szCs w:val="21"/>
        </w:rPr>
        <w:t xml:space="preserve">1、目的要求                                    </w:t>
      </w:r>
    </w:p>
    <w:p>
      <w:pPr>
        <w:adjustRightInd w:val="0"/>
        <w:snapToGrid w:val="0"/>
        <w:spacing w:line="360" w:lineRule="auto"/>
        <w:ind w:firstLine="420" w:firstLineChars="200"/>
        <w:rPr>
          <w:rFonts w:hAnsi="宋体"/>
          <w:szCs w:val="21"/>
        </w:rPr>
      </w:pPr>
      <w:r>
        <w:rPr>
          <w:rFonts w:hint="eastAsia" w:hAnsi="宋体"/>
          <w:szCs w:val="21"/>
        </w:rPr>
        <w:t>使学生明确铣削实习的安全操作规程。</w:t>
      </w:r>
    </w:p>
    <w:p>
      <w:pPr>
        <w:adjustRightInd w:val="0"/>
        <w:snapToGrid w:val="0"/>
        <w:spacing w:line="360" w:lineRule="auto"/>
        <w:ind w:firstLine="420" w:firstLineChars="200"/>
        <w:rPr>
          <w:rFonts w:hAnsi="宋体"/>
          <w:szCs w:val="21"/>
        </w:rPr>
      </w:pPr>
      <w:r>
        <w:rPr>
          <w:rFonts w:hint="eastAsia" w:hAnsi="宋体"/>
          <w:szCs w:val="21"/>
        </w:rPr>
        <w:t>2、教学文件</w:t>
      </w:r>
    </w:p>
    <w:p>
      <w:pPr>
        <w:adjustRightInd w:val="0"/>
        <w:snapToGrid w:val="0"/>
        <w:spacing w:line="360" w:lineRule="auto"/>
        <w:ind w:firstLine="420" w:firstLineChars="200"/>
        <w:rPr>
          <w:rFonts w:hAnsi="宋体"/>
          <w:szCs w:val="21"/>
        </w:rPr>
      </w:pPr>
      <w:r>
        <w:rPr>
          <w:rFonts w:hint="eastAsia" w:hAnsi="宋体"/>
          <w:szCs w:val="21"/>
        </w:rPr>
        <w:t>实习轮换表、实习的有关规定、学生分组名单。</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在铣工实习区对学生进行讲解。</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讲解的内容</w:t>
      </w:r>
    </w:p>
    <w:p>
      <w:pPr>
        <w:adjustRightInd w:val="0"/>
        <w:snapToGrid w:val="0"/>
        <w:spacing w:line="360" w:lineRule="auto"/>
        <w:ind w:firstLine="420" w:firstLineChars="200"/>
        <w:rPr>
          <w:rFonts w:hAnsi="宋体"/>
          <w:szCs w:val="21"/>
        </w:rPr>
      </w:pPr>
      <w:r>
        <w:rPr>
          <w:rFonts w:hint="eastAsia" w:hAnsi="宋体"/>
          <w:szCs w:val="21"/>
        </w:rPr>
        <w:t>1）进入训练中心实习时，要穿好工作服，袖子过长的须挽起。女同学要戴工作帽，并将发辫纳入帽内。不得穿凉鞋、拖鞋、高跟鞋、和戴围巾进入训练中心。</w:t>
      </w:r>
    </w:p>
    <w:p>
      <w:pPr>
        <w:adjustRightInd w:val="0"/>
        <w:snapToGrid w:val="0"/>
        <w:spacing w:line="360" w:lineRule="auto"/>
        <w:ind w:firstLine="420" w:firstLineChars="200"/>
        <w:rPr>
          <w:rFonts w:hAnsi="宋体"/>
          <w:szCs w:val="21"/>
        </w:rPr>
      </w:pPr>
      <w:r>
        <w:rPr>
          <w:rFonts w:hint="eastAsia" w:hAnsi="宋体"/>
          <w:szCs w:val="21"/>
        </w:rPr>
        <w:t>2）开动机床前，要检查铣床传动部件和润滑系统是否正常，各操作手柄是否在正确位置。</w:t>
      </w:r>
    </w:p>
    <w:p>
      <w:pPr>
        <w:adjustRightInd w:val="0"/>
        <w:snapToGrid w:val="0"/>
        <w:spacing w:line="360" w:lineRule="auto"/>
        <w:ind w:firstLine="420" w:firstLineChars="200"/>
        <w:rPr>
          <w:rFonts w:hAnsi="宋体"/>
          <w:szCs w:val="21"/>
        </w:rPr>
      </w:pPr>
      <w:r>
        <w:rPr>
          <w:rFonts w:hint="eastAsia" w:hAnsi="宋体"/>
          <w:szCs w:val="21"/>
        </w:rPr>
        <w:t>3）变换主轴转速、更换铣刀、装卸工件、变更进给量或测量工件时，都必须停车。更换铣刀时，要仔细检查刀具是否夹持牢固。</w:t>
      </w:r>
    </w:p>
    <w:p>
      <w:pPr>
        <w:adjustRightInd w:val="0"/>
        <w:snapToGrid w:val="0"/>
        <w:spacing w:line="360" w:lineRule="auto"/>
        <w:ind w:firstLine="420" w:firstLineChars="200"/>
        <w:rPr>
          <w:rFonts w:hAnsi="宋体"/>
          <w:szCs w:val="21"/>
        </w:rPr>
      </w:pPr>
      <w:r>
        <w:rPr>
          <w:rFonts w:hint="eastAsia" w:hAnsi="宋体"/>
          <w:szCs w:val="21"/>
        </w:rPr>
        <w:t>4）应在指定的机床上进行实习。未经允许，其它机床、工具或电器开关等均不得乱动。</w:t>
      </w:r>
    </w:p>
    <w:p>
      <w:pPr>
        <w:adjustRightInd w:val="0"/>
        <w:snapToGrid w:val="0"/>
        <w:spacing w:line="360" w:lineRule="auto"/>
        <w:ind w:firstLine="420" w:firstLineChars="200"/>
        <w:rPr>
          <w:rFonts w:hAnsi="宋体"/>
          <w:szCs w:val="21"/>
        </w:rPr>
      </w:pPr>
      <w:r>
        <w:rPr>
          <w:rFonts w:hint="eastAsia" w:hAnsi="宋体"/>
          <w:szCs w:val="21"/>
        </w:rPr>
        <w:t>5）不准戴手套工作，不准用手摸正在转动的刀具，不准用棉纱擦转动的刀具或手柄，停车时不得用手或其它物品去刹铣床的刀杆。</w:t>
      </w:r>
    </w:p>
    <w:p>
      <w:pPr>
        <w:adjustRightInd w:val="0"/>
        <w:snapToGrid w:val="0"/>
        <w:spacing w:line="360" w:lineRule="auto"/>
        <w:ind w:firstLine="420" w:firstLineChars="200"/>
        <w:rPr>
          <w:rFonts w:hAnsi="宋体"/>
          <w:szCs w:val="21"/>
        </w:rPr>
      </w:pPr>
      <w:r>
        <w:rPr>
          <w:rFonts w:hint="eastAsia" w:hAnsi="宋体"/>
          <w:szCs w:val="21"/>
        </w:rPr>
        <w:t>6）安装零件必须夹紧。</w:t>
      </w:r>
    </w:p>
    <w:p>
      <w:pPr>
        <w:adjustRightInd w:val="0"/>
        <w:snapToGrid w:val="0"/>
        <w:spacing w:line="360" w:lineRule="auto"/>
        <w:ind w:firstLine="420" w:firstLineChars="200"/>
        <w:rPr>
          <w:rFonts w:hAnsi="宋体"/>
          <w:szCs w:val="21"/>
        </w:rPr>
      </w:pPr>
      <w:r>
        <w:rPr>
          <w:rFonts w:hint="eastAsia" w:hAnsi="宋体"/>
          <w:szCs w:val="21"/>
        </w:rPr>
        <w:t>7）铣削时，铣削用量未经指导老师许可不得变换。</w:t>
      </w:r>
    </w:p>
    <w:p>
      <w:pPr>
        <w:adjustRightInd w:val="0"/>
        <w:snapToGrid w:val="0"/>
        <w:spacing w:line="360" w:lineRule="auto"/>
        <w:ind w:firstLine="420" w:firstLineChars="200"/>
        <w:rPr>
          <w:rFonts w:hAnsi="宋体"/>
          <w:szCs w:val="21"/>
        </w:rPr>
      </w:pPr>
      <w:r>
        <w:rPr>
          <w:rFonts w:hint="eastAsia" w:hAnsi="宋体"/>
          <w:szCs w:val="21"/>
        </w:rPr>
        <w:t>8）不要站在切屑飞出的方向，以免伤人。清扫切屑时须用毛刷，不得用口吹，以免飞入眼中。高速铣削时加防护挡板。</w:t>
      </w:r>
    </w:p>
    <w:p>
      <w:pPr>
        <w:adjustRightInd w:val="0"/>
        <w:snapToGrid w:val="0"/>
        <w:spacing w:line="360" w:lineRule="auto"/>
        <w:ind w:firstLine="420" w:firstLineChars="200"/>
        <w:rPr>
          <w:rFonts w:hAnsi="宋体"/>
          <w:szCs w:val="21"/>
        </w:rPr>
      </w:pPr>
      <w:r>
        <w:rPr>
          <w:rFonts w:hint="eastAsia" w:hAnsi="宋体"/>
          <w:szCs w:val="21"/>
        </w:rPr>
        <w:t>9）开车后精力要集中，不许聊天，不准离开机床，如离开，必须停车。</w:t>
      </w:r>
    </w:p>
    <w:p>
      <w:pPr>
        <w:adjustRightInd w:val="0"/>
        <w:snapToGrid w:val="0"/>
        <w:spacing w:line="360" w:lineRule="auto"/>
        <w:ind w:firstLine="420" w:firstLineChars="200"/>
        <w:rPr>
          <w:rFonts w:hAnsi="宋体"/>
          <w:szCs w:val="21"/>
        </w:rPr>
      </w:pPr>
      <w:r>
        <w:rPr>
          <w:rFonts w:hint="eastAsia" w:hAnsi="宋体"/>
          <w:szCs w:val="21"/>
        </w:rPr>
        <w:t>10）两人操作一台机床时，应分工明确，相互配合，在开车时，必须注意另一个人的安全。</w:t>
      </w:r>
    </w:p>
    <w:p>
      <w:pPr>
        <w:adjustRightInd w:val="0"/>
        <w:snapToGrid w:val="0"/>
        <w:spacing w:line="360" w:lineRule="auto"/>
        <w:ind w:firstLine="420" w:firstLineChars="200"/>
        <w:rPr>
          <w:rFonts w:hAnsi="宋体"/>
          <w:szCs w:val="21"/>
        </w:rPr>
      </w:pPr>
      <w:r>
        <w:rPr>
          <w:rFonts w:hint="eastAsia" w:hAnsi="宋体"/>
          <w:szCs w:val="21"/>
        </w:rPr>
        <w:t xml:space="preserve">11）要爱护铣床，不得用其它物品敲击铣床表面 。爱惜工具，不得把工、量具放在机床工作台上。 </w:t>
      </w:r>
    </w:p>
    <w:p>
      <w:pPr>
        <w:adjustRightInd w:val="0"/>
        <w:snapToGrid w:val="0"/>
        <w:spacing w:line="360" w:lineRule="auto"/>
        <w:ind w:firstLine="420" w:firstLineChars="200"/>
        <w:rPr>
          <w:rFonts w:hAnsi="宋体"/>
          <w:szCs w:val="21"/>
        </w:rPr>
      </w:pPr>
      <w:r>
        <w:rPr>
          <w:rFonts w:hint="eastAsia" w:hAnsi="宋体"/>
          <w:szCs w:val="21"/>
        </w:rPr>
        <w:t>12）严禁在车间内追逐、打闹、喧哗、阅读与实习无关的书刊、背诵外语单词、收听广播和MP3等。</w:t>
      </w:r>
    </w:p>
    <w:p>
      <w:pPr>
        <w:adjustRightInd w:val="0"/>
        <w:snapToGrid w:val="0"/>
        <w:spacing w:line="360" w:lineRule="auto"/>
        <w:ind w:firstLine="420" w:firstLineChars="200"/>
        <w:rPr>
          <w:rFonts w:hAnsi="宋体"/>
          <w:szCs w:val="21"/>
        </w:rPr>
      </w:pPr>
      <w:r>
        <w:rPr>
          <w:rFonts w:hint="eastAsia" w:hAnsi="宋体"/>
          <w:szCs w:val="21"/>
        </w:rPr>
        <w:t>13）工作中如铣床发出不正常声音或发生事故时，应立即停车，保持现场，并报告指导教师。</w:t>
      </w:r>
    </w:p>
    <w:p>
      <w:pPr>
        <w:adjustRightInd w:val="0"/>
        <w:snapToGrid w:val="0"/>
        <w:spacing w:line="360" w:lineRule="auto"/>
        <w:ind w:firstLine="420" w:firstLineChars="200"/>
        <w:rPr>
          <w:rFonts w:hAnsi="宋体"/>
          <w:szCs w:val="21"/>
        </w:rPr>
      </w:pPr>
      <w:r>
        <w:rPr>
          <w:rFonts w:hint="eastAsia" w:hAnsi="宋体"/>
          <w:szCs w:val="21"/>
        </w:rPr>
        <w:t>14）实习场地严禁吸烟。</w:t>
      </w:r>
    </w:p>
    <w:p>
      <w:pPr>
        <w:adjustRightInd w:val="0"/>
        <w:snapToGrid w:val="0"/>
        <w:spacing w:line="360" w:lineRule="auto"/>
        <w:ind w:firstLine="420" w:firstLineChars="200"/>
        <w:rPr>
          <w:rFonts w:hAnsi="宋体"/>
          <w:szCs w:val="21"/>
        </w:rPr>
      </w:pPr>
      <w:r>
        <w:rPr>
          <w:rFonts w:hint="eastAsia" w:hAnsi="宋体"/>
          <w:szCs w:val="21"/>
        </w:rPr>
        <w:t>15）工作完后，应切断电源，扫清切屑，擦净铣床，在导轨面上加机油，各部件应调整到正常位置，搞好场地卫生。</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介绍铣削的基本知识</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使学生了解铣床的组成、运动和用途。结合铣床进行三级安全教育。</w:t>
      </w:r>
    </w:p>
    <w:p>
      <w:pPr>
        <w:adjustRightInd w:val="0"/>
        <w:snapToGrid w:val="0"/>
        <w:spacing w:line="360" w:lineRule="auto"/>
        <w:ind w:firstLine="420" w:firstLineChars="200"/>
        <w:rPr>
          <w:rFonts w:hAnsi="宋体"/>
          <w:szCs w:val="21"/>
        </w:rPr>
      </w:pPr>
      <w:r>
        <w:rPr>
          <w:rFonts w:hint="eastAsia" w:hAnsi="宋体"/>
          <w:szCs w:val="21"/>
        </w:rPr>
        <w:t>2、教学设备</w:t>
      </w:r>
    </w:p>
    <w:p>
      <w:pPr>
        <w:adjustRightInd w:val="0"/>
        <w:snapToGrid w:val="0"/>
        <w:spacing w:line="360" w:lineRule="auto"/>
        <w:ind w:firstLine="420" w:firstLineChars="200"/>
        <w:rPr>
          <w:rFonts w:hAnsi="宋体"/>
          <w:szCs w:val="21"/>
        </w:rPr>
      </w:pPr>
      <w:r>
        <w:rPr>
          <w:rFonts w:hint="eastAsia" w:hAnsi="宋体"/>
          <w:szCs w:val="21"/>
        </w:rPr>
        <w:t>X6132和X5032</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在铣工实习区对学生进行讲解。</w:t>
      </w:r>
    </w:p>
    <w:p>
      <w:pPr>
        <w:adjustRightInd w:val="0"/>
        <w:snapToGrid w:val="0"/>
        <w:spacing w:line="360" w:lineRule="auto"/>
        <w:ind w:firstLine="420" w:firstLineChars="200"/>
        <w:rPr>
          <w:rFonts w:hAnsi="宋体"/>
          <w:szCs w:val="21"/>
        </w:rPr>
      </w:pPr>
      <w:r>
        <w:rPr>
          <w:rFonts w:hint="eastAsia" w:hAnsi="宋体"/>
          <w:szCs w:val="21"/>
        </w:rPr>
        <w:t>4、讲解的内容、方法与步骤</w:t>
      </w:r>
    </w:p>
    <w:p>
      <w:pPr>
        <w:adjustRightInd w:val="0"/>
        <w:snapToGrid w:val="0"/>
        <w:spacing w:line="360" w:lineRule="auto"/>
        <w:ind w:firstLine="420" w:firstLineChars="200"/>
        <w:rPr>
          <w:rFonts w:hAnsi="宋体"/>
          <w:szCs w:val="21"/>
        </w:rPr>
      </w:pPr>
      <w:r>
        <w:rPr>
          <w:rFonts w:hint="eastAsia" w:hAnsi="宋体"/>
          <w:szCs w:val="21"/>
        </w:rPr>
        <w:t>1）铣床的基本概念及铣削运动：</w:t>
      </w:r>
    </w:p>
    <w:p>
      <w:pPr>
        <w:adjustRightInd w:val="0"/>
        <w:snapToGrid w:val="0"/>
        <w:spacing w:line="360" w:lineRule="auto"/>
        <w:ind w:firstLine="420" w:firstLineChars="200"/>
        <w:rPr>
          <w:rFonts w:hAnsi="宋体"/>
          <w:szCs w:val="21"/>
        </w:rPr>
      </w:pPr>
      <w:r>
        <w:rPr>
          <w:rFonts w:hint="eastAsia" w:hAnsi="宋体"/>
          <w:szCs w:val="21"/>
        </w:rPr>
        <w:t>（1）铣削：铣削是金属切削加工中常用方法之一。</w:t>
      </w:r>
    </w:p>
    <w:p>
      <w:pPr>
        <w:adjustRightInd w:val="0"/>
        <w:snapToGrid w:val="0"/>
        <w:spacing w:line="360" w:lineRule="auto"/>
        <w:ind w:firstLine="420" w:firstLineChars="200"/>
        <w:rPr>
          <w:rFonts w:hAnsi="宋体"/>
          <w:szCs w:val="21"/>
        </w:rPr>
      </w:pPr>
      <w:r>
        <w:rPr>
          <w:rFonts w:hint="eastAsia" w:hAnsi="宋体"/>
          <w:szCs w:val="21"/>
        </w:rPr>
        <w:t>（2）主运动：是指铣刀的旋转运动</w:t>
      </w:r>
    </w:p>
    <w:p>
      <w:pPr>
        <w:adjustRightInd w:val="0"/>
        <w:snapToGrid w:val="0"/>
        <w:spacing w:line="360" w:lineRule="auto"/>
        <w:ind w:firstLine="420" w:firstLineChars="200"/>
        <w:rPr>
          <w:rFonts w:hAnsi="宋体"/>
          <w:szCs w:val="21"/>
        </w:rPr>
      </w:pPr>
      <w:r>
        <w:rPr>
          <w:rFonts w:hint="eastAsia" w:hAnsi="宋体"/>
          <w:szCs w:val="21"/>
        </w:rPr>
        <w:t>（3）进给运动：是指工件的直线移动</w:t>
      </w:r>
    </w:p>
    <w:p>
      <w:pPr>
        <w:adjustRightInd w:val="0"/>
        <w:snapToGrid w:val="0"/>
        <w:spacing w:line="360" w:lineRule="auto"/>
        <w:ind w:firstLine="420" w:firstLineChars="200"/>
        <w:rPr>
          <w:rFonts w:hAnsi="宋体"/>
          <w:szCs w:val="21"/>
        </w:rPr>
      </w:pPr>
      <w:r>
        <w:rPr>
          <w:rFonts w:hint="eastAsia" w:hAnsi="宋体"/>
          <w:szCs w:val="21"/>
        </w:rPr>
        <w:t>2）铣削四要素：</w:t>
      </w:r>
    </w:p>
    <w:p>
      <w:pPr>
        <w:adjustRightInd w:val="0"/>
        <w:snapToGrid w:val="0"/>
        <w:spacing w:line="360" w:lineRule="auto"/>
        <w:ind w:firstLine="420" w:firstLineChars="200"/>
        <w:rPr>
          <w:rFonts w:hAnsi="宋体"/>
          <w:szCs w:val="21"/>
        </w:rPr>
      </w:pPr>
      <w:r>
        <w:rPr>
          <w:rFonts w:hint="eastAsia" w:hAnsi="宋体"/>
          <w:szCs w:val="21"/>
        </w:rPr>
        <w:t>（1）铣削速度</w:t>
      </w:r>
    </w:p>
    <w:p>
      <w:pPr>
        <w:adjustRightInd w:val="0"/>
        <w:snapToGrid w:val="0"/>
        <w:spacing w:line="360" w:lineRule="auto"/>
        <w:ind w:firstLine="420" w:firstLineChars="200"/>
        <w:rPr>
          <w:rFonts w:hAnsi="宋体"/>
          <w:szCs w:val="21"/>
        </w:rPr>
      </w:pPr>
      <w:r>
        <w:rPr>
          <w:rFonts w:hint="eastAsia" w:hAnsi="宋体"/>
          <w:szCs w:val="21"/>
        </w:rPr>
        <w:t>（2）进给量</w:t>
      </w:r>
    </w:p>
    <w:p>
      <w:pPr>
        <w:adjustRightInd w:val="0"/>
        <w:snapToGrid w:val="0"/>
        <w:spacing w:line="360" w:lineRule="auto"/>
        <w:ind w:firstLine="420" w:firstLineChars="200"/>
        <w:rPr>
          <w:rFonts w:hAnsi="宋体"/>
          <w:szCs w:val="21"/>
        </w:rPr>
      </w:pPr>
      <w:r>
        <w:rPr>
          <w:rFonts w:hint="eastAsia" w:hAnsi="宋体"/>
          <w:szCs w:val="21"/>
        </w:rPr>
        <w:t>a）每齿进给量    b）每转进给量    c）每分钟进给量</w:t>
      </w:r>
    </w:p>
    <w:p>
      <w:pPr>
        <w:adjustRightInd w:val="0"/>
        <w:snapToGrid w:val="0"/>
        <w:spacing w:line="360" w:lineRule="auto"/>
        <w:ind w:firstLine="420" w:firstLineChars="200"/>
        <w:rPr>
          <w:rFonts w:hAnsi="宋体"/>
          <w:szCs w:val="21"/>
        </w:rPr>
      </w:pPr>
      <w:r>
        <w:rPr>
          <w:rFonts w:hint="eastAsia" w:hAnsi="宋体"/>
          <w:szCs w:val="21"/>
        </w:rPr>
        <w:t>（3）铣削深度：指沿铣刀轴线方向上所测量的切削层尺寸。</w:t>
      </w:r>
    </w:p>
    <w:p>
      <w:pPr>
        <w:adjustRightInd w:val="0"/>
        <w:snapToGrid w:val="0"/>
        <w:spacing w:line="360" w:lineRule="auto"/>
        <w:ind w:firstLine="420" w:firstLineChars="200"/>
        <w:rPr>
          <w:rFonts w:hAnsi="宋体"/>
          <w:szCs w:val="21"/>
        </w:rPr>
      </w:pPr>
      <w:r>
        <w:rPr>
          <w:rFonts w:hint="eastAsia" w:hAnsi="宋体"/>
          <w:szCs w:val="21"/>
        </w:rPr>
        <w:t>（4）侧切削深度：指垂直于铣刀轴线方向上测量的切削层金属。</w:t>
      </w:r>
    </w:p>
    <w:p>
      <w:pPr>
        <w:adjustRightInd w:val="0"/>
        <w:snapToGrid w:val="0"/>
        <w:spacing w:line="360" w:lineRule="auto"/>
        <w:ind w:firstLine="420" w:firstLineChars="200"/>
        <w:rPr>
          <w:rFonts w:hAnsi="宋体"/>
          <w:szCs w:val="21"/>
        </w:rPr>
      </w:pPr>
      <w:r>
        <w:rPr>
          <w:rFonts w:hint="eastAsia" w:hAnsi="宋体"/>
          <w:szCs w:val="21"/>
        </w:rPr>
        <w:t>3）铣床的型号及各代码的含义：</w:t>
      </w:r>
    </w:p>
    <w:p>
      <w:pPr>
        <w:adjustRightInd w:val="0"/>
        <w:snapToGrid w:val="0"/>
        <w:spacing w:line="360" w:lineRule="auto"/>
        <w:ind w:firstLine="420" w:firstLineChars="200"/>
        <w:rPr>
          <w:rFonts w:hAnsi="宋体"/>
          <w:szCs w:val="21"/>
        </w:rPr>
      </w:pPr>
      <w:r>
        <w:rPr>
          <w:rFonts w:hint="eastAsia" w:hAnsi="宋体"/>
          <w:szCs w:val="21"/>
        </w:rPr>
        <w:t>4）铣床的组成及各部件的作用：</w:t>
      </w:r>
    </w:p>
    <w:p>
      <w:pPr>
        <w:adjustRightInd w:val="0"/>
        <w:snapToGrid w:val="0"/>
        <w:spacing w:line="360" w:lineRule="auto"/>
        <w:ind w:firstLine="420" w:firstLineChars="200"/>
        <w:rPr>
          <w:rFonts w:hAnsi="宋体"/>
          <w:szCs w:val="21"/>
        </w:rPr>
      </w:pPr>
      <w:r>
        <w:rPr>
          <w:rFonts w:hint="eastAsia" w:hAnsi="宋体"/>
          <w:szCs w:val="21"/>
        </w:rPr>
        <w:t>（1）卧式铣床X6132的组成及用途</w:t>
      </w:r>
    </w:p>
    <w:p>
      <w:pPr>
        <w:adjustRightInd w:val="0"/>
        <w:snapToGrid w:val="0"/>
        <w:spacing w:line="360" w:lineRule="auto"/>
        <w:ind w:firstLine="420" w:firstLineChars="200"/>
        <w:rPr>
          <w:rFonts w:hAnsi="宋体"/>
          <w:szCs w:val="21"/>
        </w:rPr>
      </w:pPr>
      <w:r>
        <w:rPr>
          <w:rFonts w:hint="eastAsia" w:hAnsi="宋体"/>
          <w:szCs w:val="21"/>
        </w:rPr>
        <w:t>（2）立式铣床X5032的组成及用途</w:t>
      </w:r>
    </w:p>
    <w:p>
      <w:pPr>
        <w:adjustRightInd w:val="0"/>
        <w:snapToGrid w:val="0"/>
        <w:spacing w:line="360" w:lineRule="auto"/>
        <w:ind w:firstLine="420" w:firstLineChars="200"/>
        <w:rPr>
          <w:rFonts w:hAnsi="宋体"/>
          <w:szCs w:val="21"/>
        </w:rPr>
      </w:pPr>
      <w:r>
        <w:rPr>
          <w:rFonts w:hint="eastAsia" w:hAnsi="宋体"/>
          <w:szCs w:val="21"/>
        </w:rPr>
        <w:t>5、铣削的基本方法：</w:t>
      </w:r>
    </w:p>
    <w:p>
      <w:pPr>
        <w:adjustRightInd w:val="0"/>
        <w:snapToGrid w:val="0"/>
        <w:spacing w:line="360" w:lineRule="auto"/>
        <w:ind w:firstLine="420" w:firstLineChars="200"/>
        <w:rPr>
          <w:rFonts w:hAnsi="宋体"/>
          <w:szCs w:val="21"/>
        </w:rPr>
      </w:pPr>
      <w:r>
        <w:rPr>
          <w:rFonts w:hint="eastAsia" w:hAnsi="宋体"/>
          <w:szCs w:val="21"/>
        </w:rPr>
        <w:t>（1）铣平面</w:t>
      </w:r>
    </w:p>
    <w:p>
      <w:pPr>
        <w:adjustRightInd w:val="0"/>
        <w:snapToGrid w:val="0"/>
        <w:spacing w:line="360" w:lineRule="auto"/>
        <w:ind w:firstLine="420" w:firstLineChars="200"/>
        <w:rPr>
          <w:rFonts w:hAnsi="宋体"/>
          <w:szCs w:val="21"/>
        </w:rPr>
      </w:pPr>
      <w:r>
        <w:rPr>
          <w:rFonts w:hint="eastAsia" w:hAnsi="宋体"/>
          <w:szCs w:val="21"/>
        </w:rPr>
        <w:t>a）周铣和端铣    b）顺铣和逆铣</w:t>
      </w:r>
    </w:p>
    <w:p>
      <w:pPr>
        <w:adjustRightInd w:val="0"/>
        <w:snapToGrid w:val="0"/>
        <w:spacing w:line="360" w:lineRule="auto"/>
        <w:ind w:firstLine="420" w:firstLineChars="200"/>
        <w:rPr>
          <w:rFonts w:hAnsi="宋体"/>
          <w:szCs w:val="21"/>
        </w:rPr>
      </w:pPr>
      <w:r>
        <w:rPr>
          <w:rFonts w:hint="eastAsia" w:hAnsi="宋体"/>
          <w:szCs w:val="21"/>
        </w:rPr>
        <w:t>（2）铣斜面:</w:t>
      </w:r>
    </w:p>
    <w:p>
      <w:pPr>
        <w:adjustRightInd w:val="0"/>
        <w:snapToGrid w:val="0"/>
        <w:spacing w:line="360" w:lineRule="auto"/>
        <w:ind w:firstLine="420" w:firstLineChars="200"/>
        <w:rPr>
          <w:rFonts w:hAnsi="宋体"/>
          <w:szCs w:val="21"/>
        </w:rPr>
      </w:pPr>
      <w:r>
        <w:rPr>
          <w:rFonts w:hint="eastAsia" w:hAnsi="宋体"/>
          <w:szCs w:val="21"/>
        </w:rPr>
        <w:t>a）铣刀倾斜铣斜面    b）工件倾斜铣斜面   c）角度铣刀铣斜面</w:t>
      </w:r>
    </w:p>
    <w:p>
      <w:pPr>
        <w:adjustRightInd w:val="0"/>
        <w:snapToGrid w:val="0"/>
        <w:spacing w:line="360" w:lineRule="auto"/>
        <w:ind w:firstLine="420" w:firstLineChars="200"/>
        <w:rPr>
          <w:rFonts w:hAnsi="宋体"/>
          <w:szCs w:val="21"/>
        </w:rPr>
      </w:pPr>
      <w:r>
        <w:rPr>
          <w:rFonts w:hint="eastAsia" w:hAnsi="宋体"/>
          <w:szCs w:val="21"/>
        </w:rPr>
        <w:t>（3）铣沟槽:可分别用三面刃铣刀、角度铣刀、燕尾槽铣刀、T形槽铣刀、键槽铣刀、立铣刀加工直槽、V形槽、燕尾槽、T形槽、键槽、圆弧槽。</w:t>
      </w:r>
    </w:p>
    <w:p>
      <w:pPr>
        <w:adjustRightInd w:val="0"/>
        <w:snapToGrid w:val="0"/>
        <w:spacing w:line="360" w:lineRule="auto"/>
        <w:ind w:firstLine="420" w:firstLineChars="200"/>
        <w:rPr>
          <w:rFonts w:hAnsi="宋体"/>
          <w:szCs w:val="21"/>
        </w:rPr>
      </w:pPr>
      <w:r>
        <w:rPr>
          <w:rFonts w:hint="eastAsia" w:hAnsi="宋体"/>
          <w:szCs w:val="21"/>
        </w:rPr>
        <w:t>（4）铣成形面:</w:t>
      </w:r>
    </w:p>
    <w:p>
      <w:pPr>
        <w:adjustRightInd w:val="0"/>
        <w:snapToGrid w:val="0"/>
        <w:spacing w:line="360" w:lineRule="auto"/>
        <w:ind w:firstLine="420" w:firstLineChars="200"/>
        <w:rPr>
          <w:rFonts w:hAnsi="宋体"/>
          <w:szCs w:val="21"/>
        </w:rPr>
      </w:pPr>
      <w:r>
        <w:rPr>
          <w:rFonts w:hint="eastAsia" w:hAnsi="宋体"/>
          <w:szCs w:val="21"/>
        </w:rPr>
        <w:t>（5）铣齿轮</w:t>
      </w:r>
    </w:p>
    <w:p>
      <w:pPr>
        <w:adjustRightInd w:val="0"/>
        <w:snapToGrid w:val="0"/>
        <w:spacing w:line="360" w:lineRule="auto"/>
        <w:ind w:firstLine="420" w:firstLineChars="200"/>
        <w:rPr>
          <w:rFonts w:hAnsi="宋体"/>
          <w:szCs w:val="21"/>
        </w:rPr>
      </w:pPr>
      <w:r>
        <w:rPr>
          <w:rFonts w:hint="eastAsia" w:hAnsi="宋体"/>
          <w:szCs w:val="21"/>
        </w:rPr>
        <w:t>6、铣床用的刀具及刀具材料：</w:t>
      </w:r>
    </w:p>
    <w:p>
      <w:pPr>
        <w:adjustRightInd w:val="0"/>
        <w:snapToGrid w:val="0"/>
        <w:spacing w:line="360" w:lineRule="auto"/>
        <w:ind w:firstLine="420" w:firstLineChars="200"/>
        <w:rPr>
          <w:rFonts w:hAnsi="宋体"/>
          <w:szCs w:val="21"/>
        </w:rPr>
      </w:pPr>
      <w:r>
        <w:rPr>
          <w:rFonts w:hint="eastAsia" w:hAnsi="宋体"/>
          <w:szCs w:val="21"/>
        </w:rPr>
        <w:t>（1）铣刀的特点</w:t>
      </w:r>
    </w:p>
    <w:p>
      <w:pPr>
        <w:adjustRightInd w:val="0"/>
        <w:snapToGrid w:val="0"/>
        <w:spacing w:line="360" w:lineRule="auto"/>
        <w:ind w:firstLine="420" w:firstLineChars="200"/>
        <w:rPr>
          <w:rFonts w:hAnsi="宋体"/>
          <w:szCs w:val="21"/>
        </w:rPr>
      </w:pPr>
      <w:r>
        <w:rPr>
          <w:rFonts w:hint="eastAsia" w:hAnsi="宋体"/>
          <w:szCs w:val="21"/>
        </w:rPr>
        <w:t>（2）带孔铣刀</w:t>
      </w:r>
    </w:p>
    <w:p>
      <w:pPr>
        <w:adjustRightInd w:val="0"/>
        <w:snapToGrid w:val="0"/>
        <w:spacing w:line="360" w:lineRule="auto"/>
        <w:ind w:firstLine="420" w:firstLineChars="200"/>
        <w:rPr>
          <w:rFonts w:hAnsi="宋体"/>
          <w:szCs w:val="21"/>
        </w:rPr>
      </w:pPr>
      <w:r>
        <w:rPr>
          <w:rFonts w:hint="eastAsia" w:hAnsi="宋体"/>
          <w:szCs w:val="21"/>
        </w:rPr>
        <w:t>（3）带柄铣刀</w:t>
      </w:r>
    </w:p>
    <w:p>
      <w:pPr>
        <w:adjustRightInd w:val="0"/>
        <w:snapToGrid w:val="0"/>
        <w:spacing w:line="360" w:lineRule="auto"/>
        <w:ind w:firstLine="420" w:firstLineChars="200"/>
        <w:rPr>
          <w:rFonts w:hAnsi="宋体"/>
          <w:szCs w:val="21"/>
        </w:rPr>
      </w:pPr>
      <w:r>
        <w:rPr>
          <w:rFonts w:hint="eastAsia" w:hAnsi="宋体"/>
          <w:szCs w:val="21"/>
        </w:rPr>
        <w:t>（4）常用的刀具材料</w:t>
      </w:r>
    </w:p>
    <w:p>
      <w:pPr>
        <w:adjustRightInd w:val="0"/>
        <w:snapToGrid w:val="0"/>
        <w:spacing w:line="360" w:lineRule="auto"/>
        <w:ind w:firstLine="420" w:firstLineChars="200"/>
        <w:rPr>
          <w:rFonts w:hAnsi="宋体"/>
          <w:szCs w:val="21"/>
        </w:rPr>
      </w:pPr>
      <w:r>
        <w:rPr>
          <w:rFonts w:hint="eastAsia" w:hAnsi="宋体"/>
          <w:szCs w:val="21"/>
        </w:rPr>
        <w:t>a）高速钢（W18Cr4V）   b）硬质合金</w:t>
      </w:r>
    </w:p>
    <w:p>
      <w:pPr>
        <w:adjustRightInd w:val="0"/>
        <w:snapToGrid w:val="0"/>
        <w:spacing w:line="360" w:lineRule="auto"/>
        <w:ind w:firstLine="420" w:firstLineChars="200"/>
        <w:rPr>
          <w:rFonts w:hAnsi="宋体"/>
          <w:szCs w:val="21"/>
        </w:rPr>
      </w:pPr>
      <w:r>
        <w:rPr>
          <w:rFonts w:hint="eastAsia" w:hAnsi="宋体"/>
          <w:szCs w:val="21"/>
        </w:rPr>
        <w:t>7、铣刀的安装方法：</w:t>
      </w:r>
    </w:p>
    <w:p>
      <w:pPr>
        <w:adjustRightInd w:val="0"/>
        <w:snapToGrid w:val="0"/>
        <w:spacing w:line="360" w:lineRule="auto"/>
        <w:ind w:firstLine="420" w:firstLineChars="200"/>
        <w:rPr>
          <w:rFonts w:hAnsi="宋体"/>
          <w:szCs w:val="21"/>
        </w:rPr>
      </w:pPr>
      <w:r>
        <w:rPr>
          <w:rFonts w:hint="eastAsia" w:hAnsi="宋体"/>
          <w:szCs w:val="21"/>
        </w:rPr>
        <w:t>（1）带孔铣刀的安装方法</w:t>
      </w:r>
    </w:p>
    <w:p>
      <w:pPr>
        <w:adjustRightInd w:val="0"/>
        <w:snapToGrid w:val="0"/>
        <w:spacing w:line="360" w:lineRule="auto"/>
        <w:ind w:firstLine="420" w:firstLineChars="200"/>
        <w:rPr>
          <w:rFonts w:hAnsi="宋体"/>
          <w:szCs w:val="21"/>
        </w:rPr>
      </w:pPr>
      <w:r>
        <w:rPr>
          <w:rFonts w:hint="eastAsia" w:hAnsi="宋体"/>
          <w:szCs w:val="21"/>
        </w:rPr>
        <w:t>（2）带柄铣刀的安装方法</w:t>
      </w:r>
    </w:p>
    <w:p>
      <w:pPr>
        <w:adjustRightInd w:val="0"/>
        <w:snapToGrid w:val="0"/>
        <w:spacing w:line="360" w:lineRule="auto"/>
        <w:ind w:firstLine="420" w:firstLineChars="200"/>
        <w:rPr>
          <w:rFonts w:hAnsi="宋体"/>
          <w:szCs w:val="21"/>
        </w:rPr>
      </w:pPr>
      <w:r>
        <w:rPr>
          <w:rFonts w:hint="eastAsia" w:hAnsi="宋体"/>
          <w:szCs w:val="21"/>
        </w:rPr>
        <w:t>8、介绍铣床的主要附件：</w:t>
      </w:r>
    </w:p>
    <w:p>
      <w:pPr>
        <w:adjustRightInd w:val="0"/>
        <w:snapToGrid w:val="0"/>
        <w:spacing w:line="360" w:lineRule="auto"/>
        <w:ind w:firstLine="420" w:firstLineChars="200"/>
        <w:rPr>
          <w:rFonts w:hAnsi="宋体"/>
          <w:szCs w:val="21"/>
        </w:rPr>
      </w:pPr>
      <w:r>
        <w:rPr>
          <w:rFonts w:hint="eastAsia" w:hAnsi="宋体"/>
          <w:szCs w:val="21"/>
        </w:rPr>
        <w:t>（1）平口钳主要用来安装小型较规则的零件。</w:t>
      </w:r>
    </w:p>
    <w:p>
      <w:pPr>
        <w:adjustRightInd w:val="0"/>
        <w:snapToGrid w:val="0"/>
        <w:spacing w:line="360" w:lineRule="auto"/>
        <w:ind w:firstLine="420" w:firstLineChars="200"/>
        <w:rPr>
          <w:rFonts w:hAnsi="宋体"/>
          <w:szCs w:val="21"/>
        </w:rPr>
      </w:pPr>
      <w:r>
        <w:rPr>
          <w:rFonts w:hint="eastAsia" w:hAnsi="宋体"/>
          <w:szCs w:val="21"/>
        </w:rPr>
        <w:t>（2）回转工作台回转工作台又称圆形工作台、转盘和平分盘等</w:t>
      </w:r>
    </w:p>
    <w:p>
      <w:pPr>
        <w:adjustRightInd w:val="0"/>
        <w:snapToGrid w:val="0"/>
        <w:spacing w:line="360" w:lineRule="auto"/>
        <w:ind w:firstLine="420" w:firstLineChars="200"/>
        <w:rPr>
          <w:rFonts w:hAnsi="宋体"/>
          <w:szCs w:val="21"/>
        </w:rPr>
      </w:pPr>
      <w:r>
        <w:rPr>
          <w:rFonts w:hint="eastAsia" w:hAnsi="宋体"/>
          <w:szCs w:val="21"/>
        </w:rPr>
        <w:t>（3）分度头在铣削加工中的工作</w:t>
      </w:r>
    </w:p>
    <w:p>
      <w:pPr>
        <w:adjustRightInd w:val="0"/>
        <w:snapToGrid w:val="0"/>
        <w:spacing w:line="360" w:lineRule="auto"/>
        <w:ind w:firstLine="420" w:firstLineChars="200"/>
        <w:rPr>
          <w:rFonts w:hAnsi="宋体"/>
          <w:szCs w:val="21"/>
        </w:rPr>
      </w:pPr>
      <w:r>
        <w:rPr>
          <w:rFonts w:hint="eastAsia" w:hAnsi="宋体"/>
          <w:szCs w:val="21"/>
        </w:rPr>
        <w:t>a．万能分度头的构造</w:t>
      </w:r>
    </w:p>
    <w:p>
      <w:pPr>
        <w:adjustRightInd w:val="0"/>
        <w:snapToGrid w:val="0"/>
        <w:spacing w:line="360" w:lineRule="auto"/>
        <w:ind w:firstLine="420" w:firstLineChars="200"/>
        <w:rPr>
          <w:rFonts w:hAnsi="宋体"/>
          <w:szCs w:val="21"/>
        </w:rPr>
      </w:pPr>
      <w:r>
        <w:rPr>
          <w:rFonts w:hint="eastAsia" w:hAnsi="宋体"/>
          <w:szCs w:val="21"/>
        </w:rPr>
        <w:t>b．分度方法</w:t>
      </w:r>
    </w:p>
    <w:p>
      <w:pPr>
        <w:adjustRightInd w:val="0"/>
        <w:snapToGrid w:val="0"/>
        <w:spacing w:line="360" w:lineRule="auto"/>
        <w:ind w:firstLine="420" w:firstLineChars="200"/>
        <w:rPr>
          <w:rFonts w:hAnsi="宋体"/>
          <w:szCs w:val="21"/>
        </w:rPr>
      </w:pPr>
      <w:r>
        <w:rPr>
          <w:rFonts w:hint="eastAsia" w:hAnsi="宋体"/>
          <w:szCs w:val="21"/>
        </w:rPr>
        <w:t>9．工件的安装方法：</w:t>
      </w:r>
    </w:p>
    <w:p>
      <w:pPr>
        <w:adjustRightInd w:val="0"/>
        <w:snapToGrid w:val="0"/>
        <w:spacing w:line="360" w:lineRule="auto"/>
        <w:ind w:firstLine="420" w:firstLineChars="200"/>
        <w:rPr>
          <w:rFonts w:hAnsi="宋体"/>
          <w:szCs w:val="21"/>
        </w:rPr>
      </w:pPr>
      <w:r>
        <w:rPr>
          <w:rFonts w:hint="eastAsia" w:hAnsi="宋体"/>
          <w:szCs w:val="21"/>
        </w:rPr>
        <w:t>（1）平口钳</w:t>
      </w:r>
    </w:p>
    <w:p>
      <w:pPr>
        <w:adjustRightInd w:val="0"/>
        <w:snapToGrid w:val="0"/>
        <w:spacing w:line="360" w:lineRule="auto"/>
        <w:ind w:firstLine="420" w:firstLineChars="200"/>
        <w:rPr>
          <w:rFonts w:hAnsi="宋体"/>
          <w:szCs w:val="21"/>
        </w:rPr>
      </w:pPr>
      <w:r>
        <w:rPr>
          <w:rFonts w:hint="eastAsia" w:hAnsi="宋体"/>
          <w:szCs w:val="21"/>
        </w:rPr>
        <w:t>（2）压板螺钉</w:t>
      </w:r>
    </w:p>
    <w:p>
      <w:pPr>
        <w:adjustRightInd w:val="0"/>
        <w:snapToGrid w:val="0"/>
        <w:spacing w:line="360" w:lineRule="auto"/>
        <w:ind w:firstLine="420" w:firstLineChars="200"/>
        <w:rPr>
          <w:rFonts w:hAnsi="宋体"/>
          <w:szCs w:val="21"/>
        </w:rPr>
      </w:pPr>
      <w:r>
        <w:rPr>
          <w:rFonts w:hint="eastAsia" w:hAnsi="宋体"/>
          <w:szCs w:val="21"/>
        </w:rPr>
        <w:t>（3）V形铁</w:t>
      </w:r>
    </w:p>
    <w:p>
      <w:pPr>
        <w:adjustRightInd w:val="0"/>
        <w:snapToGrid w:val="0"/>
        <w:spacing w:line="360" w:lineRule="auto"/>
        <w:ind w:firstLine="420" w:firstLineChars="200"/>
        <w:rPr>
          <w:rFonts w:hAnsi="宋体"/>
          <w:szCs w:val="21"/>
        </w:rPr>
      </w:pPr>
      <w:r>
        <w:rPr>
          <w:rFonts w:hint="eastAsia" w:hAnsi="宋体"/>
          <w:szCs w:val="21"/>
        </w:rPr>
        <w:t>（4）分度头</w:t>
      </w:r>
    </w:p>
    <w:p>
      <w:pPr>
        <w:adjustRightInd w:val="0"/>
        <w:snapToGrid w:val="0"/>
        <w:spacing w:line="360" w:lineRule="auto"/>
        <w:ind w:firstLine="420" w:firstLineChars="200"/>
        <w:rPr>
          <w:rFonts w:hAnsi="宋体"/>
          <w:szCs w:val="21"/>
        </w:rPr>
      </w:pPr>
      <w:r>
        <w:rPr>
          <w:rFonts w:hint="eastAsia" w:hAnsi="宋体"/>
          <w:szCs w:val="21"/>
        </w:rPr>
        <w:t>10．铣床常用量具：</w:t>
      </w:r>
    </w:p>
    <w:p>
      <w:pPr>
        <w:adjustRightInd w:val="0"/>
        <w:snapToGrid w:val="0"/>
        <w:spacing w:line="360" w:lineRule="auto"/>
        <w:ind w:firstLine="420" w:firstLineChars="200"/>
        <w:rPr>
          <w:rFonts w:hAnsi="宋体"/>
          <w:szCs w:val="21"/>
        </w:rPr>
      </w:pPr>
      <w:r>
        <w:rPr>
          <w:rFonts w:hint="eastAsia" w:hAnsi="宋体"/>
          <w:szCs w:val="21"/>
        </w:rPr>
        <w:t>介绍游标卡尺的使用方法</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铣削小榔头示范讲解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使学生掌握在立铣上用立铣刀（镶齿端铣刀）铣削水平面和用立铣刀铣削垂直面的方法。</w:t>
      </w:r>
    </w:p>
    <w:p>
      <w:pPr>
        <w:adjustRightInd w:val="0"/>
        <w:snapToGrid w:val="0"/>
        <w:spacing w:line="360" w:lineRule="auto"/>
        <w:ind w:firstLine="420" w:firstLineChars="200"/>
        <w:rPr>
          <w:rFonts w:hAnsi="宋体"/>
          <w:szCs w:val="21"/>
        </w:rPr>
      </w:pPr>
      <w:r>
        <w:rPr>
          <w:rFonts w:hint="eastAsia" w:hAnsi="宋体"/>
          <w:szCs w:val="21"/>
        </w:rPr>
        <w:t>2、教学设备要求</w:t>
      </w:r>
    </w:p>
    <w:p>
      <w:pPr>
        <w:adjustRightInd w:val="0"/>
        <w:snapToGrid w:val="0"/>
        <w:spacing w:line="360" w:lineRule="auto"/>
        <w:ind w:firstLine="420" w:firstLineChars="200"/>
        <w:rPr>
          <w:rFonts w:hAnsi="宋体"/>
          <w:szCs w:val="21"/>
        </w:rPr>
      </w:pPr>
      <w:r>
        <w:rPr>
          <w:rFonts w:hint="eastAsia" w:hAnsi="宋体"/>
          <w:szCs w:val="21"/>
        </w:rPr>
        <w:t>1）安装立铣刀（镶齿端铣刀）的X5032一台，待加工的工件一件。</w:t>
      </w:r>
    </w:p>
    <w:p>
      <w:pPr>
        <w:adjustRightInd w:val="0"/>
        <w:snapToGrid w:val="0"/>
        <w:spacing w:line="360" w:lineRule="auto"/>
        <w:ind w:firstLine="420" w:firstLineChars="200"/>
        <w:rPr>
          <w:rFonts w:hAnsi="宋体"/>
          <w:szCs w:val="21"/>
        </w:rPr>
      </w:pPr>
      <w:r>
        <w:rPr>
          <w:rFonts w:hint="eastAsia" w:hAnsi="宋体"/>
          <w:szCs w:val="21"/>
        </w:rPr>
        <w:t>2）平口钳及平行垫铁若干。</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以6台铣床为一组在现场进行。</w:t>
      </w:r>
    </w:p>
    <w:p>
      <w:pPr>
        <w:adjustRightInd w:val="0"/>
        <w:snapToGrid w:val="0"/>
        <w:spacing w:line="360" w:lineRule="auto"/>
        <w:ind w:firstLine="420" w:firstLineChars="200"/>
        <w:rPr>
          <w:rFonts w:hAnsi="宋体"/>
          <w:szCs w:val="21"/>
        </w:rPr>
      </w:pPr>
      <w:r>
        <w:rPr>
          <w:rFonts w:hint="eastAsia" w:hAnsi="宋体"/>
          <w:szCs w:val="21"/>
        </w:rPr>
        <w:t>4、教学内容、方法与步骤</w:t>
      </w:r>
    </w:p>
    <w:p>
      <w:pPr>
        <w:adjustRightInd w:val="0"/>
        <w:snapToGrid w:val="0"/>
        <w:spacing w:line="360" w:lineRule="auto"/>
        <w:ind w:firstLine="420" w:firstLineChars="200"/>
        <w:rPr>
          <w:rFonts w:hAnsi="宋体"/>
          <w:szCs w:val="21"/>
        </w:rPr>
      </w:pPr>
      <w:r>
        <w:rPr>
          <w:rFonts w:hint="eastAsia" w:hAnsi="宋体"/>
          <w:szCs w:val="21"/>
        </w:rPr>
        <w:t>1）在立铣的平口钳上安装工件。</w:t>
      </w:r>
    </w:p>
    <w:p>
      <w:pPr>
        <w:adjustRightInd w:val="0"/>
        <w:snapToGrid w:val="0"/>
        <w:spacing w:line="360" w:lineRule="auto"/>
        <w:ind w:firstLine="420" w:firstLineChars="200"/>
        <w:rPr>
          <w:rFonts w:hAnsi="宋体"/>
          <w:szCs w:val="21"/>
        </w:rPr>
      </w:pPr>
      <w:r>
        <w:rPr>
          <w:rFonts w:hint="eastAsia" w:hAnsi="宋体"/>
          <w:szCs w:val="21"/>
        </w:rPr>
        <w:t>介绍零件的安装方法及平行垫铁的用途</w:t>
      </w:r>
    </w:p>
    <w:p>
      <w:pPr>
        <w:adjustRightInd w:val="0"/>
        <w:snapToGrid w:val="0"/>
        <w:spacing w:line="360" w:lineRule="auto"/>
        <w:ind w:firstLine="420" w:firstLineChars="200"/>
        <w:rPr>
          <w:rFonts w:hAnsi="宋体"/>
          <w:szCs w:val="21"/>
        </w:rPr>
      </w:pPr>
      <w:r>
        <w:rPr>
          <w:rFonts w:hint="eastAsia" w:hAnsi="宋体"/>
          <w:szCs w:val="21"/>
        </w:rPr>
        <w:t>2）讲解图纸要求并确定铣削用量。</w:t>
      </w:r>
    </w:p>
    <w:p>
      <w:pPr>
        <w:adjustRightInd w:val="0"/>
        <w:snapToGrid w:val="0"/>
        <w:spacing w:line="360" w:lineRule="auto"/>
        <w:ind w:firstLine="420" w:firstLineChars="200"/>
        <w:rPr>
          <w:rFonts w:hAnsi="宋体"/>
          <w:szCs w:val="21"/>
        </w:rPr>
      </w:pPr>
      <w:r>
        <w:rPr>
          <w:rFonts w:hint="eastAsia" w:hAnsi="宋体"/>
          <w:szCs w:val="21"/>
        </w:rPr>
        <w:t>3）讲解并示范铣削平面加工的操作步骤。</w:t>
      </w:r>
    </w:p>
    <w:p>
      <w:pPr>
        <w:adjustRightInd w:val="0"/>
        <w:snapToGrid w:val="0"/>
        <w:spacing w:line="360" w:lineRule="auto"/>
        <w:ind w:firstLine="420" w:firstLineChars="200"/>
        <w:rPr>
          <w:rFonts w:hAnsi="宋体"/>
          <w:szCs w:val="21"/>
        </w:rPr>
      </w:pPr>
      <w:r>
        <w:rPr>
          <w:rFonts w:hint="eastAsia" w:hAnsi="宋体"/>
          <w:szCs w:val="21"/>
        </w:rPr>
        <w:t>（1）开车前，调整铣刀与工件的相对位置，使铣刀离开工件一定距离。</w:t>
      </w:r>
    </w:p>
    <w:p>
      <w:pPr>
        <w:adjustRightInd w:val="0"/>
        <w:snapToGrid w:val="0"/>
        <w:spacing w:line="360" w:lineRule="auto"/>
        <w:ind w:firstLine="420" w:firstLineChars="200"/>
        <w:rPr>
          <w:rFonts w:hAnsi="宋体"/>
          <w:szCs w:val="21"/>
        </w:rPr>
      </w:pPr>
      <w:r>
        <w:rPr>
          <w:rFonts w:hint="eastAsia" w:hAnsi="宋体"/>
          <w:szCs w:val="21"/>
        </w:rPr>
        <w:t>（2）开车对刀。摇动升降台及纵向工作台手柄，使刀具与工件最高点接触。</w:t>
      </w:r>
    </w:p>
    <w:p>
      <w:pPr>
        <w:adjustRightInd w:val="0"/>
        <w:snapToGrid w:val="0"/>
        <w:spacing w:line="360" w:lineRule="auto"/>
        <w:ind w:firstLine="420" w:firstLineChars="200"/>
        <w:rPr>
          <w:rFonts w:hAnsi="宋体"/>
          <w:szCs w:val="21"/>
        </w:rPr>
      </w:pPr>
      <w:r>
        <w:rPr>
          <w:rFonts w:hint="eastAsia" w:hAnsi="宋体"/>
          <w:szCs w:val="21"/>
        </w:rPr>
        <w:t>（3）摇动纵向工作台，退出工件。</w:t>
      </w:r>
    </w:p>
    <w:p>
      <w:pPr>
        <w:adjustRightInd w:val="0"/>
        <w:snapToGrid w:val="0"/>
        <w:spacing w:line="360" w:lineRule="auto"/>
        <w:ind w:firstLine="420" w:firstLineChars="200"/>
        <w:rPr>
          <w:rFonts w:hAnsi="宋体"/>
          <w:szCs w:val="21"/>
        </w:rPr>
      </w:pPr>
      <w:r>
        <w:rPr>
          <w:rFonts w:hint="eastAsia" w:hAnsi="宋体"/>
          <w:szCs w:val="21"/>
        </w:rPr>
        <w:t>（4）按规定进切深（即按刻度向上摇动升降台）。</w:t>
      </w:r>
    </w:p>
    <w:p>
      <w:pPr>
        <w:adjustRightInd w:val="0"/>
        <w:snapToGrid w:val="0"/>
        <w:spacing w:line="360" w:lineRule="auto"/>
        <w:ind w:firstLine="420" w:firstLineChars="200"/>
        <w:rPr>
          <w:rFonts w:hAnsi="宋体"/>
          <w:szCs w:val="21"/>
        </w:rPr>
      </w:pPr>
      <w:r>
        <w:rPr>
          <w:rFonts w:hint="eastAsia" w:hAnsi="宋体"/>
          <w:szCs w:val="21"/>
        </w:rPr>
        <w:t>（5）自动进给进行切削。</w:t>
      </w:r>
    </w:p>
    <w:p>
      <w:pPr>
        <w:adjustRightInd w:val="0"/>
        <w:snapToGrid w:val="0"/>
        <w:spacing w:line="360" w:lineRule="auto"/>
        <w:ind w:firstLine="420" w:firstLineChars="200"/>
        <w:rPr>
          <w:rFonts w:hAnsi="宋体"/>
          <w:szCs w:val="21"/>
        </w:rPr>
      </w:pPr>
      <w:r>
        <w:rPr>
          <w:rFonts w:hint="eastAsia" w:hAnsi="宋体"/>
          <w:szCs w:val="21"/>
        </w:rPr>
        <w:t>（6）尺寸的度量方法及要求。</w:t>
      </w:r>
    </w:p>
    <w:p>
      <w:pPr>
        <w:adjustRightInd w:val="0"/>
        <w:snapToGrid w:val="0"/>
        <w:spacing w:line="360" w:lineRule="auto"/>
        <w:ind w:firstLine="420" w:firstLineChars="200"/>
        <w:rPr>
          <w:rFonts w:hAnsi="宋体"/>
          <w:szCs w:val="21"/>
        </w:rPr>
      </w:pPr>
      <w:r>
        <w:rPr>
          <w:rFonts w:hint="eastAsia" w:hAnsi="宋体"/>
          <w:szCs w:val="21"/>
        </w:rPr>
        <w:t>4）讲解用立铣刀铣削垂直面的方法。</w:t>
      </w:r>
    </w:p>
    <w:p>
      <w:pPr>
        <w:adjustRightInd w:val="0"/>
        <w:snapToGrid w:val="0"/>
        <w:spacing w:line="360" w:lineRule="auto"/>
        <w:ind w:firstLine="420" w:firstLineChars="200"/>
        <w:rPr>
          <w:rFonts w:hAnsi="宋体"/>
          <w:szCs w:val="21"/>
        </w:rPr>
      </w:pPr>
      <w:r>
        <w:rPr>
          <w:rFonts w:hint="eastAsia" w:hAnsi="宋体"/>
          <w:szCs w:val="21"/>
        </w:rPr>
        <w:t>5）讲解铣床加工工件中的注意事项。</w:t>
      </w:r>
    </w:p>
    <w:p>
      <w:pPr>
        <w:adjustRightInd w:val="0"/>
        <w:snapToGrid w:val="0"/>
        <w:spacing w:line="360" w:lineRule="auto"/>
        <w:ind w:firstLine="420" w:firstLineChars="200"/>
        <w:rPr>
          <w:rFonts w:hAnsi="宋体"/>
          <w:szCs w:val="21"/>
        </w:rPr>
      </w:pPr>
      <w:r>
        <w:rPr>
          <w:rFonts w:hint="eastAsia" w:hAnsi="宋体"/>
          <w:szCs w:val="21"/>
        </w:rPr>
        <w:t>（1）铣床在启动状态下不允许变速，以免损坏传动系统。</w:t>
      </w:r>
    </w:p>
    <w:p>
      <w:pPr>
        <w:adjustRightInd w:val="0"/>
        <w:snapToGrid w:val="0"/>
        <w:spacing w:line="360" w:lineRule="auto"/>
        <w:ind w:firstLine="420" w:firstLineChars="200"/>
        <w:rPr>
          <w:rFonts w:hAnsi="宋体"/>
          <w:szCs w:val="21"/>
        </w:rPr>
      </w:pPr>
      <w:r>
        <w:rPr>
          <w:rFonts w:hint="eastAsia" w:hAnsi="宋体"/>
          <w:szCs w:val="21"/>
        </w:rPr>
        <w:t>（2）开车时不准手摸刀具、测量工件、安装工件及清扫铁屑，以免伤手。</w:t>
      </w:r>
    </w:p>
    <w:p>
      <w:pPr>
        <w:adjustRightInd w:val="0"/>
        <w:snapToGrid w:val="0"/>
        <w:spacing w:line="360" w:lineRule="auto"/>
        <w:ind w:firstLine="420" w:firstLineChars="200"/>
        <w:rPr>
          <w:rFonts w:hAnsi="宋体"/>
          <w:szCs w:val="21"/>
        </w:rPr>
      </w:pPr>
      <w:r>
        <w:rPr>
          <w:rFonts w:hint="eastAsia" w:hAnsi="宋体"/>
          <w:szCs w:val="21"/>
        </w:rPr>
        <w:t>（3）工件必须夹紧，以免铣削时工件飞出伤人。</w:t>
      </w:r>
    </w:p>
    <w:p>
      <w:pPr>
        <w:adjustRightInd w:val="0"/>
        <w:snapToGrid w:val="0"/>
        <w:spacing w:line="360" w:lineRule="auto"/>
        <w:ind w:firstLine="420" w:firstLineChars="200"/>
        <w:rPr>
          <w:rFonts w:hAnsi="宋体"/>
          <w:szCs w:val="21"/>
        </w:rPr>
      </w:pPr>
      <w:r>
        <w:rPr>
          <w:rFonts w:hint="eastAsia" w:hAnsi="宋体"/>
          <w:szCs w:val="21"/>
        </w:rPr>
        <w:t>（4）加工完工件必须清除毛刺。</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铣削“鲁班锁”示范讲解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1）使学生掌握在立铣上用立铣刀（镶齿端铣刀）铣削水平面和用立铣刀铣削垂直面的方法。</w:t>
      </w:r>
    </w:p>
    <w:p>
      <w:pPr>
        <w:adjustRightInd w:val="0"/>
        <w:snapToGrid w:val="0"/>
        <w:spacing w:line="360" w:lineRule="auto"/>
        <w:ind w:firstLine="420" w:firstLineChars="200"/>
        <w:rPr>
          <w:rFonts w:hAnsi="宋体"/>
          <w:szCs w:val="21"/>
        </w:rPr>
      </w:pPr>
      <w:r>
        <w:rPr>
          <w:rFonts w:hint="eastAsia" w:hAnsi="宋体"/>
          <w:szCs w:val="21"/>
        </w:rPr>
        <w:t>2）使学生掌握在立铣上用立铣刀铣槽的方法。</w:t>
      </w:r>
    </w:p>
    <w:p>
      <w:pPr>
        <w:adjustRightInd w:val="0"/>
        <w:snapToGrid w:val="0"/>
        <w:spacing w:line="360" w:lineRule="auto"/>
        <w:ind w:firstLine="420" w:firstLineChars="200"/>
        <w:rPr>
          <w:rFonts w:hAnsi="宋体"/>
          <w:szCs w:val="21"/>
        </w:rPr>
      </w:pPr>
      <w:r>
        <w:rPr>
          <w:rFonts w:hint="eastAsia" w:hAnsi="宋体"/>
          <w:szCs w:val="21"/>
        </w:rPr>
        <w:t>2、教学设备要求</w:t>
      </w:r>
    </w:p>
    <w:p>
      <w:pPr>
        <w:adjustRightInd w:val="0"/>
        <w:snapToGrid w:val="0"/>
        <w:spacing w:line="360" w:lineRule="auto"/>
        <w:ind w:firstLine="420" w:firstLineChars="200"/>
        <w:rPr>
          <w:rFonts w:hAnsi="宋体"/>
          <w:szCs w:val="21"/>
        </w:rPr>
      </w:pPr>
      <w:r>
        <w:rPr>
          <w:rFonts w:hint="eastAsia" w:hAnsi="宋体"/>
          <w:szCs w:val="21"/>
        </w:rPr>
        <w:t>1）安装立铣刀（镶齿端铣刀）的X5032、X5225和X6132各一台，待加工的工件各一件。</w:t>
      </w:r>
    </w:p>
    <w:p>
      <w:pPr>
        <w:adjustRightInd w:val="0"/>
        <w:snapToGrid w:val="0"/>
        <w:spacing w:line="360" w:lineRule="auto"/>
        <w:ind w:firstLine="420" w:firstLineChars="200"/>
        <w:rPr>
          <w:rFonts w:hAnsi="宋体"/>
          <w:szCs w:val="21"/>
        </w:rPr>
      </w:pPr>
      <w:r>
        <w:rPr>
          <w:rFonts w:hint="eastAsia" w:hAnsi="宋体"/>
          <w:szCs w:val="21"/>
        </w:rPr>
        <w:t>2）平口钳及平行垫铁若干。</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以6台铣床为一组在现场进行。</w:t>
      </w:r>
    </w:p>
    <w:p>
      <w:pPr>
        <w:adjustRightInd w:val="0"/>
        <w:snapToGrid w:val="0"/>
        <w:spacing w:line="360" w:lineRule="auto"/>
        <w:ind w:firstLine="420" w:firstLineChars="200"/>
        <w:rPr>
          <w:rFonts w:hAnsi="宋体"/>
          <w:szCs w:val="21"/>
        </w:rPr>
      </w:pPr>
      <w:r>
        <w:rPr>
          <w:rFonts w:hint="eastAsia" w:hAnsi="宋体"/>
          <w:szCs w:val="21"/>
        </w:rPr>
        <w:t>4、教学内容、方法与步骤</w:t>
      </w:r>
    </w:p>
    <w:p>
      <w:pPr>
        <w:adjustRightInd w:val="0"/>
        <w:snapToGrid w:val="0"/>
        <w:spacing w:line="360" w:lineRule="auto"/>
        <w:ind w:firstLine="420" w:firstLineChars="200"/>
        <w:rPr>
          <w:rFonts w:hAnsi="宋体"/>
          <w:szCs w:val="21"/>
        </w:rPr>
      </w:pPr>
      <w:r>
        <w:rPr>
          <w:rFonts w:hint="eastAsia" w:hAnsi="宋体"/>
          <w:szCs w:val="21"/>
        </w:rPr>
        <w:t>1）在立铣的平口钳上安装工件。</w:t>
      </w:r>
    </w:p>
    <w:p>
      <w:pPr>
        <w:adjustRightInd w:val="0"/>
        <w:snapToGrid w:val="0"/>
        <w:spacing w:line="360" w:lineRule="auto"/>
        <w:ind w:firstLine="420" w:firstLineChars="200"/>
        <w:rPr>
          <w:rFonts w:hAnsi="宋体"/>
          <w:szCs w:val="21"/>
        </w:rPr>
      </w:pPr>
      <w:r>
        <w:rPr>
          <w:rFonts w:hint="eastAsia" w:hAnsi="宋体"/>
          <w:szCs w:val="21"/>
        </w:rPr>
        <w:t>介绍零件的安装方法及平行垫铁的用途</w:t>
      </w:r>
    </w:p>
    <w:p>
      <w:pPr>
        <w:adjustRightInd w:val="0"/>
        <w:snapToGrid w:val="0"/>
        <w:spacing w:line="360" w:lineRule="auto"/>
        <w:ind w:firstLine="420" w:firstLineChars="200"/>
        <w:rPr>
          <w:rFonts w:hAnsi="宋体"/>
          <w:szCs w:val="21"/>
        </w:rPr>
      </w:pPr>
      <w:r>
        <w:rPr>
          <w:rFonts w:hint="eastAsia" w:hAnsi="宋体"/>
          <w:szCs w:val="21"/>
        </w:rPr>
        <w:t>2）讲解图纸要求并确定铣削用量。</w:t>
      </w:r>
    </w:p>
    <w:p>
      <w:pPr>
        <w:adjustRightInd w:val="0"/>
        <w:snapToGrid w:val="0"/>
        <w:spacing w:line="360" w:lineRule="auto"/>
        <w:ind w:firstLine="420" w:firstLineChars="200"/>
        <w:rPr>
          <w:rFonts w:hAnsi="宋体"/>
          <w:szCs w:val="21"/>
        </w:rPr>
      </w:pPr>
      <w:r>
        <w:rPr>
          <w:rFonts w:hint="eastAsia" w:hAnsi="宋体"/>
          <w:szCs w:val="21"/>
        </w:rPr>
        <w:t>3）讲解并示范铣削平面加工的操作步骤。</w:t>
      </w:r>
    </w:p>
    <w:p>
      <w:pPr>
        <w:adjustRightInd w:val="0"/>
        <w:snapToGrid w:val="0"/>
        <w:spacing w:line="360" w:lineRule="auto"/>
        <w:ind w:firstLine="420" w:firstLineChars="200"/>
        <w:rPr>
          <w:rFonts w:hAnsi="宋体"/>
          <w:szCs w:val="21"/>
        </w:rPr>
      </w:pPr>
      <w:r>
        <w:rPr>
          <w:rFonts w:hint="eastAsia" w:hAnsi="宋体"/>
          <w:szCs w:val="21"/>
        </w:rPr>
        <w:t>4）讲解在立铣上用立铣刀铣削垂直面的方法。</w:t>
      </w:r>
    </w:p>
    <w:p>
      <w:pPr>
        <w:adjustRightInd w:val="0"/>
        <w:snapToGrid w:val="0"/>
        <w:spacing w:line="360" w:lineRule="auto"/>
        <w:ind w:firstLine="420" w:firstLineChars="200"/>
        <w:rPr>
          <w:rFonts w:hAnsi="宋体"/>
          <w:szCs w:val="21"/>
        </w:rPr>
      </w:pPr>
      <w:r>
        <w:rPr>
          <w:rFonts w:hint="eastAsia" w:hAnsi="宋体"/>
          <w:szCs w:val="21"/>
        </w:rPr>
        <w:t>5）讲解在立铣上用立铣刀铣削直槽的方法,以及铣两个槽时保证中心距要求的操作方法。</w:t>
      </w:r>
    </w:p>
    <w:p>
      <w:pPr>
        <w:adjustRightInd w:val="0"/>
        <w:snapToGrid w:val="0"/>
        <w:spacing w:line="360" w:lineRule="auto"/>
        <w:ind w:firstLine="420" w:firstLineChars="200"/>
        <w:rPr>
          <w:rFonts w:hAnsi="宋体"/>
          <w:szCs w:val="21"/>
        </w:rPr>
      </w:pPr>
      <w:r>
        <w:rPr>
          <w:rFonts w:hint="eastAsia" w:hAnsi="宋体"/>
          <w:szCs w:val="21"/>
        </w:rPr>
        <w:t>6）讲解铣床加工工件中的注意事项。</w:t>
      </w:r>
    </w:p>
    <w:p>
      <w:pPr>
        <w:adjustRightInd w:val="0"/>
        <w:snapToGrid w:val="0"/>
        <w:spacing w:line="360" w:lineRule="auto"/>
        <w:ind w:firstLine="420" w:firstLineChars="200"/>
        <w:rPr>
          <w:rFonts w:hAnsi="宋体"/>
          <w:szCs w:val="21"/>
        </w:rPr>
      </w:pPr>
      <w:r>
        <w:rPr>
          <w:rFonts w:hint="eastAsia" w:hAnsi="宋体"/>
          <w:szCs w:val="21"/>
        </w:rPr>
        <w:t>7）装配鲁班锁</w:t>
      </w:r>
    </w:p>
    <w:p>
      <w:pPr>
        <w:adjustRightInd w:val="0"/>
        <w:snapToGrid w:val="0"/>
        <w:spacing w:line="360" w:lineRule="auto"/>
        <w:ind w:firstLine="420" w:firstLineChars="200"/>
        <w:rPr>
          <w:rFonts w:hAnsi="宋体"/>
          <w:szCs w:val="21"/>
        </w:rPr>
      </w:pPr>
      <w:r>
        <w:rPr>
          <w:rFonts w:hint="eastAsia" w:hAnsi="宋体"/>
          <w:szCs w:val="21"/>
        </w:rPr>
        <w:t>通过装配鲁班锁使学生了解零件加工过程中公差配合的重要意义</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车 削 2天</w:t>
      </w:r>
    </w:p>
    <w:p>
      <w:pPr>
        <w:adjustRightInd w:val="0"/>
        <w:snapToGrid w:val="0"/>
        <w:spacing w:line="360" w:lineRule="auto"/>
        <w:ind w:firstLine="420" w:firstLineChars="200"/>
        <w:rPr>
          <w:rFonts w:hAnsi="宋体"/>
          <w:szCs w:val="21"/>
        </w:rPr>
      </w:pPr>
      <w:r>
        <w:rPr>
          <w:rFonts w:hint="eastAsia" w:hAnsi="宋体"/>
          <w:szCs w:val="21"/>
        </w:rPr>
        <w:t>车削实习概述及车工安全讲解</w:t>
      </w:r>
    </w:p>
    <w:p>
      <w:pPr>
        <w:adjustRightInd w:val="0"/>
        <w:snapToGrid w:val="0"/>
        <w:spacing w:line="360" w:lineRule="auto"/>
        <w:ind w:firstLine="420" w:firstLineChars="200"/>
        <w:rPr>
          <w:rFonts w:hAnsi="宋体"/>
          <w:szCs w:val="21"/>
        </w:rPr>
      </w:pPr>
      <w:r>
        <w:rPr>
          <w:rFonts w:hint="eastAsia" w:hAnsi="宋体"/>
          <w:szCs w:val="21"/>
        </w:rPr>
        <w:t xml:space="preserve">1、目的要求 </w:t>
      </w:r>
    </w:p>
    <w:p>
      <w:pPr>
        <w:adjustRightInd w:val="0"/>
        <w:snapToGrid w:val="0"/>
        <w:spacing w:line="360" w:lineRule="auto"/>
        <w:ind w:firstLine="420" w:firstLineChars="200"/>
        <w:rPr>
          <w:rFonts w:hAnsi="宋体"/>
          <w:szCs w:val="21"/>
        </w:rPr>
      </w:pPr>
      <w:r>
        <w:rPr>
          <w:rFonts w:hint="eastAsia" w:hAnsi="宋体"/>
          <w:szCs w:val="21"/>
        </w:rPr>
        <w:t>使学生明确车削实习的教学基本要求、教学环节、车削实习的特点及安全注意事项。</w:t>
      </w:r>
    </w:p>
    <w:p>
      <w:pPr>
        <w:adjustRightInd w:val="0"/>
        <w:snapToGrid w:val="0"/>
        <w:spacing w:line="360" w:lineRule="auto"/>
        <w:ind w:firstLine="420" w:firstLineChars="200"/>
        <w:rPr>
          <w:rFonts w:hAnsi="宋体"/>
          <w:szCs w:val="21"/>
        </w:rPr>
      </w:pPr>
      <w:r>
        <w:rPr>
          <w:rFonts w:hint="eastAsia" w:hAnsi="宋体"/>
          <w:szCs w:val="21"/>
        </w:rPr>
        <w:t>2、教学文件</w:t>
      </w:r>
    </w:p>
    <w:p>
      <w:pPr>
        <w:adjustRightInd w:val="0"/>
        <w:snapToGrid w:val="0"/>
        <w:spacing w:line="360" w:lineRule="auto"/>
        <w:ind w:firstLine="420" w:firstLineChars="200"/>
        <w:rPr>
          <w:rFonts w:hAnsi="宋体"/>
          <w:szCs w:val="21"/>
        </w:rPr>
      </w:pPr>
      <w:r>
        <w:rPr>
          <w:rFonts w:hint="eastAsia" w:hAnsi="宋体"/>
          <w:szCs w:val="21"/>
        </w:rPr>
        <w:t>车工实习安排表，车工安全管理规定，进程表，教材</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在车工班由车工班长对全体学生讲解</w:t>
      </w:r>
    </w:p>
    <w:p>
      <w:pPr>
        <w:adjustRightInd w:val="0"/>
        <w:snapToGrid w:val="0"/>
        <w:spacing w:line="360" w:lineRule="auto"/>
        <w:ind w:firstLine="420" w:firstLineChars="200"/>
        <w:rPr>
          <w:rFonts w:hAnsi="宋体"/>
          <w:szCs w:val="21"/>
        </w:rPr>
      </w:pPr>
      <w:r>
        <w:rPr>
          <w:rFonts w:hint="eastAsia" w:hAnsi="宋体"/>
          <w:szCs w:val="21"/>
        </w:rPr>
        <w:t>4、讲解内容</w:t>
      </w:r>
    </w:p>
    <w:p>
      <w:pPr>
        <w:adjustRightInd w:val="0"/>
        <w:snapToGrid w:val="0"/>
        <w:spacing w:line="360" w:lineRule="auto"/>
        <w:ind w:firstLine="420" w:firstLineChars="200"/>
        <w:rPr>
          <w:rFonts w:hAnsi="宋体"/>
          <w:szCs w:val="21"/>
        </w:rPr>
      </w:pPr>
      <w:r>
        <w:rPr>
          <w:rFonts w:hint="eastAsia" w:hAnsi="宋体"/>
          <w:szCs w:val="21"/>
        </w:rPr>
        <w:t>1）明确车工实习教学基本要求</w:t>
      </w:r>
    </w:p>
    <w:p>
      <w:pPr>
        <w:adjustRightInd w:val="0"/>
        <w:snapToGrid w:val="0"/>
        <w:spacing w:line="360" w:lineRule="auto"/>
        <w:ind w:firstLine="420" w:firstLineChars="200"/>
        <w:rPr>
          <w:rFonts w:hAnsi="宋体"/>
          <w:szCs w:val="21"/>
        </w:rPr>
      </w:pPr>
      <w:r>
        <w:rPr>
          <w:rFonts w:hint="eastAsia" w:hAnsi="宋体"/>
          <w:szCs w:val="21"/>
        </w:rPr>
        <w:t>2）介绍车工实习主要教学环节</w:t>
      </w:r>
    </w:p>
    <w:p>
      <w:pPr>
        <w:adjustRightInd w:val="0"/>
        <w:snapToGrid w:val="0"/>
        <w:spacing w:line="360" w:lineRule="auto"/>
        <w:ind w:firstLine="420" w:firstLineChars="200"/>
        <w:rPr>
          <w:rFonts w:hAnsi="宋体"/>
          <w:szCs w:val="21"/>
        </w:rPr>
      </w:pPr>
      <w:r>
        <w:rPr>
          <w:rFonts w:hint="eastAsia" w:hAnsi="宋体"/>
          <w:szCs w:val="21"/>
        </w:rPr>
        <w:t>（1）学生独立操作。</w:t>
      </w:r>
    </w:p>
    <w:p>
      <w:pPr>
        <w:adjustRightInd w:val="0"/>
        <w:snapToGrid w:val="0"/>
        <w:spacing w:line="360" w:lineRule="auto"/>
        <w:ind w:firstLine="420" w:firstLineChars="200"/>
        <w:rPr>
          <w:rFonts w:hAnsi="宋体"/>
          <w:szCs w:val="21"/>
        </w:rPr>
      </w:pPr>
      <w:r>
        <w:rPr>
          <w:rFonts w:hint="eastAsia" w:hAnsi="宋体"/>
          <w:szCs w:val="21"/>
        </w:rPr>
        <w:t>（2）辅导老师操作表演及现场课。</w:t>
      </w:r>
    </w:p>
    <w:p>
      <w:pPr>
        <w:adjustRightInd w:val="0"/>
        <w:snapToGrid w:val="0"/>
        <w:spacing w:line="360" w:lineRule="auto"/>
        <w:ind w:firstLine="420" w:firstLineChars="200"/>
        <w:rPr>
          <w:rFonts w:hAnsi="宋体"/>
          <w:szCs w:val="21"/>
        </w:rPr>
      </w:pPr>
      <w:r>
        <w:rPr>
          <w:rFonts w:hint="eastAsia" w:hAnsi="宋体"/>
          <w:szCs w:val="21"/>
        </w:rPr>
        <w:t>（3）综合能力训练</w:t>
      </w:r>
    </w:p>
    <w:p>
      <w:pPr>
        <w:adjustRightInd w:val="0"/>
        <w:snapToGrid w:val="0"/>
        <w:spacing w:line="360" w:lineRule="auto"/>
        <w:ind w:firstLine="420" w:firstLineChars="200"/>
        <w:rPr>
          <w:rFonts w:hAnsi="宋体"/>
          <w:szCs w:val="21"/>
        </w:rPr>
      </w:pPr>
      <w:r>
        <w:rPr>
          <w:rFonts w:hint="eastAsia" w:hAnsi="宋体"/>
          <w:szCs w:val="21"/>
        </w:rPr>
        <w:t>3）讲解车工实习特点</w:t>
      </w:r>
    </w:p>
    <w:p>
      <w:pPr>
        <w:adjustRightInd w:val="0"/>
        <w:snapToGrid w:val="0"/>
        <w:spacing w:line="360" w:lineRule="auto"/>
        <w:ind w:firstLine="420" w:firstLineChars="200"/>
        <w:rPr>
          <w:rFonts w:hAnsi="宋体"/>
          <w:szCs w:val="21"/>
        </w:rPr>
      </w:pPr>
      <w:r>
        <w:rPr>
          <w:rFonts w:hint="eastAsia" w:hAnsi="宋体"/>
          <w:szCs w:val="21"/>
        </w:rPr>
        <w:t xml:space="preserve">4）讲解车工实习注意事项          </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车床结构概述及传动系统讲解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1）了解车床的传动系统及典型机构，使同学在实习中能自觉地维护保养和合理地操作车床。</w:t>
      </w:r>
    </w:p>
    <w:p>
      <w:pPr>
        <w:adjustRightInd w:val="0"/>
        <w:snapToGrid w:val="0"/>
        <w:spacing w:line="360" w:lineRule="auto"/>
        <w:ind w:firstLine="420" w:firstLineChars="200"/>
        <w:rPr>
          <w:rFonts w:hAnsi="宋体"/>
          <w:szCs w:val="21"/>
        </w:rPr>
      </w:pPr>
      <w:r>
        <w:rPr>
          <w:rFonts w:hint="eastAsia" w:hAnsi="宋体"/>
          <w:szCs w:val="21"/>
        </w:rPr>
        <w:t>2）了解机械传动的基本知识，为将来的机械设计等后续课程打下初步的感性基础。</w:t>
      </w:r>
    </w:p>
    <w:p>
      <w:pPr>
        <w:adjustRightInd w:val="0"/>
        <w:snapToGrid w:val="0"/>
        <w:spacing w:line="360" w:lineRule="auto"/>
        <w:ind w:firstLine="420" w:firstLineChars="200"/>
        <w:rPr>
          <w:rFonts w:hAnsi="宋体"/>
          <w:szCs w:val="21"/>
        </w:rPr>
      </w:pPr>
      <w:r>
        <w:rPr>
          <w:rFonts w:hint="eastAsia" w:hAnsi="宋体"/>
          <w:szCs w:val="21"/>
        </w:rPr>
        <w:t>3）了解车床各部分手柄的结构和使用方法，能正确使用操作机床</w:t>
      </w:r>
    </w:p>
    <w:p>
      <w:pPr>
        <w:adjustRightInd w:val="0"/>
        <w:snapToGrid w:val="0"/>
        <w:spacing w:line="360" w:lineRule="auto"/>
        <w:ind w:firstLine="420" w:firstLineChars="200"/>
        <w:rPr>
          <w:rFonts w:hAnsi="宋体"/>
          <w:szCs w:val="21"/>
        </w:rPr>
      </w:pPr>
      <w:r>
        <w:rPr>
          <w:rFonts w:hint="eastAsia" w:hAnsi="宋体"/>
          <w:szCs w:val="21"/>
        </w:rPr>
        <w:t>2、学习条件</w:t>
      </w:r>
    </w:p>
    <w:p>
      <w:pPr>
        <w:adjustRightInd w:val="0"/>
        <w:snapToGrid w:val="0"/>
        <w:spacing w:line="360" w:lineRule="auto"/>
        <w:ind w:firstLine="420" w:firstLineChars="200"/>
        <w:rPr>
          <w:rFonts w:hAnsi="宋体"/>
          <w:szCs w:val="21"/>
        </w:rPr>
      </w:pPr>
      <w:r>
        <w:rPr>
          <w:rFonts w:hint="eastAsia" w:hAnsi="宋体"/>
          <w:szCs w:val="21"/>
        </w:rPr>
        <w:t>1）C6136车床传动系统挂图一张。</w:t>
      </w:r>
    </w:p>
    <w:p>
      <w:pPr>
        <w:adjustRightInd w:val="0"/>
        <w:snapToGrid w:val="0"/>
        <w:spacing w:line="360" w:lineRule="auto"/>
        <w:ind w:firstLine="420" w:firstLineChars="200"/>
        <w:rPr>
          <w:rFonts w:hAnsi="宋体"/>
          <w:szCs w:val="21"/>
        </w:rPr>
      </w:pPr>
      <w:r>
        <w:rPr>
          <w:rFonts w:hint="eastAsia" w:hAnsi="宋体"/>
          <w:szCs w:val="21"/>
        </w:rPr>
        <w:t>2）C6136车床一台。</w:t>
      </w:r>
    </w:p>
    <w:p>
      <w:pPr>
        <w:adjustRightInd w:val="0"/>
        <w:snapToGrid w:val="0"/>
        <w:spacing w:line="360" w:lineRule="auto"/>
        <w:ind w:firstLine="420" w:firstLineChars="200"/>
        <w:rPr>
          <w:rFonts w:hAnsi="宋体"/>
          <w:szCs w:val="21"/>
        </w:rPr>
      </w:pPr>
      <w:r>
        <w:rPr>
          <w:rFonts w:hint="eastAsia" w:hAnsi="宋体"/>
          <w:szCs w:val="21"/>
        </w:rPr>
        <w:t>3）CA6140车床一台</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以实习小组为单位在车间进行。由指导老师示范讲解</w:t>
      </w:r>
    </w:p>
    <w:p>
      <w:pPr>
        <w:adjustRightInd w:val="0"/>
        <w:snapToGrid w:val="0"/>
        <w:spacing w:line="360" w:lineRule="auto"/>
        <w:ind w:firstLine="420" w:firstLineChars="200"/>
        <w:rPr>
          <w:rFonts w:hAnsi="宋体"/>
          <w:szCs w:val="21"/>
        </w:rPr>
      </w:pPr>
      <w:r>
        <w:rPr>
          <w:rFonts w:hint="eastAsia" w:hAnsi="宋体"/>
          <w:szCs w:val="21"/>
        </w:rPr>
        <w:t>4、教学内容、方法与步骤</w:t>
      </w:r>
    </w:p>
    <w:p>
      <w:pPr>
        <w:adjustRightInd w:val="0"/>
        <w:snapToGrid w:val="0"/>
        <w:spacing w:line="360" w:lineRule="auto"/>
        <w:ind w:firstLine="420" w:firstLineChars="200"/>
        <w:rPr>
          <w:rFonts w:hAnsi="宋体"/>
          <w:szCs w:val="21"/>
        </w:rPr>
      </w:pPr>
      <w:r>
        <w:rPr>
          <w:rFonts w:hint="eastAsia" w:hAnsi="宋体"/>
          <w:szCs w:val="21"/>
        </w:rPr>
        <w:t>1）讲解机床型号，及各字母数字表示的内容（包括类别、组别、型号、主参数、以及特性代号、重大改进符号等）</w:t>
      </w:r>
    </w:p>
    <w:p>
      <w:pPr>
        <w:adjustRightInd w:val="0"/>
        <w:snapToGrid w:val="0"/>
        <w:spacing w:line="360" w:lineRule="auto"/>
        <w:ind w:firstLine="420" w:firstLineChars="200"/>
        <w:rPr>
          <w:rFonts w:hAnsi="宋体"/>
          <w:szCs w:val="21"/>
        </w:rPr>
      </w:pPr>
      <w:r>
        <w:rPr>
          <w:rFonts w:hint="eastAsia" w:hAnsi="宋体"/>
          <w:szCs w:val="21"/>
        </w:rPr>
        <w:t>2）主轴变速箱：</w:t>
      </w:r>
    </w:p>
    <w:p>
      <w:pPr>
        <w:adjustRightInd w:val="0"/>
        <w:snapToGrid w:val="0"/>
        <w:spacing w:line="360" w:lineRule="auto"/>
        <w:ind w:firstLine="420" w:firstLineChars="200"/>
        <w:rPr>
          <w:rFonts w:hAnsi="宋体"/>
          <w:szCs w:val="21"/>
        </w:rPr>
      </w:pPr>
      <w:r>
        <w:rPr>
          <w:rFonts w:hint="eastAsia" w:hAnsi="宋体"/>
          <w:szCs w:val="21"/>
        </w:rPr>
        <w:t xml:space="preserve">3）进给箱： </w:t>
      </w:r>
    </w:p>
    <w:p>
      <w:pPr>
        <w:adjustRightInd w:val="0"/>
        <w:snapToGrid w:val="0"/>
        <w:spacing w:line="360" w:lineRule="auto"/>
        <w:ind w:firstLine="420" w:firstLineChars="200"/>
        <w:rPr>
          <w:rFonts w:hAnsi="宋体"/>
          <w:szCs w:val="21"/>
        </w:rPr>
      </w:pPr>
      <w:r>
        <w:rPr>
          <w:rFonts w:hint="eastAsia" w:hAnsi="宋体"/>
          <w:szCs w:val="21"/>
        </w:rPr>
        <w:t>4）溜板箱：</w:t>
      </w:r>
    </w:p>
    <w:p>
      <w:pPr>
        <w:adjustRightInd w:val="0"/>
        <w:snapToGrid w:val="0"/>
        <w:spacing w:line="360" w:lineRule="auto"/>
        <w:ind w:firstLine="420" w:firstLineChars="200"/>
        <w:rPr>
          <w:rFonts w:hAnsi="宋体"/>
          <w:szCs w:val="21"/>
        </w:rPr>
      </w:pPr>
      <w:r>
        <w:rPr>
          <w:rFonts w:hint="eastAsia" w:hAnsi="宋体"/>
          <w:szCs w:val="21"/>
        </w:rPr>
        <w:t>5）尾座</w:t>
      </w:r>
    </w:p>
    <w:p>
      <w:pPr>
        <w:adjustRightInd w:val="0"/>
        <w:snapToGrid w:val="0"/>
        <w:spacing w:line="360" w:lineRule="auto"/>
        <w:ind w:firstLine="420" w:firstLineChars="200"/>
        <w:rPr>
          <w:rFonts w:hAnsi="宋体"/>
          <w:szCs w:val="21"/>
        </w:rPr>
      </w:pPr>
      <w:r>
        <w:rPr>
          <w:rFonts w:hint="eastAsia" w:hAnsi="宋体"/>
          <w:szCs w:val="21"/>
        </w:rPr>
        <w:t>6）整体讲解机床传动系统</w:t>
      </w:r>
    </w:p>
    <w:p>
      <w:pPr>
        <w:adjustRightInd w:val="0"/>
        <w:snapToGrid w:val="0"/>
        <w:spacing w:line="360" w:lineRule="auto"/>
        <w:ind w:firstLine="420" w:firstLineChars="200"/>
        <w:rPr>
          <w:rFonts w:hAnsi="宋体"/>
          <w:szCs w:val="21"/>
        </w:rPr>
      </w:pPr>
      <w:r>
        <w:rPr>
          <w:rFonts w:hint="eastAsia"/>
          <w:szCs w:val="21"/>
        </w:rPr>
        <w:t>本节内容支撑课程目标1、2。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工件安装示范讲解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 xml:space="preserve">1）了解工件安装的要求。       </w:t>
      </w:r>
    </w:p>
    <w:p>
      <w:pPr>
        <w:adjustRightInd w:val="0"/>
        <w:snapToGrid w:val="0"/>
        <w:spacing w:line="360" w:lineRule="auto"/>
        <w:ind w:firstLine="420" w:firstLineChars="200"/>
        <w:rPr>
          <w:rFonts w:hAnsi="宋体"/>
          <w:szCs w:val="21"/>
        </w:rPr>
      </w:pPr>
      <w:r>
        <w:rPr>
          <w:rFonts w:hint="eastAsia" w:hAnsi="宋体"/>
          <w:szCs w:val="21"/>
        </w:rPr>
        <w:t>2）掌握工件安装和找正的方法。</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1）轴类零件一个。</w:t>
      </w:r>
    </w:p>
    <w:p>
      <w:pPr>
        <w:adjustRightInd w:val="0"/>
        <w:snapToGrid w:val="0"/>
        <w:spacing w:line="360" w:lineRule="auto"/>
        <w:ind w:firstLine="420" w:firstLineChars="200"/>
        <w:rPr>
          <w:rFonts w:hAnsi="宋体"/>
          <w:szCs w:val="21"/>
        </w:rPr>
      </w:pPr>
      <w:r>
        <w:rPr>
          <w:rFonts w:hint="eastAsia" w:hAnsi="宋体"/>
          <w:szCs w:val="21"/>
        </w:rPr>
        <w:t>2）三爪卡盘及卡盘扳手各一个。</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以实习小组为单位由指导老师现场示范</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1）讲解工件安装的要求（放稳、找正、卡牢）。</w:t>
      </w:r>
    </w:p>
    <w:p>
      <w:pPr>
        <w:adjustRightInd w:val="0"/>
        <w:snapToGrid w:val="0"/>
        <w:spacing w:line="360" w:lineRule="auto"/>
        <w:ind w:firstLine="420" w:firstLineChars="200"/>
        <w:rPr>
          <w:rFonts w:hAnsi="宋体"/>
          <w:szCs w:val="21"/>
        </w:rPr>
      </w:pPr>
      <w:r>
        <w:rPr>
          <w:rFonts w:hint="eastAsia" w:hAnsi="宋体"/>
          <w:szCs w:val="21"/>
        </w:rPr>
        <w:t>2）示范讲解工件的安装和找正的方法</w:t>
      </w:r>
    </w:p>
    <w:p>
      <w:pPr>
        <w:adjustRightInd w:val="0"/>
        <w:snapToGrid w:val="0"/>
        <w:spacing w:line="360" w:lineRule="auto"/>
        <w:ind w:firstLine="420" w:firstLineChars="200"/>
        <w:rPr>
          <w:rFonts w:hAnsi="宋体"/>
          <w:szCs w:val="21"/>
        </w:rPr>
      </w:pPr>
      <w:r>
        <w:rPr>
          <w:rFonts w:hint="eastAsia" w:hAnsi="宋体"/>
          <w:szCs w:val="21"/>
        </w:rPr>
        <w:t>3）找正后卡紧工件。</w:t>
      </w:r>
    </w:p>
    <w:p>
      <w:pPr>
        <w:adjustRightInd w:val="0"/>
        <w:snapToGrid w:val="0"/>
        <w:spacing w:line="360" w:lineRule="auto"/>
        <w:ind w:firstLine="420" w:firstLineChars="200"/>
        <w:rPr>
          <w:rFonts w:hAnsi="宋体"/>
          <w:szCs w:val="21"/>
        </w:rPr>
      </w:pPr>
      <w:r>
        <w:rPr>
          <w:rFonts w:hint="eastAsia"/>
          <w:szCs w:val="21"/>
        </w:rPr>
        <w:t>本节内容支撑课程目标1、2。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车刀</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1）了解车刀的组成及其几何角度</w:t>
      </w:r>
    </w:p>
    <w:p>
      <w:pPr>
        <w:adjustRightInd w:val="0"/>
        <w:snapToGrid w:val="0"/>
        <w:spacing w:line="360" w:lineRule="auto"/>
        <w:ind w:firstLine="420" w:firstLineChars="200"/>
        <w:rPr>
          <w:rFonts w:hAnsi="宋体"/>
          <w:szCs w:val="21"/>
        </w:rPr>
      </w:pPr>
      <w:r>
        <w:rPr>
          <w:rFonts w:hint="eastAsia" w:hAnsi="宋体"/>
          <w:szCs w:val="21"/>
        </w:rPr>
        <w:t xml:space="preserve">2）了解车刀的种类和材料                    </w:t>
      </w:r>
    </w:p>
    <w:p>
      <w:pPr>
        <w:adjustRightInd w:val="0"/>
        <w:snapToGrid w:val="0"/>
        <w:spacing w:line="360" w:lineRule="auto"/>
        <w:ind w:firstLine="420" w:firstLineChars="200"/>
        <w:rPr>
          <w:rFonts w:hAnsi="宋体"/>
          <w:szCs w:val="21"/>
        </w:rPr>
      </w:pPr>
      <w:r>
        <w:rPr>
          <w:rFonts w:hint="eastAsia" w:hAnsi="宋体"/>
          <w:szCs w:val="21"/>
        </w:rPr>
        <w:t>3）了解砂轮的种类和使用砂轮机的安全知识</w:t>
      </w:r>
    </w:p>
    <w:p>
      <w:pPr>
        <w:adjustRightInd w:val="0"/>
        <w:snapToGrid w:val="0"/>
        <w:spacing w:line="360" w:lineRule="auto"/>
        <w:ind w:firstLine="420" w:firstLineChars="200"/>
        <w:rPr>
          <w:rFonts w:hAnsi="宋体"/>
          <w:szCs w:val="21"/>
        </w:rPr>
      </w:pPr>
      <w:r>
        <w:rPr>
          <w:rFonts w:hint="eastAsia" w:hAnsi="宋体"/>
          <w:szCs w:val="21"/>
        </w:rPr>
        <w:t xml:space="preserve">4）初步了解车刀的刃磨姿势及方法                   </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1）45°偏刀、90°偏刀、砂轮机、车刀角度挂图一张</w:t>
      </w:r>
    </w:p>
    <w:p>
      <w:pPr>
        <w:adjustRightInd w:val="0"/>
        <w:snapToGrid w:val="0"/>
        <w:spacing w:line="360" w:lineRule="auto"/>
        <w:ind w:firstLine="420" w:firstLineChars="200"/>
        <w:rPr>
          <w:rFonts w:hAnsi="宋体"/>
          <w:szCs w:val="21"/>
        </w:rPr>
      </w:pPr>
      <w:r>
        <w:rPr>
          <w:rFonts w:hint="eastAsia" w:hAnsi="宋体"/>
          <w:szCs w:val="21"/>
        </w:rPr>
        <w:t>2）车床尾座上安装好顶尖。</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以实习小组为单位由指导老师现场示范讲解。</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1）挂图讲解车刀的种类</w:t>
      </w:r>
    </w:p>
    <w:p>
      <w:pPr>
        <w:adjustRightInd w:val="0"/>
        <w:snapToGrid w:val="0"/>
        <w:spacing w:line="360" w:lineRule="auto"/>
        <w:ind w:firstLine="420" w:firstLineChars="200"/>
        <w:rPr>
          <w:rFonts w:hAnsi="宋体"/>
          <w:szCs w:val="21"/>
        </w:rPr>
      </w:pPr>
      <w:r>
        <w:rPr>
          <w:rFonts w:hint="eastAsia" w:hAnsi="宋体"/>
          <w:szCs w:val="21"/>
        </w:rPr>
        <w:t>偏刀、45°弯头车刀、切断刀、镗孔刀、圆头刀、螺纹车刀</w:t>
      </w:r>
    </w:p>
    <w:p>
      <w:pPr>
        <w:adjustRightInd w:val="0"/>
        <w:snapToGrid w:val="0"/>
        <w:spacing w:line="360" w:lineRule="auto"/>
        <w:ind w:firstLine="420" w:firstLineChars="200"/>
        <w:rPr>
          <w:rFonts w:hAnsi="宋体"/>
          <w:szCs w:val="21"/>
        </w:rPr>
      </w:pPr>
      <w:r>
        <w:rPr>
          <w:rFonts w:hint="eastAsia" w:hAnsi="宋体"/>
          <w:szCs w:val="21"/>
        </w:rPr>
        <w:t>2）车刀材料</w:t>
      </w:r>
    </w:p>
    <w:p>
      <w:pPr>
        <w:adjustRightInd w:val="0"/>
        <w:snapToGrid w:val="0"/>
        <w:spacing w:line="360" w:lineRule="auto"/>
        <w:ind w:firstLine="420" w:firstLineChars="200"/>
        <w:rPr>
          <w:rFonts w:hAnsi="宋体"/>
          <w:szCs w:val="21"/>
        </w:rPr>
      </w:pPr>
      <w:r>
        <w:rPr>
          <w:rFonts w:hint="eastAsia" w:hAnsi="宋体"/>
          <w:szCs w:val="21"/>
        </w:rPr>
        <w:t>3）挂图并示范讲解车刀的组成</w:t>
      </w:r>
    </w:p>
    <w:p>
      <w:pPr>
        <w:adjustRightInd w:val="0"/>
        <w:snapToGrid w:val="0"/>
        <w:spacing w:line="360" w:lineRule="auto"/>
        <w:ind w:firstLine="420" w:firstLineChars="200"/>
        <w:rPr>
          <w:rFonts w:hAnsi="宋体"/>
          <w:szCs w:val="21"/>
        </w:rPr>
      </w:pPr>
      <w:r>
        <w:rPr>
          <w:rFonts w:hint="eastAsia" w:hAnsi="宋体"/>
          <w:szCs w:val="21"/>
        </w:rPr>
        <w:t>4）挂图并示范讲解车刀切削部分的主要角度</w:t>
      </w:r>
    </w:p>
    <w:p>
      <w:pPr>
        <w:adjustRightInd w:val="0"/>
        <w:snapToGrid w:val="0"/>
        <w:spacing w:line="360" w:lineRule="auto"/>
        <w:ind w:firstLine="420" w:firstLineChars="200"/>
        <w:rPr>
          <w:rFonts w:hAnsi="宋体"/>
          <w:szCs w:val="21"/>
        </w:rPr>
      </w:pPr>
      <w:r>
        <w:rPr>
          <w:rFonts w:hint="eastAsia" w:hAnsi="宋体"/>
          <w:szCs w:val="21"/>
        </w:rPr>
        <w:t>5）砂轮</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车刀安装示范讲解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1）了解车刀安装的要求。</w:t>
      </w:r>
    </w:p>
    <w:p>
      <w:pPr>
        <w:adjustRightInd w:val="0"/>
        <w:snapToGrid w:val="0"/>
        <w:spacing w:line="360" w:lineRule="auto"/>
        <w:ind w:firstLine="420" w:firstLineChars="200"/>
        <w:rPr>
          <w:rFonts w:hAnsi="宋体"/>
          <w:szCs w:val="21"/>
        </w:rPr>
      </w:pPr>
      <w:r>
        <w:rPr>
          <w:rFonts w:hint="eastAsia" w:hAnsi="宋体"/>
          <w:szCs w:val="21"/>
        </w:rPr>
        <w:t xml:space="preserve">2）掌握车刀安装的步骤和方法。                     </w:t>
      </w:r>
    </w:p>
    <w:p>
      <w:pPr>
        <w:adjustRightInd w:val="0"/>
        <w:snapToGrid w:val="0"/>
        <w:spacing w:line="360" w:lineRule="auto"/>
        <w:ind w:firstLine="420" w:firstLineChars="200"/>
        <w:rPr>
          <w:rFonts w:hAnsi="宋体"/>
          <w:szCs w:val="21"/>
        </w:rPr>
      </w:pPr>
      <w:r>
        <w:rPr>
          <w:rFonts w:hint="eastAsia" w:hAnsi="宋体"/>
          <w:szCs w:val="21"/>
        </w:rPr>
        <w:t xml:space="preserve">3）熟悉车刀安装的安全注意事项。                   </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1）45°弯刀、90°偏刀、切断刀、垫刀片若干</w:t>
      </w:r>
    </w:p>
    <w:p>
      <w:pPr>
        <w:adjustRightInd w:val="0"/>
        <w:snapToGrid w:val="0"/>
        <w:spacing w:line="360" w:lineRule="auto"/>
        <w:ind w:firstLine="420" w:firstLineChars="200"/>
        <w:rPr>
          <w:rFonts w:hAnsi="宋体"/>
          <w:szCs w:val="21"/>
        </w:rPr>
      </w:pPr>
      <w:r>
        <w:rPr>
          <w:rFonts w:hint="eastAsia" w:hAnsi="宋体"/>
          <w:szCs w:val="21"/>
        </w:rPr>
        <w:t>2）车床尾座上安装好顶尖。</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以实习小组为单位由指导老师现场示范轴类零件加工时在实习现场进行。</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1）讲解并示范车刀安放的要求</w:t>
      </w:r>
    </w:p>
    <w:p>
      <w:pPr>
        <w:adjustRightInd w:val="0"/>
        <w:snapToGrid w:val="0"/>
        <w:spacing w:line="360" w:lineRule="auto"/>
        <w:ind w:firstLine="420" w:firstLineChars="200"/>
        <w:rPr>
          <w:rFonts w:hAnsi="宋体"/>
          <w:szCs w:val="21"/>
        </w:rPr>
      </w:pPr>
      <w:r>
        <w:rPr>
          <w:rFonts w:hint="eastAsia" w:hAnsi="宋体"/>
          <w:szCs w:val="21"/>
        </w:rPr>
        <w:t>2）安放好车刀，用螺钉轻轻拧住。</w:t>
      </w:r>
    </w:p>
    <w:p>
      <w:pPr>
        <w:adjustRightInd w:val="0"/>
        <w:snapToGrid w:val="0"/>
        <w:spacing w:line="360" w:lineRule="auto"/>
        <w:ind w:firstLine="420" w:firstLineChars="200"/>
        <w:rPr>
          <w:rFonts w:hAnsi="宋体"/>
          <w:szCs w:val="21"/>
        </w:rPr>
      </w:pPr>
      <w:r>
        <w:rPr>
          <w:rFonts w:hint="eastAsia" w:hAnsi="宋体"/>
          <w:szCs w:val="21"/>
        </w:rPr>
        <w:t>3）示范并讲解校对刀尖高低</w:t>
      </w:r>
    </w:p>
    <w:p>
      <w:pPr>
        <w:adjustRightInd w:val="0"/>
        <w:snapToGrid w:val="0"/>
        <w:spacing w:line="360" w:lineRule="auto"/>
        <w:ind w:firstLine="420" w:firstLineChars="200"/>
        <w:rPr>
          <w:rFonts w:hAnsi="宋体"/>
          <w:szCs w:val="21"/>
        </w:rPr>
      </w:pPr>
      <w:r>
        <w:rPr>
          <w:rFonts w:hint="eastAsia" w:hAnsi="宋体"/>
          <w:szCs w:val="21"/>
        </w:rPr>
        <w:t>4）示范压紧车刀</w:t>
      </w:r>
    </w:p>
    <w:p>
      <w:pPr>
        <w:adjustRightInd w:val="0"/>
        <w:snapToGrid w:val="0"/>
        <w:spacing w:line="360" w:lineRule="auto"/>
        <w:ind w:firstLine="420" w:firstLineChars="200"/>
        <w:rPr>
          <w:rFonts w:hAnsi="宋体"/>
          <w:szCs w:val="21"/>
        </w:rPr>
      </w:pPr>
      <w:r>
        <w:rPr>
          <w:rFonts w:hint="eastAsia"/>
          <w:szCs w:val="21"/>
        </w:rPr>
        <w:t>本节内容支撑课程目标2。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车削步骤和试切示范讲解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rPr>
          <w:rFonts w:hAnsi="宋体"/>
          <w:szCs w:val="21"/>
        </w:rPr>
      </w:pPr>
      <w:r>
        <w:rPr>
          <w:rFonts w:hint="eastAsia" w:hAnsi="宋体"/>
          <w:szCs w:val="21"/>
        </w:rPr>
        <w:t>1）掌握切削步骤。 2）掌握试切方法及试切的目的。</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rPr>
          <w:rFonts w:hAnsi="宋体"/>
          <w:szCs w:val="21"/>
        </w:rPr>
      </w:pPr>
      <w:r>
        <w:rPr>
          <w:rFonts w:hint="eastAsia" w:hAnsi="宋体"/>
          <w:szCs w:val="21"/>
        </w:rPr>
        <w:t>安装好工件和车刀的车床一台。</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rPr>
          <w:rFonts w:hAnsi="宋体"/>
          <w:szCs w:val="21"/>
        </w:rPr>
      </w:pPr>
      <w:r>
        <w:rPr>
          <w:rFonts w:hint="eastAsia" w:hAnsi="宋体"/>
          <w:szCs w:val="21"/>
        </w:rPr>
        <w:t>以实习小组为单位在实习现场进行。</w:t>
      </w:r>
    </w:p>
    <w:p>
      <w:pPr>
        <w:adjustRightInd w:val="0"/>
        <w:snapToGrid w:val="0"/>
        <w:spacing w:line="360" w:lineRule="auto"/>
        <w:ind w:firstLine="420" w:firstLineChars="200"/>
        <w:rPr>
          <w:rFonts w:hAnsi="宋体"/>
          <w:szCs w:val="21"/>
        </w:rPr>
      </w:pPr>
      <w:r>
        <w:rPr>
          <w:rFonts w:hint="eastAsia" w:hAnsi="宋体"/>
          <w:szCs w:val="21"/>
        </w:rPr>
        <w:t>4、教学内容、方法与步骤</w:t>
      </w:r>
    </w:p>
    <w:p>
      <w:pPr>
        <w:adjustRightInd w:val="0"/>
        <w:snapToGrid w:val="0"/>
        <w:spacing w:line="360" w:lineRule="auto"/>
        <w:ind w:firstLine="420"/>
        <w:rPr>
          <w:rFonts w:hAnsi="宋体"/>
          <w:szCs w:val="21"/>
        </w:rPr>
      </w:pPr>
      <w:r>
        <w:rPr>
          <w:rFonts w:hint="eastAsia" w:hAnsi="宋体"/>
          <w:szCs w:val="21"/>
        </w:rPr>
        <w:t xml:space="preserve">1）示范讲解切削步骤（以车外圆为例） </w:t>
      </w:r>
    </w:p>
    <w:p>
      <w:pPr>
        <w:adjustRightInd w:val="0"/>
        <w:snapToGrid w:val="0"/>
        <w:spacing w:line="360" w:lineRule="auto"/>
        <w:ind w:firstLine="420"/>
        <w:rPr>
          <w:rFonts w:hAnsi="宋体"/>
          <w:szCs w:val="21"/>
        </w:rPr>
      </w:pPr>
      <w:r>
        <w:rPr>
          <w:rFonts w:hint="eastAsia" w:hAnsi="宋体"/>
          <w:szCs w:val="21"/>
        </w:rPr>
        <w:t>2）示范讲解试切的目的和方法</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轴加工示范讲解教案</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1）了解轴类零件的主要结构和技术要求；</w:t>
      </w:r>
    </w:p>
    <w:p>
      <w:pPr>
        <w:adjustRightInd w:val="0"/>
        <w:snapToGrid w:val="0"/>
        <w:spacing w:line="360" w:lineRule="auto"/>
        <w:ind w:firstLine="420" w:firstLineChars="200"/>
        <w:rPr>
          <w:rFonts w:hAnsi="宋体"/>
          <w:szCs w:val="21"/>
        </w:rPr>
      </w:pPr>
      <w:r>
        <w:rPr>
          <w:rFonts w:hint="eastAsia" w:hAnsi="宋体"/>
          <w:szCs w:val="21"/>
        </w:rPr>
        <w:t>2）掌握轴类零件的加工方法。</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1）CA6136/CA6140普通卧式车床</w:t>
      </w:r>
    </w:p>
    <w:p>
      <w:pPr>
        <w:adjustRightInd w:val="0"/>
        <w:snapToGrid w:val="0"/>
        <w:spacing w:line="360" w:lineRule="auto"/>
        <w:ind w:firstLine="420" w:firstLineChars="200"/>
        <w:rPr>
          <w:rFonts w:hAnsi="宋体"/>
          <w:szCs w:val="21"/>
        </w:rPr>
      </w:pPr>
      <w:r>
        <w:rPr>
          <w:rFonts w:hint="eastAsia" w:hAnsi="宋体"/>
          <w:szCs w:val="21"/>
        </w:rPr>
        <w:t>2）轴类毛坯一段</w:t>
      </w:r>
    </w:p>
    <w:p>
      <w:pPr>
        <w:adjustRightInd w:val="0"/>
        <w:snapToGrid w:val="0"/>
        <w:spacing w:line="360" w:lineRule="auto"/>
        <w:ind w:firstLine="420" w:firstLineChars="200"/>
        <w:rPr>
          <w:rFonts w:hAnsi="宋体"/>
          <w:szCs w:val="21"/>
        </w:rPr>
      </w:pPr>
      <w:r>
        <w:rPr>
          <w:rFonts w:hint="eastAsia" w:hAnsi="宋体"/>
          <w:szCs w:val="21"/>
        </w:rPr>
        <w:t>3）90°右偏刀、45°偏刀、切断刀各一把</w:t>
      </w:r>
    </w:p>
    <w:p>
      <w:pPr>
        <w:adjustRightInd w:val="0"/>
        <w:snapToGrid w:val="0"/>
        <w:spacing w:line="360" w:lineRule="auto"/>
        <w:ind w:firstLine="420" w:firstLineChars="200"/>
        <w:rPr>
          <w:rFonts w:hAnsi="宋体"/>
          <w:szCs w:val="21"/>
        </w:rPr>
      </w:pPr>
      <w:r>
        <w:rPr>
          <w:rFonts w:hint="eastAsia" w:hAnsi="宋体"/>
          <w:szCs w:val="21"/>
        </w:rPr>
        <w:t>4）短轴零件图纸一张</w:t>
      </w:r>
    </w:p>
    <w:p>
      <w:pPr>
        <w:adjustRightInd w:val="0"/>
        <w:snapToGrid w:val="0"/>
        <w:spacing w:line="360" w:lineRule="auto"/>
        <w:ind w:firstLine="420" w:firstLineChars="200"/>
        <w:rPr>
          <w:rFonts w:hAnsi="宋体"/>
          <w:szCs w:val="21"/>
        </w:rPr>
      </w:pPr>
      <w:r>
        <w:rPr>
          <w:rFonts w:hint="eastAsia" w:hAnsi="宋体"/>
          <w:szCs w:val="21"/>
        </w:rPr>
        <w:t>5）顶尖在尾座内安装好</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以实习小组为单位由指导老师在实习现场进行示范讲解。</w:t>
      </w:r>
    </w:p>
    <w:p>
      <w:pPr>
        <w:adjustRightInd w:val="0"/>
        <w:snapToGrid w:val="0"/>
        <w:spacing w:line="360" w:lineRule="auto"/>
        <w:ind w:firstLine="420" w:firstLineChars="200"/>
        <w:rPr>
          <w:rFonts w:hAnsi="宋体"/>
          <w:szCs w:val="21"/>
        </w:rPr>
      </w:pPr>
      <w:r>
        <w:rPr>
          <w:rFonts w:hint="eastAsia" w:hAnsi="宋体"/>
          <w:szCs w:val="21"/>
        </w:rPr>
        <w:t>4、教学内容、方法与步骤</w:t>
      </w:r>
    </w:p>
    <w:p>
      <w:pPr>
        <w:adjustRightInd w:val="0"/>
        <w:snapToGrid w:val="0"/>
        <w:spacing w:line="360" w:lineRule="auto"/>
        <w:ind w:firstLine="420" w:firstLineChars="200"/>
        <w:rPr>
          <w:rFonts w:hAnsi="宋体"/>
          <w:szCs w:val="21"/>
        </w:rPr>
      </w:pPr>
      <w:r>
        <w:rPr>
          <w:rFonts w:hint="eastAsia" w:hAnsi="宋体"/>
          <w:szCs w:val="21"/>
        </w:rPr>
        <w:t>1）简介轴类零件的主要结构：轴一般由外圆、螺纹、退刀槽、砂轮越程槽、倒角和键槽等组成。两端有中心孔，其600为定位基面。</w:t>
      </w:r>
    </w:p>
    <w:p>
      <w:pPr>
        <w:adjustRightInd w:val="0"/>
        <w:snapToGrid w:val="0"/>
        <w:spacing w:line="360" w:lineRule="auto"/>
        <w:ind w:firstLine="420" w:firstLineChars="200"/>
        <w:rPr>
          <w:rFonts w:hAnsi="宋体"/>
          <w:szCs w:val="21"/>
        </w:rPr>
      </w:pPr>
      <w:r>
        <w:rPr>
          <w:rFonts w:hint="eastAsia" w:hAnsi="宋体"/>
          <w:szCs w:val="21"/>
        </w:rPr>
        <w:t>2）简介轴类零件的主要技术要求：尺寸公差、表面粗糙度、形状公差、位置公差及热处理等要求。</w:t>
      </w:r>
    </w:p>
    <w:p>
      <w:pPr>
        <w:adjustRightInd w:val="0"/>
        <w:snapToGrid w:val="0"/>
        <w:spacing w:line="360" w:lineRule="auto"/>
        <w:ind w:firstLine="420" w:firstLineChars="200"/>
        <w:rPr>
          <w:rFonts w:hAnsi="宋体"/>
          <w:szCs w:val="21"/>
        </w:rPr>
      </w:pPr>
      <w:r>
        <w:rPr>
          <w:rFonts w:hint="eastAsia" w:hAnsi="宋体"/>
          <w:szCs w:val="21"/>
        </w:rPr>
        <w:t>3）示范车端面、外圆、阶台、切槽、倒角、切断的方法钻</w:t>
      </w:r>
    </w:p>
    <w:p>
      <w:pPr>
        <w:adjustRightInd w:val="0"/>
        <w:snapToGrid w:val="0"/>
        <w:spacing w:line="360" w:lineRule="auto"/>
        <w:ind w:firstLine="420" w:firstLineChars="200"/>
        <w:rPr>
          <w:rFonts w:hAnsi="宋体"/>
          <w:szCs w:val="21"/>
        </w:rPr>
      </w:pPr>
      <w:r>
        <w:rPr>
          <w:rFonts w:hint="eastAsia" w:hAnsi="宋体"/>
          <w:szCs w:val="21"/>
        </w:rPr>
        <w:t>4）示范试切方法</w:t>
      </w:r>
    </w:p>
    <w:p>
      <w:pPr>
        <w:adjustRightInd w:val="0"/>
        <w:snapToGrid w:val="0"/>
        <w:spacing w:line="360" w:lineRule="auto"/>
        <w:ind w:firstLine="420" w:firstLineChars="200"/>
        <w:rPr>
          <w:rFonts w:hAnsi="宋体"/>
          <w:szCs w:val="21"/>
        </w:rPr>
      </w:pPr>
      <w:r>
        <w:rPr>
          <w:rFonts w:hint="eastAsia" w:hAnsi="宋体"/>
          <w:szCs w:val="21"/>
        </w:rPr>
        <w:t>5）测量零件的方法（游标卡尺使用及度量）</w:t>
      </w:r>
    </w:p>
    <w:p>
      <w:pPr>
        <w:adjustRightInd w:val="0"/>
        <w:snapToGrid w:val="0"/>
        <w:spacing w:line="360" w:lineRule="auto"/>
        <w:ind w:firstLine="420" w:firstLineChars="200"/>
        <w:rPr>
          <w:rFonts w:hAnsi="宋体"/>
          <w:szCs w:val="21"/>
        </w:rPr>
      </w:pPr>
      <w:r>
        <w:rPr>
          <w:rFonts w:hint="eastAsia" w:hAnsi="宋体"/>
          <w:szCs w:val="21"/>
        </w:rPr>
        <w:t>6）学生独立操作</w:t>
      </w:r>
    </w:p>
    <w:p>
      <w:pPr>
        <w:adjustRightInd w:val="0"/>
        <w:snapToGrid w:val="0"/>
        <w:spacing w:line="360" w:lineRule="auto"/>
        <w:ind w:firstLine="420" w:firstLineChars="200"/>
        <w:rPr>
          <w:rFonts w:hAnsi="宋体"/>
          <w:szCs w:val="21"/>
        </w:rPr>
      </w:pPr>
      <w:r>
        <w:rPr>
          <w:rFonts w:hint="eastAsia" w:hAnsi="宋体"/>
          <w:szCs w:val="21"/>
        </w:rPr>
        <w:t>7）指导老师指导及废品分析</w:t>
      </w:r>
    </w:p>
    <w:p>
      <w:pPr>
        <w:adjustRightInd w:val="0"/>
        <w:snapToGrid w:val="0"/>
        <w:spacing w:line="360" w:lineRule="auto"/>
        <w:ind w:firstLine="420" w:firstLineChars="200"/>
        <w:rPr>
          <w:rFonts w:hAnsi="宋体"/>
          <w:szCs w:val="21"/>
        </w:rPr>
      </w:pPr>
      <w:r>
        <w:rPr>
          <w:rFonts w:hint="eastAsia" w:hAnsi="宋体"/>
          <w:szCs w:val="21"/>
        </w:rPr>
        <w:t>8）机械类专业学生安排做两件完整零件（非机一件）</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盘套类零件加工示范讲解</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1）了解盘套类零件的加工方法</w:t>
      </w:r>
    </w:p>
    <w:p>
      <w:pPr>
        <w:adjustRightInd w:val="0"/>
        <w:snapToGrid w:val="0"/>
        <w:spacing w:line="360" w:lineRule="auto"/>
        <w:ind w:firstLine="420" w:firstLineChars="200"/>
        <w:rPr>
          <w:rFonts w:hAnsi="宋体"/>
          <w:szCs w:val="21"/>
        </w:rPr>
      </w:pPr>
      <w:r>
        <w:rPr>
          <w:rFonts w:hint="eastAsia" w:hAnsi="宋体"/>
          <w:szCs w:val="21"/>
        </w:rPr>
        <w:t>2）套类零件的装夹方法</w:t>
      </w:r>
    </w:p>
    <w:p>
      <w:pPr>
        <w:adjustRightInd w:val="0"/>
        <w:snapToGrid w:val="0"/>
        <w:spacing w:line="360" w:lineRule="auto"/>
        <w:ind w:firstLine="420" w:firstLineChars="200"/>
        <w:rPr>
          <w:rFonts w:hAnsi="宋体"/>
          <w:szCs w:val="21"/>
        </w:rPr>
      </w:pPr>
      <w:r>
        <w:rPr>
          <w:rFonts w:hint="eastAsia" w:hAnsi="宋体"/>
          <w:szCs w:val="21"/>
        </w:rPr>
        <w:t>3）中心钻、钻头结构</w:t>
      </w:r>
    </w:p>
    <w:p>
      <w:pPr>
        <w:adjustRightInd w:val="0"/>
        <w:snapToGrid w:val="0"/>
        <w:spacing w:line="360" w:lineRule="auto"/>
        <w:ind w:firstLine="420" w:firstLineChars="200"/>
        <w:rPr>
          <w:rFonts w:hAnsi="宋体"/>
          <w:szCs w:val="21"/>
        </w:rPr>
      </w:pPr>
      <w:r>
        <w:rPr>
          <w:rFonts w:hint="eastAsia" w:hAnsi="宋体"/>
          <w:szCs w:val="21"/>
        </w:rPr>
        <w:t>4）镗孔关键技术</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1）毛坯材料一段</w:t>
      </w:r>
    </w:p>
    <w:p>
      <w:pPr>
        <w:adjustRightInd w:val="0"/>
        <w:snapToGrid w:val="0"/>
        <w:spacing w:line="360" w:lineRule="auto"/>
        <w:ind w:firstLine="420" w:firstLineChars="200"/>
        <w:rPr>
          <w:rFonts w:hAnsi="宋体"/>
          <w:szCs w:val="21"/>
        </w:rPr>
      </w:pPr>
      <w:r>
        <w:rPr>
          <w:rFonts w:hint="eastAsia" w:hAnsi="宋体"/>
          <w:szCs w:val="21"/>
        </w:rPr>
        <w:t>2）Φ3中心钻，Φ20锥柄麻花钻各一支</w:t>
      </w:r>
    </w:p>
    <w:p>
      <w:pPr>
        <w:adjustRightInd w:val="0"/>
        <w:snapToGrid w:val="0"/>
        <w:spacing w:line="360" w:lineRule="auto"/>
        <w:ind w:firstLine="420" w:firstLineChars="200"/>
        <w:rPr>
          <w:rFonts w:hAnsi="宋体"/>
          <w:szCs w:val="21"/>
        </w:rPr>
      </w:pPr>
      <w:r>
        <w:rPr>
          <w:rFonts w:hint="eastAsia" w:hAnsi="宋体"/>
          <w:szCs w:val="21"/>
        </w:rPr>
        <w:t>3）镗孔刀一把</w:t>
      </w:r>
    </w:p>
    <w:p>
      <w:pPr>
        <w:adjustRightInd w:val="0"/>
        <w:snapToGrid w:val="0"/>
        <w:spacing w:line="360" w:lineRule="auto"/>
        <w:ind w:firstLine="420" w:firstLineChars="200"/>
        <w:rPr>
          <w:rFonts w:hAnsi="宋体"/>
          <w:szCs w:val="21"/>
        </w:rPr>
      </w:pPr>
      <w:r>
        <w:rPr>
          <w:rFonts w:hint="eastAsia" w:hAnsi="宋体"/>
          <w:szCs w:val="21"/>
        </w:rPr>
        <w:t>4）短套零件图一张</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以实习小组为单位由指导老师示范讲解，然后学生独立操作。</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1）示范讲解钻中心孔</w:t>
      </w:r>
    </w:p>
    <w:p>
      <w:pPr>
        <w:adjustRightInd w:val="0"/>
        <w:snapToGrid w:val="0"/>
        <w:spacing w:line="360" w:lineRule="auto"/>
        <w:ind w:firstLine="420" w:firstLineChars="200"/>
        <w:rPr>
          <w:rFonts w:hAnsi="宋体"/>
          <w:szCs w:val="21"/>
        </w:rPr>
      </w:pPr>
      <w:r>
        <w:rPr>
          <w:rFonts w:hint="eastAsia" w:hAnsi="宋体"/>
          <w:szCs w:val="21"/>
        </w:rPr>
        <w:t>2）钻头结构</w:t>
      </w:r>
    </w:p>
    <w:p>
      <w:pPr>
        <w:adjustRightInd w:val="0"/>
        <w:snapToGrid w:val="0"/>
        <w:spacing w:line="360" w:lineRule="auto"/>
        <w:ind w:firstLine="420" w:firstLineChars="200"/>
        <w:rPr>
          <w:rFonts w:hAnsi="宋体"/>
          <w:szCs w:val="21"/>
        </w:rPr>
      </w:pPr>
      <w:r>
        <w:rPr>
          <w:rFonts w:hint="eastAsia" w:hAnsi="宋体"/>
          <w:szCs w:val="21"/>
        </w:rPr>
        <w:t>3）镗孔</w:t>
      </w:r>
    </w:p>
    <w:p>
      <w:pPr>
        <w:adjustRightInd w:val="0"/>
        <w:snapToGrid w:val="0"/>
        <w:spacing w:line="360" w:lineRule="auto"/>
        <w:ind w:firstLine="420" w:firstLineChars="200"/>
        <w:rPr>
          <w:rFonts w:hAnsi="宋体"/>
          <w:szCs w:val="21"/>
        </w:rPr>
      </w:pPr>
      <w:r>
        <w:rPr>
          <w:rFonts w:hint="eastAsia" w:hAnsi="宋体"/>
          <w:szCs w:val="21"/>
        </w:rPr>
        <w:t>镗孔是锻出、铸出、钻出的孔用镗刀进行进一步加工的方法。镗后的孔粗糙度值较低，精度较高。</w:t>
      </w:r>
    </w:p>
    <w:p>
      <w:pPr>
        <w:adjustRightInd w:val="0"/>
        <w:snapToGrid w:val="0"/>
        <w:spacing w:line="360" w:lineRule="auto"/>
        <w:ind w:firstLine="420" w:firstLineChars="200"/>
        <w:rPr>
          <w:rFonts w:hAnsi="宋体"/>
          <w:szCs w:val="21"/>
        </w:rPr>
      </w:pPr>
      <w:r>
        <w:rPr>
          <w:rFonts w:hint="eastAsia" w:hAnsi="宋体"/>
          <w:szCs w:val="21"/>
        </w:rPr>
        <w:t>4）薄壁零件的装夹方法：</w:t>
      </w:r>
    </w:p>
    <w:p>
      <w:pPr>
        <w:adjustRightInd w:val="0"/>
        <w:snapToGrid w:val="0"/>
        <w:spacing w:line="360" w:lineRule="auto"/>
        <w:ind w:firstLine="420" w:firstLineChars="200"/>
        <w:rPr>
          <w:rFonts w:hAnsi="宋体"/>
          <w:szCs w:val="21"/>
        </w:rPr>
      </w:pPr>
      <w:r>
        <w:rPr>
          <w:rFonts w:hint="eastAsia" w:hAnsi="宋体"/>
          <w:szCs w:val="21"/>
        </w:rPr>
        <w:t>（1）由于薄壁零件在夹紧时很容易变形，所以装卡时用力要轻</w:t>
      </w:r>
    </w:p>
    <w:p>
      <w:pPr>
        <w:adjustRightInd w:val="0"/>
        <w:snapToGrid w:val="0"/>
        <w:spacing w:line="360" w:lineRule="auto"/>
        <w:ind w:firstLine="420" w:firstLineChars="200"/>
        <w:rPr>
          <w:rFonts w:hAnsi="宋体"/>
          <w:szCs w:val="21"/>
        </w:rPr>
      </w:pPr>
      <w:r>
        <w:rPr>
          <w:rFonts w:hint="eastAsia" w:hAnsi="宋体"/>
          <w:szCs w:val="21"/>
        </w:rPr>
        <w:t>（2）夹紧时适用于腕力夹持</w:t>
      </w:r>
    </w:p>
    <w:p>
      <w:pPr>
        <w:adjustRightInd w:val="0"/>
        <w:snapToGrid w:val="0"/>
        <w:spacing w:line="360" w:lineRule="auto"/>
        <w:ind w:firstLine="420" w:firstLineChars="200"/>
        <w:rPr>
          <w:rFonts w:hAnsi="宋体"/>
          <w:szCs w:val="21"/>
        </w:rPr>
      </w:pPr>
      <w:r>
        <w:rPr>
          <w:rFonts w:hint="eastAsia" w:hAnsi="宋体"/>
          <w:szCs w:val="21"/>
        </w:rPr>
        <w:t>5）指导老师现场指导下学生独立操作</w:t>
      </w:r>
    </w:p>
    <w:p>
      <w:pPr>
        <w:adjustRightInd w:val="0"/>
        <w:snapToGrid w:val="0"/>
        <w:spacing w:line="360" w:lineRule="auto"/>
        <w:ind w:firstLine="420" w:firstLineChars="200"/>
        <w:rPr>
          <w:rFonts w:hAnsi="宋体"/>
          <w:szCs w:val="21"/>
        </w:rPr>
      </w:pPr>
      <w:r>
        <w:rPr>
          <w:rFonts w:hint="eastAsia" w:hAnsi="宋体"/>
          <w:szCs w:val="21"/>
        </w:rPr>
        <w:t>6）分析废品产生的原因，主要是怎样防止镗孔时容易产生锥度</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综合练习件加工示范</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1）了解综合零件的加工方法</w:t>
      </w:r>
    </w:p>
    <w:p>
      <w:pPr>
        <w:adjustRightInd w:val="0"/>
        <w:snapToGrid w:val="0"/>
        <w:spacing w:line="360" w:lineRule="auto"/>
        <w:ind w:firstLine="420" w:firstLineChars="200"/>
        <w:rPr>
          <w:rFonts w:hAnsi="宋体"/>
          <w:szCs w:val="21"/>
        </w:rPr>
      </w:pPr>
      <w:r>
        <w:rPr>
          <w:rFonts w:hint="eastAsia" w:hAnsi="宋体"/>
          <w:szCs w:val="21"/>
        </w:rPr>
        <w:t>2）了解锥度、螺纹、特型表面以及滚花的操作方法</w:t>
      </w:r>
    </w:p>
    <w:p>
      <w:pPr>
        <w:adjustRightInd w:val="0"/>
        <w:snapToGrid w:val="0"/>
        <w:spacing w:line="360" w:lineRule="auto"/>
        <w:ind w:firstLine="420" w:firstLineChars="200"/>
        <w:rPr>
          <w:rFonts w:hAnsi="宋体"/>
          <w:szCs w:val="21"/>
        </w:rPr>
      </w:pPr>
      <w:r>
        <w:rPr>
          <w:rFonts w:hint="eastAsia" w:hAnsi="宋体"/>
          <w:szCs w:val="21"/>
        </w:rPr>
        <w:t>3）细长工件的安装与加工方法</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1）180mm长毛坯材料一根</w:t>
      </w:r>
    </w:p>
    <w:p>
      <w:pPr>
        <w:adjustRightInd w:val="0"/>
        <w:snapToGrid w:val="0"/>
        <w:spacing w:line="360" w:lineRule="auto"/>
        <w:ind w:firstLine="420" w:firstLineChars="200"/>
        <w:rPr>
          <w:rFonts w:hAnsi="宋体"/>
          <w:szCs w:val="21"/>
        </w:rPr>
      </w:pPr>
      <w:r>
        <w:rPr>
          <w:rFonts w:hint="eastAsia" w:hAnsi="宋体"/>
          <w:szCs w:val="21"/>
        </w:rPr>
        <w:t>2）榔头柄图纸一张</w:t>
      </w:r>
    </w:p>
    <w:p>
      <w:pPr>
        <w:adjustRightInd w:val="0"/>
        <w:snapToGrid w:val="0"/>
        <w:spacing w:line="360" w:lineRule="auto"/>
        <w:ind w:firstLine="420" w:firstLineChars="200"/>
        <w:rPr>
          <w:rFonts w:hAnsi="宋体"/>
          <w:szCs w:val="21"/>
        </w:rPr>
      </w:pPr>
      <w:r>
        <w:rPr>
          <w:rFonts w:hint="eastAsia" w:hAnsi="宋体"/>
          <w:szCs w:val="21"/>
        </w:rPr>
        <w:t>3）滚花刀，圆弧刀各一把</w:t>
      </w:r>
    </w:p>
    <w:p>
      <w:pPr>
        <w:adjustRightInd w:val="0"/>
        <w:snapToGrid w:val="0"/>
        <w:spacing w:line="360" w:lineRule="auto"/>
        <w:ind w:firstLine="420" w:firstLineChars="200"/>
        <w:rPr>
          <w:rFonts w:hAnsi="宋体"/>
          <w:szCs w:val="21"/>
        </w:rPr>
      </w:pPr>
      <w:r>
        <w:rPr>
          <w:rFonts w:hint="eastAsia" w:hAnsi="宋体"/>
          <w:szCs w:val="21"/>
        </w:rPr>
        <w:t>4）M10圆板牙及板牙套各一支</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由各小组指导老师在实习现场示范讲解</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1）车锥度</w:t>
      </w:r>
    </w:p>
    <w:p>
      <w:pPr>
        <w:adjustRightInd w:val="0"/>
        <w:snapToGrid w:val="0"/>
        <w:spacing w:line="360" w:lineRule="auto"/>
        <w:ind w:firstLine="420" w:firstLineChars="200"/>
        <w:rPr>
          <w:rFonts w:hAnsi="宋体"/>
          <w:szCs w:val="21"/>
        </w:rPr>
      </w:pPr>
      <w:r>
        <w:rPr>
          <w:rFonts w:hint="eastAsia" w:hAnsi="宋体"/>
          <w:szCs w:val="21"/>
        </w:rPr>
        <w:t>2）套螺纹</w:t>
      </w:r>
    </w:p>
    <w:p>
      <w:pPr>
        <w:adjustRightInd w:val="0"/>
        <w:snapToGrid w:val="0"/>
        <w:spacing w:line="360" w:lineRule="auto"/>
        <w:ind w:firstLine="420" w:firstLineChars="200"/>
        <w:rPr>
          <w:rFonts w:hAnsi="宋体"/>
          <w:szCs w:val="21"/>
        </w:rPr>
      </w:pPr>
      <w:r>
        <w:rPr>
          <w:rFonts w:hint="eastAsia" w:hAnsi="宋体"/>
          <w:szCs w:val="21"/>
        </w:rPr>
        <w:t>3）车特型表面</w:t>
      </w:r>
    </w:p>
    <w:p>
      <w:pPr>
        <w:adjustRightInd w:val="0"/>
        <w:snapToGrid w:val="0"/>
        <w:spacing w:line="360" w:lineRule="auto"/>
        <w:ind w:firstLine="420" w:firstLineChars="200"/>
        <w:rPr>
          <w:rFonts w:hAnsi="宋体"/>
          <w:szCs w:val="21"/>
        </w:rPr>
      </w:pPr>
      <w:r>
        <w:rPr>
          <w:rFonts w:hint="eastAsia"/>
          <w:szCs w:val="21"/>
        </w:rPr>
        <w:t>本章节内容支撑课程目标1、2、3。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综合创新考核</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1）了解并掌握简单零件工艺的编制</w:t>
      </w:r>
    </w:p>
    <w:p>
      <w:pPr>
        <w:adjustRightInd w:val="0"/>
        <w:snapToGrid w:val="0"/>
        <w:spacing w:line="360" w:lineRule="auto"/>
        <w:ind w:firstLine="420" w:firstLineChars="200"/>
        <w:rPr>
          <w:rFonts w:hAnsi="宋体"/>
          <w:szCs w:val="21"/>
        </w:rPr>
      </w:pPr>
      <w:r>
        <w:rPr>
          <w:rFonts w:hint="eastAsia" w:hAnsi="宋体"/>
          <w:szCs w:val="21"/>
        </w:rPr>
        <w:t>2）根据所学的知识设计编制加工工艺，独立加工较复杂的零件</w:t>
      </w:r>
    </w:p>
    <w:p>
      <w:pPr>
        <w:adjustRightInd w:val="0"/>
        <w:snapToGrid w:val="0"/>
        <w:spacing w:line="360" w:lineRule="auto"/>
        <w:ind w:firstLine="420" w:firstLineChars="200"/>
        <w:rPr>
          <w:rFonts w:hAnsi="宋体"/>
          <w:szCs w:val="21"/>
        </w:rPr>
      </w:pPr>
      <w:r>
        <w:rPr>
          <w:rFonts w:hint="eastAsia" w:hAnsi="宋体"/>
          <w:szCs w:val="21"/>
        </w:rPr>
        <w:t>2、教学物质条件</w:t>
      </w:r>
    </w:p>
    <w:p>
      <w:pPr>
        <w:adjustRightInd w:val="0"/>
        <w:snapToGrid w:val="0"/>
        <w:spacing w:line="360" w:lineRule="auto"/>
        <w:ind w:firstLine="420" w:firstLineChars="200"/>
        <w:rPr>
          <w:rFonts w:hAnsi="宋体"/>
          <w:szCs w:val="21"/>
        </w:rPr>
      </w:pPr>
      <w:r>
        <w:rPr>
          <w:rFonts w:hint="eastAsia" w:hAnsi="宋体"/>
          <w:szCs w:val="21"/>
        </w:rPr>
        <w:t>1）蜡烛座零件图纸</w:t>
      </w:r>
    </w:p>
    <w:p>
      <w:pPr>
        <w:adjustRightInd w:val="0"/>
        <w:snapToGrid w:val="0"/>
        <w:spacing w:line="360" w:lineRule="auto"/>
        <w:ind w:firstLine="420" w:firstLineChars="200"/>
        <w:rPr>
          <w:rFonts w:hAnsi="宋体"/>
          <w:szCs w:val="21"/>
        </w:rPr>
      </w:pPr>
      <w:r>
        <w:rPr>
          <w:rFonts w:hint="eastAsia" w:hAnsi="宋体"/>
          <w:szCs w:val="21"/>
        </w:rPr>
        <w:t>2）直径30*120mm毛坯一段</w:t>
      </w:r>
    </w:p>
    <w:p>
      <w:pPr>
        <w:adjustRightInd w:val="0"/>
        <w:snapToGrid w:val="0"/>
        <w:spacing w:line="360" w:lineRule="auto"/>
        <w:ind w:firstLine="420" w:firstLineChars="200"/>
        <w:rPr>
          <w:rFonts w:hAnsi="宋体"/>
          <w:szCs w:val="21"/>
        </w:rPr>
      </w:pPr>
      <w:r>
        <w:rPr>
          <w:rFonts w:hint="eastAsia" w:hAnsi="宋体"/>
          <w:szCs w:val="21"/>
        </w:rPr>
        <w:t>3）45°圆弧刀、90°偏刀、切槽刀、直径20mm钻头、滚花刀</w:t>
      </w:r>
    </w:p>
    <w:p>
      <w:pPr>
        <w:adjustRightInd w:val="0"/>
        <w:snapToGrid w:val="0"/>
        <w:spacing w:line="360" w:lineRule="auto"/>
        <w:ind w:firstLine="420" w:firstLineChars="200"/>
        <w:rPr>
          <w:rFonts w:hAnsi="宋体"/>
          <w:szCs w:val="21"/>
        </w:rPr>
      </w:pPr>
      <w:r>
        <w:rPr>
          <w:rFonts w:hint="eastAsia" w:hAnsi="宋体"/>
          <w:szCs w:val="21"/>
        </w:rPr>
        <w:t>3、进行方式</w:t>
      </w:r>
    </w:p>
    <w:p>
      <w:pPr>
        <w:adjustRightInd w:val="0"/>
        <w:snapToGrid w:val="0"/>
        <w:spacing w:line="360" w:lineRule="auto"/>
        <w:ind w:firstLine="420" w:firstLineChars="200"/>
        <w:rPr>
          <w:rFonts w:hAnsi="宋体"/>
          <w:szCs w:val="21"/>
        </w:rPr>
      </w:pPr>
      <w:r>
        <w:rPr>
          <w:rFonts w:hint="eastAsia" w:hAnsi="宋体"/>
          <w:szCs w:val="21"/>
        </w:rPr>
        <w:t>由独立操作，指导老师进行审核与指导</w:t>
      </w:r>
    </w:p>
    <w:p>
      <w:pPr>
        <w:adjustRightInd w:val="0"/>
        <w:snapToGrid w:val="0"/>
        <w:spacing w:line="360" w:lineRule="auto"/>
        <w:ind w:firstLine="420" w:firstLineChars="200"/>
        <w:rPr>
          <w:rFonts w:hAnsi="宋体"/>
          <w:szCs w:val="21"/>
        </w:rPr>
      </w:pPr>
      <w:r>
        <w:rPr>
          <w:rFonts w:hint="eastAsia" w:hAnsi="宋体"/>
          <w:szCs w:val="21"/>
        </w:rPr>
        <w:t>4、教学内容、方法和步骤</w:t>
      </w:r>
    </w:p>
    <w:p>
      <w:pPr>
        <w:adjustRightInd w:val="0"/>
        <w:snapToGrid w:val="0"/>
        <w:spacing w:line="360" w:lineRule="auto"/>
        <w:ind w:firstLine="420" w:firstLineChars="200"/>
        <w:rPr>
          <w:rFonts w:hAnsi="宋体"/>
          <w:szCs w:val="21"/>
        </w:rPr>
      </w:pPr>
      <w:r>
        <w:rPr>
          <w:rFonts w:hint="eastAsia" w:hAnsi="宋体"/>
          <w:szCs w:val="21"/>
        </w:rPr>
        <w:t>1）各小组指导老师审核学生所编制的工艺</w:t>
      </w:r>
    </w:p>
    <w:p>
      <w:pPr>
        <w:adjustRightInd w:val="0"/>
        <w:snapToGrid w:val="0"/>
        <w:spacing w:line="360" w:lineRule="auto"/>
        <w:ind w:firstLine="420" w:firstLineChars="200"/>
        <w:rPr>
          <w:rFonts w:hAnsi="宋体"/>
          <w:szCs w:val="21"/>
        </w:rPr>
      </w:pPr>
      <w:r>
        <w:rPr>
          <w:rFonts w:hint="eastAsia" w:hAnsi="宋体"/>
          <w:szCs w:val="21"/>
        </w:rPr>
        <w:t>2）学生独立操作</w:t>
      </w:r>
    </w:p>
    <w:p>
      <w:pPr>
        <w:adjustRightInd w:val="0"/>
        <w:snapToGrid w:val="0"/>
        <w:spacing w:line="360" w:lineRule="auto"/>
        <w:ind w:firstLine="420" w:firstLineChars="200"/>
        <w:rPr>
          <w:rFonts w:hAnsi="宋体"/>
          <w:szCs w:val="21"/>
        </w:rPr>
      </w:pPr>
      <w:r>
        <w:rPr>
          <w:rFonts w:hint="eastAsia" w:hAnsi="宋体"/>
          <w:szCs w:val="21"/>
        </w:rPr>
        <w:t>3）综合讲评</w:t>
      </w:r>
    </w:p>
    <w:p>
      <w:pPr>
        <w:adjustRightInd w:val="0"/>
        <w:snapToGrid w:val="0"/>
        <w:spacing w:line="360" w:lineRule="auto"/>
        <w:ind w:firstLine="420" w:firstLineChars="200"/>
        <w:rPr>
          <w:rFonts w:hAnsi="宋体"/>
          <w:szCs w:val="21"/>
        </w:rPr>
      </w:pPr>
      <w:r>
        <w:rPr>
          <w:rFonts w:hint="eastAsia"/>
          <w:szCs w:val="21"/>
        </w:rPr>
        <w:t>本章节内容支撑课程目标1、2、3。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钳  工</w:t>
      </w:r>
      <w:r>
        <w:rPr>
          <w:rFonts w:ascii="黑体" w:hAnsi="黑体" w:eastAsia="黑体"/>
          <w:szCs w:val="21"/>
        </w:rPr>
        <w:t xml:space="preserve"> </w:t>
      </w:r>
      <w:r>
        <w:rPr>
          <w:rFonts w:hint="eastAsia" w:ascii="黑体" w:hAnsi="黑体" w:eastAsia="黑体"/>
          <w:szCs w:val="21"/>
        </w:rPr>
        <w:t>2天</w:t>
      </w:r>
    </w:p>
    <w:p>
      <w:pPr>
        <w:adjustRightInd w:val="0"/>
        <w:snapToGrid w:val="0"/>
        <w:spacing w:line="360" w:lineRule="auto"/>
        <w:ind w:firstLine="420" w:firstLineChars="200"/>
        <w:rPr>
          <w:rFonts w:hAnsi="宋体"/>
          <w:szCs w:val="21"/>
        </w:rPr>
      </w:pPr>
      <w:r>
        <w:rPr>
          <w:rFonts w:hint="eastAsia" w:hAnsi="宋体"/>
          <w:szCs w:val="21"/>
        </w:rPr>
        <w:t>二级安全教育及钳工概述</w:t>
      </w:r>
    </w:p>
    <w:p>
      <w:pPr>
        <w:adjustRightInd w:val="0"/>
        <w:snapToGrid w:val="0"/>
        <w:spacing w:line="360" w:lineRule="auto"/>
        <w:ind w:firstLine="420" w:firstLineChars="200"/>
        <w:rPr>
          <w:rFonts w:hAnsi="宋体"/>
          <w:szCs w:val="21"/>
        </w:rPr>
      </w:pPr>
      <w:r>
        <w:rPr>
          <w:rFonts w:hint="eastAsia" w:hAnsi="宋体"/>
          <w:szCs w:val="21"/>
        </w:rPr>
        <w:t>1、目的和要求</w:t>
      </w:r>
    </w:p>
    <w:p>
      <w:pPr>
        <w:adjustRightInd w:val="0"/>
        <w:snapToGrid w:val="0"/>
        <w:spacing w:line="360" w:lineRule="auto"/>
        <w:ind w:firstLine="420" w:firstLineChars="200"/>
        <w:rPr>
          <w:rFonts w:hAnsi="宋体"/>
          <w:szCs w:val="21"/>
        </w:rPr>
      </w:pPr>
      <w:r>
        <w:rPr>
          <w:rFonts w:hint="eastAsia" w:hAnsi="宋体"/>
          <w:szCs w:val="21"/>
        </w:rPr>
        <w:t>使学生了解钳工的安全操作规程，明确钳工实习内容，教学基本要求，教学环节，了解钳工的特点及在机械制造和维修中的作用内容。</w:t>
      </w:r>
    </w:p>
    <w:p>
      <w:pPr>
        <w:adjustRightInd w:val="0"/>
        <w:snapToGrid w:val="0"/>
        <w:spacing w:line="360" w:lineRule="auto"/>
        <w:ind w:firstLine="420" w:firstLineChars="200"/>
        <w:rPr>
          <w:rFonts w:hAnsi="宋体"/>
          <w:szCs w:val="21"/>
        </w:rPr>
      </w:pPr>
      <w:r>
        <w:rPr>
          <w:rFonts w:hint="eastAsia" w:hAnsi="宋体"/>
          <w:szCs w:val="21"/>
        </w:rPr>
        <w:t>2、教学文件</w:t>
      </w:r>
    </w:p>
    <w:p>
      <w:pPr>
        <w:adjustRightInd w:val="0"/>
        <w:snapToGrid w:val="0"/>
        <w:spacing w:line="360" w:lineRule="auto"/>
        <w:ind w:firstLine="420" w:firstLineChars="200"/>
        <w:rPr>
          <w:rFonts w:hAnsi="宋体"/>
          <w:szCs w:val="21"/>
        </w:rPr>
      </w:pPr>
      <w:r>
        <w:rPr>
          <w:rFonts w:hint="eastAsia" w:hAnsi="宋体"/>
          <w:szCs w:val="21"/>
        </w:rPr>
        <w:t>金工实习课程表，考核卡，实习报告，实习有关安全规定，教学记录，教材</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钳工教室由钳工班班长讲解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1）钳工安全操作规程</w:t>
      </w:r>
    </w:p>
    <w:p>
      <w:pPr>
        <w:adjustRightInd w:val="0"/>
        <w:snapToGrid w:val="0"/>
        <w:spacing w:line="360" w:lineRule="auto"/>
        <w:ind w:firstLine="420" w:firstLineChars="200"/>
        <w:rPr>
          <w:rFonts w:hAnsi="宋体"/>
          <w:szCs w:val="21"/>
        </w:rPr>
      </w:pPr>
      <w:r>
        <w:rPr>
          <w:rFonts w:hint="eastAsia" w:hAnsi="宋体"/>
          <w:szCs w:val="21"/>
        </w:rPr>
        <w:t>2）介绍钳工在机械制造及零件加工方面的地位和作用</w:t>
      </w:r>
    </w:p>
    <w:p>
      <w:pPr>
        <w:adjustRightInd w:val="0"/>
        <w:snapToGrid w:val="0"/>
        <w:spacing w:line="360" w:lineRule="auto"/>
        <w:ind w:firstLine="420" w:firstLineChars="200"/>
        <w:rPr>
          <w:rFonts w:hAnsi="宋体"/>
          <w:szCs w:val="21"/>
        </w:rPr>
      </w:pPr>
      <w:r>
        <w:rPr>
          <w:rFonts w:hint="eastAsia" w:hAnsi="宋体"/>
          <w:szCs w:val="21"/>
        </w:rPr>
        <w:t>3）介绍钳工基本操作</w:t>
      </w:r>
    </w:p>
    <w:p>
      <w:pPr>
        <w:adjustRightInd w:val="0"/>
        <w:snapToGrid w:val="0"/>
        <w:spacing w:line="360" w:lineRule="auto"/>
        <w:ind w:firstLine="420" w:firstLineChars="200"/>
        <w:rPr>
          <w:rFonts w:hAnsi="宋体"/>
          <w:szCs w:val="21"/>
        </w:rPr>
      </w:pPr>
      <w:r>
        <w:rPr>
          <w:rFonts w:hint="eastAsia" w:hAnsi="宋体"/>
          <w:szCs w:val="21"/>
        </w:rPr>
        <w:t>划线、锯削、錾削、锉削、钻孔、扩孔、锪孔、铰孔、攻螺纹、套螺纹、矫正和弯曲、铆接、刮削、研磨及装配等。</w:t>
      </w:r>
    </w:p>
    <w:p>
      <w:pPr>
        <w:adjustRightInd w:val="0"/>
        <w:snapToGrid w:val="0"/>
        <w:spacing w:line="360" w:lineRule="auto"/>
        <w:ind w:firstLine="420" w:firstLineChars="200"/>
        <w:rPr>
          <w:rFonts w:hAnsi="宋体"/>
          <w:szCs w:val="21"/>
        </w:rPr>
      </w:pPr>
      <w:r>
        <w:rPr>
          <w:rFonts w:hint="eastAsia" w:hAnsi="宋体"/>
          <w:szCs w:val="21"/>
        </w:rPr>
        <w:t>4） 介绍钳工通用设备</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划  线</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使学生了解划线的概念、作用、了解并能够使用划线工具，并了解划线种类，划线基准，基准类型及操作要点</w:t>
      </w:r>
    </w:p>
    <w:p>
      <w:pPr>
        <w:adjustRightInd w:val="0"/>
        <w:snapToGrid w:val="0"/>
        <w:spacing w:line="360" w:lineRule="auto"/>
        <w:ind w:firstLine="420" w:firstLineChars="200"/>
        <w:rPr>
          <w:rFonts w:hAnsi="宋体"/>
          <w:szCs w:val="21"/>
        </w:rPr>
      </w:pPr>
      <w:r>
        <w:rPr>
          <w:rFonts w:hint="eastAsia" w:hAnsi="宋体"/>
          <w:szCs w:val="21"/>
        </w:rPr>
        <w:t>2、教学文件及工具</w:t>
      </w:r>
    </w:p>
    <w:p>
      <w:pPr>
        <w:adjustRightInd w:val="0"/>
        <w:snapToGrid w:val="0"/>
        <w:spacing w:line="360" w:lineRule="auto"/>
        <w:ind w:firstLine="420" w:firstLineChars="200"/>
        <w:rPr>
          <w:rFonts w:hAnsi="宋体"/>
          <w:szCs w:val="21"/>
        </w:rPr>
      </w:pPr>
      <w:r>
        <w:rPr>
          <w:rFonts w:hint="eastAsia" w:hAnsi="宋体"/>
          <w:szCs w:val="21"/>
        </w:rPr>
        <w:t>教材，划针、划规、划卡、高度游标卡尺、 划针盘、V形铁、方箱、千斤顶、 角铁、划线平板、样冲等。</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指导老师示范演示，学生分组操作。</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1）三级安全教育，实际操作中安全注意事项</w:t>
      </w:r>
    </w:p>
    <w:p>
      <w:pPr>
        <w:adjustRightInd w:val="0"/>
        <w:snapToGrid w:val="0"/>
        <w:spacing w:line="360" w:lineRule="auto"/>
        <w:ind w:firstLine="420" w:firstLineChars="200"/>
        <w:rPr>
          <w:rFonts w:hAnsi="宋体"/>
          <w:szCs w:val="21"/>
        </w:rPr>
      </w:pPr>
      <w:r>
        <w:rPr>
          <w:rFonts w:hint="eastAsia" w:hAnsi="宋体"/>
          <w:szCs w:val="21"/>
        </w:rPr>
        <w:t>2）讲解划线的概念、作用，划线工具</w:t>
      </w:r>
    </w:p>
    <w:p>
      <w:pPr>
        <w:adjustRightInd w:val="0"/>
        <w:snapToGrid w:val="0"/>
        <w:spacing w:line="360" w:lineRule="auto"/>
        <w:ind w:firstLine="420" w:firstLineChars="200"/>
        <w:rPr>
          <w:rFonts w:hAnsi="宋体"/>
          <w:szCs w:val="21"/>
        </w:rPr>
      </w:pPr>
      <w:r>
        <w:rPr>
          <w:rFonts w:hint="eastAsia" w:hAnsi="宋体"/>
          <w:szCs w:val="21"/>
        </w:rPr>
        <w:t>3）示范划线---划线准备工作，划线的种类，划线基准，基准的类型</w:t>
      </w:r>
    </w:p>
    <w:p>
      <w:pPr>
        <w:adjustRightInd w:val="0"/>
        <w:snapToGrid w:val="0"/>
        <w:spacing w:line="360" w:lineRule="auto"/>
        <w:ind w:firstLine="420" w:firstLineChars="200"/>
        <w:rPr>
          <w:rFonts w:hAnsi="宋体"/>
          <w:szCs w:val="21"/>
        </w:rPr>
      </w:pPr>
      <w:r>
        <w:rPr>
          <w:rFonts w:hint="eastAsia" w:hAnsi="宋体"/>
          <w:szCs w:val="21"/>
        </w:rPr>
        <w:t xml:space="preserve">4） 操作时的注意事项：                                                                                </w:t>
      </w:r>
    </w:p>
    <w:p>
      <w:pPr>
        <w:adjustRightInd w:val="0"/>
        <w:snapToGrid w:val="0"/>
        <w:spacing w:line="360" w:lineRule="auto"/>
        <w:ind w:firstLine="420" w:firstLineChars="200"/>
        <w:rPr>
          <w:rFonts w:hAnsi="宋体"/>
          <w:szCs w:val="21"/>
        </w:rPr>
      </w:pPr>
      <w:r>
        <w:rPr>
          <w:rFonts w:hint="eastAsia" w:hAnsi="宋体"/>
          <w:szCs w:val="21"/>
        </w:rPr>
        <w:t>（1）看懂图样，了解零件的作用，分析零件的加工顺序和加工方法；</w:t>
      </w:r>
    </w:p>
    <w:p>
      <w:pPr>
        <w:adjustRightInd w:val="0"/>
        <w:snapToGrid w:val="0"/>
        <w:spacing w:line="360" w:lineRule="auto"/>
        <w:ind w:firstLine="420" w:firstLineChars="200"/>
        <w:rPr>
          <w:rFonts w:hAnsi="宋体"/>
          <w:szCs w:val="21"/>
        </w:rPr>
      </w:pPr>
      <w:r>
        <w:rPr>
          <w:rFonts w:hint="eastAsia" w:hAnsi="宋体"/>
          <w:szCs w:val="21"/>
        </w:rPr>
        <w:t>（2）工件夹持或支承要稳妥，以防滑倒或移动；</w:t>
      </w:r>
    </w:p>
    <w:p>
      <w:pPr>
        <w:adjustRightInd w:val="0"/>
        <w:snapToGrid w:val="0"/>
        <w:spacing w:line="360" w:lineRule="auto"/>
        <w:ind w:firstLine="420" w:firstLineChars="200"/>
        <w:rPr>
          <w:rFonts w:hAnsi="宋体"/>
          <w:szCs w:val="21"/>
        </w:rPr>
      </w:pPr>
      <w:r>
        <w:rPr>
          <w:rFonts w:hint="eastAsia" w:hAnsi="宋体"/>
          <w:szCs w:val="21"/>
        </w:rPr>
        <w:t>（3）在一次支承中应将要划出的平行线全部划全，以免再次支承补划，造成误差；</w:t>
      </w:r>
    </w:p>
    <w:p>
      <w:pPr>
        <w:adjustRightInd w:val="0"/>
        <w:snapToGrid w:val="0"/>
        <w:spacing w:line="360" w:lineRule="auto"/>
        <w:ind w:firstLine="420" w:firstLineChars="200"/>
        <w:rPr>
          <w:rFonts w:hAnsi="宋体"/>
          <w:szCs w:val="21"/>
        </w:rPr>
      </w:pPr>
      <w:r>
        <w:rPr>
          <w:rFonts w:hint="eastAsia" w:hAnsi="宋体"/>
          <w:szCs w:val="21"/>
        </w:rPr>
        <w:t>（4）正确使用划线工具，划出的线条要准确、清晰；</w:t>
      </w:r>
    </w:p>
    <w:p>
      <w:pPr>
        <w:adjustRightInd w:val="0"/>
        <w:snapToGrid w:val="0"/>
        <w:spacing w:line="360" w:lineRule="auto"/>
        <w:ind w:firstLine="420" w:firstLineChars="200"/>
        <w:rPr>
          <w:rFonts w:hAnsi="宋体"/>
          <w:szCs w:val="21"/>
        </w:rPr>
      </w:pPr>
      <w:r>
        <w:rPr>
          <w:rFonts w:hint="eastAsia" w:hAnsi="宋体"/>
          <w:szCs w:val="21"/>
        </w:rPr>
        <w:t>（5）划线完成后，要反复核对尺寸，才能进行机械加工。</w:t>
      </w:r>
    </w:p>
    <w:p>
      <w:pPr>
        <w:adjustRightInd w:val="0"/>
        <w:snapToGrid w:val="0"/>
        <w:spacing w:line="360" w:lineRule="auto"/>
        <w:ind w:firstLine="420" w:firstLineChars="200"/>
        <w:rPr>
          <w:rFonts w:hAnsi="宋体"/>
          <w:szCs w:val="21"/>
        </w:rPr>
      </w:pPr>
      <w:r>
        <w:rPr>
          <w:rFonts w:hint="eastAsia" w:hAnsi="宋体"/>
          <w:szCs w:val="21"/>
        </w:rPr>
        <w:t>5）具体演示小榔头的划线</w:t>
      </w:r>
    </w:p>
    <w:p>
      <w:pPr>
        <w:adjustRightInd w:val="0"/>
        <w:snapToGrid w:val="0"/>
        <w:spacing w:line="360" w:lineRule="auto"/>
        <w:ind w:firstLine="420" w:firstLineChars="200"/>
        <w:rPr>
          <w:rFonts w:hAnsi="宋体"/>
          <w:szCs w:val="21"/>
        </w:rPr>
      </w:pPr>
      <w:r>
        <w:rPr>
          <w:rFonts w:hint="eastAsia" w:hAnsi="宋体"/>
          <w:szCs w:val="21"/>
        </w:rPr>
        <w:t>（1）小榔头下料尺寸的划线；</w:t>
      </w:r>
    </w:p>
    <w:p>
      <w:pPr>
        <w:adjustRightInd w:val="0"/>
        <w:snapToGrid w:val="0"/>
        <w:spacing w:line="360" w:lineRule="auto"/>
        <w:ind w:firstLine="420" w:firstLineChars="200"/>
        <w:rPr>
          <w:rFonts w:hAnsi="宋体"/>
          <w:szCs w:val="21"/>
        </w:rPr>
      </w:pPr>
      <w:r>
        <w:rPr>
          <w:rFonts w:hint="eastAsia" w:hAnsi="宋体"/>
          <w:szCs w:val="21"/>
        </w:rPr>
        <w:t>（2）基本尺寸的划线。</w:t>
      </w:r>
    </w:p>
    <w:p>
      <w:pPr>
        <w:adjustRightInd w:val="0"/>
        <w:snapToGrid w:val="0"/>
        <w:spacing w:line="360" w:lineRule="auto"/>
        <w:ind w:firstLine="420" w:firstLineChars="200"/>
        <w:rPr>
          <w:rFonts w:hAnsi="宋体"/>
          <w:szCs w:val="21"/>
        </w:rPr>
      </w:pPr>
      <w:r>
        <w:rPr>
          <w:rFonts w:hint="eastAsia"/>
          <w:szCs w:val="21"/>
        </w:rPr>
        <w:t>本章节内容支撑课程目标1。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锯  削</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了解锯削的概念，操作规程，以及锯弓、锯条的分类等</w:t>
      </w:r>
    </w:p>
    <w:p>
      <w:pPr>
        <w:adjustRightInd w:val="0"/>
        <w:snapToGrid w:val="0"/>
        <w:spacing w:line="360" w:lineRule="auto"/>
        <w:ind w:firstLine="420" w:firstLineChars="200"/>
        <w:rPr>
          <w:rFonts w:hAnsi="宋体"/>
          <w:szCs w:val="21"/>
        </w:rPr>
      </w:pPr>
      <w:r>
        <w:rPr>
          <w:rFonts w:hint="eastAsia" w:hAnsi="宋体"/>
          <w:szCs w:val="21"/>
        </w:rPr>
        <w:t>2、教学文件及工具</w:t>
      </w:r>
    </w:p>
    <w:p>
      <w:pPr>
        <w:adjustRightInd w:val="0"/>
        <w:snapToGrid w:val="0"/>
        <w:spacing w:line="360" w:lineRule="auto"/>
        <w:ind w:firstLine="420" w:firstLineChars="200"/>
        <w:rPr>
          <w:rFonts w:hAnsi="宋体"/>
          <w:szCs w:val="21"/>
        </w:rPr>
      </w:pPr>
      <w:r>
        <w:rPr>
          <w:rFonts w:hint="eastAsia" w:hAnsi="宋体"/>
          <w:szCs w:val="21"/>
        </w:rPr>
        <w:t>教材，锯弓，锯条</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由指导老师示范并讲解，学生分组练习。</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1）讲解锯削的概念：  锯削是用手锯对材料或工件进行切断或切槽的操作。锯割的主要工具是手锯。手锯由锯弓和锯条两部分组成。将锯条装于锯弓上就成了手锯。</w:t>
      </w:r>
    </w:p>
    <w:p>
      <w:pPr>
        <w:adjustRightInd w:val="0"/>
        <w:snapToGrid w:val="0"/>
        <w:spacing w:line="360" w:lineRule="auto"/>
        <w:ind w:firstLine="420" w:firstLineChars="200"/>
        <w:rPr>
          <w:rFonts w:hAnsi="宋体"/>
          <w:szCs w:val="21"/>
        </w:rPr>
      </w:pPr>
      <w:r>
        <w:rPr>
          <w:rFonts w:hint="eastAsia" w:hAnsi="宋体"/>
          <w:szCs w:val="21"/>
        </w:rPr>
        <w:t>2）讲解锯弓、可调式锯弓</w:t>
      </w:r>
    </w:p>
    <w:p>
      <w:pPr>
        <w:adjustRightInd w:val="0"/>
        <w:snapToGrid w:val="0"/>
        <w:spacing w:line="360" w:lineRule="auto"/>
        <w:ind w:firstLine="420" w:firstLineChars="200"/>
        <w:rPr>
          <w:rFonts w:hAnsi="宋体"/>
          <w:szCs w:val="21"/>
        </w:rPr>
      </w:pPr>
      <w:r>
        <w:rPr>
          <w:rFonts w:hint="eastAsia" w:hAnsi="宋体"/>
          <w:szCs w:val="21"/>
        </w:rPr>
        <w:t>3）讲解锯条</w:t>
      </w:r>
    </w:p>
    <w:p>
      <w:pPr>
        <w:adjustRightInd w:val="0"/>
        <w:snapToGrid w:val="0"/>
        <w:spacing w:line="360" w:lineRule="auto"/>
        <w:ind w:firstLine="420" w:firstLineChars="200"/>
        <w:rPr>
          <w:rFonts w:hAnsi="宋体"/>
          <w:szCs w:val="21"/>
        </w:rPr>
      </w:pPr>
      <w:r>
        <w:rPr>
          <w:rFonts w:hint="eastAsia" w:hAnsi="宋体"/>
          <w:szCs w:val="21"/>
        </w:rPr>
        <w:t>（1）锯条的材料</w:t>
      </w:r>
    </w:p>
    <w:p>
      <w:pPr>
        <w:adjustRightInd w:val="0"/>
        <w:snapToGrid w:val="0"/>
        <w:spacing w:line="360" w:lineRule="auto"/>
        <w:ind w:firstLine="420" w:firstLineChars="200"/>
        <w:rPr>
          <w:rFonts w:hAnsi="宋体"/>
          <w:szCs w:val="21"/>
        </w:rPr>
      </w:pPr>
      <w:r>
        <w:rPr>
          <w:rFonts w:hint="eastAsia" w:hAnsi="宋体"/>
          <w:szCs w:val="21"/>
        </w:rPr>
        <w:t>（2）锯条的规格</w:t>
      </w:r>
    </w:p>
    <w:p>
      <w:pPr>
        <w:adjustRightInd w:val="0"/>
        <w:snapToGrid w:val="0"/>
        <w:spacing w:line="360" w:lineRule="auto"/>
        <w:ind w:firstLine="420" w:firstLineChars="200"/>
        <w:rPr>
          <w:rFonts w:hAnsi="宋体"/>
          <w:szCs w:val="21"/>
        </w:rPr>
      </w:pPr>
      <w:r>
        <w:rPr>
          <w:rFonts w:hint="eastAsia" w:hAnsi="宋体"/>
          <w:szCs w:val="21"/>
        </w:rPr>
        <w:t>（3）锯条粗细的选择</w:t>
      </w:r>
    </w:p>
    <w:p>
      <w:pPr>
        <w:adjustRightInd w:val="0"/>
        <w:snapToGrid w:val="0"/>
        <w:spacing w:line="360" w:lineRule="auto"/>
        <w:ind w:firstLine="420" w:firstLineChars="200"/>
        <w:rPr>
          <w:rFonts w:hAnsi="宋体"/>
          <w:szCs w:val="21"/>
        </w:rPr>
      </w:pPr>
      <w:r>
        <w:rPr>
          <w:rFonts w:hint="eastAsia" w:hAnsi="宋体"/>
          <w:szCs w:val="21"/>
        </w:rPr>
        <w:t>4）示范基本操作</w:t>
      </w:r>
    </w:p>
    <w:p>
      <w:pPr>
        <w:adjustRightInd w:val="0"/>
        <w:snapToGrid w:val="0"/>
        <w:spacing w:line="360" w:lineRule="auto"/>
        <w:ind w:firstLine="420" w:firstLineChars="200"/>
        <w:rPr>
          <w:rFonts w:hAnsi="宋体"/>
          <w:szCs w:val="21"/>
        </w:rPr>
      </w:pPr>
      <w:r>
        <w:rPr>
          <w:rFonts w:hint="eastAsia" w:hAnsi="宋体"/>
          <w:szCs w:val="21"/>
        </w:rPr>
        <w:t>（1）工件的安装</w:t>
      </w:r>
    </w:p>
    <w:p>
      <w:pPr>
        <w:adjustRightInd w:val="0"/>
        <w:snapToGrid w:val="0"/>
        <w:spacing w:line="360" w:lineRule="auto"/>
        <w:ind w:firstLine="420" w:firstLineChars="200"/>
        <w:rPr>
          <w:rFonts w:hAnsi="宋体"/>
          <w:szCs w:val="21"/>
        </w:rPr>
      </w:pPr>
      <w:r>
        <w:rPr>
          <w:rFonts w:hint="eastAsia" w:hAnsi="宋体"/>
          <w:szCs w:val="21"/>
        </w:rPr>
        <w:t>（2）锯削的操作方法</w:t>
      </w:r>
    </w:p>
    <w:p>
      <w:pPr>
        <w:adjustRightInd w:val="0"/>
        <w:snapToGrid w:val="0"/>
        <w:spacing w:line="360" w:lineRule="auto"/>
        <w:ind w:firstLine="420" w:firstLineChars="200"/>
        <w:rPr>
          <w:rFonts w:hAnsi="宋体"/>
          <w:szCs w:val="21"/>
        </w:rPr>
      </w:pPr>
      <w:r>
        <w:rPr>
          <w:rFonts w:hint="eastAsia" w:hAnsi="宋体"/>
          <w:szCs w:val="21"/>
        </w:rPr>
        <w:t>（3）锯削速度</w:t>
      </w:r>
    </w:p>
    <w:p>
      <w:pPr>
        <w:adjustRightInd w:val="0"/>
        <w:snapToGrid w:val="0"/>
        <w:spacing w:line="360" w:lineRule="auto"/>
        <w:ind w:firstLine="420" w:firstLineChars="200"/>
        <w:rPr>
          <w:rFonts w:hAnsi="宋体"/>
          <w:szCs w:val="21"/>
        </w:rPr>
      </w:pPr>
      <w:r>
        <w:rPr>
          <w:rFonts w:hint="eastAsia" w:hAnsi="宋体"/>
          <w:szCs w:val="21"/>
        </w:rPr>
        <w:t>（4）锯削行程</w:t>
      </w:r>
    </w:p>
    <w:p>
      <w:pPr>
        <w:adjustRightInd w:val="0"/>
        <w:snapToGrid w:val="0"/>
        <w:spacing w:line="360" w:lineRule="auto"/>
        <w:ind w:firstLine="420" w:firstLineChars="200"/>
        <w:rPr>
          <w:rFonts w:hAnsi="宋体"/>
          <w:szCs w:val="21"/>
        </w:rPr>
      </w:pPr>
      <w:r>
        <w:rPr>
          <w:rFonts w:hint="eastAsia" w:hAnsi="宋体"/>
          <w:szCs w:val="21"/>
        </w:rPr>
        <w:t>（5）锯割操作注意事项</w:t>
      </w:r>
    </w:p>
    <w:p>
      <w:pPr>
        <w:adjustRightInd w:val="0"/>
        <w:snapToGrid w:val="0"/>
        <w:spacing w:line="360" w:lineRule="auto"/>
        <w:ind w:firstLine="420" w:firstLineChars="200"/>
        <w:rPr>
          <w:rFonts w:hAnsi="宋体"/>
          <w:szCs w:val="21"/>
        </w:rPr>
      </w:pPr>
      <w:r>
        <w:rPr>
          <w:rFonts w:hint="eastAsia" w:hAnsi="宋体"/>
          <w:szCs w:val="21"/>
        </w:rPr>
        <w:t>6）演示小榔头的锯切</w:t>
      </w:r>
    </w:p>
    <w:p>
      <w:pPr>
        <w:adjustRightInd w:val="0"/>
        <w:snapToGrid w:val="0"/>
        <w:spacing w:line="360" w:lineRule="auto"/>
        <w:ind w:firstLine="420" w:firstLineChars="200"/>
        <w:rPr>
          <w:rFonts w:hAnsi="宋体"/>
          <w:szCs w:val="21"/>
        </w:rPr>
      </w:pPr>
      <w:r>
        <w:rPr>
          <w:rFonts w:hint="eastAsia" w:hAnsi="宋体"/>
          <w:szCs w:val="21"/>
        </w:rPr>
        <w:t>指导教师演示锯切的操作，学生根据划线进行锯切。</w:t>
      </w:r>
    </w:p>
    <w:p>
      <w:pPr>
        <w:adjustRightInd w:val="0"/>
        <w:snapToGrid w:val="0"/>
        <w:spacing w:line="360" w:lineRule="auto"/>
        <w:ind w:firstLine="420" w:firstLineChars="200"/>
        <w:rPr>
          <w:rFonts w:hAnsi="宋体"/>
          <w:szCs w:val="21"/>
        </w:rPr>
      </w:pPr>
      <w:r>
        <w:rPr>
          <w:rFonts w:hint="eastAsia"/>
          <w:szCs w:val="21"/>
        </w:rPr>
        <w:t>本节内容支撑课程目标1、2。</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锉  削</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了解锉削的概念和应用</w:t>
      </w:r>
    </w:p>
    <w:p>
      <w:pPr>
        <w:adjustRightInd w:val="0"/>
        <w:snapToGrid w:val="0"/>
        <w:spacing w:line="360" w:lineRule="auto"/>
        <w:ind w:firstLine="420" w:firstLineChars="200"/>
        <w:rPr>
          <w:rFonts w:hAnsi="宋体"/>
          <w:szCs w:val="21"/>
        </w:rPr>
      </w:pPr>
      <w:r>
        <w:rPr>
          <w:rFonts w:hint="eastAsia" w:hAnsi="宋体"/>
          <w:szCs w:val="21"/>
        </w:rPr>
        <w:t>2、教学文件及设备</w:t>
      </w:r>
    </w:p>
    <w:p>
      <w:pPr>
        <w:adjustRightInd w:val="0"/>
        <w:snapToGrid w:val="0"/>
        <w:spacing w:line="360" w:lineRule="auto"/>
        <w:ind w:firstLine="420" w:firstLineChars="200"/>
        <w:rPr>
          <w:rFonts w:hAnsi="宋体"/>
          <w:szCs w:val="21"/>
        </w:rPr>
      </w:pPr>
      <w:r>
        <w:rPr>
          <w:rFonts w:hint="eastAsia" w:hAnsi="宋体"/>
          <w:szCs w:val="21"/>
        </w:rPr>
        <w:t>教材，圆锉，半圆锉，三角锉，扁平锉，方锉</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由指导老师示范讲解，学生分组练习。</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1）讲解锉削的概念</w:t>
      </w:r>
    </w:p>
    <w:p>
      <w:pPr>
        <w:adjustRightInd w:val="0"/>
        <w:snapToGrid w:val="0"/>
        <w:spacing w:line="360" w:lineRule="auto"/>
        <w:ind w:firstLine="420" w:firstLineChars="200"/>
        <w:rPr>
          <w:rFonts w:hAnsi="宋体"/>
          <w:szCs w:val="21"/>
        </w:rPr>
      </w:pPr>
      <w:r>
        <w:rPr>
          <w:rFonts w:hint="eastAsia" w:hAnsi="宋体"/>
          <w:szCs w:val="21"/>
        </w:rPr>
        <w:t>2）锉削的最高精度可达IT7-IT8，表面粗糙度可达Ra1）6-0）8μm，锉刀是用碳素工具钢T12或T13制成，经热处理后切削部分硬度达HRC62～72。</w:t>
      </w:r>
    </w:p>
    <w:p>
      <w:pPr>
        <w:adjustRightInd w:val="0"/>
        <w:snapToGrid w:val="0"/>
        <w:spacing w:line="360" w:lineRule="auto"/>
        <w:ind w:firstLine="420" w:firstLineChars="200"/>
        <w:rPr>
          <w:rFonts w:hAnsi="宋体"/>
          <w:szCs w:val="21"/>
        </w:rPr>
      </w:pPr>
      <w:r>
        <w:rPr>
          <w:rFonts w:hint="eastAsia" w:hAnsi="宋体"/>
          <w:szCs w:val="21"/>
        </w:rPr>
        <w:t>3）锉刀的组成：锉刀面、锉刀边、锉刀舌、锉刀尾、手柄等部分组成。</w:t>
      </w:r>
    </w:p>
    <w:p>
      <w:pPr>
        <w:adjustRightInd w:val="0"/>
        <w:snapToGrid w:val="0"/>
        <w:spacing w:line="360" w:lineRule="auto"/>
        <w:ind w:firstLine="420" w:firstLineChars="200"/>
        <w:rPr>
          <w:rFonts w:hAnsi="宋体"/>
          <w:szCs w:val="21"/>
        </w:rPr>
      </w:pPr>
      <w:r>
        <w:rPr>
          <w:rFonts w:hint="eastAsia" w:hAnsi="宋体"/>
          <w:szCs w:val="21"/>
        </w:rPr>
        <w:t>4）讲解锉刀的种类</w:t>
      </w:r>
    </w:p>
    <w:p>
      <w:pPr>
        <w:adjustRightInd w:val="0"/>
        <w:snapToGrid w:val="0"/>
        <w:spacing w:line="360" w:lineRule="auto"/>
        <w:ind w:firstLine="420" w:firstLineChars="200"/>
        <w:rPr>
          <w:rFonts w:hAnsi="宋体"/>
          <w:szCs w:val="21"/>
        </w:rPr>
      </w:pPr>
      <w:r>
        <w:rPr>
          <w:rFonts w:hint="eastAsia" w:hAnsi="宋体"/>
          <w:szCs w:val="21"/>
        </w:rPr>
        <w:t>5）示范讲解普通锉形状及用途。</w:t>
      </w:r>
    </w:p>
    <w:p>
      <w:pPr>
        <w:adjustRightInd w:val="0"/>
        <w:snapToGrid w:val="0"/>
        <w:spacing w:line="360" w:lineRule="auto"/>
        <w:ind w:firstLine="420" w:firstLineChars="200"/>
        <w:rPr>
          <w:rFonts w:hAnsi="宋体"/>
          <w:szCs w:val="21"/>
        </w:rPr>
      </w:pPr>
      <w:r>
        <w:rPr>
          <w:rFonts w:hint="eastAsia" w:hAnsi="宋体"/>
          <w:szCs w:val="21"/>
        </w:rPr>
        <w:t>6）示范讲解一般选择锉刀的原则：</w:t>
      </w:r>
    </w:p>
    <w:p>
      <w:pPr>
        <w:adjustRightInd w:val="0"/>
        <w:snapToGrid w:val="0"/>
        <w:spacing w:line="360" w:lineRule="auto"/>
        <w:ind w:firstLine="420" w:firstLineChars="200"/>
        <w:rPr>
          <w:rFonts w:hAnsi="宋体"/>
          <w:szCs w:val="21"/>
        </w:rPr>
      </w:pPr>
      <w:r>
        <w:rPr>
          <w:rFonts w:hint="eastAsia" w:hAnsi="宋体"/>
          <w:szCs w:val="21"/>
        </w:rPr>
        <w:t>7）演示榔头的各平面的锉削</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钻  孔</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1）了解钻孔的概念和钻削特点</w:t>
      </w:r>
    </w:p>
    <w:p>
      <w:pPr>
        <w:adjustRightInd w:val="0"/>
        <w:snapToGrid w:val="0"/>
        <w:spacing w:line="360" w:lineRule="auto"/>
        <w:ind w:firstLine="420" w:firstLineChars="200"/>
        <w:rPr>
          <w:rFonts w:hAnsi="宋体"/>
          <w:szCs w:val="21"/>
        </w:rPr>
      </w:pPr>
      <w:r>
        <w:rPr>
          <w:rFonts w:hint="eastAsia" w:hAnsi="宋体"/>
          <w:szCs w:val="21"/>
        </w:rPr>
        <w:t>2）了解钻床的分类，台钻的结构</w:t>
      </w:r>
    </w:p>
    <w:p>
      <w:pPr>
        <w:adjustRightInd w:val="0"/>
        <w:snapToGrid w:val="0"/>
        <w:spacing w:line="360" w:lineRule="auto"/>
        <w:ind w:firstLine="420" w:firstLineChars="200"/>
        <w:rPr>
          <w:rFonts w:hAnsi="宋体"/>
          <w:szCs w:val="21"/>
        </w:rPr>
      </w:pPr>
      <w:r>
        <w:rPr>
          <w:rFonts w:hint="eastAsia" w:hAnsi="宋体"/>
          <w:szCs w:val="21"/>
        </w:rPr>
        <w:t>3）钻床安全操作</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教材、台式钻床、立式钻床、摇臂钻床、手电钻</w:t>
      </w:r>
    </w:p>
    <w:p>
      <w:pPr>
        <w:adjustRightInd w:val="0"/>
        <w:snapToGrid w:val="0"/>
        <w:spacing w:line="360" w:lineRule="auto"/>
        <w:ind w:firstLine="420" w:firstLineChars="200"/>
        <w:rPr>
          <w:rFonts w:hAnsi="宋体"/>
          <w:szCs w:val="21"/>
        </w:rPr>
      </w:pPr>
      <w:r>
        <w:rPr>
          <w:rFonts w:hint="eastAsia" w:hAnsi="宋体"/>
          <w:szCs w:val="21"/>
        </w:rPr>
        <w:t>3、时间及教学方式</w:t>
      </w:r>
    </w:p>
    <w:p>
      <w:pPr>
        <w:adjustRightInd w:val="0"/>
        <w:snapToGrid w:val="0"/>
        <w:spacing w:line="360" w:lineRule="auto"/>
        <w:ind w:firstLine="420" w:firstLineChars="200"/>
        <w:rPr>
          <w:rFonts w:hAnsi="宋体"/>
          <w:szCs w:val="21"/>
        </w:rPr>
      </w:pPr>
      <w:r>
        <w:rPr>
          <w:rFonts w:hint="eastAsia" w:hAnsi="宋体"/>
          <w:szCs w:val="21"/>
        </w:rPr>
        <w:t>由指导老师示范讲解，学生分组练习</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1）概念</w:t>
      </w:r>
    </w:p>
    <w:p>
      <w:pPr>
        <w:adjustRightInd w:val="0"/>
        <w:snapToGrid w:val="0"/>
        <w:spacing w:line="360" w:lineRule="auto"/>
        <w:ind w:firstLine="420" w:firstLineChars="200"/>
        <w:rPr>
          <w:rFonts w:hAnsi="宋体"/>
          <w:szCs w:val="21"/>
        </w:rPr>
      </w:pPr>
      <w:r>
        <w:rPr>
          <w:rFonts w:hint="eastAsia" w:hAnsi="宋体"/>
          <w:szCs w:val="21"/>
        </w:rPr>
        <w:t xml:space="preserve">钻孔是用麻花钻在工件上加工出孔的操作, 钳工的钻孔多用于装配和修理，也是攻螺纹前的准备工作。 </w:t>
      </w:r>
    </w:p>
    <w:p>
      <w:pPr>
        <w:adjustRightInd w:val="0"/>
        <w:snapToGrid w:val="0"/>
        <w:spacing w:line="360" w:lineRule="auto"/>
        <w:ind w:firstLine="420" w:firstLineChars="200"/>
        <w:rPr>
          <w:rFonts w:hAnsi="宋体"/>
          <w:szCs w:val="21"/>
        </w:rPr>
      </w:pPr>
      <w:r>
        <w:rPr>
          <w:rFonts w:hint="eastAsia" w:hAnsi="宋体"/>
          <w:szCs w:val="21"/>
        </w:rPr>
        <w:t>2）钻削的特点</w:t>
      </w:r>
    </w:p>
    <w:p>
      <w:pPr>
        <w:adjustRightInd w:val="0"/>
        <w:snapToGrid w:val="0"/>
        <w:spacing w:line="360" w:lineRule="auto"/>
        <w:ind w:firstLine="420" w:firstLineChars="200"/>
        <w:rPr>
          <w:rFonts w:hAnsi="宋体"/>
          <w:szCs w:val="21"/>
        </w:rPr>
      </w:pPr>
      <w:r>
        <w:rPr>
          <w:rFonts w:hint="eastAsia" w:hAnsi="宋体"/>
          <w:szCs w:val="21"/>
        </w:rPr>
        <w:t>3）钻孔设备</w:t>
      </w:r>
    </w:p>
    <w:p>
      <w:pPr>
        <w:adjustRightInd w:val="0"/>
        <w:snapToGrid w:val="0"/>
        <w:spacing w:line="360" w:lineRule="auto"/>
        <w:ind w:firstLine="420" w:firstLineChars="200"/>
        <w:rPr>
          <w:rFonts w:hAnsi="宋体"/>
          <w:szCs w:val="21"/>
        </w:rPr>
      </w:pPr>
      <w:r>
        <w:rPr>
          <w:rFonts w:hint="eastAsia" w:hAnsi="宋体"/>
          <w:szCs w:val="21"/>
        </w:rPr>
        <w:t>常用的有台式钻床、立式钻床、摇臂钻床、手电钻等。</w:t>
      </w:r>
    </w:p>
    <w:p>
      <w:pPr>
        <w:adjustRightInd w:val="0"/>
        <w:snapToGrid w:val="0"/>
        <w:spacing w:line="360" w:lineRule="auto"/>
        <w:ind w:firstLine="420" w:firstLineChars="200"/>
        <w:rPr>
          <w:rFonts w:hAnsi="宋体"/>
          <w:szCs w:val="21"/>
        </w:rPr>
      </w:pPr>
      <w:r>
        <w:rPr>
          <w:rFonts w:hint="eastAsia" w:hAnsi="宋体"/>
          <w:szCs w:val="21"/>
        </w:rPr>
        <w:t>4）麻花钻的组成</w:t>
      </w:r>
    </w:p>
    <w:p>
      <w:pPr>
        <w:adjustRightInd w:val="0"/>
        <w:snapToGrid w:val="0"/>
        <w:spacing w:line="360" w:lineRule="auto"/>
        <w:ind w:firstLine="420" w:firstLineChars="200"/>
        <w:rPr>
          <w:rFonts w:hAnsi="宋体"/>
          <w:szCs w:val="21"/>
        </w:rPr>
      </w:pPr>
      <w:r>
        <w:rPr>
          <w:rFonts w:hint="eastAsia" w:hAnsi="宋体"/>
          <w:szCs w:val="21"/>
        </w:rPr>
        <w:t>5）示范讲解装夹方法</w:t>
      </w:r>
    </w:p>
    <w:p>
      <w:pPr>
        <w:adjustRightInd w:val="0"/>
        <w:snapToGrid w:val="0"/>
        <w:spacing w:line="360" w:lineRule="auto"/>
        <w:ind w:firstLine="420" w:firstLineChars="200"/>
        <w:rPr>
          <w:rFonts w:hAnsi="宋体"/>
          <w:szCs w:val="21"/>
        </w:rPr>
      </w:pPr>
      <w:r>
        <w:rPr>
          <w:rFonts w:hint="eastAsia" w:hAnsi="宋体"/>
          <w:szCs w:val="21"/>
        </w:rPr>
        <w:t>6）示范讲解钻孔操作</w:t>
      </w:r>
    </w:p>
    <w:p>
      <w:pPr>
        <w:adjustRightInd w:val="0"/>
        <w:snapToGrid w:val="0"/>
        <w:spacing w:line="360" w:lineRule="auto"/>
        <w:ind w:firstLine="420" w:firstLineChars="200"/>
        <w:rPr>
          <w:rFonts w:hAnsi="宋体"/>
          <w:szCs w:val="21"/>
        </w:rPr>
      </w:pPr>
      <w:r>
        <w:rPr>
          <w:rFonts w:hint="eastAsia" w:hAnsi="宋体"/>
          <w:szCs w:val="21"/>
        </w:rPr>
        <w:t>7）讲解钻孔安全注意</w:t>
      </w:r>
    </w:p>
    <w:p>
      <w:pPr>
        <w:adjustRightInd w:val="0"/>
        <w:snapToGrid w:val="0"/>
        <w:spacing w:line="360" w:lineRule="auto"/>
        <w:ind w:firstLine="420" w:firstLineChars="200"/>
        <w:rPr>
          <w:rFonts w:hAnsi="宋体"/>
          <w:szCs w:val="21"/>
        </w:rPr>
      </w:pPr>
      <w:r>
        <w:rPr>
          <w:rFonts w:hint="eastAsia"/>
          <w:szCs w:val="21"/>
        </w:rPr>
        <w:t>本节内容支撑课程目标1、2、3。</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扩孔、铰孔、锪孔</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1）了解扩孔、铰孔、锪孔的概念</w:t>
      </w:r>
    </w:p>
    <w:p>
      <w:pPr>
        <w:adjustRightInd w:val="0"/>
        <w:snapToGrid w:val="0"/>
        <w:spacing w:line="360" w:lineRule="auto"/>
        <w:ind w:firstLine="420" w:firstLineChars="200"/>
        <w:rPr>
          <w:rFonts w:hAnsi="宋体"/>
          <w:szCs w:val="21"/>
        </w:rPr>
      </w:pPr>
      <w:r>
        <w:rPr>
          <w:rFonts w:hint="eastAsia" w:hAnsi="宋体"/>
          <w:szCs w:val="21"/>
        </w:rPr>
        <w:t>2）了解扩孔、铰孔、锪孔使用的工具及加工方法</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教材，扩孔钻、锪孔钻、铰刀</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分组由指导老师示范讲解</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1）示范讲解扩孔</w:t>
      </w:r>
    </w:p>
    <w:p>
      <w:pPr>
        <w:adjustRightInd w:val="0"/>
        <w:snapToGrid w:val="0"/>
        <w:spacing w:line="360" w:lineRule="auto"/>
        <w:ind w:firstLine="420" w:firstLineChars="200"/>
        <w:rPr>
          <w:rFonts w:hAnsi="宋体"/>
          <w:szCs w:val="21"/>
        </w:rPr>
      </w:pPr>
      <w:r>
        <w:rPr>
          <w:rFonts w:hint="eastAsia" w:hAnsi="宋体"/>
          <w:szCs w:val="21"/>
        </w:rPr>
        <w:t>2）示范讲解铰孔</w:t>
      </w:r>
    </w:p>
    <w:p>
      <w:pPr>
        <w:adjustRightInd w:val="0"/>
        <w:snapToGrid w:val="0"/>
        <w:spacing w:line="360" w:lineRule="auto"/>
        <w:ind w:firstLine="420" w:firstLineChars="200"/>
        <w:rPr>
          <w:rFonts w:hAnsi="宋体"/>
          <w:szCs w:val="21"/>
        </w:rPr>
      </w:pPr>
      <w:r>
        <w:rPr>
          <w:rFonts w:hint="eastAsia" w:hAnsi="宋体"/>
          <w:szCs w:val="21"/>
        </w:rPr>
        <w:t>3）示范讲解锪孔</w:t>
      </w:r>
    </w:p>
    <w:p>
      <w:pPr>
        <w:adjustRightInd w:val="0"/>
        <w:snapToGrid w:val="0"/>
        <w:spacing w:line="360" w:lineRule="auto"/>
        <w:ind w:firstLine="420" w:firstLineChars="200"/>
        <w:rPr>
          <w:rFonts w:hAnsi="宋体"/>
          <w:szCs w:val="21"/>
        </w:rPr>
      </w:pPr>
      <w:r>
        <w:rPr>
          <w:rFonts w:hint="eastAsia" w:hAnsi="宋体"/>
          <w:szCs w:val="21"/>
        </w:rPr>
        <w:t>4）铰刀：</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攻螺纹、套螺纹</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 xml:space="preserve"> 了解攻螺纹和套螺纹的概念、方法和应用。</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教材，丝锥，铰杠，板牙和板牙架</w:t>
      </w:r>
    </w:p>
    <w:p>
      <w:pPr>
        <w:adjustRightInd w:val="0"/>
        <w:snapToGrid w:val="0"/>
        <w:spacing w:line="360" w:lineRule="auto"/>
        <w:ind w:firstLine="420" w:firstLineChars="200"/>
        <w:rPr>
          <w:rFonts w:hAnsi="宋体"/>
          <w:szCs w:val="21"/>
        </w:rPr>
      </w:pPr>
      <w:r>
        <w:rPr>
          <w:rFonts w:hint="eastAsia" w:hAnsi="宋体"/>
          <w:szCs w:val="21"/>
        </w:rPr>
        <w:t>3、教学方式</w:t>
      </w:r>
    </w:p>
    <w:p>
      <w:pPr>
        <w:adjustRightInd w:val="0"/>
        <w:snapToGrid w:val="0"/>
        <w:spacing w:line="360" w:lineRule="auto"/>
        <w:ind w:firstLine="420" w:firstLineChars="200"/>
        <w:rPr>
          <w:rFonts w:hAnsi="宋体"/>
          <w:szCs w:val="21"/>
        </w:rPr>
      </w:pPr>
      <w:r>
        <w:rPr>
          <w:rFonts w:hint="eastAsia" w:hAnsi="宋体"/>
          <w:szCs w:val="21"/>
        </w:rPr>
        <w:t>由指导老师示范讲解，学生分组练习</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1）攻螺纹(亦称攻丝) ：是用丝锥加工内螺纹的操作。</w:t>
      </w:r>
    </w:p>
    <w:p>
      <w:pPr>
        <w:adjustRightInd w:val="0"/>
        <w:snapToGrid w:val="0"/>
        <w:spacing w:line="360" w:lineRule="auto"/>
        <w:ind w:firstLine="420" w:firstLineChars="200"/>
        <w:rPr>
          <w:rFonts w:hAnsi="宋体"/>
          <w:szCs w:val="21"/>
        </w:rPr>
      </w:pPr>
      <w:r>
        <w:rPr>
          <w:rFonts w:hint="eastAsia" w:hAnsi="宋体"/>
          <w:szCs w:val="21"/>
        </w:rPr>
        <w:t>2）攻丝工具： 丝锥和铰杠</w:t>
      </w:r>
    </w:p>
    <w:p>
      <w:pPr>
        <w:adjustRightInd w:val="0"/>
        <w:snapToGrid w:val="0"/>
        <w:spacing w:line="360" w:lineRule="auto"/>
        <w:ind w:firstLine="420" w:firstLineChars="200"/>
        <w:rPr>
          <w:rFonts w:hAnsi="宋体"/>
          <w:szCs w:val="21"/>
        </w:rPr>
      </w:pPr>
      <w:r>
        <w:rPr>
          <w:rFonts w:hint="eastAsia" w:hAnsi="宋体"/>
          <w:szCs w:val="21"/>
        </w:rPr>
        <w:t>3）攻螺纹的注意事项</w:t>
      </w:r>
    </w:p>
    <w:p>
      <w:pPr>
        <w:adjustRightInd w:val="0"/>
        <w:snapToGrid w:val="0"/>
        <w:spacing w:line="360" w:lineRule="auto"/>
        <w:ind w:firstLine="420" w:firstLineChars="200"/>
        <w:rPr>
          <w:rFonts w:hAnsi="宋体"/>
          <w:szCs w:val="21"/>
        </w:rPr>
      </w:pPr>
      <w:r>
        <w:rPr>
          <w:rFonts w:hint="eastAsia" w:hAnsi="宋体"/>
          <w:szCs w:val="21"/>
        </w:rPr>
        <w:t>4）套螺纹</w:t>
      </w:r>
    </w:p>
    <w:p>
      <w:pPr>
        <w:adjustRightInd w:val="0"/>
        <w:snapToGrid w:val="0"/>
        <w:spacing w:line="360" w:lineRule="auto"/>
        <w:ind w:firstLine="420" w:firstLineChars="200"/>
        <w:rPr>
          <w:rFonts w:hAnsi="宋体"/>
          <w:szCs w:val="21"/>
        </w:rPr>
      </w:pPr>
      <w:r>
        <w:rPr>
          <w:rFonts w:hint="eastAsia" w:hAnsi="宋体"/>
          <w:szCs w:val="21"/>
        </w:rPr>
        <w:t>5）套丝工具：板牙和板牙架</w:t>
      </w:r>
    </w:p>
    <w:p>
      <w:pPr>
        <w:adjustRightInd w:val="0"/>
        <w:snapToGrid w:val="0"/>
        <w:spacing w:line="360" w:lineRule="auto"/>
        <w:ind w:firstLine="420" w:firstLineChars="200"/>
        <w:rPr>
          <w:rFonts w:hAnsi="宋体"/>
          <w:szCs w:val="21"/>
        </w:rPr>
      </w:pPr>
      <w:r>
        <w:rPr>
          <w:rFonts w:hint="eastAsia"/>
          <w:szCs w:val="21"/>
        </w:rPr>
        <w:t>本节内容支撑课程目标1。</w:t>
      </w:r>
    </w:p>
    <w:p>
      <w:pPr>
        <w:adjustRightInd w:val="0"/>
        <w:snapToGrid w:val="0"/>
        <w:spacing w:line="360" w:lineRule="auto"/>
        <w:ind w:firstLine="420" w:firstLineChars="200"/>
        <w:rPr>
          <w:rFonts w:ascii="黑体" w:hAnsi="黑体" w:eastAsia="黑体"/>
          <w:szCs w:val="21"/>
        </w:rPr>
      </w:pPr>
      <w:r>
        <w:rPr>
          <w:rFonts w:hint="eastAsia" w:ascii="黑体" w:hAnsi="黑体" w:eastAsia="黑体"/>
          <w:szCs w:val="21"/>
        </w:rPr>
        <w:t>装  配</w:t>
      </w:r>
    </w:p>
    <w:p>
      <w:pPr>
        <w:adjustRightInd w:val="0"/>
        <w:snapToGrid w:val="0"/>
        <w:spacing w:line="360" w:lineRule="auto"/>
        <w:ind w:firstLine="420" w:firstLineChars="200"/>
        <w:rPr>
          <w:rFonts w:hAnsi="宋体"/>
          <w:szCs w:val="21"/>
        </w:rPr>
      </w:pPr>
      <w:r>
        <w:rPr>
          <w:rFonts w:hint="eastAsia" w:hAnsi="宋体"/>
          <w:szCs w:val="21"/>
        </w:rPr>
        <w:t>1、目的要求：</w:t>
      </w:r>
    </w:p>
    <w:p>
      <w:pPr>
        <w:adjustRightInd w:val="0"/>
        <w:snapToGrid w:val="0"/>
        <w:spacing w:line="360" w:lineRule="auto"/>
        <w:ind w:firstLine="420" w:firstLineChars="200"/>
        <w:rPr>
          <w:rFonts w:hAnsi="宋体"/>
          <w:szCs w:val="21"/>
        </w:rPr>
      </w:pPr>
      <w:r>
        <w:rPr>
          <w:rFonts w:hint="eastAsia" w:hAnsi="宋体"/>
          <w:szCs w:val="21"/>
        </w:rPr>
        <w:t>1）了解装配的概念及在工业生产中的作用</w:t>
      </w:r>
    </w:p>
    <w:p>
      <w:pPr>
        <w:adjustRightInd w:val="0"/>
        <w:snapToGrid w:val="0"/>
        <w:spacing w:line="360" w:lineRule="auto"/>
        <w:ind w:firstLine="420" w:firstLineChars="200"/>
        <w:rPr>
          <w:rFonts w:hAnsi="宋体"/>
          <w:szCs w:val="21"/>
        </w:rPr>
      </w:pPr>
      <w:r>
        <w:rPr>
          <w:rFonts w:hint="eastAsia" w:hAnsi="宋体"/>
          <w:szCs w:val="21"/>
        </w:rPr>
        <w:t>2）了解装配的方法及分类</w:t>
      </w:r>
    </w:p>
    <w:p>
      <w:pPr>
        <w:adjustRightInd w:val="0"/>
        <w:snapToGrid w:val="0"/>
        <w:spacing w:line="360" w:lineRule="auto"/>
        <w:ind w:firstLine="420" w:firstLineChars="200"/>
        <w:rPr>
          <w:rFonts w:hAnsi="宋体"/>
          <w:szCs w:val="21"/>
        </w:rPr>
      </w:pPr>
      <w:r>
        <w:rPr>
          <w:rFonts w:hint="eastAsia" w:hAnsi="宋体"/>
          <w:szCs w:val="21"/>
        </w:rPr>
        <w:t>2、教学文件和设备</w:t>
      </w:r>
    </w:p>
    <w:p>
      <w:pPr>
        <w:adjustRightInd w:val="0"/>
        <w:snapToGrid w:val="0"/>
        <w:spacing w:line="360" w:lineRule="auto"/>
        <w:ind w:firstLine="420" w:firstLineChars="200"/>
        <w:rPr>
          <w:rFonts w:hAnsi="宋体"/>
          <w:szCs w:val="21"/>
        </w:rPr>
      </w:pPr>
      <w:r>
        <w:rPr>
          <w:rFonts w:hint="eastAsia" w:hAnsi="宋体"/>
          <w:szCs w:val="21"/>
        </w:rPr>
        <w:t>教材，自行车，变速箱</w:t>
      </w:r>
    </w:p>
    <w:p>
      <w:pPr>
        <w:adjustRightInd w:val="0"/>
        <w:snapToGrid w:val="0"/>
        <w:spacing w:line="360" w:lineRule="auto"/>
        <w:ind w:firstLine="420" w:firstLineChars="200"/>
        <w:rPr>
          <w:rFonts w:hAnsi="宋体"/>
          <w:szCs w:val="21"/>
        </w:rPr>
      </w:pPr>
      <w:r>
        <w:rPr>
          <w:rFonts w:hint="eastAsia" w:hAnsi="宋体"/>
          <w:szCs w:val="21"/>
        </w:rPr>
        <w:t>3、时间及教学方式</w:t>
      </w:r>
    </w:p>
    <w:p>
      <w:pPr>
        <w:adjustRightInd w:val="0"/>
        <w:snapToGrid w:val="0"/>
        <w:spacing w:line="360" w:lineRule="auto"/>
        <w:ind w:firstLine="420" w:firstLineChars="200"/>
        <w:rPr>
          <w:rFonts w:hAnsi="宋体"/>
          <w:szCs w:val="21"/>
        </w:rPr>
      </w:pPr>
      <w:r>
        <w:rPr>
          <w:rFonts w:hint="eastAsia" w:hAnsi="宋体"/>
          <w:szCs w:val="21"/>
        </w:rPr>
        <w:t>由指导老师示范讲解，学生分组操作。</w:t>
      </w:r>
    </w:p>
    <w:p>
      <w:pPr>
        <w:adjustRightInd w:val="0"/>
        <w:snapToGrid w:val="0"/>
        <w:spacing w:line="360" w:lineRule="auto"/>
        <w:ind w:firstLine="420" w:firstLineChars="200"/>
        <w:rPr>
          <w:rFonts w:hAnsi="宋体"/>
          <w:szCs w:val="21"/>
        </w:rPr>
      </w:pPr>
      <w:r>
        <w:rPr>
          <w:rFonts w:hint="eastAsia" w:hAnsi="宋体"/>
          <w:szCs w:val="21"/>
        </w:rPr>
        <w:t>4、教学内容</w:t>
      </w:r>
    </w:p>
    <w:p>
      <w:pPr>
        <w:adjustRightInd w:val="0"/>
        <w:snapToGrid w:val="0"/>
        <w:spacing w:line="360" w:lineRule="auto"/>
        <w:ind w:firstLine="420" w:firstLineChars="200"/>
        <w:rPr>
          <w:rFonts w:hAnsi="宋体"/>
          <w:szCs w:val="21"/>
        </w:rPr>
      </w:pPr>
      <w:r>
        <w:rPr>
          <w:rFonts w:hint="eastAsia" w:hAnsi="宋体"/>
          <w:szCs w:val="21"/>
        </w:rPr>
        <w:t>1）讲解装配概念：</w:t>
      </w:r>
    </w:p>
    <w:p>
      <w:pPr>
        <w:adjustRightInd w:val="0"/>
        <w:snapToGrid w:val="0"/>
        <w:spacing w:line="360" w:lineRule="auto"/>
        <w:ind w:firstLine="420" w:firstLineChars="200"/>
        <w:rPr>
          <w:rFonts w:hAnsi="宋体"/>
          <w:szCs w:val="21"/>
        </w:rPr>
      </w:pPr>
      <w:r>
        <w:rPr>
          <w:rFonts w:hint="eastAsia" w:hAnsi="宋体"/>
          <w:szCs w:val="21"/>
        </w:rPr>
        <w:t xml:space="preserve"> 按照规定的技术要求，将零件组装成机器，并经过调整、试验，使之成为合格产品的工艺过程称为装配。装配过程一般可分为组件装配、部件装配和总装配。</w:t>
      </w:r>
    </w:p>
    <w:p>
      <w:pPr>
        <w:adjustRightInd w:val="0"/>
        <w:snapToGrid w:val="0"/>
        <w:spacing w:line="360" w:lineRule="auto"/>
        <w:ind w:firstLine="420" w:firstLineChars="200"/>
        <w:rPr>
          <w:rFonts w:hAnsi="宋体"/>
          <w:szCs w:val="21"/>
        </w:rPr>
      </w:pPr>
      <w:r>
        <w:rPr>
          <w:rFonts w:hint="eastAsia" w:hAnsi="宋体"/>
          <w:szCs w:val="21"/>
        </w:rPr>
        <w:t>2）讲解装配的分类</w:t>
      </w:r>
    </w:p>
    <w:p>
      <w:pPr>
        <w:adjustRightInd w:val="0"/>
        <w:snapToGrid w:val="0"/>
        <w:spacing w:line="360" w:lineRule="auto"/>
        <w:ind w:firstLine="420" w:firstLineChars="200"/>
        <w:rPr>
          <w:rFonts w:hAnsi="宋体"/>
          <w:szCs w:val="21"/>
        </w:rPr>
      </w:pPr>
      <w:r>
        <w:rPr>
          <w:rFonts w:hint="eastAsia" w:hAnsi="宋体"/>
          <w:szCs w:val="21"/>
        </w:rPr>
        <w:t xml:space="preserve">（1）组件装配： </w:t>
      </w:r>
    </w:p>
    <w:p>
      <w:pPr>
        <w:adjustRightInd w:val="0"/>
        <w:snapToGrid w:val="0"/>
        <w:spacing w:line="360" w:lineRule="auto"/>
        <w:ind w:firstLine="420" w:firstLineChars="200"/>
        <w:rPr>
          <w:rFonts w:hAnsi="宋体"/>
          <w:szCs w:val="21"/>
        </w:rPr>
      </w:pPr>
      <w:r>
        <w:rPr>
          <w:rFonts w:hint="eastAsia" w:hAnsi="宋体"/>
          <w:szCs w:val="21"/>
        </w:rPr>
        <w:t>将两个以上的零件连接组合成为组件的过程。例如由轴、齿轮等零件组成的一根传动轴的装配。</w:t>
      </w:r>
    </w:p>
    <w:p>
      <w:pPr>
        <w:adjustRightInd w:val="0"/>
        <w:snapToGrid w:val="0"/>
        <w:spacing w:line="360" w:lineRule="auto"/>
        <w:ind w:firstLine="420" w:firstLineChars="200"/>
        <w:rPr>
          <w:rFonts w:hAnsi="宋体"/>
          <w:szCs w:val="21"/>
        </w:rPr>
      </w:pPr>
      <w:r>
        <w:rPr>
          <w:rFonts w:hint="eastAsia" w:hAnsi="宋体"/>
          <w:szCs w:val="21"/>
        </w:rPr>
        <w:t xml:space="preserve">（2）部件装配： </w:t>
      </w:r>
    </w:p>
    <w:p>
      <w:pPr>
        <w:adjustRightInd w:val="0"/>
        <w:snapToGrid w:val="0"/>
        <w:spacing w:line="360" w:lineRule="auto"/>
        <w:ind w:firstLine="420" w:firstLineChars="200"/>
        <w:rPr>
          <w:rFonts w:hAnsi="宋体"/>
          <w:szCs w:val="21"/>
        </w:rPr>
      </w:pPr>
      <w:r>
        <w:rPr>
          <w:rFonts w:hint="eastAsia" w:hAnsi="宋体"/>
          <w:szCs w:val="21"/>
        </w:rPr>
        <w:t>将组件、零件连接组合成独立机构（部件）的过程。例如车床床头箱、进给箱等的装配。</w:t>
      </w:r>
    </w:p>
    <w:p>
      <w:pPr>
        <w:adjustRightInd w:val="0"/>
        <w:snapToGrid w:val="0"/>
        <w:spacing w:line="360" w:lineRule="auto"/>
        <w:ind w:firstLine="420" w:firstLineChars="200"/>
        <w:rPr>
          <w:rFonts w:hAnsi="宋体"/>
          <w:szCs w:val="21"/>
        </w:rPr>
      </w:pPr>
      <w:r>
        <w:rPr>
          <w:rFonts w:hint="eastAsia" w:hAnsi="宋体"/>
          <w:szCs w:val="21"/>
        </w:rPr>
        <w:t>（3）总装配：</w:t>
      </w:r>
    </w:p>
    <w:p>
      <w:pPr>
        <w:adjustRightInd w:val="0"/>
        <w:snapToGrid w:val="0"/>
        <w:spacing w:line="360" w:lineRule="auto"/>
        <w:ind w:firstLine="420" w:firstLineChars="200"/>
        <w:rPr>
          <w:rFonts w:hAnsi="宋体"/>
          <w:szCs w:val="21"/>
        </w:rPr>
      </w:pPr>
      <w:r>
        <w:rPr>
          <w:rFonts w:hint="eastAsia" w:hAnsi="宋体"/>
          <w:szCs w:val="21"/>
        </w:rPr>
        <w:t>将部件、组件和零件连接组合成为整台机器的过程。</w:t>
      </w:r>
    </w:p>
    <w:p>
      <w:pPr>
        <w:adjustRightInd w:val="0"/>
        <w:snapToGrid w:val="0"/>
        <w:spacing w:line="360" w:lineRule="auto"/>
        <w:ind w:firstLine="420" w:firstLineChars="200"/>
        <w:rPr>
          <w:rFonts w:hAnsi="宋体"/>
          <w:szCs w:val="21"/>
        </w:rPr>
      </w:pPr>
      <w:r>
        <w:rPr>
          <w:rFonts w:hint="eastAsia" w:hAnsi="宋体"/>
          <w:szCs w:val="21"/>
        </w:rPr>
        <w:t>3）讲解装配方法</w:t>
      </w:r>
    </w:p>
    <w:p>
      <w:pPr>
        <w:adjustRightInd w:val="0"/>
        <w:snapToGrid w:val="0"/>
        <w:spacing w:line="360" w:lineRule="auto"/>
        <w:ind w:firstLine="420" w:firstLineChars="200"/>
        <w:rPr>
          <w:rFonts w:hAnsi="宋体"/>
          <w:szCs w:val="21"/>
        </w:rPr>
      </w:pPr>
      <w:r>
        <w:rPr>
          <w:rFonts w:hint="eastAsia" w:hAnsi="宋体"/>
          <w:szCs w:val="21"/>
        </w:rPr>
        <w:t xml:space="preserve">（1）完全互换法 </w:t>
      </w:r>
    </w:p>
    <w:p>
      <w:pPr>
        <w:adjustRightInd w:val="0"/>
        <w:snapToGrid w:val="0"/>
        <w:spacing w:line="360" w:lineRule="auto"/>
        <w:ind w:firstLine="420" w:firstLineChars="200"/>
        <w:rPr>
          <w:rFonts w:hAnsi="宋体"/>
          <w:szCs w:val="21"/>
        </w:rPr>
      </w:pPr>
      <w:r>
        <w:rPr>
          <w:rFonts w:hint="eastAsia" w:hAnsi="宋体"/>
          <w:szCs w:val="21"/>
        </w:rPr>
        <w:t xml:space="preserve">（2）选配法 </w:t>
      </w:r>
    </w:p>
    <w:p>
      <w:pPr>
        <w:adjustRightInd w:val="0"/>
        <w:snapToGrid w:val="0"/>
        <w:spacing w:line="360" w:lineRule="auto"/>
        <w:ind w:firstLine="420" w:firstLineChars="200"/>
        <w:rPr>
          <w:rFonts w:hAnsi="宋体"/>
          <w:szCs w:val="21"/>
        </w:rPr>
      </w:pPr>
      <w:r>
        <w:rPr>
          <w:rFonts w:hint="eastAsia" w:hAnsi="宋体"/>
          <w:szCs w:val="21"/>
        </w:rPr>
        <w:t xml:space="preserve">（3）调整法 </w:t>
      </w:r>
    </w:p>
    <w:p>
      <w:pPr>
        <w:adjustRightInd w:val="0"/>
        <w:snapToGrid w:val="0"/>
        <w:spacing w:line="360" w:lineRule="auto"/>
        <w:ind w:firstLine="420" w:firstLineChars="200"/>
        <w:rPr>
          <w:rFonts w:hAnsi="宋体"/>
          <w:szCs w:val="21"/>
        </w:rPr>
      </w:pPr>
      <w:r>
        <w:rPr>
          <w:rFonts w:hint="eastAsia" w:hAnsi="宋体"/>
          <w:szCs w:val="21"/>
        </w:rPr>
        <w:t>（4）修配法</w:t>
      </w:r>
    </w:p>
    <w:p>
      <w:pPr>
        <w:adjustRightInd w:val="0"/>
        <w:snapToGrid w:val="0"/>
        <w:spacing w:line="360" w:lineRule="auto"/>
        <w:ind w:firstLine="420" w:firstLineChars="200"/>
        <w:rPr>
          <w:b/>
          <w:bCs/>
          <w:sz w:val="24"/>
        </w:rPr>
      </w:pPr>
      <w:r>
        <w:rPr>
          <w:rFonts w:hint="eastAsia"/>
          <w:szCs w:val="21"/>
        </w:rPr>
        <w:t>本章节内容支撑课程目标1、2、3。</w:t>
      </w:r>
    </w:p>
    <w:p>
      <w:pPr>
        <w:tabs>
          <w:tab w:val="left" w:pos="420"/>
        </w:tabs>
        <w:adjustRightInd w:val="0"/>
        <w:snapToGrid w:val="0"/>
        <w:spacing w:line="360" w:lineRule="auto"/>
        <w:ind w:left="420" w:hanging="420"/>
        <w:rPr>
          <w:rFonts w:eastAsia="黑体"/>
          <w:szCs w:val="21"/>
        </w:rPr>
      </w:pPr>
      <w:r>
        <w:rPr>
          <w:rFonts w:hint="eastAsia" w:eastAsia="黑体"/>
          <w:szCs w:val="21"/>
        </w:rPr>
        <w:t>四、实验教学内容</w:t>
      </w:r>
    </w:p>
    <w:p>
      <w:pPr>
        <w:adjustRightInd w:val="0"/>
        <w:snapToGrid w:val="0"/>
        <w:spacing w:line="360" w:lineRule="auto"/>
        <w:ind w:firstLine="420" w:firstLineChars="200"/>
        <w:rPr>
          <w:rFonts w:ascii="宋体" w:hAnsi="宋体" w:cs="Arial"/>
          <w:kern w:val="0"/>
          <w:szCs w:val="21"/>
        </w:rPr>
      </w:pPr>
      <w:r>
        <w:rPr>
          <w:rFonts w:hint="eastAsia" w:ascii="宋体" w:hAnsi="宋体" w:cs="宋体"/>
          <w:kern w:val="0"/>
          <w:szCs w:val="21"/>
        </w:rPr>
        <w:t>无。</w:t>
      </w:r>
    </w:p>
    <w:p>
      <w:pPr>
        <w:adjustRightInd w:val="0"/>
        <w:snapToGrid w:val="0"/>
        <w:spacing w:line="360" w:lineRule="auto"/>
        <w:ind w:firstLine="420" w:firstLineChars="200"/>
        <w:rPr>
          <w:rFonts w:ascii="宋体" w:hAnsi="宋体" w:cs="Arial"/>
          <w:kern w:val="0"/>
          <w:szCs w:val="21"/>
        </w:rPr>
      </w:pPr>
    </w:p>
    <w:p>
      <w:pPr>
        <w:adjustRightInd w:val="0"/>
        <w:snapToGrid w:val="0"/>
        <w:spacing w:line="360" w:lineRule="auto"/>
        <w:rPr>
          <w:rFonts w:eastAsia="黑体"/>
          <w:szCs w:val="21"/>
        </w:rPr>
      </w:pPr>
      <w:r>
        <w:rPr>
          <w:rFonts w:hint="eastAsia" w:eastAsia="黑体"/>
          <w:szCs w:val="21"/>
        </w:rPr>
        <w:t>五</w:t>
      </w:r>
      <w:r>
        <w:rPr>
          <w:rFonts w:eastAsia="黑体"/>
          <w:szCs w:val="21"/>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1933"/>
        <w:gridCol w:w="1659"/>
        <w:gridCol w:w="14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977" w:type="pct"/>
            <w:vAlign w:val="center"/>
          </w:tcPr>
          <w:p>
            <w:pPr>
              <w:adjustRightInd w:val="0"/>
              <w:snapToGrid w:val="0"/>
              <w:spacing w:line="360" w:lineRule="auto"/>
              <w:jc w:val="center"/>
              <w:rPr>
                <w:sz w:val="18"/>
                <w:szCs w:val="18"/>
              </w:rPr>
            </w:pPr>
            <w:r>
              <w:rPr>
                <w:rFonts w:hint="eastAsia" w:ascii="宋体" w:hAnsi="宋体"/>
                <w:sz w:val="18"/>
                <w:szCs w:val="18"/>
              </w:rPr>
              <w:t>知识点及内容</w:t>
            </w:r>
          </w:p>
        </w:tc>
        <w:tc>
          <w:tcPr>
            <w:tcW w:w="1164" w:type="pct"/>
            <w:vAlign w:val="center"/>
          </w:tcPr>
          <w:p>
            <w:pPr>
              <w:adjustRightInd w:val="0"/>
              <w:snapToGrid w:val="0"/>
              <w:spacing w:line="360" w:lineRule="auto"/>
              <w:jc w:val="center"/>
              <w:rPr>
                <w:sz w:val="18"/>
                <w:szCs w:val="18"/>
              </w:rPr>
            </w:pPr>
            <w:r>
              <w:rPr>
                <w:sz w:val="18"/>
                <w:szCs w:val="18"/>
              </w:rPr>
              <w:t>讲授（学时）</w:t>
            </w:r>
          </w:p>
        </w:tc>
        <w:tc>
          <w:tcPr>
            <w:tcW w:w="999" w:type="pct"/>
            <w:vAlign w:val="center"/>
          </w:tcPr>
          <w:p>
            <w:pPr>
              <w:adjustRightInd w:val="0"/>
              <w:snapToGrid w:val="0"/>
              <w:spacing w:line="360" w:lineRule="auto"/>
              <w:jc w:val="center"/>
              <w:rPr>
                <w:sz w:val="18"/>
                <w:szCs w:val="18"/>
              </w:rPr>
            </w:pPr>
            <w:r>
              <w:rPr>
                <w:sz w:val="18"/>
                <w:szCs w:val="18"/>
              </w:rPr>
              <w:t>实</w:t>
            </w:r>
            <w:r>
              <w:rPr>
                <w:rFonts w:hint="eastAsia"/>
                <w:sz w:val="18"/>
                <w:szCs w:val="18"/>
              </w:rPr>
              <w:t>践</w:t>
            </w:r>
            <w:r>
              <w:rPr>
                <w:sz w:val="18"/>
                <w:szCs w:val="18"/>
              </w:rPr>
              <w:t>（</w:t>
            </w:r>
            <w:r>
              <w:rPr>
                <w:rFonts w:hint="eastAsia"/>
                <w:sz w:val="18"/>
                <w:szCs w:val="18"/>
              </w:rPr>
              <w:t>天</w:t>
            </w:r>
            <w:r>
              <w:rPr>
                <w:sz w:val="18"/>
                <w:szCs w:val="18"/>
              </w:rPr>
              <w:t>）</w:t>
            </w:r>
          </w:p>
        </w:tc>
        <w:tc>
          <w:tcPr>
            <w:tcW w:w="860" w:type="pct"/>
            <w:vAlign w:val="center"/>
          </w:tcPr>
          <w:p>
            <w:pPr>
              <w:adjustRightInd w:val="0"/>
              <w:snapToGrid w:val="0"/>
              <w:spacing w:line="360" w:lineRule="auto"/>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1  车工</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2</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2  钳工</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2</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3  铸工</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2</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4  铣工</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1</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5  焊工</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1</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6  钣金</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0.5</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7  热处理</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0.5</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8  表面处理</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0.5</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77" w:type="pct"/>
            <w:vAlign w:val="bottom"/>
          </w:tcPr>
          <w:p>
            <w:pPr>
              <w:adjustRightInd w:val="0"/>
              <w:snapToGrid w:val="0"/>
              <w:spacing w:line="360" w:lineRule="auto"/>
              <w:ind w:firstLine="282" w:firstLineChars="157"/>
              <w:rPr>
                <w:bCs/>
                <w:sz w:val="18"/>
                <w:szCs w:val="18"/>
              </w:rPr>
            </w:pPr>
            <w:r>
              <w:rPr>
                <w:rFonts w:hint="eastAsia" w:ascii="宋体" w:hAnsi="宋体"/>
                <w:sz w:val="18"/>
                <w:szCs w:val="18"/>
              </w:rPr>
              <w:t>9  锻压</w:t>
            </w:r>
          </w:p>
        </w:tc>
        <w:tc>
          <w:tcPr>
            <w:tcW w:w="1164" w:type="pct"/>
            <w:vAlign w:val="bottom"/>
          </w:tcPr>
          <w:p>
            <w:pPr>
              <w:adjustRightInd w:val="0"/>
              <w:snapToGrid w:val="0"/>
              <w:spacing w:line="360" w:lineRule="auto"/>
              <w:jc w:val="center"/>
              <w:rPr>
                <w:bCs/>
                <w:sz w:val="18"/>
                <w:szCs w:val="18"/>
              </w:rPr>
            </w:pPr>
            <w:r>
              <w:rPr>
                <w:rFonts w:hint="eastAsia" w:ascii="宋体" w:hAnsi="宋体"/>
                <w:sz w:val="18"/>
                <w:szCs w:val="18"/>
              </w:rPr>
              <w:t>0</w:t>
            </w:r>
          </w:p>
        </w:tc>
        <w:tc>
          <w:tcPr>
            <w:tcW w:w="999" w:type="pct"/>
            <w:vAlign w:val="bottom"/>
          </w:tcPr>
          <w:p>
            <w:pPr>
              <w:adjustRightInd w:val="0"/>
              <w:snapToGrid w:val="0"/>
              <w:spacing w:line="360" w:lineRule="auto"/>
              <w:jc w:val="center"/>
              <w:rPr>
                <w:bCs/>
                <w:sz w:val="18"/>
                <w:szCs w:val="18"/>
              </w:rPr>
            </w:pPr>
            <w:r>
              <w:rPr>
                <w:rFonts w:hint="eastAsia" w:ascii="宋体" w:hAnsi="宋体"/>
                <w:sz w:val="18"/>
                <w:szCs w:val="18"/>
              </w:rPr>
              <w:t>0.5</w:t>
            </w:r>
          </w:p>
        </w:tc>
        <w:tc>
          <w:tcPr>
            <w:tcW w:w="860" w:type="pct"/>
            <w:vAlign w:val="bottom"/>
          </w:tcPr>
          <w:p>
            <w:pPr>
              <w:adjustRightInd w:val="0"/>
              <w:snapToGrid w:val="0"/>
              <w:spacing w:line="360" w:lineRule="auto"/>
              <w:jc w:val="center"/>
              <w:rPr>
                <w:bCs/>
                <w:sz w:val="18"/>
                <w:szCs w:val="18"/>
              </w:rPr>
            </w:pPr>
            <w:r>
              <w:rPr>
                <w:rFonts w:hint="eastAsia" w:ascii="宋体" w:hAnsi="宋体"/>
                <w:sz w:val="18"/>
                <w:szCs w:val="18"/>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977" w:type="pct"/>
            <w:vAlign w:val="center"/>
          </w:tcPr>
          <w:p>
            <w:pPr>
              <w:adjustRightInd w:val="0"/>
              <w:snapToGrid w:val="0"/>
              <w:spacing w:line="360" w:lineRule="auto"/>
              <w:jc w:val="center"/>
              <w:rPr>
                <w:sz w:val="18"/>
                <w:szCs w:val="18"/>
              </w:rPr>
            </w:pPr>
            <w:r>
              <w:rPr>
                <w:sz w:val="18"/>
                <w:szCs w:val="18"/>
              </w:rPr>
              <w:t>合计</w:t>
            </w:r>
          </w:p>
        </w:tc>
        <w:tc>
          <w:tcPr>
            <w:tcW w:w="1164" w:type="pct"/>
            <w:vAlign w:val="center"/>
          </w:tcPr>
          <w:p>
            <w:pPr>
              <w:adjustRightInd w:val="0"/>
              <w:snapToGrid w:val="0"/>
              <w:spacing w:line="360" w:lineRule="auto"/>
              <w:jc w:val="center"/>
              <w:rPr>
                <w:sz w:val="18"/>
                <w:szCs w:val="18"/>
              </w:rPr>
            </w:pPr>
            <w:r>
              <w:rPr>
                <w:sz w:val="18"/>
                <w:szCs w:val="18"/>
              </w:rPr>
              <w:t>0</w:t>
            </w:r>
          </w:p>
        </w:tc>
        <w:tc>
          <w:tcPr>
            <w:tcW w:w="999" w:type="pct"/>
            <w:vAlign w:val="center"/>
          </w:tcPr>
          <w:p>
            <w:pPr>
              <w:adjustRightInd w:val="0"/>
              <w:snapToGrid w:val="0"/>
              <w:spacing w:line="360" w:lineRule="auto"/>
              <w:jc w:val="center"/>
              <w:rPr>
                <w:sz w:val="18"/>
                <w:szCs w:val="18"/>
              </w:rPr>
            </w:pPr>
            <w:r>
              <w:rPr>
                <w:sz w:val="18"/>
                <w:szCs w:val="18"/>
              </w:rPr>
              <w:t>10</w:t>
            </w:r>
          </w:p>
        </w:tc>
        <w:tc>
          <w:tcPr>
            <w:tcW w:w="860" w:type="pct"/>
            <w:vAlign w:val="center"/>
          </w:tcPr>
          <w:p>
            <w:pPr>
              <w:adjustRightInd w:val="0"/>
              <w:snapToGrid w:val="0"/>
              <w:spacing w:line="360" w:lineRule="auto"/>
              <w:jc w:val="center"/>
              <w:rPr>
                <w:sz w:val="18"/>
                <w:szCs w:val="18"/>
              </w:rPr>
            </w:pPr>
            <w:r>
              <w:rPr>
                <w:sz w:val="18"/>
                <w:szCs w:val="18"/>
              </w:rPr>
              <w:t>10</w:t>
            </w:r>
          </w:p>
        </w:tc>
      </w:tr>
    </w:tbl>
    <w:p>
      <w:pPr>
        <w:adjustRightInd w:val="0"/>
        <w:snapToGrid w:val="0"/>
        <w:spacing w:line="360" w:lineRule="auto"/>
      </w:pPr>
    </w:p>
    <w:p>
      <w:pPr>
        <w:tabs>
          <w:tab w:val="left" w:pos="420"/>
        </w:tabs>
        <w:adjustRightInd w:val="0"/>
        <w:snapToGrid w:val="0"/>
        <w:spacing w:line="360" w:lineRule="auto"/>
        <w:ind w:left="420" w:hanging="420"/>
        <w:rPr>
          <w:color w:val="0000FF"/>
          <w:szCs w:val="21"/>
        </w:rPr>
      </w:pPr>
      <w:r>
        <w:rPr>
          <w:rFonts w:hint="eastAsia" w:eastAsia="黑体"/>
        </w:rPr>
        <w:t>六、教材、补充教材及参考资料</w:t>
      </w:r>
    </w:p>
    <w:p>
      <w:pPr>
        <w:adjustRightInd w:val="0"/>
        <w:snapToGrid w:val="0"/>
        <w:spacing w:line="360" w:lineRule="auto"/>
        <w:ind w:firstLine="420" w:firstLineChars="200"/>
        <w:rPr>
          <w:szCs w:val="21"/>
        </w:rPr>
      </w:pPr>
      <w:r>
        <w:rPr>
          <w:szCs w:val="21"/>
        </w:rPr>
        <w:t>1</w:t>
      </w:r>
      <w:r>
        <w:rPr>
          <w:rFonts w:hint="eastAsia"/>
          <w:szCs w:val="21"/>
        </w:rPr>
        <w:t xml:space="preserve">. </w:t>
      </w:r>
      <w:r>
        <w:rPr>
          <w:rFonts w:hint="eastAsia" w:ascii="宋体" w:hAnsi="宋体" w:cs="宋体"/>
          <w:szCs w:val="21"/>
          <w:lang w:val="zh-CN"/>
        </w:rPr>
        <w:t>陈晔</w:t>
      </w:r>
      <w:r>
        <w:rPr>
          <w:rFonts w:hint="eastAsia"/>
          <w:szCs w:val="21"/>
        </w:rPr>
        <w:t xml:space="preserve">. </w:t>
      </w:r>
      <w:r>
        <w:rPr>
          <w:rFonts w:hint="eastAsia"/>
          <w:color w:val="000000"/>
          <w:szCs w:val="21"/>
        </w:rPr>
        <w:t>金属工艺学教程</w:t>
      </w:r>
      <w:r>
        <w:rPr>
          <w:szCs w:val="21"/>
        </w:rPr>
        <w:t>，ISBN:</w:t>
      </w:r>
      <w:r>
        <w:rPr>
          <w:rFonts w:hint="eastAsia"/>
          <w:szCs w:val="21"/>
        </w:rPr>
        <w:t xml:space="preserve"> </w:t>
      </w:r>
      <w:r>
        <w:rPr>
          <w:rFonts w:hint="eastAsia"/>
          <w:color w:val="000000"/>
          <w:szCs w:val="21"/>
        </w:rPr>
        <w:t>978-7-118-07941-8</w:t>
      </w:r>
      <w:r>
        <w:rPr>
          <w:szCs w:val="21"/>
        </w:rPr>
        <w:t>，</w:t>
      </w:r>
      <w:r>
        <w:rPr>
          <w:rFonts w:hint="eastAsia" w:ascii="宋体" w:hAnsi="宋体" w:cs="宋体"/>
          <w:szCs w:val="21"/>
          <w:lang w:val="zh-CN"/>
        </w:rPr>
        <w:t>国防工业</w:t>
      </w:r>
      <w:r>
        <w:rPr>
          <w:szCs w:val="21"/>
        </w:rPr>
        <w:t>出版社。</w:t>
      </w:r>
    </w:p>
    <w:p>
      <w:pPr>
        <w:adjustRightInd w:val="0"/>
        <w:snapToGrid w:val="0"/>
        <w:spacing w:line="360" w:lineRule="auto"/>
        <w:ind w:firstLine="420" w:firstLineChars="200"/>
        <w:rPr>
          <w:szCs w:val="21"/>
        </w:rPr>
      </w:pPr>
      <w:r>
        <w:rPr>
          <w:szCs w:val="21"/>
        </w:rPr>
        <w:t>2</w:t>
      </w:r>
      <w:r>
        <w:rPr>
          <w:rFonts w:hint="eastAsia"/>
          <w:szCs w:val="21"/>
        </w:rPr>
        <w:t>.</w:t>
      </w:r>
      <w:r>
        <w:rPr>
          <w:szCs w:val="21"/>
        </w:rPr>
        <w:t xml:space="preserve"> </w:t>
      </w:r>
      <w:r>
        <w:rPr>
          <w:rFonts w:hint="eastAsia" w:ascii="宋体" w:hAnsi="宋体" w:cs="宋体"/>
          <w:szCs w:val="21"/>
          <w:lang w:val="zh-CN"/>
        </w:rPr>
        <w:t>南京航空航天大学《工程训练》课程标准</w:t>
      </w:r>
      <w:r>
        <w:rPr>
          <w:szCs w:val="21"/>
        </w:rPr>
        <w:t>。</w:t>
      </w:r>
    </w:p>
    <w:p>
      <w:pPr>
        <w:widowControl/>
        <w:adjustRightInd w:val="0"/>
        <w:snapToGrid w:val="0"/>
        <w:spacing w:line="360" w:lineRule="auto"/>
        <w:jc w:val="left"/>
        <w:rPr>
          <w:rFonts w:eastAsia="黑体"/>
        </w:rPr>
      </w:pPr>
      <w:r>
        <w:rPr>
          <w:rFonts w:hint="eastAsia" w:eastAsia="黑体"/>
        </w:rPr>
        <w:t>七</w:t>
      </w:r>
      <w:r>
        <w:rPr>
          <w:rFonts w:eastAsia="黑体"/>
        </w:rPr>
        <w:t>、课程目标达成评价的途径和措施</w:t>
      </w:r>
    </w:p>
    <w:p>
      <w:pPr>
        <w:adjustRightInd w:val="0"/>
        <w:snapToGrid w:val="0"/>
        <w:spacing w:line="360" w:lineRule="auto"/>
        <w:ind w:firstLine="420" w:firstLineChars="200"/>
        <w:rPr>
          <w:szCs w:val="21"/>
        </w:rPr>
      </w:pPr>
      <w:r>
        <w:rPr>
          <w:rFonts w:hint="eastAsia"/>
          <w:szCs w:val="21"/>
        </w:rPr>
        <w:t>1、考核方式：</w:t>
      </w:r>
      <w:r>
        <w:rPr>
          <w:rFonts w:hint="eastAsia"/>
          <w:color w:val="000000"/>
          <w:szCs w:val="21"/>
        </w:rPr>
        <w:t>各工种代课老师考核、作业及理论考试</w:t>
      </w:r>
      <w:r>
        <w:rPr>
          <w:rFonts w:hint="eastAsia"/>
          <w:szCs w:val="21"/>
        </w:rPr>
        <w:t>。</w:t>
      </w:r>
    </w:p>
    <w:p>
      <w:pPr>
        <w:adjustRightInd w:val="0"/>
        <w:snapToGrid w:val="0"/>
        <w:spacing w:line="360" w:lineRule="auto"/>
        <w:ind w:firstLine="420" w:firstLineChars="200"/>
        <w:rPr>
          <w:szCs w:val="21"/>
        </w:rPr>
      </w:pPr>
      <w:r>
        <w:rPr>
          <w:rFonts w:hint="eastAsia"/>
          <w:szCs w:val="21"/>
        </w:rPr>
        <w:t>2、考核目标：通过各主要工种的的操作练习，了解冷、热加工的有关设备、附件、刀具、工具、量具的结构性、用途机器使用方法，并具有操作主要设备和加工一般零件的实践能力，熟悉有关设备、工具的安全操作技术。</w:t>
      </w:r>
    </w:p>
    <w:p>
      <w:pPr>
        <w:adjustRightInd w:val="0"/>
        <w:snapToGrid w:val="0"/>
        <w:spacing w:line="360" w:lineRule="auto"/>
        <w:ind w:firstLine="420" w:firstLineChars="200"/>
        <w:rPr>
          <w:szCs w:val="21"/>
        </w:rPr>
      </w:pPr>
      <w:r>
        <w:rPr>
          <w:rFonts w:hint="eastAsia"/>
          <w:szCs w:val="21"/>
        </w:rPr>
        <w:t>3、成绩构成：</w:t>
      </w:r>
    </w:p>
    <w:p>
      <w:pPr>
        <w:spacing w:line="360" w:lineRule="auto"/>
        <w:ind w:firstLine="420" w:firstLineChars="200"/>
        <w:rPr>
          <w:szCs w:val="21"/>
        </w:rPr>
      </w:pPr>
      <w:r>
        <w:rPr>
          <w:rFonts w:hint="eastAsia"/>
          <w:szCs w:val="21"/>
        </w:rPr>
        <w:t>本课程通过“各工种平均成绩”、“作业”、“理论考试”两种方式对课程目标达成进行评价，考核成绩计算公式如下（本大纲中成绩均采用百分制）：</w:t>
      </w:r>
    </w:p>
    <w:p>
      <w:pPr>
        <w:adjustRightInd w:val="0"/>
        <w:snapToGrid w:val="0"/>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1606"/>
        <w:gridCol w:w="2060"/>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49"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各工种平均成绩（a）</w:t>
            </w:r>
          </w:p>
        </w:tc>
        <w:tc>
          <w:tcPr>
            <w:tcW w:w="9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作业（b）</w:t>
            </w:r>
          </w:p>
        </w:tc>
        <w:tc>
          <w:tcPr>
            <w:tcW w:w="1240" w:type="pct"/>
            <w:tcBorders>
              <w:top w:val="single" w:color="auto" w:sz="4" w:space="0"/>
              <w:left w:val="single" w:color="auto" w:sz="4" w:space="0"/>
              <w:bottom w:val="single" w:color="auto" w:sz="4" w:space="0"/>
              <w:right w:val="nil"/>
            </w:tcBorders>
            <w:vAlign w:val="center"/>
          </w:tcPr>
          <w:p>
            <w:pPr>
              <w:adjustRightInd w:val="0"/>
              <w:snapToGrid w:val="0"/>
              <w:spacing w:line="360" w:lineRule="auto"/>
              <w:jc w:val="center"/>
              <w:rPr>
                <w:sz w:val="18"/>
                <w:szCs w:val="18"/>
              </w:rPr>
            </w:pPr>
            <w:r>
              <w:rPr>
                <w:rFonts w:hint="eastAsia"/>
                <w:sz w:val="18"/>
                <w:szCs w:val="18"/>
              </w:rPr>
              <w:t>理论考试成绩（c）</w:t>
            </w:r>
          </w:p>
        </w:tc>
        <w:tc>
          <w:tcPr>
            <w:tcW w:w="1545" w:type="pct"/>
            <w:tcBorders>
              <w:top w:val="single" w:color="auto" w:sz="4" w:space="0"/>
              <w:left w:val="single" w:color="auto" w:sz="4" w:space="0"/>
              <w:bottom w:val="single" w:color="auto" w:sz="4" w:space="0"/>
              <w:right w:val="nil"/>
            </w:tcBorders>
            <w:vAlign w:val="center"/>
          </w:tcPr>
          <w:p>
            <w:pPr>
              <w:adjustRightInd w:val="0"/>
              <w:snapToGrid w:val="0"/>
              <w:spacing w:line="360" w:lineRule="auto"/>
              <w:jc w:val="center"/>
              <w:rPr>
                <w:sz w:val="18"/>
                <w:szCs w:val="18"/>
              </w:rPr>
            </w:pPr>
            <w:r>
              <w:rPr>
                <w:rFonts w:hint="eastAsia"/>
                <w:sz w:val="18"/>
                <w:szCs w:val="18"/>
              </w:rPr>
              <w:t>总成绩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49" w:type="pct"/>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8</w:t>
            </w:r>
            <w:r>
              <w:rPr>
                <w:b/>
                <w:sz w:val="18"/>
                <w:szCs w:val="18"/>
              </w:rPr>
              <w:t>5</w:t>
            </w:r>
          </w:p>
        </w:tc>
        <w:tc>
          <w:tcPr>
            <w:tcW w:w="9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1</w:t>
            </w:r>
            <w:r>
              <w:rPr>
                <w:b/>
                <w:sz w:val="18"/>
                <w:szCs w:val="18"/>
              </w:rPr>
              <w:t>5</w:t>
            </w:r>
          </w:p>
        </w:tc>
        <w:tc>
          <w:tcPr>
            <w:tcW w:w="1240" w:type="pct"/>
            <w:tcBorders>
              <w:top w:val="single" w:color="auto" w:sz="4" w:space="0"/>
              <w:left w:val="single" w:color="auto" w:sz="4" w:space="0"/>
              <w:bottom w:val="single" w:color="auto" w:sz="4" w:space="0"/>
              <w:right w:val="nil"/>
            </w:tcBorders>
            <w:vAlign w:val="center"/>
          </w:tcPr>
          <w:p>
            <w:pPr>
              <w:adjustRightInd w:val="0"/>
              <w:snapToGrid w:val="0"/>
              <w:spacing w:line="360" w:lineRule="auto"/>
              <w:jc w:val="center"/>
              <w:rPr>
                <w:b/>
                <w:sz w:val="18"/>
                <w:szCs w:val="18"/>
              </w:rPr>
            </w:pPr>
            <w:r>
              <w:rPr>
                <w:rFonts w:hint="eastAsia"/>
                <w:b/>
                <w:sz w:val="18"/>
                <w:szCs w:val="18"/>
              </w:rPr>
              <w:t>1</w:t>
            </w:r>
            <w:r>
              <w:rPr>
                <w:b/>
                <w:sz w:val="18"/>
                <w:szCs w:val="18"/>
              </w:rPr>
              <w:t>00</w:t>
            </w:r>
          </w:p>
        </w:tc>
        <w:tc>
          <w:tcPr>
            <w:tcW w:w="1545" w:type="pct"/>
            <w:tcBorders>
              <w:top w:val="single" w:color="auto" w:sz="4" w:space="0"/>
              <w:left w:val="single" w:color="auto" w:sz="4" w:space="0"/>
              <w:bottom w:val="single" w:color="auto" w:sz="4" w:space="0"/>
              <w:right w:val="nil"/>
            </w:tcBorders>
            <w:vAlign w:val="center"/>
          </w:tcPr>
          <w:p>
            <w:pPr>
              <w:adjustRightInd w:val="0"/>
              <w:snapToGrid w:val="0"/>
              <w:spacing w:line="360" w:lineRule="auto"/>
              <w:jc w:val="center"/>
              <w:rPr>
                <w:b/>
                <w:sz w:val="18"/>
                <w:szCs w:val="18"/>
              </w:rPr>
            </w:pPr>
            <w:r>
              <w:rPr>
                <w:rFonts w:hint="eastAsia"/>
                <w:b/>
                <w:sz w:val="18"/>
                <w:szCs w:val="18"/>
              </w:rPr>
              <w:t>(a＋b)×80%＋c×20%</w:t>
            </w:r>
          </w:p>
        </w:tc>
      </w:tr>
    </w:tbl>
    <w:p>
      <w:pPr>
        <w:widowControl/>
        <w:adjustRightInd w:val="0"/>
        <w:snapToGrid w:val="0"/>
        <w:spacing w:line="360" w:lineRule="auto"/>
        <w:ind w:firstLine="1890" w:firstLineChars="900"/>
      </w:pPr>
    </w:p>
    <w:p>
      <w:pPr>
        <w:adjustRightInd w:val="0"/>
        <w:snapToGrid w:val="0"/>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834"/>
        <w:gridCol w:w="2135"/>
        <w:gridCol w:w="1985"/>
        <w:gridCol w:w="2352"/>
      </w:tblGrid>
      <w:tr>
        <w:tblPrEx>
          <w:tblCellMar>
            <w:top w:w="0" w:type="dxa"/>
            <w:left w:w="108" w:type="dxa"/>
            <w:bottom w:w="0" w:type="dxa"/>
            <w:right w:w="108" w:type="dxa"/>
          </w:tblCellMar>
        </w:tblPrEx>
        <w:trPr>
          <w:trHeight w:val="986" w:hRule="atLeast"/>
          <w:jc w:val="center"/>
        </w:trPr>
        <w:tc>
          <w:tcPr>
            <w:tcW w:w="1104" w:type="pct"/>
            <w:tcBorders>
              <w:top w:val="single" w:color="auto" w:sz="4" w:space="0"/>
              <w:left w:val="nil"/>
              <w:bottom w:val="single" w:color="auto" w:sz="4" w:space="0"/>
              <w:right w:val="single" w:color="auto" w:sz="4" w:space="0"/>
            </w:tcBorders>
            <w:vAlign w:val="center"/>
          </w:tcPr>
          <w:p>
            <w:pPr>
              <w:widowControl/>
              <w:adjustRightInd w:val="0"/>
              <w:snapToGrid w:val="0"/>
              <w:spacing w:line="360" w:lineRule="auto"/>
              <w:jc w:val="center"/>
              <w:rPr>
                <w:rFonts w:ascii="宋体" w:hAnsi="宋体" w:cs="宋体"/>
                <w:kern w:val="0"/>
                <w:sz w:val="18"/>
                <w:szCs w:val="18"/>
              </w:rPr>
            </w:pPr>
            <w:r>
              <w:rPr>
                <w:rFonts w:hint="eastAsia" w:ascii="宋体" w:hAnsi="宋体" w:cs="宋体"/>
                <w:kern w:val="0"/>
                <w:sz w:val="18"/>
                <w:szCs w:val="18"/>
              </w:rPr>
              <w:t>课程目标</w:t>
            </w:r>
          </w:p>
        </w:tc>
        <w:tc>
          <w:tcPr>
            <w:tcW w:w="12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各工种平均成绩</w:t>
            </w:r>
          </w:p>
          <w:p>
            <w:pPr>
              <w:adjustRightInd w:val="0"/>
              <w:snapToGrid w:val="0"/>
              <w:spacing w:line="360" w:lineRule="auto"/>
              <w:jc w:val="center"/>
              <w:rPr>
                <w:sz w:val="18"/>
                <w:szCs w:val="18"/>
              </w:rPr>
            </w:pPr>
            <w:r>
              <w:rPr>
                <w:rFonts w:hint="eastAsia"/>
                <w:sz w:val="18"/>
                <w:szCs w:val="18"/>
              </w:rPr>
              <w:t>W1</w:t>
            </w:r>
            <w:r>
              <w:rPr>
                <w:rFonts w:hint="eastAsia"/>
                <w:sz w:val="18"/>
                <w:szCs w:val="18"/>
                <w:vertAlign w:val="subscript"/>
              </w:rPr>
              <w:t>i</w:t>
            </w:r>
          </w:p>
        </w:tc>
        <w:tc>
          <w:tcPr>
            <w:tcW w:w="11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sz w:val="18"/>
                <w:szCs w:val="18"/>
              </w:rPr>
            </w:pPr>
            <w:r>
              <w:rPr>
                <w:rFonts w:hint="eastAsia"/>
                <w:sz w:val="18"/>
                <w:szCs w:val="18"/>
              </w:rPr>
              <w:t>作业</w:t>
            </w:r>
          </w:p>
          <w:p>
            <w:pPr>
              <w:adjustRightInd w:val="0"/>
              <w:snapToGrid w:val="0"/>
              <w:spacing w:line="360" w:lineRule="auto"/>
              <w:jc w:val="center"/>
              <w:rPr>
                <w:sz w:val="18"/>
                <w:szCs w:val="18"/>
              </w:rPr>
            </w:pPr>
            <w:r>
              <w:rPr>
                <w:rFonts w:hint="eastAsia"/>
                <w:sz w:val="18"/>
                <w:szCs w:val="18"/>
              </w:rPr>
              <w:t>W2</w:t>
            </w:r>
            <w:r>
              <w:rPr>
                <w:rFonts w:hint="eastAsia"/>
                <w:sz w:val="18"/>
                <w:szCs w:val="18"/>
                <w:vertAlign w:val="subscript"/>
              </w:rPr>
              <w:t>i</w:t>
            </w:r>
          </w:p>
        </w:tc>
        <w:tc>
          <w:tcPr>
            <w:tcW w:w="1417" w:type="pct"/>
            <w:tcBorders>
              <w:top w:val="single" w:color="auto" w:sz="4" w:space="0"/>
              <w:left w:val="single" w:color="auto" w:sz="4" w:space="0"/>
              <w:bottom w:val="single" w:color="auto" w:sz="4" w:space="0"/>
            </w:tcBorders>
            <w:vAlign w:val="center"/>
          </w:tcPr>
          <w:p>
            <w:pPr>
              <w:adjustRightInd w:val="0"/>
              <w:snapToGrid w:val="0"/>
              <w:spacing w:line="360" w:lineRule="auto"/>
              <w:jc w:val="center"/>
              <w:rPr>
                <w:sz w:val="18"/>
                <w:szCs w:val="18"/>
              </w:rPr>
            </w:pPr>
            <w:r>
              <w:rPr>
                <w:rFonts w:hint="eastAsia"/>
                <w:sz w:val="18"/>
                <w:szCs w:val="18"/>
              </w:rPr>
              <w:t>理论考试成绩</w:t>
            </w:r>
          </w:p>
          <w:p>
            <w:pPr>
              <w:adjustRightInd w:val="0"/>
              <w:snapToGrid w:val="0"/>
              <w:spacing w:line="360" w:lineRule="auto"/>
              <w:jc w:val="center"/>
              <w:rPr>
                <w:sz w:val="18"/>
                <w:szCs w:val="18"/>
              </w:rPr>
            </w:pPr>
            <w:r>
              <w:rPr>
                <w:rFonts w:hint="eastAsia"/>
                <w:sz w:val="18"/>
                <w:szCs w:val="18"/>
              </w:rPr>
              <w:t>W3</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1104" w:type="pct"/>
            <w:tcBorders>
              <w:top w:val="nil"/>
              <w:left w:val="nil"/>
              <w:bottom w:val="single" w:color="auto" w:sz="4" w:space="0"/>
              <w:right w:val="single" w:color="auto" w:sz="4" w:space="0"/>
            </w:tcBorders>
            <w:vAlign w:val="center"/>
          </w:tcPr>
          <w:p>
            <w:pPr>
              <w:adjustRightInd w:val="0"/>
              <w:snapToGrid w:val="0"/>
              <w:spacing w:line="360" w:lineRule="auto"/>
              <w:jc w:val="center"/>
              <w:rPr>
                <w:b/>
                <w:sz w:val="18"/>
                <w:szCs w:val="18"/>
              </w:rPr>
            </w:pPr>
            <w:r>
              <w:rPr>
                <w:b/>
                <w:sz w:val="18"/>
                <w:szCs w:val="18"/>
              </w:rPr>
              <w:t>1</w:t>
            </w:r>
          </w:p>
        </w:tc>
        <w:tc>
          <w:tcPr>
            <w:tcW w:w="12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3</w:t>
            </w:r>
            <w:r>
              <w:rPr>
                <w:b/>
                <w:sz w:val="18"/>
                <w:szCs w:val="18"/>
              </w:rPr>
              <w:t>0</w:t>
            </w:r>
            <w:r>
              <w:rPr>
                <w:rFonts w:hint="eastAsia"/>
                <w:b/>
                <w:sz w:val="18"/>
                <w:szCs w:val="18"/>
              </w:rPr>
              <w:t>-4</w:t>
            </w:r>
            <w:r>
              <w:rPr>
                <w:b/>
                <w:sz w:val="18"/>
                <w:szCs w:val="18"/>
              </w:rPr>
              <w:t>0</w:t>
            </w:r>
          </w:p>
        </w:tc>
        <w:tc>
          <w:tcPr>
            <w:tcW w:w="11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4</w:t>
            </w:r>
            <w:r>
              <w:rPr>
                <w:b/>
                <w:sz w:val="18"/>
                <w:szCs w:val="18"/>
              </w:rPr>
              <w:t>0</w:t>
            </w:r>
            <w:r>
              <w:rPr>
                <w:rFonts w:hint="eastAsia"/>
                <w:b/>
                <w:sz w:val="18"/>
                <w:szCs w:val="18"/>
              </w:rPr>
              <w:t>-5</w:t>
            </w:r>
            <w:r>
              <w:rPr>
                <w:b/>
                <w:sz w:val="18"/>
                <w:szCs w:val="18"/>
              </w:rPr>
              <w:t>0</w:t>
            </w:r>
          </w:p>
        </w:tc>
        <w:tc>
          <w:tcPr>
            <w:tcW w:w="1417" w:type="pct"/>
            <w:tcBorders>
              <w:top w:val="single" w:color="auto" w:sz="4" w:space="0"/>
              <w:left w:val="single" w:color="auto" w:sz="4" w:space="0"/>
              <w:bottom w:val="single" w:color="auto" w:sz="4" w:space="0"/>
            </w:tcBorders>
            <w:vAlign w:val="center"/>
          </w:tcPr>
          <w:p>
            <w:pPr>
              <w:adjustRightInd w:val="0"/>
              <w:snapToGrid w:val="0"/>
              <w:spacing w:line="360" w:lineRule="auto"/>
              <w:jc w:val="center"/>
              <w:rPr>
                <w:b/>
                <w:sz w:val="18"/>
                <w:szCs w:val="18"/>
              </w:rPr>
            </w:pPr>
            <w:r>
              <w:rPr>
                <w:rFonts w:hint="eastAsia"/>
                <w:b/>
                <w:sz w:val="18"/>
                <w:szCs w:val="18"/>
              </w:rPr>
              <w:t>50-6</w:t>
            </w:r>
            <w:r>
              <w:rPr>
                <w:b/>
                <w:sz w:val="18"/>
                <w:szCs w:val="18"/>
              </w:rPr>
              <w:t>0</w:t>
            </w:r>
          </w:p>
        </w:tc>
      </w:tr>
      <w:tr>
        <w:tblPrEx>
          <w:tblCellMar>
            <w:top w:w="0" w:type="dxa"/>
            <w:left w:w="108" w:type="dxa"/>
            <w:bottom w:w="0" w:type="dxa"/>
            <w:right w:w="108" w:type="dxa"/>
          </w:tblCellMar>
        </w:tblPrEx>
        <w:trPr>
          <w:jc w:val="center"/>
        </w:trPr>
        <w:tc>
          <w:tcPr>
            <w:tcW w:w="1104" w:type="pct"/>
            <w:tcBorders>
              <w:top w:val="nil"/>
              <w:left w:val="nil"/>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2</w:t>
            </w:r>
          </w:p>
        </w:tc>
        <w:tc>
          <w:tcPr>
            <w:tcW w:w="12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50-6</w:t>
            </w:r>
            <w:r>
              <w:rPr>
                <w:b/>
                <w:sz w:val="18"/>
                <w:szCs w:val="18"/>
              </w:rPr>
              <w:t>0</w:t>
            </w:r>
          </w:p>
        </w:tc>
        <w:tc>
          <w:tcPr>
            <w:tcW w:w="11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40-5</w:t>
            </w:r>
            <w:r>
              <w:rPr>
                <w:b/>
                <w:sz w:val="18"/>
                <w:szCs w:val="18"/>
              </w:rPr>
              <w:t>0</w:t>
            </w:r>
          </w:p>
        </w:tc>
        <w:tc>
          <w:tcPr>
            <w:tcW w:w="1417" w:type="pct"/>
            <w:tcBorders>
              <w:top w:val="single" w:color="auto" w:sz="4" w:space="0"/>
              <w:left w:val="single" w:color="auto" w:sz="4" w:space="0"/>
              <w:bottom w:val="single" w:color="auto" w:sz="4" w:space="0"/>
            </w:tcBorders>
            <w:vAlign w:val="center"/>
          </w:tcPr>
          <w:p>
            <w:pPr>
              <w:adjustRightInd w:val="0"/>
              <w:snapToGrid w:val="0"/>
              <w:spacing w:line="360" w:lineRule="auto"/>
              <w:jc w:val="center"/>
              <w:rPr>
                <w:b/>
                <w:sz w:val="18"/>
                <w:szCs w:val="18"/>
              </w:rPr>
            </w:pPr>
            <w:r>
              <w:rPr>
                <w:rFonts w:hint="eastAsia"/>
                <w:b/>
                <w:sz w:val="18"/>
                <w:szCs w:val="18"/>
              </w:rPr>
              <w:t>30-4</w:t>
            </w:r>
            <w:r>
              <w:rPr>
                <w:b/>
                <w:sz w:val="18"/>
                <w:szCs w:val="18"/>
              </w:rPr>
              <w:t>0</w:t>
            </w:r>
          </w:p>
        </w:tc>
      </w:tr>
      <w:tr>
        <w:tblPrEx>
          <w:tblCellMar>
            <w:top w:w="0" w:type="dxa"/>
            <w:left w:w="108" w:type="dxa"/>
            <w:bottom w:w="0" w:type="dxa"/>
            <w:right w:w="108" w:type="dxa"/>
          </w:tblCellMar>
        </w:tblPrEx>
        <w:trPr>
          <w:jc w:val="center"/>
        </w:trPr>
        <w:tc>
          <w:tcPr>
            <w:tcW w:w="1104" w:type="pct"/>
            <w:tcBorders>
              <w:top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rFonts w:hint="eastAsia"/>
                <w:b/>
                <w:sz w:val="18"/>
                <w:szCs w:val="18"/>
              </w:rPr>
              <w:t>3</w:t>
            </w:r>
          </w:p>
        </w:tc>
        <w:tc>
          <w:tcPr>
            <w:tcW w:w="12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b/>
                <w:sz w:val="18"/>
                <w:szCs w:val="18"/>
              </w:rPr>
              <w:t>1</w:t>
            </w:r>
            <w:r>
              <w:rPr>
                <w:rFonts w:hint="eastAsia"/>
                <w:b/>
                <w:sz w:val="18"/>
                <w:szCs w:val="18"/>
              </w:rPr>
              <w:t>0-</w:t>
            </w:r>
            <w:r>
              <w:rPr>
                <w:b/>
                <w:sz w:val="18"/>
                <w:szCs w:val="18"/>
              </w:rPr>
              <w:t>20</w:t>
            </w:r>
          </w:p>
        </w:tc>
        <w:tc>
          <w:tcPr>
            <w:tcW w:w="119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sz w:val="18"/>
                <w:szCs w:val="18"/>
              </w:rPr>
            </w:pPr>
            <w:r>
              <w:rPr>
                <w:b/>
                <w:sz w:val="18"/>
                <w:szCs w:val="18"/>
              </w:rPr>
              <w:t>1</w:t>
            </w:r>
            <w:r>
              <w:rPr>
                <w:rFonts w:hint="eastAsia"/>
                <w:b/>
                <w:sz w:val="18"/>
                <w:szCs w:val="18"/>
              </w:rPr>
              <w:t>0-</w:t>
            </w:r>
            <w:r>
              <w:rPr>
                <w:b/>
                <w:sz w:val="18"/>
                <w:szCs w:val="18"/>
              </w:rPr>
              <w:t>20</w:t>
            </w:r>
          </w:p>
        </w:tc>
        <w:tc>
          <w:tcPr>
            <w:tcW w:w="1417" w:type="pct"/>
            <w:tcBorders>
              <w:top w:val="single" w:color="auto" w:sz="4" w:space="0"/>
              <w:left w:val="single" w:color="auto" w:sz="4" w:space="0"/>
              <w:bottom w:val="single" w:color="auto" w:sz="4" w:space="0"/>
            </w:tcBorders>
            <w:vAlign w:val="center"/>
          </w:tcPr>
          <w:p>
            <w:pPr>
              <w:adjustRightInd w:val="0"/>
              <w:snapToGrid w:val="0"/>
              <w:spacing w:line="360" w:lineRule="auto"/>
              <w:jc w:val="center"/>
              <w:rPr>
                <w:b/>
                <w:sz w:val="18"/>
                <w:szCs w:val="18"/>
              </w:rPr>
            </w:pPr>
            <w:r>
              <w:rPr>
                <w:b/>
                <w:sz w:val="18"/>
                <w:szCs w:val="18"/>
              </w:rPr>
              <w:t>1</w:t>
            </w:r>
            <w:r>
              <w:rPr>
                <w:rFonts w:hint="eastAsia"/>
                <w:b/>
                <w:sz w:val="18"/>
                <w:szCs w:val="18"/>
              </w:rPr>
              <w:t>0-</w:t>
            </w:r>
            <w:r>
              <w:rPr>
                <w:b/>
                <w:sz w:val="18"/>
                <w:szCs w:val="18"/>
              </w:rPr>
              <w:t>20</w:t>
            </w:r>
          </w:p>
        </w:tc>
      </w:tr>
    </w:tbl>
    <w:p>
      <w:pPr>
        <w:adjustRightInd w:val="0"/>
        <w:snapToGrid w:val="0"/>
        <w:spacing w:line="360" w:lineRule="auto"/>
        <w:ind w:firstLine="420" w:firstLineChars="200"/>
        <w:rPr>
          <w:szCs w:val="21"/>
        </w:rPr>
      </w:pPr>
      <w:r>
        <w:rPr>
          <w:rFonts w:hint="eastAsia"/>
          <w:szCs w:val="21"/>
        </w:rPr>
        <w:t>分目标达成值由每个部分对应的实际得分与题目总分数相比后，各环节加权求和得到。</w:t>
      </w:r>
    </w:p>
    <w:p>
      <w:pPr>
        <w:adjustRightInd w:val="0"/>
        <w:snapToGrid w:val="0"/>
        <w:spacing w:line="360" w:lineRule="auto"/>
        <w:ind w:firstLine="420" w:firstLineChars="200"/>
        <w:rPr>
          <w:szCs w:val="21"/>
        </w:rPr>
      </w:pPr>
      <w:r>
        <w:rPr>
          <w:rFonts w:hint="eastAsia"/>
          <w:szCs w:val="21"/>
        </w:rPr>
        <w:t>总课程目标达成值由每个环节的总平均分，按照各环节加权求和得到。</w:t>
      </w:r>
    </w:p>
    <w:p>
      <w:pPr>
        <w:adjustRightInd w:val="0"/>
        <w:snapToGrid w:val="0"/>
        <w:spacing w:line="360" w:lineRule="auto"/>
        <w:ind w:firstLine="420" w:firstLineChars="200"/>
        <w:rPr>
          <w:szCs w:val="21"/>
        </w:rPr>
      </w:pPr>
      <w:r>
        <w:rPr>
          <w:rFonts w:hint="eastAsia"/>
          <w:szCs w:val="21"/>
        </w:rPr>
        <w:t>各环节的评价标准参见课程成绩分析报告。</w:t>
      </w:r>
    </w:p>
    <w:p>
      <w:pPr>
        <w:pStyle w:val="45"/>
      </w:pPr>
    </w:p>
    <w:p/>
    <w:p/>
    <w:p/>
    <w:p>
      <w:pPr>
        <w:widowControl/>
        <w:jc w:val="left"/>
      </w:pPr>
      <w:r>
        <w:br w:type="page"/>
      </w:r>
    </w:p>
    <w:p>
      <w:pPr>
        <w:pStyle w:val="20"/>
        <w:spacing w:before="312" w:after="468"/>
      </w:pPr>
      <w:bookmarkStart w:id="160" w:name="_Toc9456"/>
      <w:r>
        <w:t>《Y02060003-理论物理导论》教学大纲</w:t>
      </w:r>
      <w:bookmarkEnd w:id="2"/>
      <w:bookmarkEnd w:id="3"/>
      <w:bookmarkEnd w:id="160"/>
    </w:p>
    <w:p>
      <w:pPr>
        <w:tabs>
          <w:tab w:val="left" w:pos="4725"/>
        </w:tabs>
        <w:adjustRightInd w:val="0"/>
        <w:snapToGrid w:val="0"/>
        <w:spacing w:line="360" w:lineRule="auto"/>
        <w:rPr>
          <w:snapToGrid w:val="0"/>
          <w:color w:val="000000"/>
          <w:kern w:val="0"/>
          <w:szCs w:val="21"/>
        </w:rPr>
      </w:pPr>
      <w:r>
        <w:rPr>
          <w:rFonts w:eastAsia="黑体"/>
          <w:color w:val="000000"/>
        </w:rPr>
        <w:t>课程编号：</w:t>
      </w:r>
      <w:r>
        <w:rPr>
          <w:rFonts w:hint="eastAsia"/>
          <w:color w:val="000000"/>
        </w:rPr>
        <w:t>Y02060003</w:t>
      </w:r>
    </w:p>
    <w:p>
      <w:pPr>
        <w:tabs>
          <w:tab w:val="left" w:pos="4725"/>
        </w:tabs>
        <w:adjustRightInd w:val="0"/>
        <w:snapToGrid w:val="0"/>
        <w:spacing w:line="360" w:lineRule="auto"/>
        <w:rPr>
          <w:color w:val="000000"/>
        </w:rPr>
      </w:pPr>
      <w:r>
        <w:rPr>
          <w:rFonts w:eastAsia="黑体"/>
          <w:color w:val="000000"/>
        </w:rPr>
        <w:t>课程名称：</w:t>
      </w:r>
      <w:r>
        <w:rPr>
          <w:color w:val="000000"/>
        </w:rPr>
        <w:t>理论物理导论</w:t>
      </w:r>
      <w:r>
        <w:rPr>
          <w:color w:val="000000"/>
        </w:rPr>
        <w:tab/>
      </w:r>
      <w:r>
        <w:rPr>
          <w:rFonts w:eastAsia="黑体"/>
          <w:color w:val="000000"/>
        </w:rPr>
        <w:t>开课单位：</w:t>
      </w:r>
      <w:r>
        <w:rPr>
          <w:color w:val="000000"/>
        </w:rPr>
        <w:t>仪器与电子学院</w:t>
      </w:r>
    </w:p>
    <w:p>
      <w:pPr>
        <w:tabs>
          <w:tab w:val="left" w:pos="4725"/>
        </w:tabs>
        <w:adjustRightInd w:val="0"/>
        <w:snapToGrid w:val="0"/>
        <w:spacing w:line="360" w:lineRule="auto"/>
        <w:rPr>
          <w:rFonts w:eastAsia="黑体"/>
          <w:color w:val="000000"/>
        </w:rPr>
      </w:pPr>
      <w:r>
        <w:rPr>
          <w:rFonts w:eastAsia="黑体"/>
          <w:color w:val="000000"/>
        </w:rPr>
        <w:t>总 学 时：</w:t>
      </w:r>
      <w:r>
        <w:rPr>
          <w:color w:val="000000"/>
        </w:rPr>
        <w:t>48</w:t>
      </w:r>
      <w:r>
        <w:rPr>
          <w:color w:val="000000"/>
        </w:rPr>
        <w:tab/>
      </w:r>
      <w:r>
        <w:rPr>
          <w:rFonts w:eastAsia="黑体"/>
          <w:color w:val="000000"/>
        </w:rPr>
        <w:t>学</w:t>
      </w:r>
      <w:r>
        <w:rPr>
          <w:rFonts w:hint="eastAsia" w:eastAsia="黑体"/>
          <w:color w:val="000000"/>
        </w:rPr>
        <w:t xml:space="preserve"> </w:t>
      </w:r>
      <w:r>
        <w:rPr>
          <w:rFonts w:eastAsia="黑体"/>
          <w:color w:val="000000"/>
        </w:rPr>
        <w:t xml:space="preserve">   分：3</w:t>
      </w:r>
      <w:r>
        <w:rPr>
          <w:color w:val="000000"/>
        </w:rPr>
        <w:tab/>
      </w:r>
    </w:p>
    <w:p>
      <w:pPr>
        <w:adjustRightInd w:val="0"/>
        <w:snapToGrid w:val="0"/>
        <w:spacing w:line="360" w:lineRule="auto"/>
        <w:rPr>
          <w:rFonts w:eastAsia="黑体"/>
          <w:color w:val="000000"/>
        </w:rPr>
      </w:pPr>
      <w:r>
        <w:rPr>
          <w:rFonts w:eastAsia="黑体"/>
          <w:color w:val="000000"/>
        </w:rPr>
        <w:t>适用专业：</w:t>
      </w:r>
      <w:r>
        <w:rPr>
          <w:color w:val="000000"/>
        </w:rPr>
        <w:t>电子科学与技术</w:t>
      </w:r>
      <w:r>
        <w:rPr>
          <w:rFonts w:hint="eastAsia"/>
          <w:color w:val="000000"/>
        </w:rPr>
        <w:t>专业</w:t>
      </w:r>
    </w:p>
    <w:p>
      <w:pPr>
        <w:adjustRightInd w:val="0"/>
        <w:snapToGrid w:val="0"/>
        <w:spacing w:line="360" w:lineRule="auto"/>
        <w:rPr>
          <w:color w:val="000000"/>
        </w:rPr>
      </w:pPr>
      <w:r>
        <w:rPr>
          <w:rFonts w:eastAsia="黑体"/>
          <w:color w:val="000000"/>
        </w:rPr>
        <w:t>先修课程：</w:t>
      </w:r>
      <w:r>
        <w:rPr>
          <w:color w:val="000000"/>
        </w:rPr>
        <w:t>高等数学</w:t>
      </w:r>
      <w:r>
        <w:rPr>
          <w:rFonts w:hint="eastAsia"/>
          <w:color w:val="000000"/>
        </w:rPr>
        <w:t>、</w:t>
      </w:r>
      <w:r>
        <w:rPr>
          <w:color w:val="000000"/>
        </w:rPr>
        <w:t>大学物理</w:t>
      </w:r>
    </w:p>
    <w:p>
      <w:pPr>
        <w:adjustRightInd w:val="0"/>
        <w:snapToGrid w:val="0"/>
        <w:spacing w:line="360" w:lineRule="auto"/>
        <w:rPr>
          <w:color w:val="000000"/>
        </w:rPr>
      </w:pPr>
      <w:r>
        <w:rPr>
          <w:rFonts w:hint="eastAsia" w:eastAsia="黑体"/>
          <w:color w:val="000000"/>
        </w:rPr>
        <w:t>大纲执笔人：</w:t>
      </w:r>
      <w:r>
        <w:rPr>
          <w:rFonts w:hint="eastAsia" w:ascii="宋体" w:hAnsi="宋体"/>
          <w:color w:val="000000"/>
          <w:szCs w:val="21"/>
        </w:rPr>
        <w:t>崔建功</w:t>
      </w:r>
    </w:p>
    <w:p>
      <w:pPr>
        <w:adjustRightInd w:val="0"/>
        <w:snapToGrid w:val="0"/>
        <w:spacing w:line="360" w:lineRule="auto"/>
        <w:rPr>
          <w:color w:val="000000"/>
        </w:rPr>
      </w:pPr>
      <w:r>
        <w:rPr>
          <w:rFonts w:eastAsia="黑体"/>
          <w:color w:val="000000"/>
        </w:rPr>
        <w:t>大纲编写（修订）时间：</w:t>
      </w:r>
      <w:r>
        <w:rPr>
          <w:color w:val="000000"/>
        </w:rPr>
        <w:t>2019年5月</w:t>
      </w:r>
    </w:p>
    <w:p>
      <w:pPr>
        <w:adjustRightInd w:val="0"/>
        <w:snapToGrid w:val="0"/>
        <w:spacing w:line="360" w:lineRule="auto"/>
        <w:rPr>
          <w:b/>
          <w:color w:val="000000"/>
          <w:sz w:val="24"/>
          <w:szCs w:val="24"/>
        </w:rPr>
      </w:pPr>
    </w:p>
    <w:p>
      <w:pPr>
        <w:adjustRightInd w:val="0"/>
        <w:snapToGrid w:val="0"/>
        <w:spacing w:line="360" w:lineRule="auto"/>
        <w:rPr>
          <w:rFonts w:eastAsia="黑体"/>
          <w:color w:val="000000"/>
        </w:rPr>
      </w:pPr>
      <w:r>
        <w:rPr>
          <w:rFonts w:hint="eastAsia" w:eastAsia="黑体"/>
          <w:color w:val="000000"/>
        </w:rPr>
        <w:t>一</w:t>
      </w:r>
      <w:r>
        <w:rPr>
          <w:rFonts w:eastAsia="黑体"/>
          <w:color w:val="000000"/>
        </w:rPr>
        <w:t>、课程在教学计划中的地位、作用</w:t>
      </w:r>
    </w:p>
    <w:p>
      <w:pPr>
        <w:adjustRightInd w:val="0"/>
        <w:snapToGrid w:val="0"/>
        <w:spacing w:line="360" w:lineRule="auto"/>
        <w:ind w:firstLine="420" w:firstLineChars="200"/>
        <w:rPr>
          <w:color w:val="000000"/>
          <w:szCs w:val="21"/>
        </w:rPr>
      </w:pPr>
      <w:r>
        <w:rPr>
          <w:color w:val="000000"/>
          <w:szCs w:val="21"/>
        </w:rPr>
        <w:t>理论物理导论</w:t>
      </w:r>
      <w:r>
        <w:rPr>
          <w:color w:val="000000"/>
          <w:kern w:val="0"/>
          <w:szCs w:val="21"/>
        </w:rPr>
        <w:t>是电子科学与技术、微电子科学与工程专业</w:t>
      </w:r>
      <w:r>
        <w:rPr>
          <w:color w:val="000000"/>
          <w:szCs w:val="21"/>
        </w:rPr>
        <w:t>的基础课程，在学生培养方案中具有承上启下的作用。</w:t>
      </w:r>
      <w:r>
        <w:rPr>
          <w:color w:val="000000"/>
          <w:szCs w:val="21"/>
          <w:lang w:val="zh-CN"/>
        </w:rPr>
        <w:t>其中，“热力学与统计物理”部分研究的对象是大量微观粒子组成的有限的宏观物体，以及微观粒子遵从的统计规律与物体宏观性质的内在联系；“量子力学”部分，从单原子、分子量子理论到多原子、分子量子理论，进一步引出多体问题的量子力学理论——“固体物理”的能带理论。</w:t>
      </w:r>
      <w:r>
        <w:rPr>
          <w:color w:val="000000"/>
          <w:szCs w:val="21"/>
        </w:rPr>
        <w:t>学习完本课程后，使学生理解理论物理导论中的基本概念、基本原理、具有初步认识物质的微观结构及规律、微观尺度物质运动的研究手段及方法，为</w:t>
      </w:r>
      <w:r>
        <w:rPr>
          <w:rFonts w:hint="eastAsia"/>
          <w:color w:val="000000"/>
          <w:szCs w:val="21"/>
        </w:rPr>
        <w:t>《</w:t>
      </w:r>
      <w:r>
        <w:rPr>
          <w:color w:val="000000"/>
          <w:szCs w:val="21"/>
        </w:rPr>
        <w:t>半导体物理与器件</w:t>
      </w:r>
      <w:r>
        <w:rPr>
          <w:rFonts w:hint="eastAsia"/>
          <w:color w:val="000000"/>
          <w:szCs w:val="21"/>
        </w:rPr>
        <w:t>》</w:t>
      </w:r>
      <w:r>
        <w:rPr>
          <w:color w:val="000000"/>
          <w:szCs w:val="21"/>
        </w:rPr>
        <w:t>、</w:t>
      </w:r>
      <w:r>
        <w:rPr>
          <w:rFonts w:hint="eastAsia"/>
          <w:color w:val="000000"/>
          <w:szCs w:val="21"/>
        </w:rPr>
        <w:t>《</w:t>
      </w:r>
      <w:r>
        <w:rPr>
          <w:color w:val="000000"/>
          <w:szCs w:val="21"/>
        </w:rPr>
        <w:t>固体物理</w:t>
      </w:r>
      <w:r>
        <w:rPr>
          <w:rFonts w:hint="eastAsia"/>
          <w:color w:val="000000"/>
          <w:szCs w:val="21"/>
        </w:rPr>
        <w:t>学》</w:t>
      </w:r>
      <w:r>
        <w:rPr>
          <w:color w:val="000000"/>
          <w:szCs w:val="21"/>
        </w:rPr>
        <w:t>等</w:t>
      </w:r>
      <w:r>
        <w:rPr>
          <w:rFonts w:hint="eastAsia"/>
          <w:color w:val="000000"/>
          <w:szCs w:val="21"/>
        </w:rPr>
        <w:t>后续课程</w:t>
      </w:r>
      <w:r>
        <w:rPr>
          <w:color w:val="000000"/>
          <w:szCs w:val="21"/>
        </w:rPr>
        <w:t>的深入学习奠定基础。</w:t>
      </w:r>
    </w:p>
    <w:p>
      <w:pPr>
        <w:adjustRightInd w:val="0"/>
        <w:snapToGrid w:val="0"/>
        <w:spacing w:line="360" w:lineRule="auto"/>
        <w:ind w:firstLine="420" w:firstLineChars="200"/>
        <w:rPr>
          <w:color w:val="000000"/>
          <w:szCs w:val="21"/>
          <w:lang w:val="zh-CN"/>
        </w:rPr>
      </w:pPr>
    </w:p>
    <w:p>
      <w:pPr>
        <w:adjustRightInd w:val="0"/>
        <w:snapToGrid w:val="0"/>
        <w:spacing w:after="156" w:afterLines="50" w:line="360" w:lineRule="auto"/>
        <w:rPr>
          <w:rFonts w:eastAsia="黑体"/>
          <w:color w:val="000000"/>
          <w:szCs w:val="24"/>
        </w:rPr>
      </w:pPr>
      <w:r>
        <w:rPr>
          <w:rFonts w:hint="eastAsia" w:eastAsia="黑体"/>
          <w:color w:val="000000"/>
          <w:szCs w:val="24"/>
        </w:rPr>
        <w:t>二、</w:t>
      </w:r>
      <w:r>
        <w:rPr>
          <w:rFonts w:eastAsia="黑体"/>
          <w:color w:val="000000"/>
          <w:szCs w:val="24"/>
        </w:rPr>
        <w:t>课程目标</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688"/>
        <w:gridCol w:w="39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4" w:type="pct"/>
            <w:vAlign w:val="center"/>
          </w:tcPr>
          <w:p>
            <w:pPr>
              <w:spacing w:line="360" w:lineRule="auto"/>
              <w:rPr>
                <w:sz w:val="18"/>
                <w:szCs w:val="18"/>
              </w:rPr>
            </w:pPr>
            <w:r>
              <w:rPr>
                <w:sz w:val="18"/>
                <w:szCs w:val="18"/>
              </w:rPr>
              <w:t>序号</w:t>
            </w:r>
          </w:p>
        </w:tc>
        <w:tc>
          <w:tcPr>
            <w:tcW w:w="2220" w:type="pct"/>
            <w:vAlign w:val="center"/>
          </w:tcPr>
          <w:p>
            <w:pPr>
              <w:spacing w:line="360" w:lineRule="auto"/>
              <w:jc w:val="center"/>
              <w:rPr>
                <w:sz w:val="18"/>
                <w:szCs w:val="18"/>
              </w:rPr>
            </w:pPr>
            <w:r>
              <w:rPr>
                <w:sz w:val="18"/>
                <w:szCs w:val="18"/>
              </w:rPr>
              <w:t>课程目标</w:t>
            </w:r>
          </w:p>
        </w:tc>
        <w:tc>
          <w:tcPr>
            <w:tcW w:w="2356"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360" w:lineRule="auto"/>
              <w:jc w:val="center"/>
              <w:rPr>
                <w:sz w:val="18"/>
                <w:szCs w:val="18"/>
              </w:rPr>
            </w:pPr>
            <w:r>
              <w:rPr>
                <w:rFonts w:hint="eastAsia"/>
                <w:sz w:val="18"/>
                <w:szCs w:val="18"/>
              </w:rPr>
              <w:t>1</w:t>
            </w:r>
          </w:p>
        </w:tc>
        <w:tc>
          <w:tcPr>
            <w:tcW w:w="2220" w:type="pct"/>
          </w:tcPr>
          <w:p>
            <w:pPr>
              <w:adjustRightInd w:val="0"/>
              <w:snapToGrid w:val="0"/>
              <w:spacing w:line="360" w:lineRule="auto"/>
              <w:rPr>
                <w:sz w:val="18"/>
                <w:szCs w:val="18"/>
              </w:rPr>
            </w:pPr>
            <w:r>
              <w:rPr>
                <w:rFonts w:hint="eastAsia"/>
                <w:sz w:val="18"/>
                <w:szCs w:val="18"/>
              </w:rPr>
              <w:t>能够</w:t>
            </w:r>
            <w:r>
              <w:rPr>
                <w:color w:val="000000"/>
                <w:sz w:val="18"/>
                <w:szCs w:val="18"/>
              </w:rPr>
              <w:t>掌握</w:t>
            </w:r>
            <w:r>
              <w:rPr>
                <w:rFonts w:hint="eastAsia"/>
                <w:color w:val="000000"/>
                <w:sz w:val="18"/>
                <w:szCs w:val="18"/>
              </w:rPr>
              <w:t>理论物理</w:t>
            </w:r>
            <w:r>
              <w:rPr>
                <w:color w:val="000000"/>
                <w:sz w:val="18"/>
                <w:szCs w:val="18"/>
              </w:rPr>
              <w:t>学的基本概念、知识体系和研究方法</w:t>
            </w:r>
            <w:r>
              <w:rPr>
                <w:rFonts w:hint="eastAsia"/>
                <w:color w:val="000000"/>
                <w:sz w:val="18"/>
                <w:szCs w:val="18"/>
              </w:rPr>
              <w:t>，</w:t>
            </w:r>
            <w:r>
              <w:rPr>
                <w:color w:val="000000"/>
                <w:sz w:val="18"/>
                <w:szCs w:val="18"/>
              </w:rPr>
              <w:t>理解</w:t>
            </w:r>
            <w:r>
              <w:rPr>
                <w:rFonts w:hint="eastAsia"/>
                <w:color w:val="000000"/>
                <w:sz w:val="18"/>
                <w:szCs w:val="18"/>
              </w:rPr>
              <w:t>理论物理</w:t>
            </w:r>
            <w:r>
              <w:rPr>
                <w:color w:val="000000"/>
                <w:sz w:val="18"/>
                <w:szCs w:val="18"/>
              </w:rPr>
              <w:t>学中的重要模型和结论，为后续课程的学习打下基础</w:t>
            </w:r>
            <w:r>
              <w:rPr>
                <w:rFonts w:hint="eastAsia"/>
                <w:color w:val="000000"/>
                <w:sz w:val="18"/>
                <w:szCs w:val="18"/>
              </w:rPr>
              <w:t>。</w:t>
            </w:r>
          </w:p>
        </w:tc>
        <w:tc>
          <w:tcPr>
            <w:tcW w:w="2356" w:type="pct"/>
            <w:vAlign w:val="center"/>
          </w:tcPr>
          <w:p>
            <w:pPr>
              <w:widowControl/>
              <w:adjustRightInd w:val="0"/>
              <w:snapToGrid w:val="0"/>
              <w:spacing w:line="360" w:lineRule="auto"/>
              <w:textAlignment w:val="center"/>
              <w:rPr>
                <w:sz w:val="18"/>
                <w:szCs w:val="18"/>
              </w:rPr>
            </w:pPr>
            <w:r>
              <w:rPr>
                <w:rFonts w:hint="eastAsia"/>
                <w:b/>
                <w:sz w:val="18"/>
                <w:szCs w:val="18"/>
              </w:rPr>
              <w:t>指标点1-1</w:t>
            </w:r>
            <w:r>
              <w:rPr>
                <w:rFonts w:hint="eastAsia"/>
                <w:sz w:val="18"/>
                <w:szCs w:val="18"/>
              </w:rPr>
              <w:t>知识体系：具备与本专业相关的数学、自然科学、光学和电子学工程基础及电子系统集成等多方面的知识。</w:t>
            </w:r>
          </w:p>
        </w:tc>
      </w:tr>
    </w:tbl>
    <w:p>
      <w:pPr>
        <w:adjustRightInd w:val="0"/>
        <w:snapToGrid w:val="0"/>
        <w:spacing w:line="360" w:lineRule="auto"/>
        <w:rPr>
          <w:rFonts w:ascii="宋体" w:hAnsi="宋体" w:cs="宋体"/>
          <w:color w:val="000000"/>
          <w:szCs w:val="24"/>
        </w:rPr>
      </w:pPr>
    </w:p>
    <w:p>
      <w:pPr>
        <w:adjustRightInd w:val="0"/>
        <w:snapToGrid w:val="0"/>
        <w:spacing w:line="360" w:lineRule="auto"/>
        <w:rPr>
          <w:rFonts w:eastAsia="黑体"/>
          <w:color w:val="000000"/>
          <w:szCs w:val="24"/>
        </w:rPr>
      </w:pPr>
      <w:r>
        <w:rPr>
          <w:rFonts w:eastAsia="黑体"/>
          <w:color w:val="000000"/>
          <w:szCs w:val="24"/>
        </w:rPr>
        <w:t>三、基本要求</w:t>
      </w:r>
    </w:p>
    <w:p>
      <w:pPr>
        <w:adjustRightInd w:val="0"/>
        <w:snapToGrid w:val="0"/>
        <w:spacing w:line="360" w:lineRule="auto"/>
        <w:ind w:firstLine="420" w:firstLineChars="200"/>
        <w:rPr>
          <w:color w:val="000000"/>
          <w:szCs w:val="21"/>
        </w:rPr>
      </w:pPr>
      <w:r>
        <w:rPr>
          <w:color w:val="000000"/>
          <w:szCs w:val="21"/>
        </w:rPr>
        <w:t>1、本课程为专业基础课，要求先修《高等数学》，《大学物理》，在教学中应注重基础知识、基本概念和思维方法的传授。同时，运用类比式和启发式教学，使学生掌握最重要的“波函数”统计解释概念，掌握利用薛定谔方程分析一维无限深势阱、一维线性谐振子等物理模型的分析能力。</w:t>
      </w:r>
    </w:p>
    <w:p>
      <w:pPr>
        <w:adjustRightInd w:val="0"/>
        <w:snapToGrid w:val="0"/>
        <w:spacing w:line="360" w:lineRule="auto"/>
        <w:ind w:firstLine="420" w:firstLineChars="200"/>
        <w:rPr>
          <w:color w:val="000000"/>
          <w:szCs w:val="21"/>
        </w:rPr>
      </w:pPr>
      <w:r>
        <w:rPr>
          <w:color w:val="000000"/>
          <w:szCs w:val="21"/>
        </w:rPr>
        <w:t>2、通过本课程的学习，为学生深入理解和学习《固体物理》、《半导体物理与器件》等专业课程打下理论基础。</w:t>
      </w:r>
    </w:p>
    <w:p>
      <w:pPr>
        <w:widowControl/>
        <w:adjustRightInd w:val="0"/>
        <w:snapToGrid w:val="0"/>
        <w:spacing w:line="360" w:lineRule="auto"/>
        <w:ind w:firstLine="420" w:firstLineChars="200"/>
        <w:rPr>
          <w:color w:val="000000"/>
        </w:rPr>
      </w:pPr>
      <w:r>
        <w:rPr>
          <w:rFonts w:hint="eastAsia"/>
          <w:color w:val="000000"/>
          <w:szCs w:val="21"/>
        </w:rPr>
        <w:t>3、</w:t>
      </w:r>
      <w:r>
        <w:rPr>
          <w:color w:val="000000"/>
        </w:rPr>
        <w:t>深度和广度说明：对微观粒子波粒二象性、薛定谔方程、不确定性关系、</w:t>
      </w:r>
      <w:r>
        <w:rPr>
          <w:rFonts w:hint="eastAsia"/>
          <w:color w:val="000000"/>
        </w:rPr>
        <w:t>三种统计分布</w:t>
      </w:r>
      <w:r>
        <w:rPr>
          <w:color w:val="000000"/>
        </w:rPr>
        <w:t>等比较抽象的概念，要深入讲解；对一维无限深势阱、一维线性谐振子、氢原子和类氢离子等</w:t>
      </w:r>
      <w:r>
        <w:rPr>
          <w:rFonts w:hint="eastAsia"/>
          <w:color w:val="000000"/>
        </w:rPr>
        <w:t>典型</w:t>
      </w:r>
      <w:r>
        <w:rPr>
          <w:color w:val="000000"/>
        </w:rPr>
        <w:t>模型，容易理解的部分可适当简单讲解；对于涉及到量子力学的前沿科技进展要在适当的部分引入课堂，以拓展本课程的广度，提高同学们的学习热情；对于基本物理思想的理解、对于物理图像的形象构建是重点要强调的地方。</w:t>
      </w:r>
    </w:p>
    <w:p>
      <w:pPr>
        <w:widowControl/>
        <w:adjustRightInd w:val="0"/>
        <w:snapToGrid w:val="0"/>
        <w:spacing w:line="360" w:lineRule="auto"/>
        <w:ind w:firstLine="420" w:firstLineChars="200"/>
        <w:rPr>
          <w:color w:val="000000"/>
        </w:rPr>
      </w:pPr>
      <w:r>
        <w:rPr>
          <w:rFonts w:hint="eastAsia"/>
          <w:color w:val="000000"/>
        </w:rPr>
        <w:t>4、</w:t>
      </w:r>
      <w:r>
        <w:rPr>
          <w:color w:val="000000"/>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四、教学内容和教学方法</w:t>
      </w:r>
    </w:p>
    <w:p>
      <w:pPr>
        <w:widowControl/>
        <w:adjustRightInd w:val="0"/>
        <w:snapToGrid w:val="0"/>
        <w:spacing w:line="360" w:lineRule="auto"/>
        <w:ind w:firstLine="420" w:firstLineChars="200"/>
        <w:rPr>
          <w:color w:val="000000"/>
        </w:rPr>
      </w:pPr>
      <w:r>
        <w:rPr>
          <w:color w:val="000000"/>
        </w:rPr>
        <w:t>本课程重点讲授的内容包括：微观粒子的波粒二象性、波函数的统计解释、一维无限深势阱和一维线性谐振子问题、氢原子和类氢离子问题的薛定谔求解过程、微扰论、热力学第一</w:t>
      </w:r>
      <w:r>
        <w:rPr>
          <w:rFonts w:hint="eastAsia"/>
          <w:color w:val="000000"/>
        </w:rPr>
        <w:t>和</w:t>
      </w:r>
      <w:r>
        <w:rPr>
          <w:color w:val="000000"/>
        </w:rPr>
        <w:t>第二定律、三种统计分布函数的</w:t>
      </w:r>
      <w:r>
        <w:rPr>
          <w:rFonts w:hint="eastAsia"/>
          <w:color w:val="000000"/>
        </w:rPr>
        <w:t>引入</w:t>
      </w:r>
      <w:r>
        <w:rPr>
          <w:color w:val="000000"/>
        </w:rPr>
        <w:t>过程</w:t>
      </w:r>
      <w:r>
        <w:rPr>
          <w:rFonts w:hint="eastAsia"/>
          <w:color w:val="000000"/>
        </w:rPr>
        <w:t>。</w:t>
      </w:r>
    </w:p>
    <w:p>
      <w:pPr>
        <w:widowControl/>
        <w:adjustRightInd w:val="0"/>
        <w:snapToGrid w:val="0"/>
        <w:spacing w:line="360" w:lineRule="auto"/>
        <w:ind w:firstLine="420" w:firstLineChars="200"/>
        <w:rPr>
          <w:color w:val="000000"/>
        </w:rPr>
      </w:pPr>
      <w:r>
        <w:rPr>
          <w:color w:val="000000"/>
        </w:rPr>
        <w:t>理论物理导论涉及到量子力学思维的</w:t>
      </w:r>
      <w:r>
        <w:rPr>
          <w:rFonts w:hint="eastAsia"/>
          <w:color w:val="000000"/>
        </w:rPr>
        <w:t>建立</w:t>
      </w:r>
      <w:r>
        <w:rPr>
          <w:color w:val="000000"/>
        </w:rPr>
        <w:t>，是</w:t>
      </w:r>
      <w:r>
        <w:rPr>
          <w:rFonts w:hint="eastAsia"/>
          <w:color w:val="000000"/>
        </w:rPr>
        <w:t>固体物理学、</w:t>
      </w:r>
      <w:r>
        <w:rPr>
          <w:color w:val="000000"/>
        </w:rPr>
        <w:t>半导体物理与器件深入学习的理论基础，有助于对后续课程的深入理解，是现代前沿科技的基础，因此教师要重点讲授以使学生建立基本的量子思维</w:t>
      </w:r>
      <w:r>
        <w:rPr>
          <w:rFonts w:hint="eastAsia"/>
          <w:color w:val="000000"/>
        </w:rPr>
        <w:t>。</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为了提高学生的学习兴趣，并取得良好的教学效果，教师在知识讲解的过程中要充分利用问题引导、实例分析等多种教学方法，以进一步提高教学质量。</w:t>
      </w:r>
    </w:p>
    <w:p>
      <w:pPr>
        <w:widowControl/>
        <w:adjustRightInd w:val="0"/>
        <w:snapToGrid w:val="0"/>
        <w:spacing w:line="360" w:lineRule="auto"/>
        <w:ind w:firstLine="420" w:firstLineChars="200"/>
        <w:rPr>
          <w:color w:val="000000"/>
        </w:rPr>
      </w:pPr>
    </w:p>
    <w:p>
      <w:pPr>
        <w:pStyle w:val="56"/>
        <w:widowControl/>
        <w:adjustRightInd w:val="0"/>
        <w:snapToGrid w:val="0"/>
        <w:spacing w:line="360" w:lineRule="auto"/>
        <w:ind w:left="420" w:firstLine="0" w:firstLineChars="0"/>
        <w:rPr>
          <w:rFonts w:eastAsia="黑体"/>
          <w:snapToGrid w:val="0"/>
          <w:color w:val="000000"/>
          <w:kern w:val="0"/>
          <w:szCs w:val="21"/>
        </w:rPr>
      </w:pPr>
      <w:r>
        <w:rPr>
          <w:rFonts w:hint="eastAsia" w:eastAsia="黑体"/>
          <w:snapToGrid w:val="0"/>
          <w:color w:val="000000"/>
          <w:kern w:val="0"/>
          <w:szCs w:val="21"/>
        </w:rPr>
        <w:t xml:space="preserve">1 </w:t>
      </w:r>
      <w:r>
        <w:rPr>
          <w:rFonts w:eastAsia="黑体"/>
          <w:snapToGrid w:val="0"/>
          <w:color w:val="000000"/>
          <w:kern w:val="0"/>
          <w:szCs w:val="21"/>
        </w:rPr>
        <w:t>绪论</w:t>
      </w:r>
      <w:r>
        <w:rPr>
          <w:rFonts w:hint="eastAsia" w:eastAsia="黑体"/>
          <w:snapToGrid w:val="0"/>
          <w:color w:val="000000"/>
          <w:kern w:val="0"/>
          <w:szCs w:val="21"/>
        </w:rPr>
        <w:t>及分析力学</w:t>
      </w:r>
      <w:r>
        <w:rPr>
          <w:rFonts w:eastAsia="黑体"/>
          <w:snapToGrid w:val="0"/>
          <w:color w:val="000000"/>
          <w:kern w:val="0"/>
          <w:szCs w:val="21"/>
        </w:rPr>
        <w:t>（4学时）</w:t>
      </w:r>
    </w:p>
    <w:p>
      <w:pPr>
        <w:widowControl/>
        <w:adjustRightInd w:val="0"/>
        <w:snapToGrid w:val="0"/>
        <w:spacing w:line="360" w:lineRule="auto"/>
        <w:ind w:firstLine="420" w:firstLineChars="200"/>
        <w:rPr>
          <w:snapToGrid w:val="0"/>
          <w:color w:val="000000"/>
          <w:kern w:val="0"/>
          <w:szCs w:val="21"/>
        </w:rPr>
      </w:pPr>
      <w:r>
        <w:rPr>
          <w:snapToGrid w:val="0"/>
          <w:color w:val="000000"/>
          <w:kern w:val="0"/>
          <w:szCs w:val="21"/>
        </w:rPr>
        <w:t>1.1</w:t>
      </w:r>
      <w:r>
        <w:rPr>
          <w:rFonts w:hint="eastAsia"/>
          <w:snapToGrid w:val="0"/>
          <w:color w:val="000000"/>
          <w:kern w:val="0"/>
          <w:szCs w:val="21"/>
        </w:rPr>
        <w:t>、</w:t>
      </w:r>
      <w:r>
        <w:rPr>
          <w:snapToGrid w:val="0"/>
          <w:color w:val="000000"/>
          <w:kern w:val="0"/>
          <w:szCs w:val="21"/>
        </w:rPr>
        <w:t>本课程在专业课中的地位、</w:t>
      </w:r>
      <w:r>
        <w:rPr>
          <w:rFonts w:hint="eastAsia"/>
          <w:snapToGrid w:val="0"/>
          <w:color w:val="000000"/>
          <w:kern w:val="0"/>
          <w:szCs w:val="21"/>
        </w:rPr>
        <w:t>评价方法及</w:t>
      </w:r>
      <w:r>
        <w:rPr>
          <w:snapToGrid w:val="0"/>
          <w:color w:val="000000"/>
          <w:kern w:val="0"/>
          <w:szCs w:val="21"/>
        </w:rPr>
        <w:t>本课程简要的发展</w:t>
      </w:r>
      <w:r>
        <w:rPr>
          <w:rFonts w:hint="eastAsia"/>
          <w:snapToGrid w:val="0"/>
          <w:color w:val="000000"/>
          <w:kern w:val="0"/>
          <w:szCs w:val="21"/>
        </w:rPr>
        <w:t>历史；</w:t>
      </w:r>
    </w:p>
    <w:p>
      <w:pPr>
        <w:widowControl/>
        <w:adjustRightInd w:val="0"/>
        <w:snapToGrid w:val="0"/>
        <w:spacing w:line="360" w:lineRule="auto"/>
        <w:ind w:firstLine="420" w:firstLineChars="200"/>
        <w:rPr>
          <w:color w:val="000000"/>
          <w:sz w:val="24"/>
        </w:rPr>
      </w:pPr>
      <w:r>
        <w:rPr>
          <w:snapToGrid w:val="0"/>
          <w:color w:val="000000"/>
          <w:kern w:val="0"/>
          <w:szCs w:val="21"/>
        </w:rPr>
        <w:t>1.2</w:t>
      </w:r>
      <w:r>
        <w:rPr>
          <w:rFonts w:hint="eastAsia"/>
          <w:snapToGrid w:val="0"/>
          <w:color w:val="000000"/>
          <w:kern w:val="0"/>
          <w:szCs w:val="21"/>
        </w:rPr>
        <w:t>、</w:t>
      </w:r>
      <w:r>
        <w:rPr>
          <w:snapToGrid w:val="0"/>
          <w:color w:val="000000"/>
          <w:kern w:val="0"/>
          <w:szCs w:val="21"/>
        </w:rPr>
        <w:t>自由度、约束、广义坐标的概念，拉格朗日函数和拉格朗日方程；</w:t>
      </w:r>
    </w:p>
    <w:p>
      <w:pPr>
        <w:widowControl/>
        <w:adjustRightInd w:val="0"/>
        <w:snapToGrid w:val="0"/>
        <w:spacing w:line="360" w:lineRule="auto"/>
        <w:ind w:firstLine="420" w:firstLineChars="200"/>
        <w:rPr>
          <w:snapToGrid w:val="0"/>
          <w:color w:val="000000"/>
          <w:kern w:val="0"/>
          <w:szCs w:val="21"/>
        </w:rPr>
      </w:pPr>
      <w:r>
        <w:rPr>
          <w:snapToGrid w:val="0"/>
          <w:color w:val="000000"/>
          <w:kern w:val="0"/>
          <w:szCs w:val="21"/>
        </w:rPr>
        <w:t>1.3</w:t>
      </w:r>
      <w:r>
        <w:rPr>
          <w:rFonts w:hint="eastAsia"/>
          <w:snapToGrid w:val="0"/>
          <w:color w:val="000000"/>
          <w:kern w:val="0"/>
          <w:szCs w:val="21"/>
        </w:rPr>
        <w:t>、</w:t>
      </w:r>
      <w:r>
        <w:rPr>
          <w:snapToGrid w:val="0"/>
          <w:color w:val="000000"/>
          <w:kern w:val="0"/>
          <w:szCs w:val="21"/>
        </w:rPr>
        <w:t>哈密顿函数、哈密顿方程的物理推导过程；</w:t>
      </w:r>
    </w:p>
    <w:p>
      <w:pPr>
        <w:widowControl/>
        <w:adjustRightInd w:val="0"/>
        <w:snapToGrid w:val="0"/>
        <w:spacing w:line="360" w:lineRule="auto"/>
        <w:ind w:firstLine="420" w:firstLineChars="200"/>
        <w:rPr>
          <w:snapToGrid w:val="0"/>
          <w:color w:val="000000"/>
          <w:kern w:val="0"/>
          <w:szCs w:val="21"/>
        </w:rPr>
      </w:pPr>
      <w:r>
        <w:rPr>
          <w:snapToGrid w:val="0"/>
          <w:color w:val="000000"/>
          <w:kern w:val="0"/>
          <w:szCs w:val="21"/>
        </w:rPr>
        <w:t>1.4</w:t>
      </w:r>
      <w:r>
        <w:rPr>
          <w:rFonts w:hint="eastAsia"/>
          <w:snapToGrid w:val="0"/>
          <w:color w:val="000000"/>
          <w:kern w:val="0"/>
          <w:szCs w:val="21"/>
        </w:rPr>
        <w:t>、</w:t>
      </w:r>
      <w:r>
        <w:rPr>
          <w:snapToGrid w:val="0"/>
          <w:color w:val="000000"/>
          <w:kern w:val="0"/>
          <w:szCs w:val="21"/>
        </w:rPr>
        <w:t>哈密顿函数的物理意义。（重点）</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eastAsia="黑体"/>
          <w:color w:val="000000"/>
          <w:kern w:val="0"/>
          <w:szCs w:val="21"/>
        </w:rPr>
      </w:pPr>
      <w:r>
        <w:rPr>
          <w:rFonts w:eastAsia="黑体"/>
          <w:snapToGrid w:val="0"/>
          <w:color w:val="000000"/>
          <w:kern w:val="0"/>
          <w:szCs w:val="21"/>
        </w:rPr>
        <w:t xml:space="preserve">2 </w:t>
      </w:r>
      <w:r>
        <w:rPr>
          <w:rFonts w:eastAsia="黑体"/>
          <w:bCs/>
          <w:snapToGrid w:val="0"/>
          <w:color w:val="000000"/>
          <w:kern w:val="0"/>
          <w:szCs w:val="21"/>
        </w:rPr>
        <w:t>薛定谔方程</w:t>
      </w:r>
      <w:r>
        <w:rPr>
          <w:rFonts w:eastAsia="黑体"/>
          <w:snapToGrid w:val="0"/>
          <w:color w:val="000000"/>
          <w:kern w:val="0"/>
          <w:szCs w:val="21"/>
        </w:rPr>
        <w:t>（8学时）</w:t>
      </w:r>
    </w:p>
    <w:p>
      <w:pPr>
        <w:widowControl/>
        <w:adjustRightInd w:val="0"/>
        <w:snapToGrid w:val="0"/>
        <w:spacing w:line="360" w:lineRule="auto"/>
        <w:ind w:firstLine="420" w:firstLineChars="200"/>
        <w:rPr>
          <w:snapToGrid w:val="0"/>
          <w:color w:val="000000"/>
          <w:kern w:val="0"/>
          <w:szCs w:val="21"/>
        </w:rPr>
      </w:pPr>
      <w:r>
        <w:rPr>
          <w:snapToGrid w:val="0"/>
          <w:color w:val="000000"/>
          <w:kern w:val="0"/>
          <w:szCs w:val="21"/>
        </w:rPr>
        <w:t>2.1</w:t>
      </w:r>
      <w:r>
        <w:rPr>
          <w:rFonts w:hint="eastAsia"/>
          <w:snapToGrid w:val="0"/>
          <w:color w:val="000000"/>
          <w:kern w:val="0"/>
          <w:szCs w:val="21"/>
        </w:rPr>
        <w:t>、</w:t>
      </w:r>
      <w:r>
        <w:rPr>
          <w:snapToGrid w:val="0"/>
          <w:color w:val="000000"/>
          <w:kern w:val="0"/>
          <w:szCs w:val="21"/>
        </w:rPr>
        <w:t>通过光的波粒二相性发展历史，深入理解微观粒子波粒二象性（物质波）所表达的内涵；</w:t>
      </w:r>
    </w:p>
    <w:p>
      <w:pPr>
        <w:widowControl/>
        <w:adjustRightInd w:val="0"/>
        <w:snapToGrid w:val="0"/>
        <w:spacing w:line="360" w:lineRule="auto"/>
        <w:ind w:firstLine="420" w:firstLineChars="200"/>
        <w:rPr>
          <w:color w:val="000000"/>
          <w:kern w:val="0"/>
          <w:szCs w:val="21"/>
        </w:rPr>
      </w:pPr>
      <w:r>
        <w:rPr>
          <w:snapToGrid w:val="0"/>
          <w:color w:val="000000"/>
          <w:kern w:val="0"/>
          <w:szCs w:val="21"/>
        </w:rPr>
        <w:t>2.2</w:t>
      </w:r>
      <w:r>
        <w:rPr>
          <w:rFonts w:hint="eastAsia"/>
          <w:snapToGrid w:val="0"/>
          <w:color w:val="000000"/>
          <w:kern w:val="0"/>
          <w:szCs w:val="21"/>
        </w:rPr>
        <w:t>、</w:t>
      </w:r>
      <w:r>
        <w:rPr>
          <w:snapToGrid w:val="0"/>
          <w:color w:val="000000"/>
          <w:kern w:val="0"/>
          <w:szCs w:val="21"/>
        </w:rPr>
        <w:t>波函数统计解释所表达的量子力学深层物理含义</w:t>
      </w:r>
      <w:r>
        <w:rPr>
          <w:rFonts w:ascii="宋体" w:hAnsi="宋体"/>
          <w:snapToGrid w:val="0"/>
          <w:color w:val="000000"/>
          <w:kern w:val="0"/>
          <w:szCs w:val="21"/>
        </w:rPr>
        <w:t>；（难点）</w:t>
      </w:r>
    </w:p>
    <w:p>
      <w:pPr>
        <w:adjustRightInd w:val="0"/>
        <w:snapToGrid w:val="0"/>
        <w:spacing w:line="360" w:lineRule="auto"/>
        <w:ind w:firstLine="420" w:firstLineChars="200"/>
        <w:rPr>
          <w:snapToGrid w:val="0"/>
          <w:color w:val="000000"/>
          <w:kern w:val="0"/>
          <w:szCs w:val="21"/>
        </w:rPr>
      </w:pPr>
      <w:r>
        <w:rPr>
          <w:snapToGrid w:val="0"/>
          <w:color w:val="000000"/>
          <w:kern w:val="0"/>
          <w:szCs w:val="21"/>
        </w:rPr>
        <w:t>2.3</w:t>
      </w:r>
      <w:r>
        <w:rPr>
          <w:rFonts w:hint="eastAsia"/>
          <w:snapToGrid w:val="0"/>
          <w:color w:val="000000"/>
          <w:kern w:val="0"/>
          <w:szCs w:val="21"/>
        </w:rPr>
        <w:t>、</w:t>
      </w:r>
      <w:r>
        <w:rPr>
          <w:snapToGrid w:val="0"/>
          <w:color w:val="000000"/>
          <w:kern w:val="0"/>
          <w:szCs w:val="21"/>
        </w:rPr>
        <w:t>态叠加原理，利用薛定谔方程解决一维无限深势阱和一维线性谐振子相关问题的方法；</w:t>
      </w:r>
      <w:r>
        <w:rPr>
          <w:rFonts w:ascii="宋体" w:hAnsi="宋体"/>
          <w:snapToGrid w:val="0"/>
          <w:color w:val="000000"/>
          <w:kern w:val="0"/>
          <w:szCs w:val="21"/>
        </w:rPr>
        <w:t xml:space="preserve">（重点） </w:t>
      </w:r>
    </w:p>
    <w:p>
      <w:pPr>
        <w:adjustRightInd w:val="0"/>
        <w:snapToGrid w:val="0"/>
        <w:spacing w:line="360" w:lineRule="auto"/>
        <w:ind w:firstLine="420" w:firstLineChars="200"/>
        <w:rPr>
          <w:snapToGrid w:val="0"/>
          <w:color w:val="000000"/>
          <w:kern w:val="0"/>
          <w:szCs w:val="21"/>
        </w:rPr>
      </w:pPr>
      <w:r>
        <w:rPr>
          <w:snapToGrid w:val="0"/>
          <w:color w:val="000000"/>
          <w:kern w:val="0"/>
          <w:szCs w:val="21"/>
        </w:rPr>
        <w:t>2.4</w:t>
      </w:r>
      <w:r>
        <w:rPr>
          <w:rFonts w:hint="eastAsia"/>
          <w:snapToGrid w:val="0"/>
          <w:color w:val="000000"/>
          <w:kern w:val="0"/>
          <w:szCs w:val="21"/>
        </w:rPr>
        <w:t>、</w:t>
      </w:r>
      <w:r>
        <w:rPr>
          <w:snapToGrid w:val="0"/>
          <w:color w:val="000000"/>
          <w:kern w:val="0"/>
          <w:szCs w:val="21"/>
        </w:rPr>
        <w:t>不确定性关系式在量子力学领域的重要基础作用，隧道效应及其应用</w:t>
      </w:r>
      <w:r>
        <w:rPr>
          <w:rFonts w:hint="eastAsia"/>
          <w:snapToGrid w:val="0"/>
          <w:color w:val="000000"/>
          <w:kern w:val="0"/>
          <w:szCs w:val="21"/>
        </w:rPr>
        <w:t>。</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adjustRightInd w:val="0"/>
        <w:snapToGrid w:val="0"/>
        <w:spacing w:line="360" w:lineRule="auto"/>
        <w:ind w:firstLine="420" w:firstLineChars="200"/>
        <w:rPr>
          <w:color w:val="000000"/>
        </w:rPr>
      </w:pPr>
      <w:r>
        <w:rPr>
          <w:rFonts w:eastAsia="黑体"/>
          <w:color w:val="000000"/>
        </w:rPr>
        <w:t xml:space="preserve">3 </w:t>
      </w:r>
      <w:r>
        <w:rPr>
          <w:rFonts w:eastAsia="黑体"/>
          <w:snapToGrid w:val="0"/>
          <w:color w:val="000000"/>
          <w:kern w:val="0"/>
          <w:szCs w:val="21"/>
        </w:rPr>
        <w:t>力学量的算符（6学时）</w:t>
      </w:r>
    </w:p>
    <w:p>
      <w:pPr>
        <w:adjustRightInd w:val="0"/>
        <w:snapToGrid w:val="0"/>
        <w:spacing w:line="360" w:lineRule="auto"/>
        <w:ind w:firstLine="420" w:firstLineChars="200"/>
        <w:rPr>
          <w:snapToGrid w:val="0"/>
          <w:color w:val="000000"/>
          <w:kern w:val="0"/>
          <w:szCs w:val="21"/>
        </w:rPr>
      </w:pPr>
      <w:r>
        <w:rPr>
          <w:snapToGrid w:val="0"/>
          <w:color w:val="000000"/>
          <w:kern w:val="0"/>
          <w:szCs w:val="21"/>
        </w:rPr>
        <w:t>3.1</w:t>
      </w:r>
      <w:r>
        <w:rPr>
          <w:rFonts w:hint="eastAsia"/>
          <w:snapToGrid w:val="0"/>
          <w:color w:val="000000"/>
          <w:kern w:val="0"/>
          <w:szCs w:val="21"/>
        </w:rPr>
        <w:t>、</w:t>
      </w:r>
      <w:r>
        <w:rPr>
          <w:snapToGrid w:val="0"/>
          <w:color w:val="000000"/>
          <w:kern w:val="0"/>
          <w:szCs w:val="21"/>
        </w:rPr>
        <w:t>算符的物理含义，基本运算规则；</w:t>
      </w:r>
    </w:p>
    <w:p>
      <w:pPr>
        <w:adjustRightInd w:val="0"/>
        <w:snapToGrid w:val="0"/>
        <w:spacing w:line="360" w:lineRule="auto"/>
        <w:ind w:firstLine="420" w:firstLineChars="200"/>
        <w:rPr>
          <w:rFonts w:ascii="宋体" w:hAnsi="宋体"/>
          <w:color w:val="000000"/>
        </w:rPr>
      </w:pPr>
      <w:r>
        <w:rPr>
          <w:color w:val="000000"/>
        </w:rPr>
        <w:t>3.2</w:t>
      </w:r>
      <w:r>
        <w:rPr>
          <w:rFonts w:hint="eastAsia"/>
          <w:color w:val="000000"/>
        </w:rPr>
        <w:t>、</w:t>
      </w:r>
      <w:r>
        <w:rPr>
          <w:color w:val="000000"/>
        </w:rPr>
        <w:t>厄米算符的定义式、表达的物理含义；</w:t>
      </w:r>
      <w:r>
        <w:rPr>
          <w:rFonts w:ascii="宋体" w:hAnsi="宋体"/>
          <w:snapToGrid w:val="0"/>
          <w:color w:val="000000"/>
          <w:kern w:val="0"/>
          <w:szCs w:val="21"/>
        </w:rPr>
        <w:t>（重点）</w:t>
      </w:r>
    </w:p>
    <w:p>
      <w:pPr>
        <w:adjustRightInd w:val="0"/>
        <w:snapToGrid w:val="0"/>
        <w:spacing w:line="360" w:lineRule="auto"/>
        <w:ind w:firstLine="420" w:firstLineChars="200"/>
        <w:rPr>
          <w:color w:val="000000"/>
        </w:rPr>
      </w:pPr>
      <w:r>
        <w:rPr>
          <w:color w:val="000000"/>
        </w:rPr>
        <w:t>3.3</w:t>
      </w:r>
      <w:r>
        <w:rPr>
          <w:rFonts w:hint="eastAsia"/>
          <w:color w:val="000000"/>
        </w:rPr>
        <w:t>、</w:t>
      </w:r>
      <w:r>
        <w:rPr>
          <w:color w:val="000000"/>
        </w:rPr>
        <w:t>厄米算符本征函数的正交性和完全性的证明过程；</w:t>
      </w:r>
      <w:r>
        <w:rPr>
          <w:rFonts w:ascii="宋体" w:hAnsi="宋体"/>
          <w:snapToGrid w:val="0"/>
          <w:color w:val="000000"/>
          <w:kern w:val="0"/>
          <w:szCs w:val="21"/>
        </w:rPr>
        <w:t>（难点）</w:t>
      </w:r>
    </w:p>
    <w:p>
      <w:pPr>
        <w:adjustRightInd w:val="0"/>
        <w:snapToGrid w:val="0"/>
        <w:spacing w:line="360" w:lineRule="auto"/>
        <w:ind w:firstLine="420" w:firstLineChars="200"/>
        <w:rPr>
          <w:color w:val="000000"/>
        </w:rPr>
      </w:pPr>
      <w:r>
        <w:rPr>
          <w:color w:val="000000"/>
        </w:rPr>
        <w:t>3.4</w:t>
      </w:r>
      <w:r>
        <w:rPr>
          <w:rFonts w:hint="eastAsia"/>
          <w:color w:val="000000"/>
        </w:rPr>
        <w:t>、</w:t>
      </w:r>
      <w:r>
        <w:rPr>
          <w:color w:val="000000"/>
        </w:rPr>
        <w:t>力学量算符表达的物理含义，力学量平均值的计算方法。</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tabs>
          <w:tab w:val="left" w:pos="1260"/>
        </w:tabs>
        <w:adjustRightInd w:val="0"/>
        <w:snapToGrid w:val="0"/>
        <w:spacing w:line="360" w:lineRule="auto"/>
        <w:ind w:firstLine="420" w:firstLineChars="200"/>
        <w:rPr>
          <w:color w:val="000000"/>
        </w:rPr>
      </w:pPr>
      <w:r>
        <w:rPr>
          <w:rFonts w:eastAsia="黑体"/>
          <w:color w:val="000000"/>
        </w:rPr>
        <w:t xml:space="preserve">4 </w:t>
      </w:r>
      <w:r>
        <w:rPr>
          <w:rFonts w:eastAsia="黑体"/>
          <w:snapToGrid w:val="0"/>
          <w:color w:val="000000"/>
          <w:kern w:val="0"/>
          <w:szCs w:val="21"/>
        </w:rPr>
        <w:t>氢原子和类氢离子的波函数和能级（8学时）</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4.1</w:t>
      </w:r>
      <w:r>
        <w:rPr>
          <w:rFonts w:hint="eastAsia"/>
          <w:bCs/>
          <w:snapToGrid w:val="0"/>
          <w:color w:val="000000"/>
          <w:kern w:val="0"/>
          <w:szCs w:val="21"/>
        </w:rPr>
        <w:t>、</w:t>
      </w:r>
      <w:r>
        <w:rPr>
          <w:bCs/>
          <w:snapToGrid w:val="0"/>
          <w:color w:val="000000"/>
          <w:kern w:val="0"/>
          <w:szCs w:val="21"/>
        </w:rPr>
        <w:t>有心力场问题求解过程中用到的球极坐标表达方式</w:t>
      </w:r>
      <w:r>
        <w:rPr>
          <w:rFonts w:hint="eastAsia"/>
          <w:bCs/>
          <w:snapToGrid w:val="0"/>
          <w:color w:val="000000"/>
          <w:kern w:val="0"/>
          <w:szCs w:val="21"/>
        </w:rPr>
        <w:t>及</w:t>
      </w:r>
      <w:r>
        <w:rPr>
          <w:bCs/>
          <w:snapToGrid w:val="0"/>
          <w:color w:val="000000"/>
          <w:kern w:val="0"/>
          <w:szCs w:val="21"/>
        </w:rPr>
        <w:t>库仑场中电子运动状态的求解方法；</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4.2</w:t>
      </w:r>
      <w:r>
        <w:rPr>
          <w:rFonts w:hint="eastAsia"/>
          <w:bCs/>
          <w:snapToGrid w:val="0"/>
          <w:color w:val="000000"/>
          <w:kern w:val="0"/>
          <w:szCs w:val="21"/>
        </w:rPr>
        <w:t>、角动量算符，氢原子波函数力学量完全集</w:t>
      </w:r>
      <w:r>
        <w:rPr>
          <w:bCs/>
          <w:snapToGrid w:val="0"/>
          <w:color w:val="000000"/>
          <w:kern w:val="0"/>
          <w:szCs w:val="21"/>
        </w:rPr>
        <w:t>；</w:t>
      </w:r>
      <w:r>
        <w:rPr>
          <w:rFonts w:ascii="宋体" w:hAnsi="宋体"/>
          <w:snapToGrid w:val="0"/>
          <w:color w:val="000000"/>
          <w:kern w:val="0"/>
          <w:szCs w:val="21"/>
        </w:rPr>
        <w:t>（重点）</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4.3</w:t>
      </w:r>
      <w:r>
        <w:rPr>
          <w:rFonts w:hint="eastAsia"/>
          <w:bCs/>
          <w:snapToGrid w:val="0"/>
          <w:color w:val="000000"/>
          <w:kern w:val="0"/>
          <w:szCs w:val="21"/>
        </w:rPr>
        <w:t>、</w:t>
      </w:r>
      <w:r>
        <w:rPr>
          <w:bCs/>
          <w:snapToGrid w:val="0"/>
          <w:color w:val="000000"/>
          <w:kern w:val="0"/>
          <w:szCs w:val="21"/>
        </w:rPr>
        <w:t>原子核外电子的几率分布表达的物理含义，能够构建初步的物理图像。</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eastAsia="黑体"/>
          <w:snapToGrid w:val="0"/>
          <w:color w:val="000000"/>
          <w:kern w:val="0"/>
          <w:szCs w:val="21"/>
        </w:rPr>
      </w:pPr>
      <w:r>
        <w:rPr>
          <w:rFonts w:eastAsia="黑体"/>
          <w:snapToGrid w:val="0"/>
          <w:color w:val="000000"/>
          <w:kern w:val="0"/>
          <w:szCs w:val="21"/>
        </w:rPr>
        <w:t>5 定态微绕论</w:t>
      </w:r>
      <w:r>
        <w:rPr>
          <w:rFonts w:hint="eastAsia" w:eastAsia="黑体"/>
          <w:snapToGrid w:val="0"/>
          <w:color w:val="000000"/>
          <w:kern w:val="0"/>
          <w:szCs w:val="21"/>
        </w:rPr>
        <w:t>和</w:t>
      </w:r>
      <w:r>
        <w:rPr>
          <w:rFonts w:eastAsia="黑体"/>
          <w:snapToGrid w:val="0"/>
          <w:color w:val="000000"/>
          <w:kern w:val="0"/>
          <w:szCs w:val="21"/>
        </w:rPr>
        <w:t>原子的能级（6学时）</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5.1</w:t>
      </w:r>
      <w:r>
        <w:rPr>
          <w:rFonts w:hint="eastAsia"/>
          <w:bCs/>
          <w:snapToGrid w:val="0"/>
          <w:color w:val="000000"/>
          <w:kern w:val="0"/>
          <w:szCs w:val="21"/>
        </w:rPr>
        <w:t>、</w:t>
      </w:r>
      <w:r>
        <w:rPr>
          <w:bCs/>
          <w:snapToGrid w:val="0"/>
          <w:color w:val="000000"/>
          <w:kern w:val="0"/>
          <w:szCs w:val="21"/>
        </w:rPr>
        <w:t>无简并定态微绕论解决问题的方法和推导过程，了解有简并定态微扰论解决问题的方法和推导过程；</w:t>
      </w:r>
      <w:r>
        <w:rPr>
          <w:rFonts w:ascii="宋体" w:hAnsi="宋体"/>
          <w:snapToGrid w:val="0"/>
          <w:color w:val="000000"/>
          <w:kern w:val="0"/>
          <w:szCs w:val="21"/>
        </w:rPr>
        <w:t>（重点）</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5.2</w:t>
      </w:r>
      <w:r>
        <w:rPr>
          <w:rFonts w:hint="eastAsia"/>
          <w:bCs/>
          <w:snapToGrid w:val="0"/>
          <w:color w:val="000000"/>
          <w:kern w:val="0"/>
          <w:szCs w:val="21"/>
        </w:rPr>
        <w:t>、</w:t>
      </w:r>
      <w:r>
        <w:rPr>
          <w:bCs/>
          <w:snapToGrid w:val="0"/>
          <w:color w:val="000000"/>
          <w:kern w:val="0"/>
          <w:szCs w:val="21"/>
        </w:rPr>
        <w:t>氢原子的能级在均匀外电场中分裂的“斯塔克效应”分析过程；</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5.3</w:t>
      </w:r>
      <w:r>
        <w:rPr>
          <w:rFonts w:hint="eastAsia"/>
          <w:bCs/>
          <w:snapToGrid w:val="0"/>
          <w:color w:val="000000"/>
          <w:kern w:val="0"/>
          <w:szCs w:val="21"/>
        </w:rPr>
        <w:t>、</w:t>
      </w:r>
      <w:r>
        <w:rPr>
          <w:bCs/>
          <w:snapToGrid w:val="0"/>
          <w:color w:val="000000"/>
          <w:kern w:val="0"/>
          <w:szCs w:val="21"/>
        </w:rPr>
        <w:t>多电子原子中电子能级的排列、分布规律。</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eastAsia="黑体"/>
          <w:snapToGrid w:val="0"/>
          <w:color w:val="000000"/>
          <w:kern w:val="0"/>
          <w:szCs w:val="21"/>
        </w:rPr>
      </w:pPr>
      <w:r>
        <w:rPr>
          <w:rFonts w:eastAsia="黑体"/>
          <w:snapToGrid w:val="0"/>
          <w:color w:val="000000"/>
          <w:kern w:val="0"/>
          <w:szCs w:val="21"/>
        </w:rPr>
        <w:t>6 电子自旋全同粒子原子中电子的能级排列（4学时）</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6.1</w:t>
      </w:r>
      <w:r>
        <w:rPr>
          <w:rFonts w:hint="eastAsia"/>
          <w:bCs/>
          <w:snapToGrid w:val="0"/>
          <w:color w:val="000000"/>
          <w:kern w:val="0"/>
          <w:szCs w:val="21"/>
        </w:rPr>
        <w:t>、</w:t>
      </w:r>
      <w:r>
        <w:rPr>
          <w:bCs/>
          <w:snapToGrid w:val="0"/>
          <w:color w:val="000000"/>
          <w:kern w:val="0"/>
          <w:szCs w:val="21"/>
        </w:rPr>
        <w:t>电子自旋的实验，自旋算符和自旋算符的表达式；</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6.2</w:t>
      </w:r>
      <w:r>
        <w:rPr>
          <w:rFonts w:hint="eastAsia"/>
          <w:bCs/>
          <w:snapToGrid w:val="0"/>
          <w:color w:val="000000"/>
          <w:kern w:val="0"/>
          <w:szCs w:val="21"/>
        </w:rPr>
        <w:t>、</w:t>
      </w:r>
      <w:r>
        <w:rPr>
          <w:bCs/>
          <w:snapToGrid w:val="0"/>
          <w:color w:val="000000"/>
          <w:kern w:val="0"/>
          <w:szCs w:val="21"/>
        </w:rPr>
        <w:t>全同粒子波函数表达深刻内涵；</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6.3</w:t>
      </w:r>
      <w:r>
        <w:rPr>
          <w:rFonts w:hint="eastAsia"/>
          <w:bCs/>
          <w:snapToGrid w:val="0"/>
          <w:color w:val="000000"/>
          <w:kern w:val="0"/>
          <w:szCs w:val="21"/>
        </w:rPr>
        <w:t>、</w:t>
      </w:r>
      <w:r>
        <w:rPr>
          <w:bCs/>
          <w:snapToGrid w:val="0"/>
          <w:color w:val="000000"/>
          <w:kern w:val="0"/>
          <w:szCs w:val="21"/>
        </w:rPr>
        <w:t>泡利原理，能够在相关原理的指导下进行原子中电子的正确排列。</w:t>
      </w:r>
      <w:r>
        <w:rPr>
          <w:rFonts w:hint="eastAsia"/>
          <w:bCs/>
          <w:snapToGrid w:val="0"/>
          <w:color w:val="000000"/>
          <w:kern w:val="0"/>
          <w:szCs w:val="21"/>
        </w:rPr>
        <w:t>（重点）</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eastAsia="黑体"/>
          <w:snapToGrid w:val="0"/>
          <w:color w:val="000000"/>
          <w:kern w:val="0"/>
          <w:szCs w:val="21"/>
        </w:rPr>
      </w:pPr>
      <w:r>
        <w:rPr>
          <w:rFonts w:eastAsia="黑体"/>
          <w:snapToGrid w:val="0"/>
          <w:color w:val="000000"/>
          <w:kern w:val="0"/>
          <w:szCs w:val="21"/>
        </w:rPr>
        <w:t>7  含时微扰论光的吸收和辐射（4学时）</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7.1</w:t>
      </w:r>
      <w:r>
        <w:rPr>
          <w:rFonts w:hint="eastAsia"/>
          <w:bCs/>
          <w:snapToGrid w:val="0"/>
          <w:color w:val="000000"/>
          <w:kern w:val="0"/>
          <w:szCs w:val="21"/>
        </w:rPr>
        <w:t>、</w:t>
      </w:r>
      <w:r>
        <w:rPr>
          <w:bCs/>
          <w:snapToGrid w:val="0"/>
          <w:color w:val="000000"/>
          <w:kern w:val="0"/>
          <w:szCs w:val="21"/>
        </w:rPr>
        <w:t>含时微绕论的推导过程，以及关系式所代表的物理含义；</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7.2</w:t>
      </w:r>
      <w:r>
        <w:rPr>
          <w:rFonts w:hint="eastAsia"/>
          <w:bCs/>
          <w:snapToGrid w:val="0"/>
          <w:color w:val="000000"/>
          <w:kern w:val="0"/>
          <w:szCs w:val="21"/>
        </w:rPr>
        <w:t>、</w:t>
      </w:r>
      <w:r>
        <w:rPr>
          <w:bCs/>
          <w:snapToGrid w:val="0"/>
          <w:color w:val="000000"/>
          <w:kern w:val="0"/>
          <w:szCs w:val="21"/>
        </w:rPr>
        <w:t>吸收和发射光子的几率表达的物理过程；</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7.3</w:t>
      </w:r>
      <w:r>
        <w:rPr>
          <w:rFonts w:hint="eastAsia"/>
          <w:bCs/>
          <w:snapToGrid w:val="0"/>
          <w:color w:val="000000"/>
          <w:kern w:val="0"/>
          <w:szCs w:val="21"/>
        </w:rPr>
        <w:t>、</w:t>
      </w:r>
      <w:r>
        <w:rPr>
          <w:bCs/>
          <w:snapToGrid w:val="0"/>
          <w:color w:val="000000"/>
          <w:kern w:val="0"/>
          <w:szCs w:val="21"/>
        </w:rPr>
        <w:t>量子跃迁的选择定则；（难点）</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7.4</w:t>
      </w:r>
      <w:r>
        <w:rPr>
          <w:rFonts w:hint="eastAsia"/>
          <w:bCs/>
          <w:snapToGrid w:val="0"/>
          <w:color w:val="000000"/>
          <w:kern w:val="0"/>
          <w:szCs w:val="21"/>
        </w:rPr>
        <w:t>、</w:t>
      </w:r>
      <w:r>
        <w:rPr>
          <w:bCs/>
          <w:snapToGrid w:val="0"/>
          <w:color w:val="000000"/>
          <w:kern w:val="0"/>
          <w:szCs w:val="21"/>
        </w:rPr>
        <w:t>激光的产生。</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eastAsia="黑体"/>
          <w:snapToGrid w:val="0"/>
          <w:color w:val="000000"/>
          <w:kern w:val="0"/>
          <w:szCs w:val="21"/>
        </w:rPr>
      </w:pPr>
      <w:r>
        <w:rPr>
          <w:rFonts w:eastAsia="黑体"/>
          <w:snapToGrid w:val="0"/>
          <w:color w:val="000000"/>
          <w:kern w:val="0"/>
          <w:szCs w:val="21"/>
        </w:rPr>
        <w:t>8  热力学和统计物理（8学时）</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8.1</w:t>
      </w:r>
      <w:r>
        <w:rPr>
          <w:rFonts w:hint="eastAsia"/>
          <w:bCs/>
          <w:snapToGrid w:val="0"/>
          <w:color w:val="000000"/>
          <w:kern w:val="0"/>
          <w:szCs w:val="21"/>
        </w:rPr>
        <w:t>、</w:t>
      </w:r>
      <w:r>
        <w:rPr>
          <w:bCs/>
          <w:snapToGrid w:val="0"/>
          <w:color w:val="000000"/>
          <w:kern w:val="0"/>
          <w:szCs w:val="21"/>
        </w:rPr>
        <w:t>热力学的基本概念和简单发展</w:t>
      </w:r>
      <w:r>
        <w:rPr>
          <w:rFonts w:hint="eastAsia"/>
          <w:bCs/>
          <w:snapToGrid w:val="0"/>
          <w:color w:val="000000"/>
          <w:kern w:val="0"/>
          <w:szCs w:val="21"/>
        </w:rPr>
        <w:t>历史</w:t>
      </w:r>
      <w:r>
        <w:rPr>
          <w:bCs/>
          <w:snapToGrid w:val="0"/>
          <w:color w:val="000000"/>
          <w:kern w:val="0"/>
          <w:szCs w:val="21"/>
        </w:rPr>
        <w:t>；</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8.2</w:t>
      </w:r>
      <w:r>
        <w:rPr>
          <w:rFonts w:hint="eastAsia"/>
          <w:bCs/>
          <w:snapToGrid w:val="0"/>
          <w:color w:val="000000"/>
          <w:kern w:val="0"/>
          <w:szCs w:val="21"/>
        </w:rPr>
        <w:t>、</w:t>
      </w:r>
      <w:r>
        <w:rPr>
          <w:bCs/>
          <w:snapToGrid w:val="0"/>
          <w:color w:val="000000"/>
          <w:kern w:val="0"/>
          <w:szCs w:val="21"/>
        </w:rPr>
        <w:t>热力学第一定律、第二定律，</w:t>
      </w:r>
      <w:r>
        <w:rPr>
          <w:rFonts w:hint="eastAsia"/>
          <w:bCs/>
          <w:snapToGrid w:val="0"/>
          <w:color w:val="000000"/>
          <w:kern w:val="0"/>
          <w:szCs w:val="21"/>
        </w:rPr>
        <w:t>了解</w:t>
      </w:r>
      <w:r>
        <w:rPr>
          <w:bCs/>
          <w:snapToGrid w:val="0"/>
          <w:color w:val="000000"/>
          <w:kern w:val="0"/>
          <w:szCs w:val="21"/>
        </w:rPr>
        <w:t>卡诺定理；</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8.3</w:t>
      </w:r>
      <w:r>
        <w:rPr>
          <w:rFonts w:hint="eastAsia"/>
          <w:bCs/>
          <w:snapToGrid w:val="0"/>
          <w:color w:val="000000"/>
          <w:kern w:val="0"/>
          <w:szCs w:val="21"/>
        </w:rPr>
        <w:t>、</w:t>
      </w:r>
      <w:r>
        <w:rPr>
          <w:bCs/>
          <w:snapToGrid w:val="0"/>
          <w:color w:val="000000"/>
          <w:kern w:val="0"/>
          <w:szCs w:val="21"/>
        </w:rPr>
        <w:t>克劳修斯不等式，</w:t>
      </w:r>
      <w:r>
        <w:rPr>
          <w:rFonts w:hint="eastAsia"/>
          <w:bCs/>
          <w:snapToGrid w:val="0"/>
          <w:color w:val="000000"/>
          <w:kern w:val="0"/>
          <w:szCs w:val="21"/>
        </w:rPr>
        <w:t>掌握</w:t>
      </w:r>
      <w:r>
        <w:rPr>
          <w:bCs/>
          <w:snapToGrid w:val="0"/>
          <w:color w:val="000000"/>
          <w:kern w:val="0"/>
          <w:szCs w:val="21"/>
        </w:rPr>
        <w:t>熵增原理</w:t>
      </w:r>
      <w:r>
        <w:rPr>
          <w:rFonts w:hint="eastAsia"/>
          <w:bCs/>
          <w:snapToGrid w:val="0"/>
          <w:color w:val="000000"/>
          <w:kern w:val="0"/>
          <w:szCs w:val="21"/>
        </w:rPr>
        <w:t>；（难点）</w:t>
      </w:r>
    </w:p>
    <w:p>
      <w:pPr>
        <w:widowControl/>
        <w:tabs>
          <w:tab w:val="left" w:pos="900"/>
        </w:tabs>
        <w:adjustRightInd w:val="0"/>
        <w:snapToGrid w:val="0"/>
        <w:spacing w:line="360" w:lineRule="auto"/>
        <w:ind w:firstLine="420" w:firstLineChars="200"/>
        <w:rPr>
          <w:bCs/>
          <w:snapToGrid w:val="0"/>
          <w:color w:val="000000"/>
          <w:kern w:val="0"/>
          <w:szCs w:val="21"/>
        </w:rPr>
      </w:pPr>
      <w:r>
        <w:rPr>
          <w:bCs/>
          <w:snapToGrid w:val="0"/>
          <w:color w:val="000000"/>
          <w:kern w:val="0"/>
          <w:szCs w:val="21"/>
        </w:rPr>
        <w:t>8.4</w:t>
      </w:r>
      <w:r>
        <w:rPr>
          <w:rFonts w:hint="eastAsia"/>
          <w:bCs/>
          <w:snapToGrid w:val="0"/>
          <w:color w:val="000000"/>
          <w:kern w:val="0"/>
          <w:szCs w:val="21"/>
        </w:rPr>
        <w:t>、</w:t>
      </w:r>
      <w:r>
        <w:rPr>
          <w:bCs/>
          <w:snapToGrid w:val="0"/>
          <w:color w:val="000000"/>
          <w:kern w:val="0"/>
          <w:szCs w:val="21"/>
        </w:rPr>
        <w:t>相空间、宏观态、微观态等统计物理的基本概念，统计物理的发展历史；</w:t>
      </w:r>
    </w:p>
    <w:p>
      <w:pPr>
        <w:widowControl/>
        <w:tabs>
          <w:tab w:val="left" w:pos="900"/>
        </w:tabs>
        <w:adjustRightInd w:val="0"/>
        <w:snapToGrid w:val="0"/>
        <w:spacing w:line="360" w:lineRule="auto"/>
        <w:ind w:firstLine="420" w:firstLineChars="200"/>
        <w:rPr>
          <w:rFonts w:ascii="宋体" w:hAnsi="宋体"/>
          <w:snapToGrid w:val="0"/>
          <w:color w:val="000000"/>
          <w:kern w:val="0"/>
          <w:szCs w:val="21"/>
        </w:rPr>
      </w:pPr>
      <w:r>
        <w:rPr>
          <w:bCs/>
          <w:snapToGrid w:val="0"/>
          <w:color w:val="000000"/>
          <w:kern w:val="0"/>
          <w:szCs w:val="21"/>
        </w:rPr>
        <w:t>8.5</w:t>
      </w:r>
      <w:r>
        <w:rPr>
          <w:rFonts w:hint="eastAsia"/>
          <w:bCs/>
          <w:snapToGrid w:val="0"/>
          <w:color w:val="000000"/>
          <w:kern w:val="0"/>
          <w:szCs w:val="21"/>
        </w:rPr>
        <w:t>、</w:t>
      </w:r>
      <w:r>
        <w:rPr>
          <w:bCs/>
          <w:snapToGrid w:val="0"/>
          <w:color w:val="000000"/>
          <w:kern w:val="0"/>
          <w:szCs w:val="21"/>
        </w:rPr>
        <w:t>三种统计分布函数。</w:t>
      </w:r>
      <w:r>
        <w:rPr>
          <w:rFonts w:ascii="宋体" w:hAnsi="宋体"/>
          <w:snapToGrid w:val="0"/>
          <w:color w:val="000000"/>
          <w:kern w:val="0"/>
          <w:szCs w:val="21"/>
        </w:rPr>
        <w:t>（重点）</w:t>
      </w:r>
    </w:p>
    <w:p>
      <w:pPr>
        <w:widowControl/>
        <w:adjustRightInd w:val="0"/>
        <w:snapToGrid w:val="0"/>
        <w:spacing w:line="360" w:lineRule="auto"/>
        <w:ind w:firstLine="420" w:firstLineChars="200"/>
        <w:rPr>
          <w:rFonts w:ascii="宋体" w:hAnsi="宋体"/>
          <w:color w:val="000000"/>
          <w:szCs w:val="21"/>
        </w:rPr>
      </w:pPr>
      <w:r>
        <w:rPr>
          <w:rFonts w:hint="eastAsia"/>
          <w:snapToGrid w:val="0"/>
          <w:color w:val="000000"/>
          <w:kern w:val="0"/>
          <w:szCs w:val="21"/>
        </w:rPr>
        <w:t>本章内容支撑课程目</w:t>
      </w:r>
      <w:r>
        <w:rPr>
          <w:rFonts w:hint="eastAsia" w:ascii="宋体" w:hAnsi="宋体"/>
          <w:color w:val="000000"/>
          <w:szCs w:val="21"/>
        </w:rPr>
        <w:t>标1。</w:t>
      </w:r>
      <w:r>
        <w:rPr>
          <w:rFonts w:hint="eastAsia" w:ascii="宋体" w:hAnsi="宋体"/>
          <w:color w:val="000000"/>
          <w:szCs w:val="21"/>
        </w:rPr>
        <w:tab/>
      </w:r>
    </w:p>
    <w:p>
      <w:pPr>
        <w:widowControl/>
        <w:adjustRightInd w:val="0"/>
        <w:snapToGrid w:val="0"/>
        <w:spacing w:line="360" w:lineRule="auto"/>
        <w:ind w:firstLine="420" w:firstLineChars="200"/>
        <w:rPr>
          <w:rFonts w:ascii="宋体" w:hAnsi="宋体"/>
          <w:color w:val="000000"/>
          <w:szCs w:val="21"/>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五、实验</w:t>
      </w:r>
    </w:p>
    <w:p>
      <w:pPr>
        <w:adjustRightInd w:val="0"/>
        <w:snapToGrid w:val="0"/>
        <w:spacing w:line="360" w:lineRule="auto"/>
        <w:ind w:firstLine="420" w:firstLineChars="200"/>
        <w:rPr>
          <w:color w:val="000000"/>
          <w:szCs w:val="24"/>
        </w:rPr>
      </w:pPr>
      <w:r>
        <w:rPr>
          <w:color w:val="000000"/>
          <w:szCs w:val="24"/>
        </w:rPr>
        <w:t>无</w:t>
      </w:r>
    </w:p>
    <w:p>
      <w:pPr>
        <w:adjustRightInd w:val="0"/>
        <w:snapToGrid w:val="0"/>
        <w:spacing w:line="360" w:lineRule="auto"/>
        <w:ind w:firstLine="420" w:firstLineChars="200"/>
        <w:rPr>
          <w:color w:val="000000"/>
          <w:szCs w:val="24"/>
        </w:rPr>
      </w:pPr>
    </w:p>
    <w:p>
      <w:pPr>
        <w:widowControl/>
        <w:adjustRightInd w:val="0"/>
        <w:snapToGrid w:val="0"/>
        <w:spacing w:line="360" w:lineRule="auto"/>
        <w:jc w:val="left"/>
        <w:rPr>
          <w:rFonts w:eastAsia="黑体"/>
          <w:color w:val="000000"/>
          <w:kern w:val="0"/>
          <w:szCs w:val="21"/>
        </w:rPr>
      </w:pPr>
      <w:r>
        <w:rPr>
          <w:rFonts w:eastAsia="黑体"/>
          <w:color w:val="000000"/>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8"/>
        <w:gridCol w:w="1542"/>
        <w:gridCol w:w="1542"/>
        <w:gridCol w:w="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color w:val="000000"/>
                <w:sz w:val="18"/>
                <w:szCs w:val="18"/>
              </w:rPr>
              <w:t>讲授的知识点及内容</w:t>
            </w:r>
          </w:p>
        </w:tc>
        <w:tc>
          <w:tcPr>
            <w:tcW w:w="928" w:type="pct"/>
          </w:tcPr>
          <w:p>
            <w:pPr>
              <w:adjustRightInd w:val="0"/>
              <w:snapToGrid w:val="0"/>
              <w:jc w:val="center"/>
              <w:rPr>
                <w:color w:val="000000"/>
                <w:sz w:val="18"/>
                <w:szCs w:val="18"/>
              </w:rPr>
            </w:pPr>
            <w:r>
              <w:rPr>
                <w:color w:val="000000"/>
                <w:sz w:val="18"/>
                <w:szCs w:val="18"/>
              </w:rPr>
              <w:t>讲授（学时）</w:t>
            </w:r>
          </w:p>
        </w:tc>
        <w:tc>
          <w:tcPr>
            <w:tcW w:w="928" w:type="pct"/>
          </w:tcPr>
          <w:p>
            <w:pPr>
              <w:adjustRightInd w:val="0"/>
              <w:snapToGrid w:val="0"/>
              <w:jc w:val="center"/>
              <w:rPr>
                <w:color w:val="000000"/>
                <w:sz w:val="18"/>
                <w:szCs w:val="18"/>
              </w:rPr>
            </w:pPr>
            <w:r>
              <w:rPr>
                <w:color w:val="000000"/>
                <w:sz w:val="18"/>
                <w:szCs w:val="18"/>
              </w:rPr>
              <w:t>实验（学时）</w:t>
            </w:r>
          </w:p>
        </w:tc>
        <w:tc>
          <w:tcPr>
            <w:tcW w:w="412" w:type="pct"/>
          </w:tcPr>
          <w:p>
            <w:pPr>
              <w:adjustRightInd w:val="0"/>
              <w:snapToGrid w:val="0"/>
              <w:jc w:val="center"/>
              <w:rPr>
                <w:color w:val="000000"/>
                <w:sz w:val="18"/>
                <w:szCs w:val="18"/>
              </w:rPr>
            </w:pPr>
            <w:r>
              <w:rPr>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1</w:t>
            </w:r>
            <w:r>
              <w:rPr>
                <w:color w:val="000000"/>
                <w:sz w:val="18"/>
                <w:szCs w:val="18"/>
              </w:rPr>
              <w:t>绪论</w:t>
            </w:r>
            <w:r>
              <w:rPr>
                <w:rFonts w:hint="eastAsia"/>
                <w:color w:val="000000"/>
                <w:sz w:val="18"/>
                <w:szCs w:val="18"/>
              </w:rPr>
              <w:t>及分析力学</w:t>
            </w:r>
          </w:p>
        </w:tc>
        <w:tc>
          <w:tcPr>
            <w:tcW w:w="928" w:type="pct"/>
          </w:tcPr>
          <w:p>
            <w:pPr>
              <w:adjustRightInd w:val="0"/>
              <w:snapToGrid w:val="0"/>
              <w:jc w:val="center"/>
              <w:rPr>
                <w:color w:val="000000"/>
                <w:sz w:val="18"/>
                <w:szCs w:val="18"/>
              </w:rPr>
            </w:pPr>
            <w:r>
              <w:rPr>
                <w:color w:val="000000"/>
                <w:sz w:val="18"/>
                <w:szCs w:val="18"/>
              </w:rPr>
              <w:t>4</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2</w:t>
            </w:r>
            <w:r>
              <w:rPr>
                <w:color w:val="000000"/>
                <w:sz w:val="18"/>
                <w:szCs w:val="18"/>
              </w:rPr>
              <w:t>薛定谔方程</w:t>
            </w:r>
          </w:p>
        </w:tc>
        <w:tc>
          <w:tcPr>
            <w:tcW w:w="928" w:type="pct"/>
          </w:tcPr>
          <w:p>
            <w:pPr>
              <w:adjustRightInd w:val="0"/>
              <w:snapToGrid w:val="0"/>
              <w:jc w:val="center"/>
              <w:rPr>
                <w:color w:val="000000"/>
                <w:sz w:val="18"/>
                <w:szCs w:val="18"/>
              </w:rPr>
            </w:pPr>
            <w:r>
              <w:rPr>
                <w:color w:val="000000"/>
                <w:sz w:val="18"/>
                <w:szCs w:val="18"/>
              </w:rPr>
              <w:t>8</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3</w:t>
            </w:r>
            <w:r>
              <w:rPr>
                <w:color w:val="000000"/>
                <w:sz w:val="18"/>
                <w:szCs w:val="18"/>
              </w:rPr>
              <w:t>力学量的算符</w:t>
            </w:r>
          </w:p>
        </w:tc>
        <w:tc>
          <w:tcPr>
            <w:tcW w:w="928" w:type="pct"/>
          </w:tcPr>
          <w:p>
            <w:pPr>
              <w:adjustRightInd w:val="0"/>
              <w:snapToGrid w:val="0"/>
              <w:jc w:val="center"/>
              <w:rPr>
                <w:color w:val="000000"/>
                <w:sz w:val="18"/>
                <w:szCs w:val="18"/>
              </w:rPr>
            </w:pPr>
            <w:r>
              <w:rPr>
                <w:color w:val="000000"/>
                <w:sz w:val="18"/>
                <w:szCs w:val="18"/>
              </w:rPr>
              <w:t>6</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4</w:t>
            </w:r>
            <w:r>
              <w:rPr>
                <w:color w:val="000000"/>
                <w:sz w:val="18"/>
                <w:szCs w:val="18"/>
              </w:rPr>
              <w:t>氢原子和类氢原子的波函数和能级</w:t>
            </w:r>
          </w:p>
        </w:tc>
        <w:tc>
          <w:tcPr>
            <w:tcW w:w="928" w:type="pct"/>
          </w:tcPr>
          <w:p>
            <w:pPr>
              <w:adjustRightInd w:val="0"/>
              <w:snapToGrid w:val="0"/>
              <w:jc w:val="center"/>
              <w:rPr>
                <w:color w:val="000000"/>
                <w:sz w:val="18"/>
                <w:szCs w:val="18"/>
              </w:rPr>
            </w:pPr>
            <w:r>
              <w:rPr>
                <w:color w:val="000000"/>
                <w:sz w:val="18"/>
                <w:szCs w:val="18"/>
              </w:rPr>
              <w:t>8</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5</w:t>
            </w:r>
            <w:r>
              <w:rPr>
                <w:color w:val="000000"/>
                <w:sz w:val="18"/>
                <w:szCs w:val="18"/>
              </w:rPr>
              <w:t>定态微扰论和原子的能级</w:t>
            </w:r>
          </w:p>
        </w:tc>
        <w:tc>
          <w:tcPr>
            <w:tcW w:w="928" w:type="pct"/>
          </w:tcPr>
          <w:p>
            <w:pPr>
              <w:adjustRightInd w:val="0"/>
              <w:snapToGrid w:val="0"/>
              <w:jc w:val="center"/>
              <w:rPr>
                <w:color w:val="000000"/>
                <w:sz w:val="18"/>
                <w:szCs w:val="18"/>
              </w:rPr>
            </w:pPr>
            <w:r>
              <w:rPr>
                <w:color w:val="000000"/>
                <w:sz w:val="18"/>
                <w:szCs w:val="18"/>
              </w:rPr>
              <w:t>6</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6</w:t>
            </w:r>
            <w:r>
              <w:rPr>
                <w:color w:val="000000"/>
                <w:sz w:val="18"/>
                <w:szCs w:val="18"/>
              </w:rPr>
              <w:t>电子自旋全同粒子原子中电子的能级排列</w:t>
            </w:r>
          </w:p>
        </w:tc>
        <w:tc>
          <w:tcPr>
            <w:tcW w:w="928" w:type="pct"/>
          </w:tcPr>
          <w:p>
            <w:pPr>
              <w:adjustRightInd w:val="0"/>
              <w:snapToGrid w:val="0"/>
              <w:jc w:val="center"/>
              <w:rPr>
                <w:color w:val="000000"/>
                <w:sz w:val="18"/>
                <w:szCs w:val="18"/>
              </w:rPr>
            </w:pPr>
            <w:r>
              <w:rPr>
                <w:color w:val="000000"/>
                <w:sz w:val="18"/>
                <w:szCs w:val="18"/>
              </w:rPr>
              <w:t>4</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7</w:t>
            </w:r>
            <w:r>
              <w:rPr>
                <w:color w:val="000000"/>
                <w:sz w:val="18"/>
                <w:szCs w:val="18"/>
              </w:rPr>
              <w:t>含时微扰论光的吸收和辐射</w:t>
            </w:r>
          </w:p>
        </w:tc>
        <w:tc>
          <w:tcPr>
            <w:tcW w:w="928" w:type="pct"/>
          </w:tcPr>
          <w:p>
            <w:pPr>
              <w:adjustRightInd w:val="0"/>
              <w:snapToGrid w:val="0"/>
              <w:jc w:val="center"/>
              <w:rPr>
                <w:color w:val="000000"/>
                <w:sz w:val="18"/>
                <w:szCs w:val="18"/>
              </w:rPr>
            </w:pPr>
            <w:r>
              <w:rPr>
                <w:color w:val="000000"/>
                <w:sz w:val="18"/>
                <w:szCs w:val="18"/>
              </w:rPr>
              <w:t>4</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rFonts w:hint="eastAsia"/>
                <w:color w:val="000000"/>
                <w:sz w:val="18"/>
                <w:szCs w:val="18"/>
              </w:rPr>
              <w:t>8</w:t>
            </w:r>
            <w:r>
              <w:rPr>
                <w:color w:val="000000"/>
                <w:sz w:val="18"/>
                <w:szCs w:val="18"/>
              </w:rPr>
              <w:t>热力学和统计物理</w:t>
            </w:r>
          </w:p>
        </w:tc>
        <w:tc>
          <w:tcPr>
            <w:tcW w:w="928" w:type="pct"/>
          </w:tcPr>
          <w:p>
            <w:pPr>
              <w:adjustRightInd w:val="0"/>
              <w:snapToGrid w:val="0"/>
              <w:jc w:val="center"/>
              <w:rPr>
                <w:color w:val="000000"/>
                <w:sz w:val="18"/>
                <w:szCs w:val="18"/>
              </w:rPr>
            </w:pPr>
            <w:r>
              <w:rPr>
                <w:color w:val="000000"/>
                <w:sz w:val="18"/>
                <w:szCs w:val="18"/>
              </w:rPr>
              <w:t>8</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32" w:type="pct"/>
          </w:tcPr>
          <w:p>
            <w:pPr>
              <w:adjustRightInd w:val="0"/>
              <w:snapToGrid w:val="0"/>
              <w:jc w:val="center"/>
              <w:rPr>
                <w:color w:val="000000"/>
                <w:sz w:val="18"/>
                <w:szCs w:val="18"/>
              </w:rPr>
            </w:pPr>
            <w:r>
              <w:rPr>
                <w:color w:val="000000"/>
                <w:sz w:val="18"/>
                <w:szCs w:val="18"/>
              </w:rPr>
              <w:t>合计</w:t>
            </w:r>
          </w:p>
        </w:tc>
        <w:tc>
          <w:tcPr>
            <w:tcW w:w="928" w:type="pct"/>
          </w:tcPr>
          <w:p>
            <w:pPr>
              <w:adjustRightInd w:val="0"/>
              <w:snapToGrid w:val="0"/>
              <w:jc w:val="center"/>
              <w:rPr>
                <w:color w:val="000000"/>
                <w:sz w:val="18"/>
                <w:szCs w:val="18"/>
              </w:rPr>
            </w:pPr>
            <w:r>
              <w:rPr>
                <w:color w:val="000000"/>
                <w:sz w:val="18"/>
                <w:szCs w:val="18"/>
              </w:rPr>
              <w:t>48</w:t>
            </w:r>
          </w:p>
        </w:tc>
        <w:tc>
          <w:tcPr>
            <w:tcW w:w="928" w:type="pct"/>
          </w:tcPr>
          <w:p>
            <w:pPr>
              <w:adjustRightInd w:val="0"/>
              <w:snapToGrid w:val="0"/>
              <w:jc w:val="center"/>
              <w:rPr>
                <w:color w:val="000000"/>
                <w:sz w:val="18"/>
                <w:szCs w:val="18"/>
              </w:rPr>
            </w:pPr>
            <w:r>
              <w:rPr>
                <w:rFonts w:hint="eastAsia"/>
                <w:color w:val="000000"/>
                <w:sz w:val="18"/>
                <w:szCs w:val="18"/>
              </w:rPr>
              <w:t>0</w:t>
            </w:r>
          </w:p>
        </w:tc>
        <w:tc>
          <w:tcPr>
            <w:tcW w:w="412" w:type="pct"/>
          </w:tcPr>
          <w:p>
            <w:pPr>
              <w:adjustRightInd w:val="0"/>
              <w:snapToGrid w:val="0"/>
              <w:jc w:val="center"/>
              <w:rPr>
                <w:color w:val="000000"/>
                <w:sz w:val="18"/>
                <w:szCs w:val="18"/>
              </w:rPr>
            </w:pPr>
            <w:r>
              <w:rPr>
                <w:color w:val="000000"/>
                <w:sz w:val="18"/>
                <w:szCs w:val="18"/>
              </w:rPr>
              <w:t>48</w:t>
            </w:r>
          </w:p>
        </w:tc>
      </w:tr>
    </w:tbl>
    <w:p>
      <w:pPr>
        <w:tabs>
          <w:tab w:val="left" w:pos="420"/>
        </w:tabs>
        <w:adjustRightInd w:val="0"/>
        <w:snapToGrid w:val="0"/>
        <w:spacing w:line="360" w:lineRule="auto"/>
        <w:ind w:left="420" w:hanging="420"/>
        <w:rPr>
          <w:rFonts w:eastAsia="黑体"/>
          <w:color w:val="000000"/>
          <w:szCs w:val="24"/>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七、教材、补充教材及参考资料</w:t>
      </w:r>
    </w:p>
    <w:p>
      <w:pPr>
        <w:adjustRightInd w:val="0"/>
        <w:snapToGrid w:val="0"/>
        <w:spacing w:line="360" w:lineRule="auto"/>
        <w:ind w:firstLine="420" w:firstLineChars="200"/>
        <w:rPr>
          <w:color w:val="000000"/>
          <w:szCs w:val="21"/>
        </w:rPr>
      </w:pPr>
      <w:r>
        <w:rPr>
          <w:color w:val="000000"/>
          <w:szCs w:val="21"/>
        </w:rPr>
        <w:t>1</w:t>
      </w:r>
      <w:r>
        <w:rPr>
          <w:rFonts w:hint="eastAsia"/>
          <w:color w:val="000000"/>
          <w:szCs w:val="21"/>
        </w:rPr>
        <w:t>、仲顺安</w:t>
      </w:r>
      <w:r>
        <w:rPr>
          <w:color w:val="000000"/>
          <w:szCs w:val="21"/>
        </w:rPr>
        <w:t>编著</w:t>
      </w:r>
      <w:r>
        <w:rPr>
          <w:rFonts w:hint="eastAsia"/>
          <w:color w:val="000000"/>
          <w:szCs w:val="21"/>
        </w:rPr>
        <w:t>，</w:t>
      </w:r>
      <w:r>
        <w:rPr>
          <w:color w:val="000000"/>
          <w:szCs w:val="21"/>
        </w:rPr>
        <w:t>《理论物理导论》，北京理工大学出版社</w:t>
      </w:r>
      <w:r>
        <w:rPr>
          <w:rFonts w:hint="eastAsia"/>
          <w:color w:val="000000"/>
          <w:szCs w:val="21"/>
        </w:rPr>
        <w:t>。</w:t>
      </w:r>
    </w:p>
    <w:p>
      <w:pPr>
        <w:adjustRightInd w:val="0"/>
        <w:snapToGrid w:val="0"/>
        <w:spacing w:line="360" w:lineRule="auto"/>
        <w:ind w:firstLine="420" w:firstLineChars="200"/>
        <w:rPr>
          <w:color w:val="000000"/>
          <w:szCs w:val="21"/>
        </w:rPr>
      </w:pPr>
      <w:r>
        <w:rPr>
          <w:color w:val="000000"/>
          <w:szCs w:val="21"/>
        </w:rPr>
        <w:t>2</w:t>
      </w:r>
      <w:r>
        <w:rPr>
          <w:rFonts w:hint="eastAsia"/>
          <w:color w:val="000000"/>
          <w:szCs w:val="21"/>
        </w:rPr>
        <w:t>、</w:t>
      </w:r>
      <w:r>
        <w:rPr>
          <w:color w:val="000000"/>
          <w:szCs w:val="21"/>
        </w:rPr>
        <w:t>周世勋</w:t>
      </w:r>
      <w:r>
        <w:rPr>
          <w:rFonts w:hint="eastAsia"/>
          <w:color w:val="000000"/>
          <w:szCs w:val="21"/>
        </w:rPr>
        <w:t>，</w:t>
      </w:r>
      <w:r>
        <w:rPr>
          <w:color w:val="000000"/>
          <w:szCs w:val="21"/>
        </w:rPr>
        <w:t>《量子力学教程》，高等教育出版社</w:t>
      </w:r>
      <w:r>
        <w:rPr>
          <w:rFonts w:hint="eastAsia"/>
          <w:color w:val="000000"/>
          <w:szCs w:val="21"/>
        </w:rPr>
        <w:t>。</w:t>
      </w:r>
    </w:p>
    <w:p>
      <w:pPr>
        <w:adjustRightInd w:val="0"/>
        <w:snapToGrid w:val="0"/>
        <w:spacing w:line="360" w:lineRule="auto"/>
        <w:ind w:firstLine="420" w:firstLineChars="200"/>
        <w:rPr>
          <w:color w:val="000000"/>
          <w:szCs w:val="21"/>
        </w:rPr>
      </w:pPr>
      <w:r>
        <w:rPr>
          <w:color w:val="000000"/>
          <w:szCs w:val="21"/>
        </w:rPr>
        <w:t>3</w:t>
      </w:r>
      <w:r>
        <w:rPr>
          <w:rFonts w:hint="eastAsia"/>
          <w:color w:val="000000"/>
          <w:szCs w:val="21"/>
        </w:rPr>
        <w:t>、</w:t>
      </w:r>
      <w:r>
        <w:rPr>
          <w:color w:val="000000"/>
          <w:szCs w:val="21"/>
        </w:rPr>
        <w:t>曾谨言</w:t>
      </w:r>
      <w:r>
        <w:rPr>
          <w:rFonts w:hint="eastAsia"/>
          <w:color w:val="000000"/>
          <w:szCs w:val="21"/>
        </w:rPr>
        <w:t>，</w:t>
      </w:r>
      <w:r>
        <w:rPr>
          <w:color w:val="000000"/>
          <w:szCs w:val="21"/>
        </w:rPr>
        <w:t>《量子力学导论》，北京大学出版社</w:t>
      </w:r>
      <w:r>
        <w:rPr>
          <w:rFonts w:hint="eastAsia"/>
          <w:color w:val="000000"/>
          <w:szCs w:val="21"/>
        </w:rPr>
        <w:t>。</w:t>
      </w:r>
    </w:p>
    <w:p>
      <w:pPr>
        <w:adjustRightInd w:val="0"/>
        <w:snapToGrid w:val="0"/>
        <w:spacing w:line="360" w:lineRule="auto"/>
        <w:ind w:firstLine="420" w:firstLineChars="200"/>
        <w:rPr>
          <w:color w:val="000000"/>
          <w:szCs w:val="21"/>
        </w:rPr>
      </w:pPr>
      <w:r>
        <w:rPr>
          <w:rFonts w:hint="eastAsia"/>
          <w:color w:val="000000"/>
          <w:szCs w:val="21"/>
        </w:rPr>
        <w:t>4、</w:t>
      </w:r>
      <w:r>
        <w:rPr>
          <w:color w:val="000000"/>
          <w:szCs w:val="21"/>
        </w:rPr>
        <w:t>朗道</w:t>
      </w:r>
      <w:r>
        <w:rPr>
          <w:rFonts w:hint="eastAsia"/>
          <w:color w:val="000000"/>
          <w:szCs w:val="21"/>
        </w:rPr>
        <w:t>等编著</w:t>
      </w:r>
      <w:r>
        <w:rPr>
          <w:color w:val="000000"/>
          <w:szCs w:val="21"/>
        </w:rPr>
        <w:t>，严肃译</w:t>
      </w:r>
      <w:r>
        <w:rPr>
          <w:rFonts w:hint="eastAsia"/>
          <w:color w:val="000000"/>
          <w:szCs w:val="21"/>
        </w:rPr>
        <w:t>，</w:t>
      </w:r>
      <w:r>
        <w:rPr>
          <w:color w:val="000000"/>
          <w:szCs w:val="21"/>
        </w:rPr>
        <w:t>《量子力学（非相对论部分）（第六版）》，高等教育出版社</w:t>
      </w:r>
      <w:r>
        <w:rPr>
          <w:rFonts w:hint="eastAsia"/>
          <w:color w:val="000000"/>
          <w:szCs w:val="21"/>
        </w:rPr>
        <w:t>。</w:t>
      </w:r>
    </w:p>
    <w:p>
      <w:pPr>
        <w:adjustRightInd w:val="0"/>
        <w:snapToGrid w:val="0"/>
        <w:spacing w:line="360" w:lineRule="auto"/>
        <w:ind w:firstLine="420" w:firstLineChars="200"/>
        <w:rPr>
          <w:color w:val="000000"/>
          <w:szCs w:val="21"/>
        </w:rPr>
      </w:pPr>
      <w:r>
        <w:rPr>
          <w:rFonts w:hint="eastAsia"/>
          <w:color w:val="000000"/>
          <w:szCs w:val="21"/>
        </w:rPr>
        <w:t>5、</w:t>
      </w:r>
      <w:r>
        <w:rPr>
          <w:color w:val="000000"/>
          <w:szCs w:val="21"/>
        </w:rPr>
        <w:t>视频资料，《基础物理》，耶鲁大学公开课，http://open.163.com/special/opencourse/phy</w:t>
      </w:r>
    </w:p>
    <w:p>
      <w:pPr>
        <w:adjustRightInd w:val="0"/>
        <w:snapToGrid w:val="0"/>
        <w:spacing w:line="360" w:lineRule="auto"/>
        <w:rPr>
          <w:color w:val="000000"/>
          <w:szCs w:val="21"/>
        </w:rPr>
      </w:pPr>
      <w:r>
        <w:rPr>
          <w:color w:val="000000"/>
          <w:szCs w:val="21"/>
        </w:rPr>
        <w:t>sicsii.html</w:t>
      </w:r>
      <w:r>
        <w:rPr>
          <w:rFonts w:hint="eastAsia"/>
          <w:color w:val="000000"/>
          <w:szCs w:val="21"/>
        </w:rPr>
        <w:t>。</w:t>
      </w:r>
    </w:p>
    <w:p>
      <w:pPr>
        <w:adjustRightInd w:val="0"/>
        <w:snapToGrid w:val="0"/>
        <w:spacing w:line="360" w:lineRule="auto"/>
        <w:rPr>
          <w:color w:val="000000"/>
          <w:szCs w:val="21"/>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八、课程目标达成的途径和措施</w:t>
      </w:r>
    </w:p>
    <w:p>
      <w:pPr>
        <w:tabs>
          <w:tab w:val="left" w:pos="420"/>
        </w:tabs>
        <w:adjustRightInd w:val="0"/>
        <w:snapToGrid w:val="0"/>
        <w:spacing w:line="360" w:lineRule="auto"/>
        <w:ind w:left="105" w:leftChars="50" w:firstLine="420" w:firstLineChars="200"/>
        <w:rPr>
          <w:color w:val="000000"/>
          <w:szCs w:val="21"/>
        </w:rPr>
      </w:pPr>
      <w:r>
        <w:rPr>
          <w:color w:val="000000"/>
          <w:szCs w:val="21"/>
        </w:rPr>
        <w:t>1、采取措施：采取课堂讲授的方法使得学生掌握</w:t>
      </w:r>
      <w:r>
        <w:rPr>
          <w:rFonts w:hint="eastAsia"/>
          <w:color w:val="000000"/>
          <w:szCs w:val="21"/>
        </w:rPr>
        <w:t>理论物理</w:t>
      </w:r>
      <w:r>
        <w:rPr>
          <w:color w:val="000000"/>
          <w:szCs w:val="21"/>
        </w:rPr>
        <w:t>学的基本知识和理论框架</w:t>
      </w:r>
      <w:r>
        <w:rPr>
          <w:rFonts w:hint="eastAsia"/>
          <w:color w:val="000000"/>
          <w:szCs w:val="21"/>
        </w:rPr>
        <w:t>；</w:t>
      </w:r>
    </w:p>
    <w:p>
      <w:pPr>
        <w:tabs>
          <w:tab w:val="left" w:pos="420"/>
        </w:tabs>
        <w:adjustRightInd w:val="0"/>
        <w:snapToGrid w:val="0"/>
        <w:spacing w:line="360" w:lineRule="auto"/>
        <w:ind w:left="105" w:leftChars="50" w:firstLine="420" w:firstLineChars="200"/>
        <w:rPr>
          <w:color w:val="000000"/>
          <w:szCs w:val="21"/>
        </w:rPr>
      </w:pPr>
      <w:r>
        <w:rPr>
          <w:color w:val="000000"/>
          <w:szCs w:val="21"/>
        </w:rPr>
        <w:t>2、考核方式：</w:t>
      </w:r>
      <w:r>
        <w:rPr>
          <w:rFonts w:hint="eastAsia"/>
          <w:color w:val="000000"/>
          <w:szCs w:val="21"/>
        </w:rPr>
        <w:t>作业、</w:t>
      </w:r>
      <w:r>
        <w:rPr>
          <w:color w:val="000000"/>
          <w:szCs w:val="21"/>
        </w:rPr>
        <w:t>课堂</w:t>
      </w:r>
      <w:r>
        <w:rPr>
          <w:rFonts w:hint="eastAsia"/>
          <w:color w:val="000000"/>
          <w:szCs w:val="21"/>
        </w:rPr>
        <w:t>情况、考试（闭卷）；</w:t>
      </w:r>
    </w:p>
    <w:p>
      <w:pPr>
        <w:tabs>
          <w:tab w:val="left" w:pos="420"/>
        </w:tabs>
        <w:adjustRightInd w:val="0"/>
        <w:snapToGrid w:val="0"/>
        <w:spacing w:line="360" w:lineRule="auto"/>
        <w:ind w:left="105" w:leftChars="50" w:firstLine="420" w:firstLineChars="200"/>
        <w:rPr>
          <w:rFonts w:eastAsia="黑体"/>
          <w:color w:val="000000"/>
          <w:szCs w:val="24"/>
        </w:rPr>
      </w:pPr>
      <w:r>
        <w:rPr>
          <w:rFonts w:hint="eastAsia" w:eastAsia="黑体"/>
          <w:color w:val="000000"/>
          <w:szCs w:val="24"/>
        </w:rPr>
        <w:t>3、</w:t>
      </w:r>
      <w:r>
        <w:rPr>
          <w:rFonts w:hint="eastAsia"/>
          <w:szCs w:val="21"/>
        </w:rPr>
        <w:t>评价环节对课程目标达成贡献率及支撑材料：</w:t>
      </w:r>
      <w:r>
        <w:rPr>
          <w:rFonts w:hint="eastAsia"/>
          <w:color w:val="000000"/>
          <w:szCs w:val="21"/>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2251"/>
        <w:gridCol w:w="2276"/>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92" w:type="pct"/>
            <w:tcBorders>
              <w:top w:val="single" w:color="auto" w:sz="4" w:space="0"/>
              <w:left w:val="nil"/>
              <w:right w:val="single" w:color="auto" w:sz="4" w:space="0"/>
            </w:tcBorders>
            <w:vAlign w:val="center"/>
          </w:tcPr>
          <w:p>
            <w:pPr>
              <w:widowControl/>
              <w:jc w:val="center"/>
              <w:rPr>
                <w:bCs/>
                <w:color w:val="000000"/>
                <w:sz w:val="18"/>
                <w:szCs w:val="18"/>
              </w:rPr>
            </w:pPr>
            <w:r>
              <w:rPr>
                <w:rFonts w:hint="eastAsia"/>
                <w:bCs/>
                <w:color w:val="000000"/>
                <w:sz w:val="18"/>
                <w:szCs w:val="18"/>
              </w:rPr>
              <w:t>考察环节</w:t>
            </w:r>
          </w:p>
        </w:tc>
        <w:tc>
          <w:tcPr>
            <w:tcW w:w="1355" w:type="pct"/>
            <w:tcBorders>
              <w:top w:val="single" w:color="auto" w:sz="4" w:space="0"/>
              <w:left w:val="nil"/>
              <w:right w:val="single" w:color="auto" w:sz="4" w:space="0"/>
            </w:tcBorders>
            <w:vAlign w:val="center"/>
          </w:tcPr>
          <w:p>
            <w:pPr>
              <w:widowControl/>
              <w:jc w:val="center"/>
              <w:rPr>
                <w:bCs/>
                <w:color w:val="000000"/>
                <w:sz w:val="18"/>
                <w:szCs w:val="18"/>
              </w:rPr>
            </w:pPr>
            <w:r>
              <w:rPr>
                <w:rFonts w:hint="eastAsia"/>
                <w:bCs/>
                <w:color w:val="000000"/>
                <w:sz w:val="18"/>
                <w:szCs w:val="18"/>
              </w:rPr>
              <w:t>课堂情况</w:t>
            </w:r>
          </w:p>
        </w:tc>
        <w:tc>
          <w:tcPr>
            <w:tcW w:w="1370" w:type="pct"/>
            <w:tcBorders>
              <w:top w:val="single" w:color="auto" w:sz="4" w:space="0"/>
              <w:left w:val="single" w:color="auto" w:sz="4" w:space="0"/>
              <w:right w:val="single" w:color="auto" w:sz="4" w:space="0"/>
            </w:tcBorders>
            <w:vAlign w:val="center"/>
          </w:tcPr>
          <w:p>
            <w:pPr>
              <w:widowControl/>
              <w:jc w:val="center"/>
              <w:rPr>
                <w:bCs/>
                <w:color w:val="000000"/>
                <w:sz w:val="18"/>
                <w:szCs w:val="18"/>
              </w:rPr>
            </w:pPr>
            <w:r>
              <w:rPr>
                <w:rFonts w:hint="eastAsia"/>
                <w:bCs/>
                <w:color w:val="000000"/>
                <w:sz w:val="18"/>
                <w:szCs w:val="18"/>
              </w:rPr>
              <w:t>作业</w:t>
            </w:r>
          </w:p>
        </w:tc>
        <w:tc>
          <w:tcPr>
            <w:tcW w:w="983" w:type="pct"/>
            <w:tcBorders>
              <w:top w:val="single" w:color="auto" w:sz="4" w:space="0"/>
              <w:left w:val="single" w:color="auto" w:sz="4" w:space="0"/>
              <w:bottom w:val="single" w:color="auto" w:sz="4" w:space="0"/>
              <w:right w:val="nil"/>
            </w:tcBorders>
            <w:vAlign w:val="center"/>
          </w:tcPr>
          <w:p>
            <w:pPr>
              <w:widowControl/>
              <w:jc w:val="center"/>
              <w:rPr>
                <w:bCs/>
                <w:color w:val="000000"/>
                <w:sz w:val="18"/>
                <w:szCs w:val="18"/>
              </w:rPr>
            </w:pPr>
            <w:r>
              <w:rPr>
                <w:rFonts w:hint="eastAsia"/>
                <w:bCs/>
                <w:color w:val="000000"/>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92" w:type="pct"/>
            <w:tcBorders>
              <w:top w:val="single" w:color="auto" w:sz="4" w:space="0"/>
              <w:left w:val="nil"/>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课程目标达成</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的贡献率</w:t>
            </w:r>
          </w:p>
        </w:tc>
        <w:tc>
          <w:tcPr>
            <w:tcW w:w="1355" w:type="pct"/>
            <w:tcBorders>
              <w:top w:val="single" w:color="auto" w:sz="4" w:space="0"/>
              <w:left w:val="nil"/>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1370" w:type="pc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983" w:type="pct"/>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支撑材料</w:t>
            </w:r>
          </w:p>
        </w:tc>
        <w:tc>
          <w:tcPr>
            <w:tcW w:w="1355"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课堂评价标准，</w:t>
            </w:r>
            <w:r>
              <w:rPr>
                <w:rFonts w:hint="eastAsia" w:ascii="宋体" w:hAnsi="宋体" w:cs="宋体"/>
                <w:color w:val="000000"/>
                <w:kern w:val="0"/>
                <w:sz w:val="18"/>
                <w:szCs w:val="18"/>
              </w:rPr>
              <w:t>课堂提问记录</w:t>
            </w:r>
            <w:r>
              <w:rPr>
                <w:rFonts w:ascii="宋体" w:hAnsi="宋体" w:cs="宋体"/>
                <w:color w:val="000000"/>
                <w:kern w:val="0"/>
                <w:sz w:val="18"/>
                <w:szCs w:val="18"/>
              </w:rPr>
              <w:t>或随堂考试，结合出勤率等</w:t>
            </w:r>
          </w:p>
        </w:tc>
        <w:tc>
          <w:tcPr>
            <w:tcW w:w="13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作业评价标准，</w:t>
            </w:r>
            <w:r>
              <w:rPr>
                <w:rFonts w:hint="eastAsia" w:ascii="宋体" w:hAnsi="宋体" w:cs="宋体"/>
                <w:color w:val="000000"/>
                <w:kern w:val="0"/>
                <w:sz w:val="18"/>
                <w:szCs w:val="18"/>
              </w:rPr>
              <w:t>典型作业</w:t>
            </w:r>
            <w:r>
              <w:rPr>
                <w:rFonts w:ascii="宋体" w:hAnsi="宋体" w:cs="宋体"/>
                <w:color w:val="000000"/>
                <w:kern w:val="0"/>
                <w:sz w:val="18"/>
                <w:szCs w:val="18"/>
              </w:rPr>
              <w:t>拍照，或电子版</w:t>
            </w:r>
          </w:p>
        </w:tc>
        <w:tc>
          <w:tcPr>
            <w:tcW w:w="983" w:type="pct"/>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试题评分标准，</w:t>
            </w:r>
            <w:r>
              <w:rPr>
                <w:rFonts w:ascii="宋体" w:hAnsi="宋体" w:cs="宋体"/>
                <w:color w:val="000000"/>
                <w:kern w:val="0"/>
                <w:sz w:val="18"/>
                <w:szCs w:val="18"/>
              </w:rPr>
              <w:t>试卷，</w:t>
            </w:r>
          </w:p>
        </w:tc>
      </w:tr>
    </w:tbl>
    <w:p>
      <w:pPr>
        <w:tabs>
          <w:tab w:val="left" w:pos="420"/>
        </w:tabs>
        <w:adjustRightInd w:val="0"/>
        <w:snapToGrid w:val="0"/>
        <w:spacing w:line="360" w:lineRule="auto"/>
        <w:rPr>
          <w:rFonts w:eastAsia="黑体"/>
          <w:color w:val="000000"/>
          <w:szCs w:val="24"/>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九、覆盖课程目标达成评价的知识点及权重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1545"/>
        <w:gridCol w:w="18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966" w:type="pct"/>
            <w:vAlign w:val="center"/>
          </w:tcPr>
          <w:p>
            <w:pPr>
              <w:jc w:val="center"/>
              <w:rPr>
                <w:sz w:val="18"/>
                <w:szCs w:val="18"/>
              </w:rPr>
            </w:pPr>
            <w:r>
              <w:rPr>
                <w:sz w:val="18"/>
                <w:szCs w:val="18"/>
              </w:rPr>
              <w:t>知识点</w:t>
            </w:r>
          </w:p>
        </w:tc>
        <w:tc>
          <w:tcPr>
            <w:tcW w:w="930" w:type="pct"/>
            <w:vAlign w:val="center"/>
          </w:tcPr>
          <w:p>
            <w:pPr>
              <w:jc w:val="center"/>
              <w:rPr>
                <w:sz w:val="18"/>
                <w:szCs w:val="18"/>
              </w:rPr>
            </w:pPr>
            <w:r>
              <w:rPr>
                <w:sz w:val="18"/>
                <w:szCs w:val="18"/>
              </w:rPr>
              <w:t>权重</w:t>
            </w:r>
          </w:p>
        </w:tc>
        <w:tc>
          <w:tcPr>
            <w:tcW w:w="1104"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1知识</w:t>
            </w:r>
            <w:r>
              <w:rPr>
                <w:color w:val="000000"/>
                <w:sz w:val="18"/>
                <w:szCs w:val="18"/>
              </w:rPr>
              <w:t>背景，</w:t>
            </w:r>
            <w:r>
              <w:rPr>
                <w:rFonts w:hint="eastAsia"/>
                <w:color w:val="000000"/>
                <w:sz w:val="18"/>
                <w:szCs w:val="18"/>
              </w:rPr>
              <w:t>分析力学方法</w:t>
            </w:r>
          </w:p>
        </w:tc>
        <w:tc>
          <w:tcPr>
            <w:tcW w:w="930" w:type="pct"/>
            <w:vAlign w:val="center"/>
          </w:tcPr>
          <w:p>
            <w:pPr>
              <w:jc w:val="center"/>
              <w:rPr>
                <w:sz w:val="18"/>
                <w:szCs w:val="18"/>
              </w:rPr>
            </w:pPr>
            <w:r>
              <w:rPr>
                <w:rFonts w:hint="eastAsia"/>
                <w:sz w:val="18"/>
                <w:szCs w:val="18"/>
              </w:rPr>
              <w:t>0.05</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2</w:t>
            </w:r>
            <w:r>
              <w:rPr>
                <w:color w:val="000000"/>
                <w:sz w:val="18"/>
                <w:szCs w:val="18"/>
              </w:rPr>
              <w:t>薛定谔方程</w:t>
            </w:r>
          </w:p>
        </w:tc>
        <w:tc>
          <w:tcPr>
            <w:tcW w:w="930" w:type="pct"/>
            <w:vAlign w:val="center"/>
          </w:tcPr>
          <w:p>
            <w:pPr>
              <w:jc w:val="center"/>
              <w:rPr>
                <w:sz w:val="18"/>
                <w:szCs w:val="18"/>
              </w:rPr>
            </w:pPr>
            <w:r>
              <w:rPr>
                <w:rFonts w:hint="eastAsia"/>
                <w:sz w:val="18"/>
                <w:szCs w:val="18"/>
              </w:rPr>
              <w:t>0.30</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3</w:t>
            </w:r>
            <w:r>
              <w:rPr>
                <w:color w:val="000000"/>
                <w:sz w:val="18"/>
                <w:szCs w:val="18"/>
              </w:rPr>
              <w:t>力学量的算符</w:t>
            </w:r>
          </w:p>
        </w:tc>
        <w:tc>
          <w:tcPr>
            <w:tcW w:w="930" w:type="pct"/>
            <w:vAlign w:val="center"/>
          </w:tcPr>
          <w:p>
            <w:pPr>
              <w:jc w:val="center"/>
              <w:rPr>
                <w:sz w:val="18"/>
                <w:szCs w:val="18"/>
              </w:rPr>
            </w:pPr>
            <w:r>
              <w:rPr>
                <w:rFonts w:hint="eastAsia"/>
                <w:sz w:val="18"/>
                <w:szCs w:val="18"/>
              </w:rPr>
              <w:t>0.20</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4</w:t>
            </w:r>
            <w:r>
              <w:rPr>
                <w:color w:val="000000"/>
                <w:sz w:val="18"/>
                <w:szCs w:val="18"/>
              </w:rPr>
              <w:t>氢原子和类氢原子的波函数和能级</w:t>
            </w:r>
          </w:p>
        </w:tc>
        <w:tc>
          <w:tcPr>
            <w:tcW w:w="930" w:type="pct"/>
            <w:vAlign w:val="center"/>
          </w:tcPr>
          <w:p>
            <w:pPr>
              <w:jc w:val="center"/>
              <w:rPr>
                <w:sz w:val="18"/>
                <w:szCs w:val="18"/>
              </w:rPr>
            </w:pPr>
            <w:r>
              <w:rPr>
                <w:rFonts w:hint="eastAsia"/>
                <w:sz w:val="18"/>
                <w:szCs w:val="18"/>
              </w:rPr>
              <w:t>0.15</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5</w:t>
            </w:r>
            <w:r>
              <w:rPr>
                <w:color w:val="000000"/>
                <w:sz w:val="18"/>
                <w:szCs w:val="18"/>
              </w:rPr>
              <w:t>定态微扰论和原子的能级</w:t>
            </w:r>
          </w:p>
        </w:tc>
        <w:tc>
          <w:tcPr>
            <w:tcW w:w="930" w:type="pct"/>
            <w:vAlign w:val="center"/>
          </w:tcPr>
          <w:p>
            <w:pPr>
              <w:jc w:val="center"/>
              <w:rPr>
                <w:sz w:val="18"/>
                <w:szCs w:val="18"/>
              </w:rPr>
            </w:pPr>
            <w:r>
              <w:rPr>
                <w:rFonts w:hint="eastAsia"/>
                <w:sz w:val="18"/>
                <w:szCs w:val="18"/>
              </w:rPr>
              <w:t>0.10</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6</w:t>
            </w:r>
            <w:r>
              <w:rPr>
                <w:color w:val="000000"/>
                <w:sz w:val="18"/>
                <w:szCs w:val="18"/>
              </w:rPr>
              <w:t>电子自旋全同粒子原子中电子的能级排列</w:t>
            </w:r>
          </w:p>
        </w:tc>
        <w:tc>
          <w:tcPr>
            <w:tcW w:w="930" w:type="pct"/>
            <w:vAlign w:val="center"/>
          </w:tcPr>
          <w:p>
            <w:pPr>
              <w:jc w:val="center"/>
              <w:rPr>
                <w:sz w:val="18"/>
                <w:szCs w:val="18"/>
              </w:rPr>
            </w:pPr>
            <w:r>
              <w:rPr>
                <w:rFonts w:hint="eastAsia"/>
                <w:sz w:val="18"/>
                <w:szCs w:val="18"/>
              </w:rPr>
              <w:t>0.10</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7</w:t>
            </w:r>
            <w:r>
              <w:rPr>
                <w:color w:val="000000"/>
                <w:sz w:val="18"/>
                <w:szCs w:val="18"/>
              </w:rPr>
              <w:t>含时微扰论光的吸收和辐射</w:t>
            </w:r>
          </w:p>
        </w:tc>
        <w:tc>
          <w:tcPr>
            <w:tcW w:w="930" w:type="pct"/>
            <w:vAlign w:val="center"/>
          </w:tcPr>
          <w:p>
            <w:pPr>
              <w:jc w:val="center"/>
              <w:rPr>
                <w:sz w:val="18"/>
                <w:szCs w:val="18"/>
              </w:rPr>
            </w:pPr>
            <w:r>
              <w:rPr>
                <w:rFonts w:hint="eastAsia"/>
                <w:sz w:val="18"/>
                <w:szCs w:val="18"/>
              </w:rPr>
              <w:t>0.05</w:t>
            </w:r>
          </w:p>
        </w:tc>
        <w:tc>
          <w:tcPr>
            <w:tcW w:w="1104"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66" w:type="pct"/>
          </w:tcPr>
          <w:p>
            <w:pPr>
              <w:ind w:left="317" w:leftChars="151"/>
              <w:rPr>
                <w:sz w:val="18"/>
                <w:szCs w:val="18"/>
              </w:rPr>
            </w:pPr>
            <w:r>
              <w:rPr>
                <w:rFonts w:hint="eastAsia"/>
                <w:color w:val="000000"/>
                <w:sz w:val="18"/>
                <w:szCs w:val="18"/>
              </w:rPr>
              <w:t>8</w:t>
            </w:r>
            <w:r>
              <w:rPr>
                <w:color w:val="000000"/>
                <w:sz w:val="18"/>
                <w:szCs w:val="18"/>
              </w:rPr>
              <w:t>热力学和统计物理</w:t>
            </w:r>
          </w:p>
        </w:tc>
        <w:tc>
          <w:tcPr>
            <w:tcW w:w="930" w:type="pct"/>
            <w:vAlign w:val="center"/>
          </w:tcPr>
          <w:p>
            <w:pPr>
              <w:jc w:val="center"/>
              <w:rPr>
                <w:sz w:val="18"/>
                <w:szCs w:val="18"/>
              </w:rPr>
            </w:pPr>
            <w:r>
              <w:rPr>
                <w:rFonts w:hint="eastAsia"/>
                <w:sz w:val="18"/>
                <w:szCs w:val="18"/>
              </w:rPr>
              <w:t>0.05</w:t>
            </w:r>
          </w:p>
        </w:tc>
        <w:tc>
          <w:tcPr>
            <w:tcW w:w="1104" w:type="pct"/>
            <w:vAlign w:val="center"/>
          </w:tcPr>
          <w:p>
            <w:pPr>
              <w:jc w:val="center"/>
              <w:rPr>
                <w:sz w:val="18"/>
                <w:szCs w:val="18"/>
              </w:rPr>
            </w:pPr>
            <w:r>
              <w:rPr>
                <w:rFonts w:hint="eastAsia"/>
                <w:sz w:val="18"/>
                <w:szCs w:val="18"/>
              </w:rPr>
              <w:t>1</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adjustRightInd w:val="0"/>
        <w:snapToGrid w:val="0"/>
        <w:spacing w:line="360" w:lineRule="auto"/>
        <w:rPr>
          <w:b/>
          <w:color w:val="000000"/>
          <w:sz w:val="24"/>
          <w:szCs w:val="24"/>
        </w:rPr>
        <w:sectPr>
          <w:footerReference r:id="rId7" w:type="default"/>
          <w:pgSz w:w="11906" w:h="16838"/>
          <w:pgMar w:top="1440" w:right="1800" w:bottom="1440" w:left="1800" w:header="851" w:footer="992" w:gutter="0"/>
          <w:cols w:space="720" w:num="1"/>
          <w:docGrid w:type="lines" w:linePitch="312" w:charSpace="0"/>
        </w:sectPr>
      </w:pPr>
    </w:p>
    <w:p>
      <w:pPr>
        <w:tabs>
          <w:tab w:val="left" w:pos="420"/>
        </w:tabs>
        <w:adjustRightInd w:val="0"/>
        <w:snapToGrid w:val="0"/>
        <w:spacing w:line="360" w:lineRule="auto"/>
        <w:rPr>
          <w:rFonts w:eastAsia="黑体"/>
          <w:color w:val="000000"/>
          <w:szCs w:val="24"/>
        </w:rPr>
      </w:pPr>
      <w:r>
        <w:rPr>
          <w:rFonts w:eastAsia="黑体"/>
          <w:color w:val="000000"/>
          <w:szCs w:val="24"/>
        </w:rPr>
        <w:t>十、课程目标达成评价</w:t>
      </w:r>
    </w:p>
    <w:p>
      <w:pPr>
        <w:spacing w:line="360" w:lineRule="auto"/>
        <w:ind w:firstLine="420" w:firstLineChars="200"/>
        <w:jc w:val="center"/>
        <w:rPr>
          <w:highlight w:val="yellow"/>
        </w:rP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1035"/>
        <w:gridCol w:w="951"/>
        <w:gridCol w:w="1322"/>
        <w:gridCol w:w="1264"/>
        <w:gridCol w:w="1398"/>
        <w:gridCol w:w="1272"/>
        <w:gridCol w:w="1225"/>
        <w:gridCol w:w="1361"/>
        <w:gridCol w:w="1303"/>
        <w:gridCol w:w="1311"/>
        <w:gridCol w:w="1506"/>
      </w:tblGrid>
      <w:tr>
        <w:tblPrEx>
          <w:tblCellMar>
            <w:top w:w="0" w:type="dxa"/>
            <w:left w:w="108" w:type="dxa"/>
            <w:bottom w:w="0" w:type="dxa"/>
            <w:right w:w="108" w:type="dxa"/>
          </w:tblCellMar>
        </w:tblPrEx>
        <w:trPr>
          <w:trHeight w:val="1015" w:hRule="atLeast"/>
          <w:jc w:val="center"/>
        </w:trPr>
        <w:tc>
          <w:tcPr>
            <w:tcW w:w="371"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课程目标</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知识面比例</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（本列总和为1）</w:t>
            </w:r>
          </w:p>
          <w:p>
            <w:pPr>
              <w:widowControl/>
              <w:adjustRightInd w:val="0"/>
              <w:jc w:val="center"/>
              <w:rPr>
                <w:rFonts w:ascii="宋体" w:hAnsi="宋体" w:cs="宋体"/>
                <w:i/>
                <w:color w:val="000000"/>
                <w:kern w:val="0"/>
                <w:sz w:val="18"/>
                <w:szCs w:val="18"/>
              </w:rPr>
            </w:pPr>
            <w:r>
              <w:rPr>
                <w:rFonts w:ascii="宋体" w:hAnsi="宋体" w:cs="宋体"/>
                <w:i/>
                <w:color w:val="000000"/>
                <w:kern w:val="0"/>
                <w:sz w:val="18"/>
                <w:szCs w:val="18"/>
              </w:rPr>
              <w:t>P</w:t>
            </w:r>
            <w:r>
              <w:rPr>
                <w:rFonts w:ascii="宋体" w:hAnsi="宋体" w:cs="宋体"/>
                <w:i/>
                <w:color w:val="000000"/>
                <w:kern w:val="0"/>
                <w:sz w:val="18"/>
                <w:szCs w:val="18"/>
                <w:vertAlign w:val="subscript"/>
              </w:rPr>
              <w:t>i</w:t>
            </w:r>
          </w:p>
        </w:tc>
        <w:tc>
          <w:tcPr>
            <w:tcW w:w="1428"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宋体" w:hAnsi="宋体"/>
                <w:color w:val="000000"/>
                <w:kern w:val="0"/>
                <w:sz w:val="18"/>
                <w:szCs w:val="18"/>
              </w:rPr>
            </w:pPr>
            <w:r>
              <w:rPr>
                <w:rFonts w:hint="eastAsia" w:ascii="宋体" w:hAnsi="宋体"/>
                <w:color w:val="000000"/>
                <w:sz w:val="18"/>
                <w:szCs w:val="18"/>
              </w:rPr>
              <w:t>各环节评价比例分配</w:t>
            </w:r>
            <w:r>
              <w:rPr>
                <w:rFonts w:hint="eastAsia" w:ascii="宋体" w:hAnsi="宋体"/>
                <w:color w:val="000000"/>
                <w:sz w:val="18"/>
                <w:szCs w:val="18"/>
              </w:rPr>
              <w:br w:type="textWrapping"/>
            </w:r>
            <w:r>
              <w:rPr>
                <w:rFonts w:hint="eastAsia" w:ascii="宋体" w:hAnsi="宋体"/>
                <w:color w:val="000000"/>
                <w:sz w:val="18"/>
                <w:szCs w:val="18"/>
              </w:rPr>
              <w:t>（每行总和为1）</w:t>
            </w:r>
            <w:r>
              <w:rPr>
                <w:rFonts w:hint="eastAsia" w:ascii="宋体" w:hAnsi="宋体"/>
                <w:color w:val="000000"/>
                <w:sz w:val="18"/>
                <w:szCs w:val="18"/>
              </w:rPr>
              <w:br w:type="textWrapping"/>
            </w:r>
            <w:r>
              <w:rPr>
                <w:rFonts w:hint="eastAsia" w:ascii="宋体" w:hAnsi="宋体"/>
                <w:i/>
                <w:color w:val="000000"/>
                <w:sz w:val="18"/>
                <w:szCs w:val="18"/>
              </w:rPr>
              <w:t>W</w:t>
            </w:r>
            <w:r>
              <w:rPr>
                <w:rFonts w:hint="eastAsia" w:ascii="宋体" w:hAnsi="宋体"/>
                <w:i/>
                <w:color w:val="000000"/>
                <w:sz w:val="18"/>
                <w:szCs w:val="18"/>
                <w:vertAlign w:val="subscript"/>
              </w:rPr>
              <w:t>ik</w:t>
            </w:r>
          </w:p>
        </w:tc>
        <w:tc>
          <w:tcPr>
            <w:tcW w:w="1383" w:type="pct"/>
            <w:gridSpan w:val="3"/>
            <w:tcBorders>
              <w:top w:val="single" w:color="auto" w:sz="4" w:space="0"/>
              <w:left w:val="nil"/>
              <w:bottom w:val="single" w:color="auto" w:sz="4" w:space="0"/>
              <w:right w:val="single" w:color="auto" w:sz="4" w:space="0"/>
            </w:tcBorders>
            <w:vAlign w:val="center"/>
          </w:tcPr>
          <w:p>
            <w:pPr>
              <w:adjustRightInd w:val="0"/>
              <w:jc w:val="center"/>
              <w:rPr>
                <w:rFonts w:ascii="宋体" w:hAnsi="宋体"/>
                <w:color w:val="000000"/>
                <w:sz w:val="18"/>
                <w:szCs w:val="18"/>
              </w:rPr>
            </w:pPr>
            <w:r>
              <w:rPr>
                <w:rFonts w:hint="eastAsia" w:ascii="宋体" w:hAnsi="宋体"/>
                <w:color w:val="000000"/>
                <w:sz w:val="18"/>
                <w:szCs w:val="18"/>
              </w:rPr>
              <w:t>各环节在课程达成中的占比</w:t>
            </w:r>
            <w:r>
              <w:rPr>
                <w:rFonts w:hint="eastAsia" w:ascii="宋体" w:hAnsi="宋体"/>
                <w:color w:val="000000"/>
                <w:sz w:val="18"/>
                <w:szCs w:val="18"/>
              </w:rPr>
              <w:br w:type="textWrapping"/>
            </w:r>
            <w:r>
              <w:rPr>
                <w:rFonts w:hint="eastAsia" w:ascii="宋体" w:hAnsi="宋体"/>
                <w:color w:val="000000"/>
                <w:sz w:val="18"/>
                <w:szCs w:val="18"/>
              </w:rPr>
              <w:t>（所有行列总和为1）</w:t>
            </w:r>
            <w:r>
              <w:rPr>
                <w:rFonts w:hint="eastAsia" w:ascii="宋体" w:hAnsi="宋体"/>
                <w:color w:val="000000"/>
                <w:sz w:val="18"/>
                <w:szCs w:val="18"/>
              </w:rPr>
              <w:br w:type="textWrapping"/>
            </w:r>
            <w:r>
              <w:rPr>
                <w:rFonts w:hint="eastAsia" w:ascii="宋体" w:hAnsi="宋体"/>
                <w:i/>
                <w:color w:val="000000"/>
                <w:sz w:val="18"/>
                <w:szCs w:val="18"/>
              </w:rPr>
              <w:t>S</w:t>
            </w:r>
            <w:r>
              <w:rPr>
                <w:rFonts w:hint="eastAsia" w:ascii="宋体" w:hAnsi="宋体"/>
                <w:i/>
                <w:color w:val="000000"/>
                <w:sz w:val="18"/>
                <w:szCs w:val="18"/>
                <w:vertAlign w:val="subscript"/>
              </w:rPr>
              <w:t>ik</w:t>
            </w:r>
            <w:r>
              <w:rPr>
                <w:rFonts w:hint="eastAsia" w:ascii="宋体" w:hAnsi="宋体"/>
                <w:i/>
                <w:color w:val="000000"/>
                <w:sz w:val="18"/>
                <w:szCs w:val="18"/>
              </w:rPr>
              <w:t>=P</w:t>
            </w:r>
            <w:r>
              <w:rPr>
                <w:rFonts w:hint="eastAsia" w:ascii="宋体" w:hAnsi="宋体"/>
                <w:i/>
                <w:color w:val="000000"/>
                <w:sz w:val="18"/>
                <w:szCs w:val="18"/>
                <w:vertAlign w:val="subscript"/>
              </w:rPr>
              <w:t>i</w:t>
            </w:r>
            <w:r>
              <w:rPr>
                <w:rFonts w:hint="eastAsia" w:ascii="宋体" w:hAnsi="宋体"/>
                <w:i/>
                <w:color w:val="000000"/>
                <w:sz w:val="18"/>
                <w:szCs w:val="18"/>
              </w:rPr>
              <w:t>*W</w:t>
            </w:r>
            <w:r>
              <w:rPr>
                <w:rFonts w:hint="eastAsia" w:ascii="宋体" w:hAnsi="宋体"/>
                <w:i/>
                <w:color w:val="000000"/>
                <w:sz w:val="18"/>
                <w:szCs w:val="18"/>
                <w:vertAlign w:val="subscript"/>
              </w:rPr>
              <w:t>ik</w:t>
            </w:r>
          </w:p>
        </w:tc>
        <w:tc>
          <w:tcPr>
            <w:tcW w:w="1478" w:type="pct"/>
            <w:gridSpan w:val="3"/>
            <w:tcBorders>
              <w:top w:val="single" w:color="auto" w:sz="4" w:space="0"/>
              <w:left w:val="nil"/>
              <w:bottom w:val="single" w:color="auto" w:sz="4" w:space="0"/>
              <w:right w:val="single" w:color="auto" w:sz="4" w:space="0"/>
            </w:tcBorders>
            <w:vAlign w:val="center"/>
          </w:tcPr>
          <w:p>
            <w:pPr>
              <w:adjustRightInd w:val="0"/>
              <w:jc w:val="center"/>
              <w:rPr>
                <w:rFonts w:ascii="宋体" w:hAnsi="宋体"/>
                <w:color w:val="000000"/>
                <w:sz w:val="18"/>
                <w:szCs w:val="18"/>
              </w:rPr>
            </w:pPr>
            <w:r>
              <w:rPr>
                <w:rFonts w:hint="eastAsia" w:ascii="宋体" w:hAnsi="宋体"/>
                <w:color w:val="000000"/>
                <w:sz w:val="18"/>
                <w:szCs w:val="18"/>
              </w:rPr>
              <w:t>各环节课程目标考核权重分布</w:t>
            </w:r>
          </w:p>
          <w:p>
            <w:pPr>
              <w:adjustRightInd w:val="0"/>
              <w:jc w:val="center"/>
              <w:rPr>
                <w:rFonts w:ascii="宋体" w:hAnsi="宋体"/>
                <w:color w:val="000000"/>
                <w:sz w:val="18"/>
                <w:szCs w:val="18"/>
              </w:rPr>
            </w:pPr>
            <w:r>
              <w:rPr>
                <w:rFonts w:hint="eastAsia" w:ascii="宋体" w:hAnsi="宋体"/>
                <w:color w:val="000000"/>
                <w:sz w:val="18"/>
                <w:szCs w:val="18"/>
              </w:rPr>
              <w:t>（每一列总和为1）</w:t>
            </w:r>
          </w:p>
          <w:p>
            <w:pPr>
              <w:adjustRightInd w:val="0"/>
              <w:jc w:val="center"/>
              <w:rPr>
                <w:rFonts w:ascii="宋体" w:hAnsi="宋体"/>
                <w:color w:val="000000"/>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37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p>
        </w:tc>
        <w:tc>
          <w:tcPr>
            <w:tcW w:w="34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jc w:val="left"/>
              <w:rPr>
                <w:rFonts w:ascii="宋体" w:hAnsi="宋体" w:cs="宋体"/>
                <w:color w:val="000000"/>
                <w:kern w:val="0"/>
                <w:sz w:val="18"/>
                <w:szCs w:val="18"/>
              </w:rPr>
            </w:pPr>
          </w:p>
        </w:tc>
        <w:tc>
          <w:tcPr>
            <w:tcW w:w="474"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课堂</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情况</w:t>
            </w:r>
          </w:p>
        </w:tc>
        <w:tc>
          <w:tcPr>
            <w:tcW w:w="453"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作业</w:t>
            </w:r>
          </w:p>
        </w:tc>
        <w:tc>
          <w:tcPr>
            <w:tcW w:w="501"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期末</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456"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课堂</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情况</w:t>
            </w:r>
          </w:p>
        </w:tc>
        <w:tc>
          <w:tcPr>
            <w:tcW w:w="439"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作业</w:t>
            </w:r>
          </w:p>
        </w:tc>
        <w:tc>
          <w:tcPr>
            <w:tcW w:w="488"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期末</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467"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课堂</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情况</w:t>
            </w:r>
          </w:p>
        </w:tc>
        <w:tc>
          <w:tcPr>
            <w:tcW w:w="470"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作业</w:t>
            </w:r>
          </w:p>
        </w:tc>
        <w:tc>
          <w:tcPr>
            <w:tcW w:w="540"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期末</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考试</w:t>
            </w:r>
          </w:p>
        </w:tc>
      </w:tr>
      <w:tr>
        <w:tblPrEx>
          <w:tblCellMar>
            <w:top w:w="0" w:type="dxa"/>
            <w:left w:w="108" w:type="dxa"/>
            <w:bottom w:w="0" w:type="dxa"/>
            <w:right w:w="108" w:type="dxa"/>
          </w:tblCellMar>
        </w:tblPrEx>
        <w:trPr>
          <w:trHeight w:val="716" w:hRule="atLeast"/>
          <w:jc w:val="center"/>
        </w:trPr>
        <w:tc>
          <w:tcPr>
            <w:tcW w:w="371" w:type="pct"/>
            <w:tcBorders>
              <w:top w:val="nil"/>
              <w:left w:val="single" w:color="auto" w:sz="4" w:space="0"/>
              <w:bottom w:val="single" w:color="auto" w:sz="4" w:space="0"/>
              <w:right w:val="single" w:color="auto" w:sz="4" w:space="0"/>
            </w:tcBorders>
            <w:vAlign w:val="center"/>
          </w:tcPr>
          <w:p>
            <w:pPr>
              <w:adjustRightInd w:val="0"/>
              <w:jc w:val="center"/>
              <w:rPr>
                <w:color w:val="000000"/>
                <w:sz w:val="18"/>
                <w:szCs w:val="18"/>
              </w:rPr>
            </w:pPr>
            <w:r>
              <w:rPr>
                <w:rFonts w:hint="eastAsia"/>
                <w:color w:val="000000"/>
                <w:sz w:val="18"/>
                <w:szCs w:val="18"/>
              </w:rPr>
              <w:t>1</w:t>
            </w:r>
          </w:p>
        </w:tc>
        <w:tc>
          <w:tcPr>
            <w:tcW w:w="341"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4"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453"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501"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0.7</w:t>
            </w:r>
          </w:p>
        </w:tc>
        <w:tc>
          <w:tcPr>
            <w:tcW w:w="456"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439"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488"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 xml:space="preserve">0.7 </w:t>
            </w:r>
          </w:p>
        </w:tc>
        <w:tc>
          <w:tcPr>
            <w:tcW w:w="467"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70"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540"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1</w:t>
            </w:r>
          </w:p>
        </w:tc>
      </w:tr>
      <w:tr>
        <w:tblPrEx>
          <w:tblCellMar>
            <w:top w:w="0" w:type="dxa"/>
            <w:left w:w="108" w:type="dxa"/>
            <w:bottom w:w="0" w:type="dxa"/>
            <w:right w:w="108" w:type="dxa"/>
          </w:tblCellMar>
        </w:tblPrEx>
        <w:trPr>
          <w:trHeight w:val="537" w:hRule="atLeast"/>
          <w:jc w:val="center"/>
        </w:trPr>
        <w:tc>
          <w:tcPr>
            <w:tcW w:w="2139"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各环节对课程目标达成的贡献率（</w:t>
            </w:r>
            <w:r>
              <w:rPr>
                <w:rFonts w:hint="eastAsia" w:ascii="宋体" w:hAnsi="宋体" w:cs="宋体"/>
                <w:i/>
                <w:color w:val="000000"/>
                <w:kern w:val="0"/>
                <w:sz w:val="18"/>
                <w:szCs w:val="18"/>
              </w:rPr>
              <w:t>M</w:t>
            </w:r>
            <w:r>
              <w:rPr>
                <w:rFonts w:hint="eastAsia" w:ascii="宋体" w:hAnsi="宋体" w:cs="宋体"/>
                <w:i/>
                <w:color w:val="000000"/>
                <w:kern w:val="0"/>
                <w:sz w:val="18"/>
                <w:szCs w:val="18"/>
                <w:vertAlign w:val="subscript"/>
              </w:rPr>
              <w:t>k</w:t>
            </w:r>
            <w:r>
              <w:rPr>
                <w:rFonts w:hint="eastAsia" w:ascii="宋体" w:hAnsi="宋体" w:cs="宋体"/>
                <w:color w:val="000000"/>
                <w:kern w:val="0"/>
                <w:sz w:val="18"/>
                <w:szCs w:val="18"/>
              </w:rPr>
              <w:t>）</w:t>
            </w:r>
          </w:p>
        </w:tc>
        <w:tc>
          <w:tcPr>
            <w:tcW w:w="456"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439"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0.15</w:t>
            </w:r>
          </w:p>
        </w:tc>
        <w:tc>
          <w:tcPr>
            <w:tcW w:w="488" w:type="pct"/>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0.70</w:t>
            </w:r>
          </w:p>
        </w:tc>
        <w:tc>
          <w:tcPr>
            <w:tcW w:w="1478" w:type="pct"/>
            <w:gridSpan w:val="3"/>
            <w:tcBorders>
              <w:top w:val="nil"/>
              <w:left w:val="nil"/>
              <w:bottom w:val="single" w:color="auto" w:sz="4" w:space="0"/>
              <w:right w:val="single" w:color="auto" w:sz="4" w:space="0"/>
            </w:tcBorders>
            <w:vAlign w:val="center"/>
          </w:tcPr>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教师出题或布置作业时</w:t>
            </w:r>
          </w:p>
          <w:p>
            <w:pPr>
              <w:widowControl/>
              <w:adjustRightInd w:val="0"/>
              <w:jc w:val="center"/>
              <w:rPr>
                <w:rFonts w:ascii="宋体" w:hAnsi="宋体" w:cs="宋体"/>
                <w:color w:val="000000"/>
                <w:kern w:val="0"/>
                <w:sz w:val="18"/>
                <w:szCs w:val="18"/>
              </w:rPr>
            </w:pPr>
            <w:r>
              <w:rPr>
                <w:rFonts w:hint="eastAsia" w:ascii="宋体" w:hAnsi="宋体" w:cs="宋体"/>
                <w:color w:val="000000"/>
                <w:kern w:val="0"/>
                <w:sz w:val="18"/>
                <w:szCs w:val="18"/>
              </w:rPr>
              <w:t>要尽量做到按照以上比例布局</w:t>
            </w:r>
          </w:p>
        </w:tc>
      </w:tr>
    </w:tbl>
    <w:p>
      <w:pPr>
        <w:adjustRightInd w:val="0"/>
        <w:snapToGrid w:val="0"/>
        <w:spacing w:line="360" w:lineRule="auto"/>
        <w:ind w:firstLine="360" w:firstLineChars="200"/>
        <w:rPr>
          <w:color w:val="000000"/>
          <w:sz w:val="18"/>
          <w:szCs w:val="18"/>
        </w:rPr>
      </w:pPr>
    </w:p>
    <w:p>
      <w:pPr>
        <w:adjustRightInd w:val="0"/>
        <w:snapToGrid w:val="0"/>
        <w:spacing w:line="360" w:lineRule="auto"/>
        <w:ind w:firstLine="360" w:firstLineChars="200"/>
        <w:rPr>
          <w:color w:val="000000"/>
          <w:sz w:val="18"/>
          <w:szCs w:val="18"/>
        </w:rPr>
      </w:pPr>
    </w:p>
    <w:p>
      <w:pPr>
        <w:spacing w:line="360" w:lineRule="auto"/>
        <w:rPr>
          <w:color w:val="000000"/>
          <w:szCs w:val="21"/>
        </w:rPr>
      </w:pPr>
    </w:p>
    <w:p>
      <w:pPr>
        <w:spacing w:line="360" w:lineRule="auto"/>
        <w:ind w:firstLine="420" w:firstLineChars="200"/>
        <w:rPr>
          <w:color w:val="000000"/>
          <w:szCs w:val="21"/>
        </w:rPr>
        <w:sectPr>
          <w:pgSz w:w="16838" w:h="11906" w:orient="landscape"/>
          <w:pgMar w:top="1800" w:right="1440" w:bottom="1800" w:left="1440" w:header="851" w:footer="992" w:gutter="0"/>
          <w:cols w:space="720" w:num="1"/>
          <w:docGrid w:type="lines" w:linePitch="312" w:charSpace="0"/>
        </w:sectPr>
      </w:pPr>
    </w:p>
    <w:p>
      <w:pPr>
        <w:adjustRightInd w:val="0"/>
        <w:snapToGrid w:val="0"/>
        <w:spacing w:line="360" w:lineRule="auto"/>
        <w:ind w:firstLine="420" w:firstLineChars="200"/>
        <w:rPr>
          <w:szCs w:val="21"/>
        </w:rPr>
      </w:pPr>
      <w:bookmarkStart w:id="161" w:name="_Toc493673134"/>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048" o:spt="75" type="#_x0000_t75" style="height:36pt;width:165.65pt;" o:ole="t" filled="f" o:preferrelative="t" stroked="f" coordsize="21600,21600">
            <v:path/>
            <v:fill on="f" focussize="0,0"/>
            <v:stroke on="f" joinstyle="miter"/>
            <v:imagedata r:id="rId201" o:title=""/>
            <o:lock v:ext="edit" aspectratio="t"/>
            <w10:wrap type="none"/>
            <w10:anchorlock/>
          </v:shape>
          <o:OLEObject Type="Embed" ProgID="Equation.3" ShapeID="_x0000_i1048" DrawAspect="Content" ObjectID="_1468075748" r:id="rId200">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049"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49" DrawAspect="Content" ObjectID="_1468075749" r:id="rId202">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050" o:spt="75" type="#_x0000_t75" style="height:17.25pt;width:14.25pt;" o:ole="t" filled="f" o:preferrelative="t" stroked="f" coordsize="21600,21600">
            <v:path/>
            <v:fill on="f" focussize="0,0"/>
            <v:stroke on="f" joinstyle="miter"/>
            <v:imagedata r:id="rId205" o:title=""/>
            <o:lock v:ext="edit" aspectratio="t"/>
            <w10:wrap type="none"/>
            <w10:anchorlock/>
          </v:shape>
          <o:OLEObject Type="Embed" ProgID="Equation.3" ShapeID="_x0000_i1050" DrawAspect="Content" ObjectID="_1468075750" r:id="rId204">
            <o:LockedField>false</o:LockedField>
          </o:OLEObject>
        </w:object>
      </w:r>
      <w:r>
        <w:t xml:space="preserve"> 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051" o:spt="75" type="#_x0000_t75" style="height:17.25pt;width:74.3pt;" o:ole="t" filled="f" o:preferrelative="t" stroked="f" coordsize="21600,21600">
            <v:path/>
            <v:fill on="f" focussize="0,0"/>
            <v:stroke on="f" joinstyle="miter"/>
            <v:imagedata r:id="rId207" o:title=""/>
            <o:lock v:ext="edit" aspectratio="t"/>
            <w10:wrap type="none"/>
            <w10:anchorlock/>
          </v:shape>
          <o:OLEObject Type="Embed" ProgID="Equation.3" ShapeID="_x0000_i1051" DrawAspect="Content" ObjectID="_1468075751" r:id="rId206">
            <o:LockedField>false</o:LockedField>
          </o:OLEObject>
        </w:object>
      </w:r>
      <w:r>
        <w:t xml:space="preserve">  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052" o:spt="75" type="#_x0000_t75" style="height:17.25pt;width:17.25pt;" o:ole="t" filled="f" o:preferrelative="t" stroked="f" coordsize="21600,21600">
            <v:path/>
            <v:fill on="f" focussize="0,0"/>
            <v:stroke on="f" joinstyle="miter"/>
            <v:imagedata r:id="rId209" o:title=""/>
            <o:lock v:ext="edit" aspectratio="t"/>
            <w10:wrap type="none"/>
            <w10:anchorlock/>
          </v:shape>
          <o:OLEObject Type="Embed" ProgID="Equation.3" ShapeID="_x0000_i1052" DrawAspect="Content" ObjectID="_1468075752" r:id="rId208">
            <o:LockedField>false</o:LockedField>
          </o:OLEObject>
        </w:object>
      </w:r>
      <w:r>
        <w:t xml:space="preserve"> 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053" o:spt="75" type="#_x0000_t75" style="height:17.25pt;width:12.75pt;" o:ole="t" filled="f" o:preferrelative="t" stroked="f" coordsize="21600,21600">
            <v:path/>
            <v:fill on="f" focussize="0,0"/>
            <v:stroke on="f" joinstyle="miter"/>
            <v:imagedata r:id="rId211" o:title=""/>
            <o:lock v:ext="edit" aspectratio="t"/>
            <w10:wrap type="none"/>
            <w10:anchorlock/>
          </v:shape>
          <o:OLEObject Type="Embed" ProgID="Equation.3" ShapeID="_x0000_i1053" DrawAspect="Content" ObjectID="_1468075753" r:id="rId210">
            <o:LockedField>false</o:LockedField>
          </o:OLEObject>
        </w:object>
      </w:r>
      <w:r>
        <w:t xml:space="preserve"> 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312" w:after="468"/>
      </w:pPr>
      <w:bookmarkStart w:id="162" w:name="_Toc10779"/>
      <w:bookmarkStart w:id="163" w:name="_Toc46996558"/>
      <w:r>
        <w:rPr>
          <w:rFonts w:hint="eastAsia"/>
        </w:rPr>
        <w:t>《</w:t>
      </w:r>
      <w:r>
        <w:t>Y02060004-</w:t>
      </w:r>
      <w:r>
        <w:rPr>
          <w:rFonts w:hint="eastAsia"/>
        </w:rPr>
        <w:t>半导体物理与器件》教学大纲</w:t>
      </w:r>
      <w:bookmarkEnd w:id="161"/>
      <w:bookmarkEnd w:id="162"/>
      <w:bookmarkEnd w:id="163"/>
    </w:p>
    <w:p>
      <w:pPr>
        <w:adjustRightInd w:val="0"/>
        <w:snapToGrid w:val="0"/>
        <w:spacing w:line="360" w:lineRule="auto"/>
        <w:rPr>
          <w:snapToGrid w:val="0"/>
          <w:color w:val="000000"/>
          <w:kern w:val="0"/>
          <w:szCs w:val="21"/>
        </w:rPr>
      </w:pPr>
      <w:r>
        <w:rPr>
          <w:rFonts w:eastAsia="黑体"/>
          <w:color w:val="000000"/>
        </w:rPr>
        <w:t>课程编号：</w:t>
      </w:r>
      <w:r>
        <w:rPr>
          <w:color w:val="000000"/>
        </w:rPr>
        <w:t>Y02060004</w:t>
      </w:r>
    </w:p>
    <w:p>
      <w:pPr>
        <w:adjustRightInd w:val="0"/>
        <w:snapToGrid w:val="0"/>
        <w:spacing w:line="360" w:lineRule="auto"/>
        <w:rPr>
          <w:color w:val="000000"/>
        </w:rPr>
      </w:pPr>
      <w:r>
        <w:rPr>
          <w:rFonts w:eastAsia="黑体"/>
          <w:color w:val="000000"/>
        </w:rPr>
        <w:t>课程名称：</w:t>
      </w:r>
      <w:r>
        <w:rPr>
          <w:color w:val="000000"/>
        </w:rPr>
        <w:t>半导体物理与器件</w:t>
      </w:r>
      <w:r>
        <w:rPr>
          <w:color w:val="000000"/>
        </w:rPr>
        <w:tab/>
      </w:r>
      <w:r>
        <w:rPr>
          <w:color w:val="000000"/>
        </w:rPr>
        <w:tab/>
      </w:r>
      <w:r>
        <w:rPr>
          <w:color w:val="000000"/>
        </w:rPr>
        <w:tab/>
      </w:r>
      <w:r>
        <w:rPr>
          <w:color w:val="000000"/>
        </w:rPr>
        <w:tab/>
      </w:r>
      <w:r>
        <w:rPr>
          <w:color w:val="000000"/>
        </w:rPr>
        <w:tab/>
      </w:r>
      <w:r>
        <w:rPr>
          <w:rFonts w:eastAsia="黑体"/>
          <w:color w:val="000000"/>
        </w:rPr>
        <w:t>开课单位：</w:t>
      </w:r>
      <w:r>
        <w:rPr>
          <w:color w:val="000000"/>
        </w:rPr>
        <w:t>仪器与电子学院</w:t>
      </w:r>
    </w:p>
    <w:p>
      <w:pPr>
        <w:adjustRightInd w:val="0"/>
        <w:snapToGrid w:val="0"/>
        <w:spacing w:line="360" w:lineRule="auto"/>
        <w:rPr>
          <w:rFonts w:eastAsia="黑体"/>
          <w:color w:val="000000"/>
        </w:rPr>
      </w:pPr>
      <w:r>
        <w:rPr>
          <w:rFonts w:eastAsia="黑体"/>
          <w:color w:val="000000"/>
        </w:rPr>
        <w:t>总 学 时：</w:t>
      </w:r>
      <w:r>
        <w:rPr>
          <w:color w:val="000000"/>
        </w:rPr>
        <w:t xml:space="preserve">72                            </w:t>
      </w:r>
      <w:r>
        <w:rPr>
          <w:color w:val="000000"/>
        </w:rPr>
        <w:tab/>
      </w:r>
      <w:r>
        <w:rPr>
          <w:rFonts w:eastAsia="黑体"/>
          <w:color w:val="000000"/>
        </w:rPr>
        <w:t>学</w:t>
      </w:r>
      <w:r>
        <w:rPr>
          <w:rFonts w:hint="eastAsia" w:eastAsia="黑体"/>
          <w:color w:val="000000"/>
        </w:rPr>
        <w:t xml:space="preserve"> </w:t>
      </w:r>
      <w:r>
        <w:rPr>
          <w:rFonts w:eastAsia="黑体"/>
          <w:color w:val="000000"/>
        </w:rPr>
        <w:t xml:space="preserve">   分：4.5</w:t>
      </w:r>
    </w:p>
    <w:p>
      <w:pPr>
        <w:adjustRightInd w:val="0"/>
        <w:snapToGrid w:val="0"/>
        <w:spacing w:line="360" w:lineRule="auto"/>
        <w:rPr>
          <w:rFonts w:eastAsia="黑体"/>
          <w:color w:val="000000"/>
        </w:rPr>
      </w:pPr>
      <w:r>
        <w:rPr>
          <w:rFonts w:eastAsia="黑体"/>
          <w:color w:val="000000"/>
        </w:rPr>
        <w:t>适用专业：</w:t>
      </w:r>
      <w:r>
        <w:rPr>
          <w:color w:val="000000"/>
        </w:rPr>
        <w:t>电子科学与技术专业</w:t>
      </w:r>
    </w:p>
    <w:p>
      <w:pPr>
        <w:adjustRightInd w:val="0"/>
        <w:snapToGrid w:val="0"/>
        <w:spacing w:line="360" w:lineRule="auto"/>
        <w:rPr>
          <w:color w:val="000000"/>
        </w:rPr>
      </w:pPr>
      <w:r>
        <w:rPr>
          <w:rFonts w:eastAsia="黑体"/>
          <w:color w:val="000000"/>
        </w:rPr>
        <w:t>先修课程：</w:t>
      </w:r>
      <w:r>
        <w:rPr>
          <w:color w:val="000000"/>
        </w:rPr>
        <w:t>理论物理导论、固体物理学</w:t>
      </w:r>
    </w:p>
    <w:p>
      <w:pPr>
        <w:adjustRightInd w:val="0"/>
        <w:snapToGrid w:val="0"/>
        <w:spacing w:line="360" w:lineRule="auto"/>
        <w:rPr>
          <w:color w:val="000000"/>
        </w:rPr>
      </w:pPr>
      <w:r>
        <w:rPr>
          <w:rFonts w:eastAsia="黑体"/>
          <w:color w:val="000000"/>
        </w:rPr>
        <w:t>大纲执笔人：</w:t>
      </w:r>
      <w:r>
        <w:rPr>
          <w:color w:val="000000"/>
          <w:szCs w:val="21"/>
        </w:rPr>
        <w:t>崔建功</w:t>
      </w:r>
    </w:p>
    <w:p>
      <w:pPr>
        <w:adjustRightInd w:val="0"/>
        <w:snapToGrid w:val="0"/>
        <w:spacing w:line="360" w:lineRule="auto"/>
        <w:rPr>
          <w:color w:val="000000"/>
        </w:rPr>
      </w:pPr>
      <w:r>
        <w:rPr>
          <w:rFonts w:eastAsia="黑体"/>
          <w:color w:val="000000"/>
        </w:rPr>
        <w:t>大纲编写（修订）时间：</w:t>
      </w:r>
      <w:r>
        <w:rPr>
          <w:color w:val="000000"/>
        </w:rPr>
        <w:t>2019年5月</w:t>
      </w:r>
    </w:p>
    <w:p>
      <w:pPr>
        <w:rPr>
          <w:rFonts w:ascii="黑体" w:eastAsia="黑体"/>
          <w:color w:val="000000"/>
        </w:rPr>
      </w:pPr>
    </w:p>
    <w:p>
      <w:pPr>
        <w:adjustRightInd w:val="0"/>
        <w:snapToGrid w:val="0"/>
        <w:spacing w:line="360" w:lineRule="auto"/>
        <w:rPr>
          <w:rFonts w:eastAsia="黑体"/>
          <w:color w:val="000000"/>
        </w:rPr>
      </w:pPr>
      <w:r>
        <w:rPr>
          <w:rFonts w:eastAsia="黑体"/>
          <w:color w:val="000000"/>
        </w:rPr>
        <w:t>一、</w:t>
      </w:r>
      <w:r>
        <w:rPr>
          <w:rFonts w:hint="eastAsia" w:eastAsia="黑体"/>
          <w:color w:val="000000"/>
        </w:rPr>
        <w:t>课程在教学计划中的地位、作用</w:t>
      </w:r>
    </w:p>
    <w:p>
      <w:pPr>
        <w:spacing w:line="360" w:lineRule="auto"/>
        <w:ind w:firstLine="420" w:firstLineChars="200"/>
        <w:rPr>
          <w:color w:val="000000"/>
          <w:szCs w:val="21"/>
        </w:rPr>
      </w:pPr>
      <w:r>
        <w:rPr>
          <w:color w:val="000000"/>
          <w:szCs w:val="21"/>
        </w:rPr>
        <w:t>半导体物理</w:t>
      </w:r>
      <w:r>
        <w:rPr>
          <w:rFonts w:hint="eastAsia"/>
          <w:color w:val="000000"/>
          <w:szCs w:val="21"/>
        </w:rPr>
        <w:t>与器件课程是微电子科学与工程，电子科学与技术两个专业的学科基础教育课, 是本专业培养的集成电路设计方向的核心课程。本</w:t>
      </w:r>
      <w:r>
        <w:rPr>
          <w:color w:val="000000"/>
          <w:szCs w:val="21"/>
        </w:rPr>
        <w:t>课程</w:t>
      </w:r>
      <w:r>
        <w:rPr>
          <w:rFonts w:hint="eastAsia"/>
          <w:color w:val="000000"/>
          <w:szCs w:val="21"/>
        </w:rPr>
        <w:t>主要介绍半导体的基本物理性质，探讨半导体在不同状态下所发生的物理过程、规律及相关应用。通过本课程的学习，</w:t>
      </w:r>
      <w:r>
        <w:rPr>
          <w:color w:val="000000"/>
          <w:szCs w:val="21"/>
        </w:rPr>
        <w:t>使学生掌握半导体材料的基本性质、基本理论、基本实验方法</w:t>
      </w:r>
      <w:r>
        <w:rPr>
          <w:rFonts w:hint="eastAsia"/>
          <w:color w:val="000000"/>
          <w:szCs w:val="21"/>
        </w:rPr>
        <w:t>，学会分析半导体器件的基本特性，</w:t>
      </w:r>
      <w:r>
        <w:rPr>
          <w:color w:val="000000"/>
          <w:szCs w:val="21"/>
        </w:rPr>
        <w:t>为后续的《集成电路</w:t>
      </w:r>
      <w:r>
        <w:rPr>
          <w:rFonts w:hint="eastAsia"/>
          <w:color w:val="000000"/>
          <w:szCs w:val="21"/>
        </w:rPr>
        <w:t>分析与设计</w:t>
      </w:r>
      <w:r>
        <w:rPr>
          <w:color w:val="000000"/>
          <w:szCs w:val="21"/>
        </w:rPr>
        <w:t>》</w:t>
      </w:r>
      <w:r>
        <w:rPr>
          <w:rFonts w:hint="eastAsia"/>
          <w:color w:val="000000"/>
          <w:szCs w:val="21"/>
        </w:rPr>
        <w:t>、《半导体集成电路基础》、《</w:t>
      </w:r>
      <w:r>
        <w:rPr>
          <w:color w:val="000000"/>
          <w:szCs w:val="21"/>
        </w:rPr>
        <w:t>MEMS</w:t>
      </w:r>
      <w:r>
        <w:rPr>
          <w:rFonts w:hint="eastAsia"/>
          <w:color w:val="000000"/>
          <w:szCs w:val="21"/>
        </w:rPr>
        <w:t>设计》</w:t>
      </w:r>
      <w:r>
        <w:rPr>
          <w:color w:val="000000"/>
          <w:szCs w:val="21"/>
        </w:rPr>
        <w:t>等</w:t>
      </w:r>
      <w:r>
        <w:rPr>
          <w:rFonts w:hint="eastAsia"/>
          <w:color w:val="000000"/>
          <w:szCs w:val="21"/>
        </w:rPr>
        <w:t>课程</w:t>
      </w:r>
      <w:r>
        <w:rPr>
          <w:color w:val="000000"/>
          <w:szCs w:val="21"/>
        </w:rPr>
        <w:t>铺垫基础</w:t>
      </w:r>
      <w:r>
        <w:rPr>
          <w:rFonts w:hint="eastAsia"/>
          <w:color w:val="000000"/>
          <w:szCs w:val="21"/>
        </w:rPr>
        <w:t>，并为集成电路反向设计</w:t>
      </w:r>
      <w:r>
        <w:rPr>
          <w:color w:val="000000"/>
          <w:szCs w:val="21"/>
        </w:rPr>
        <w:t>、</w:t>
      </w:r>
      <w:r>
        <w:rPr>
          <w:rFonts w:hint="eastAsia"/>
          <w:color w:val="000000"/>
          <w:szCs w:val="21"/>
        </w:rPr>
        <w:t>压阻式</w:t>
      </w:r>
      <w:r>
        <w:rPr>
          <w:color w:val="000000"/>
          <w:szCs w:val="21"/>
        </w:rPr>
        <w:t>MEMS</w:t>
      </w:r>
      <w:r>
        <w:rPr>
          <w:rFonts w:hint="eastAsia"/>
          <w:color w:val="000000"/>
          <w:szCs w:val="21"/>
        </w:rPr>
        <w:t>传感器设计</w:t>
      </w:r>
      <w:r>
        <w:rPr>
          <w:color w:val="000000"/>
          <w:szCs w:val="21"/>
        </w:rPr>
        <w:t>等</w:t>
      </w:r>
      <w:r>
        <w:rPr>
          <w:rFonts w:hint="eastAsia"/>
          <w:color w:val="000000"/>
          <w:szCs w:val="21"/>
        </w:rPr>
        <w:t>综合训练</w:t>
      </w:r>
      <w:r>
        <w:rPr>
          <w:color w:val="000000"/>
          <w:szCs w:val="21"/>
        </w:rPr>
        <w:t>作好理论</w:t>
      </w:r>
      <w:r>
        <w:rPr>
          <w:rFonts w:hint="eastAsia"/>
          <w:color w:val="000000"/>
          <w:szCs w:val="21"/>
        </w:rPr>
        <w:t>知识</w:t>
      </w:r>
      <w:r>
        <w:rPr>
          <w:color w:val="000000"/>
          <w:szCs w:val="21"/>
        </w:rPr>
        <w:t>的准备。</w:t>
      </w:r>
    </w:p>
    <w:p>
      <w:pPr>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color w:val="000000"/>
          <w:szCs w:val="24"/>
        </w:rPr>
      </w:pPr>
      <w:r>
        <w:rPr>
          <w:rFonts w:hint="eastAsia" w:eastAsia="黑体"/>
          <w:color w:val="000000"/>
          <w:szCs w:val="24"/>
        </w:rPr>
        <w:t>二、课程目标</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548"/>
        <w:gridCol w:w="4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4" w:type="pct"/>
            <w:vAlign w:val="center"/>
          </w:tcPr>
          <w:p>
            <w:pPr>
              <w:spacing w:line="360" w:lineRule="auto"/>
              <w:jc w:val="center"/>
              <w:rPr>
                <w:sz w:val="18"/>
                <w:szCs w:val="18"/>
              </w:rPr>
            </w:pPr>
            <w:r>
              <w:rPr>
                <w:sz w:val="18"/>
                <w:szCs w:val="18"/>
              </w:rPr>
              <w:t>序号</w:t>
            </w:r>
          </w:p>
        </w:tc>
        <w:tc>
          <w:tcPr>
            <w:tcW w:w="2136" w:type="pct"/>
            <w:vAlign w:val="center"/>
          </w:tcPr>
          <w:p>
            <w:pPr>
              <w:spacing w:line="360" w:lineRule="auto"/>
              <w:jc w:val="center"/>
              <w:rPr>
                <w:sz w:val="18"/>
                <w:szCs w:val="18"/>
              </w:rPr>
            </w:pPr>
            <w:r>
              <w:rPr>
                <w:sz w:val="18"/>
                <w:szCs w:val="18"/>
              </w:rPr>
              <w:t>课程目标</w:t>
            </w:r>
          </w:p>
        </w:tc>
        <w:tc>
          <w:tcPr>
            <w:tcW w:w="2440"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360" w:lineRule="auto"/>
              <w:jc w:val="center"/>
              <w:rPr>
                <w:sz w:val="18"/>
                <w:szCs w:val="18"/>
              </w:rPr>
            </w:pPr>
            <w:r>
              <w:rPr>
                <w:rFonts w:hint="eastAsia"/>
                <w:sz w:val="18"/>
                <w:szCs w:val="18"/>
              </w:rPr>
              <w:t>1</w:t>
            </w:r>
          </w:p>
        </w:tc>
        <w:tc>
          <w:tcPr>
            <w:tcW w:w="2136" w:type="pct"/>
          </w:tcPr>
          <w:p>
            <w:pPr>
              <w:adjustRightInd w:val="0"/>
              <w:snapToGrid w:val="0"/>
              <w:spacing w:line="360" w:lineRule="auto"/>
              <w:rPr>
                <w:sz w:val="18"/>
                <w:szCs w:val="18"/>
              </w:rPr>
            </w:pPr>
            <w:r>
              <w:rPr>
                <w:rFonts w:hint="eastAsia"/>
                <w:sz w:val="18"/>
                <w:szCs w:val="18"/>
              </w:rPr>
              <w:t>能够掌握常见的半导体材料及其器件的基本概念、基本术语和基本理论；</w:t>
            </w:r>
          </w:p>
        </w:tc>
        <w:tc>
          <w:tcPr>
            <w:tcW w:w="2440" w:type="pct"/>
          </w:tcPr>
          <w:p>
            <w:pPr>
              <w:adjustRightInd w:val="0"/>
              <w:snapToGrid w:val="0"/>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360" w:lineRule="auto"/>
              <w:jc w:val="center"/>
              <w:rPr>
                <w:sz w:val="18"/>
                <w:szCs w:val="18"/>
              </w:rPr>
            </w:pPr>
            <w:r>
              <w:rPr>
                <w:rFonts w:hint="eastAsia"/>
                <w:sz w:val="18"/>
                <w:szCs w:val="18"/>
              </w:rPr>
              <w:t>2</w:t>
            </w:r>
          </w:p>
        </w:tc>
        <w:tc>
          <w:tcPr>
            <w:tcW w:w="2136" w:type="pct"/>
          </w:tcPr>
          <w:p>
            <w:pPr>
              <w:adjustRightInd w:val="0"/>
              <w:snapToGrid w:val="0"/>
              <w:spacing w:line="360" w:lineRule="auto"/>
              <w:rPr>
                <w:sz w:val="18"/>
                <w:szCs w:val="18"/>
              </w:rPr>
            </w:pPr>
            <w:r>
              <w:rPr>
                <w:rFonts w:hint="eastAsia"/>
                <w:color w:val="000000"/>
                <w:sz w:val="18"/>
                <w:szCs w:val="18"/>
              </w:rPr>
              <w:t>能够将课程所学的基本知识运用到半导体材料识别、基本参数测定等工程问题的适当表述之中；能够掌握载流子的双极输运方程，并根据具体条件进行简化；</w:t>
            </w:r>
          </w:p>
        </w:tc>
        <w:tc>
          <w:tcPr>
            <w:tcW w:w="2440" w:type="pct"/>
          </w:tcPr>
          <w:p>
            <w:pPr>
              <w:adjustRightInd w:val="0"/>
              <w:snapToGrid w:val="0"/>
              <w:spacing w:line="360" w:lineRule="auto"/>
              <w:rPr>
                <w:rFonts w:ascii="宋体" w:hAnsi="宋体"/>
                <w:kern w:val="0"/>
                <w:sz w:val="18"/>
                <w:szCs w:val="18"/>
              </w:rPr>
            </w:pPr>
            <w:r>
              <w:rPr>
                <w:rFonts w:hint="eastAsia"/>
                <w:b/>
                <w:sz w:val="18"/>
                <w:szCs w:val="18"/>
              </w:rPr>
              <w:t>指标点1-2 知识运用能力</w:t>
            </w:r>
            <w:r>
              <w:rPr>
                <w:rFonts w:hint="eastAsia"/>
                <w:sz w:val="18"/>
                <w:szCs w:val="18"/>
              </w:rPr>
              <w:t>：</w:t>
            </w:r>
            <w:r>
              <w:rPr>
                <w:rFonts w:hint="eastAsia" w:ascii="宋体" w:hAnsi="宋体"/>
                <w:kern w:val="0"/>
                <w:sz w:val="18"/>
                <w:szCs w:val="18"/>
              </w:rPr>
              <w:t>能将基础知识恰当地运用到电子科学与技术专业电路系统、物联网及现场总线等复杂工程问题的解决中。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360" w:lineRule="auto"/>
              <w:jc w:val="center"/>
              <w:rPr>
                <w:sz w:val="18"/>
                <w:szCs w:val="18"/>
              </w:rPr>
            </w:pPr>
            <w:r>
              <w:rPr>
                <w:rFonts w:hint="eastAsia"/>
                <w:sz w:val="18"/>
                <w:szCs w:val="18"/>
              </w:rPr>
              <w:t>3</w:t>
            </w:r>
          </w:p>
        </w:tc>
        <w:tc>
          <w:tcPr>
            <w:tcW w:w="2136" w:type="pct"/>
          </w:tcPr>
          <w:p>
            <w:pPr>
              <w:adjustRightInd w:val="0"/>
              <w:snapToGrid w:val="0"/>
              <w:spacing w:line="360" w:lineRule="auto"/>
              <w:rPr>
                <w:color w:val="000000"/>
                <w:sz w:val="18"/>
                <w:szCs w:val="18"/>
              </w:rPr>
            </w:pPr>
            <w:r>
              <w:rPr>
                <w:rFonts w:hint="eastAsia"/>
                <w:color w:val="000000"/>
                <w:sz w:val="18"/>
                <w:szCs w:val="18"/>
              </w:rPr>
              <w:t>能够针对一个双极性器件或MOS器件选择合适的等效电路模型，对其电学性能进行分析；</w:t>
            </w:r>
          </w:p>
        </w:tc>
        <w:tc>
          <w:tcPr>
            <w:tcW w:w="2440" w:type="pct"/>
          </w:tcPr>
          <w:p>
            <w:pPr>
              <w:adjustRightInd w:val="0"/>
              <w:snapToGrid w:val="0"/>
              <w:spacing w:line="360" w:lineRule="auto"/>
              <w:rPr>
                <w:b/>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360" w:lineRule="auto"/>
              <w:jc w:val="center"/>
              <w:rPr>
                <w:sz w:val="18"/>
                <w:szCs w:val="18"/>
              </w:rPr>
            </w:pPr>
            <w:r>
              <w:rPr>
                <w:rFonts w:hint="eastAsia"/>
                <w:sz w:val="18"/>
                <w:szCs w:val="18"/>
              </w:rPr>
              <w:t>4</w:t>
            </w:r>
          </w:p>
        </w:tc>
        <w:tc>
          <w:tcPr>
            <w:tcW w:w="2136" w:type="pct"/>
          </w:tcPr>
          <w:p>
            <w:pPr>
              <w:adjustRightInd w:val="0"/>
              <w:snapToGrid w:val="0"/>
              <w:spacing w:line="360" w:lineRule="auto"/>
              <w:rPr>
                <w:sz w:val="18"/>
                <w:szCs w:val="18"/>
              </w:rPr>
            </w:pPr>
            <w:r>
              <w:rPr>
                <w:rFonts w:hint="eastAsia"/>
                <w:color w:val="000000"/>
                <w:sz w:val="18"/>
                <w:szCs w:val="18"/>
              </w:rPr>
              <w:t>能够利用半导体物理的分析方法对MEMS传感器件或集成电路的优化设计提出物理层面的建议。</w:t>
            </w:r>
          </w:p>
        </w:tc>
        <w:tc>
          <w:tcPr>
            <w:tcW w:w="2440" w:type="pct"/>
            <w:vAlign w:val="center"/>
          </w:tcPr>
          <w:p>
            <w:pPr>
              <w:widowControl/>
              <w:adjustRightInd w:val="0"/>
              <w:snapToGrid w:val="0"/>
              <w:spacing w:line="360" w:lineRule="auto"/>
              <w:textAlignment w:val="center"/>
              <w:rPr>
                <w:b/>
                <w:sz w:val="18"/>
                <w:szCs w:val="18"/>
              </w:rPr>
            </w:pPr>
            <w:r>
              <w:rPr>
                <w:rFonts w:hint="eastAsia"/>
                <w:b/>
                <w:sz w:val="18"/>
                <w:szCs w:val="18"/>
              </w:rPr>
              <w:t>指标点4-1 领域现状认知能力</w:t>
            </w:r>
            <w:r>
              <w:rPr>
                <w:rFonts w:hint="eastAsia"/>
                <w:sz w:val="18"/>
                <w:szCs w:val="18"/>
              </w:rPr>
              <w:t>：</w:t>
            </w:r>
            <w:r>
              <w:rPr>
                <w:rFonts w:hint="eastAsia" w:ascii="宋体" w:hAnsi="宋体"/>
                <w:kern w:val="0"/>
                <w:sz w:val="18"/>
                <w:szCs w:val="18"/>
              </w:rPr>
              <w:t>了解电子科学与技术专业领域背景及经典案例，能够针对复杂工程问题提出研究思路和分析方法，并有意识地将实验结果用于指导解决方案的改善和优化。</w:t>
            </w:r>
          </w:p>
        </w:tc>
      </w:tr>
    </w:tbl>
    <w:p>
      <w:pPr>
        <w:spacing w:line="360" w:lineRule="auto"/>
        <w:ind w:firstLine="420" w:firstLineChars="200"/>
        <w:rPr>
          <w:color w:val="000000"/>
          <w:szCs w:val="21"/>
        </w:rPr>
      </w:pPr>
      <w:r>
        <w:rPr>
          <w:rFonts w:hint="eastAsia"/>
          <w:color w:val="000000"/>
          <w:szCs w:val="21"/>
        </w:rPr>
        <w:t>思政目标：</w:t>
      </w:r>
    </w:p>
    <w:p>
      <w:pPr>
        <w:spacing w:line="360" w:lineRule="auto"/>
        <w:ind w:firstLine="420" w:firstLineChars="200"/>
        <w:rPr>
          <w:color w:val="000000"/>
          <w:szCs w:val="21"/>
        </w:rPr>
      </w:pPr>
      <w:r>
        <w:rPr>
          <w:rFonts w:hint="eastAsia"/>
          <w:color w:val="000000"/>
          <w:szCs w:val="21"/>
        </w:rPr>
        <w:t>通过了解国内半导体技术的发展历程，学生能够感受到国家半导体技术的优势与差距， 通过个案学习，学生能够明白国际化技术竞争中的公正、平等的相对性，树立法治观念。</w:t>
      </w:r>
    </w:p>
    <w:p>
      <w:pPr>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color w:val="000000"/>
          <w:szCs w:val="24"/>
        </w:rPr>
      </w:pPr>
      <w:r>
        <w:rPr>
          <w:rFonts w:hint="eastAsia" w:eastAsia="黑体"/>
          <w:color w:val="000000"/>
          <w:szCs w:val="24"/>
        </w:rPr>
        <w:t>三、基本要求</w:t>
      </w:r>
    </w:p>
    <w:p>
      <w:pPr>
        <w:spacing w:line="360" w:lineRule="auto"/>
        <w:ind w:firstLine="420" w:firstLineChars="200"/>
        <w:rPr>
          <w:color w:val="000000"/>
          <w:szCs w:val="21"/>
        </w:rPr>
      </w:pPr>
      <w:r>
        <w:rPr>
          <w:rFonts w:hint="eastAsia"/>
          <w:color w:val="000000"/>
          <w:szCs w:val="21"/>
        </w:rPr>
        <w:t>1、本课程为</w:t>
      </w:r>
      <w:r>
        <w:rPr>
          <w:rFonts w:hint="eastAsia" w:ascii="宋体" w:hAnsi="宋体"/>
          <w:color w:val="000000"/>
          <w:szCs w:val="21"/>
        </w:rPr>
        <w:t>学科基础教育课</w:t>
      </w:r>
      <w:r>
        <w:rPr>
          <w:rFonts w:hint="eastAsia"/>
          <w:color w:val="000000"/>
          <w:szCs w:val="21"/>
        </w:rPr>
        <w:t>，要求先修理论物理导论、固体物理学课程，在教学中应注重基础知识、基本概念和思维方法的传授，运用案例试、类比式和启发式教学，使学生掌握一定的分析能力。</w:t>
      </w:r>
    </w:p>
    <w:p>
      <w:pPr>
        <w:spacing w:line="360" w:lineRule="auto"/>
        <w:ind w:firstLine="420" w:firstLineChars="200"/>
        <w:rPr>
          <w:color w:val="000000"/>
          <w:szCs w:val="21"/>
        </w:rPr>
      </w:pPr>
      <w:r>
        <w:rPr>
          <w:rFonts w:hint="eastAsia"/>
          <w:color w:val="000000"/>
          <w:szCs w:val="21"/>
        </w:rPr>
        <w:t>2、本课程是一门理论性很强的课程，讲解过程中要结合科研和工程中的经典的实例，尽量做到理论与实践结合。</w:t>
      </w:r>
    </w:p>
    <w:p>
      <w:pPr>
        <w:spacing w:line="360" w:lineRule="auto"/>
        <w:ind w:firstLine="420" w:firstLineChars="200"/>
        <w:rPr>
          <w:color w:val="000000"/>
          <w:szCs w:val="21"/>
        </w:rPr>
      </w:pPr>
      <w:r>
        <w:rPr>
          <w:rFonts w:hint="eastAsia"/>
          <w:color w:val="000000"/>
          <w:szCs w:val="21"/>
        </w:rPr>
        <w:t>3、本课程含有大量图、表，信息丰富，要求在CAI教室进行授课，并且教学和实验交替进行。</w:t>
      </w:r>
    </w:p>
    <w:p>
      <w:pPr>
        <w:widowControl/>
        <w:spacing w:line="360" w:lineRule="auto"/>
        <w:ind w:firstLine="420" w:firstLineChars="200"/>
        <w:jc w:val="left"/>
        <w:rPr>
          <w:szCs w:val="21"/>
        </w:rPr>
      </w:pPr>
      <w:r>
        <w:rPr>
          <w:rFonts w:hint="eastAsia"/>
          <w:color w:val="000000"/>
          <w:szCs w:val="21"/>
        </w:rPr>
        <w:t>4、</w:t>
      </w:r>
      <w:r>
        <w:rPr>
          <w:rFonts w:hint="eastAsia"/>
          <w:szCs w:val="21"/>
        </w:rPr>
        <w:t>深度和广度说明：对半导体物理的基本概念、基本理论要重点讲解；对定性分析与定量计算均能推导出结论的知识点以定性分析为主；对与半导体工艺相关的内容只做简要介绍。</w:t>
      </w:r>
    </w:p>
    <w:p>
      <w:pPr>
        <w:spacing w:line="360" w:lineRule="auto"/>
        <w:ind w:firstLine="420" w:firstLineChars="200"/>
        <w:rPr>
          <w:color w:val="000000"/>
          <w:szCs w:val="21"/>
        </w:rPr>
      </w:pPr>
      <w:r>
        <w:rPr>
          <w:rFonts w:hint="eastAsia"/>
          <w:color w:val="000000"/>
          <w:szCs w:val="21"/>
        </w:rPr>
        <w:t>5、</w:t>
      </w:r>
      <w:r>
        <w:rPr>
          <w:color w:val="000000"/>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color w:val="000000"/>
          <w:szCs w:val="21"/>
        </w:rPr>
      </w:pPr>
    </w:p>
    <w:p>
      <w:pPr>
        <w:tabs>
          <w:tab w:val="left" w:pos="420"/>
        </w:tabs>
        <w:spacing w:line="360" w:lineRule="auto"/>
        <w:ind w:left="420" w:hanging="420"/>
        <w:rPr>
          <w:rFonts w:eastAsia="黑体"/>
          <w:color w:val="000000"/>
          <w:szCs w:val="24"/>
        </w:rPr>
      </w:pPr>
      <w:r>
        <w:rPr>
          <w:rFonts w:hint="eastAsia" w:eastAsia="黑体"/>
          <w:color w:val="000000"/>
          <w:szCs w:val="24"/>
        </w:rPr>
        <w:t>四、教学内容和教学方法</w:t>
      </w:r>
    </w:p>
    <w:p>
      <w:pPr>
        <w:widowControl/>
        <w:spacing w:line="360" w:lineRule="auto"/>
        <w:ind w:firstLine="420" w:firstLineChars="200"/>
        <w:jc w:val="left"/>
        <w:rPr>
          <w:rFonts w:ascii="宋体" w:hAnsi="宋体"/>
          <w:szCs w:val="21"/>
        </w:rPr>
      </w:pPr>
      <w:r>
        <w:rPr>
          <w:rFonts w:hint="eastAsia" w:ascii="宋体" w:hAnsi="宋体"/>
          <w:szCs w:val="21"/>
        </w:rPr>
        <w:t>本</w:t>
      </w:r>
      <w:r>
        <w:rPr>
          <w:rFonts w:ascii="宋体" w:hAnsi="宋体"/>
          <w:szCs w:val="21"/>
        </w:rPr>
        <w:t>课程</w:t>
      </w:r>
      <w:r>
        <w:rPr>
          <w:rFonts w:hint="eastAsia" w:ascii="宋体" w:hAnsi="宋体"/>
          <w:szCs w:val="21"/>
        </w:rPr>
        <w:t>主要介绍半导体的基本物理性质，探讨半导体在不同状态下所发生的物理过程、规律及相关应用。课程的主要内容包括：半导体中的电子状态、半导体中的杂质和缺陷能级、载流子的统计分布、半导体的导电性、载流子的扩散和漂移、非平衡载流子、pn结、金属和半导体接触、半导体MOS结构以及双极性晶体管的</w:t>
      </w:r>
      <w:r>
        <w:rPr>
          <w:rFonts w:hint="eastAsia"/>
        </w:rPr>
        <w:t>应用</w:t>
      </w:r>
      <w:r>
        <w:rPr>
          <w:rFonts w:hint="eastAsia" w:ascii="宋体" w:hAnsi="宋体"/>
          <w:szCs w:val="21"/>
        </w:rPr>
        <w:t>。</w:t>
      </w:r>
    </w:p>
    <w:p>
      <w:pPr>
        <w:widowControl/>
        <w:spacing w:line="360" w:lineRule="auto"/>
        <w:ind w:firstLine="420" w:firstLineChars="200"/>
        <w:jc w:val="left"/>
        <w:rPr>
          <w:rFonts w:ascii="宋体" w:hAnsi="宋体"/>
          <w:szCs w:val="21"/>
        </w:rPr>
      </w:pPr>
      <w:r>
        <w:rPr>
          <w:rFonts w:hint="eastAsia" w:ascii="宋体" w:hAnsi="宋体"/>
          <w:szCs w:val="21"/>
        </w:rPr>
        <w:t>本课程在教学方法上，充分利用各种媒体教学手段，采取课堂教学、多媒体课件、验证性实验等方式有机结合，提高教学效率。</w:t>
      </w:r>
    </w:p>
    <w:p>
      <w:pPr>
        <w:widowControl/>
        <w:spacing w:line="360" w:lineRule="auto"/>
        <w:ind w:firstLine="420" w:firstLineChars="200"/>
        <w:jc w:val="left"/>
        <w:rPr>
          <w:szCs w:val="21"/>
        </w:rPr>
      </w:pPr>
      <w:r>
        <w:rPr>
          <w:rFonts w:hint="eastAsia"/>
          <w:szCs w:val="21"/>
        </w:rPr>
        <w:t>半导体物理与器件在MEMS设计、集成电路设计中占有非常重要的地位，因此教师要重点讲授以使学生尽量掌握。</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为了提高学生的学习兴趣，并取得良好的教学效果，教师在知识讲解的过程中要充分利用问题引导、实例分析等多种教学方法，以进一步提高教学质量。</w:t>
      </w:r>
    </w:p>
    <w:p>
      <w:pPr>
        <w:widowControl/>
        <w:spacing w:line="360" w:lineRule="auto"/>
        <w:ind w:firstLine="420" w:firstLineChars="200"/>
        <w:jc w:val="left"/>
        <w:rPr>
          <w:rFonts w:ascii="宋体" w:hAnsi="宋体"/>
          <w:color w:val="000000"/>
          <w:szCs w:val="21"/>
        </w:rPr>
      </w:pPr>
    </w:p>
    <w:p>
      <w:pPr>
        <w:spacing w:line="360" w:lineRule="auto"/>
        <w:ind w:firstLine="420" w:firstLineChars="200"/>
        <w:rPr>
          <w:rFonts w:eastAsia="黑体"/>
          <w:color w:val="000000"/>
          <w:szCs w:val="21"/>
        </w:rPr>
      </w:pPr>
      <w:r>
        <w:rPr>
          <w:rFonts w:eastAsia="黑体"/>
          <w:color w:val="000000"/>
        </w:rPr>
        <w:t xml:space="preserve">1 </w:t>
      </w:r>
      <w:r>
        <w:rPr>
          <w:rFonts w:eastAsia="黑体"/>
          <w:color w:val="000000"/>
          <w:szCs w:val="21"/>
        </w:rPr>
        <w:t>绪论及固体晶格结构（4学时）</w:t>
      </w:r>
    </w:p>
    <w:p>
      <w:pPr>
        <w:numPr>
          <w:ilvl w:val="1"/>
          <w:numId w:val="21"/>
        </w:numPr>
        <w:spacing w:line="360" w:lineRule="auto"/>
        <w:ind w:firstLine="420" w:firstLineChars="200"/>
        <w:rPr>
          <w:color w:val="000000"/>
          <w:szCs w:val="21"/>
        </w:rPr>
      </w:pPr>
      <w:r>
        <w:rPr>
          <w:color w:val="000000"/>
          <w:szCs w:val="21"/>
        </w:rPr>
        <w:t>本课程在学科培养体系中的地位及与后续课之间的关系，</w:t>
      </w:r>
      <w:r>
        <w:rPr>
          <w:snapToGrid w:val="0"/>
          <w:kern w:val="0"/>
          <w:szCs w:val="21"/>
        </w:rPr>
        <w:t>课程内容、学习方法、讲授方式、评价方式介绍，半导体的发展历史及现状</w:t>
      </w:r>
      <w:r>
        <w:rPr>
          <w:color w:val="000000"/>
          <w:szCs w:val="21"/>
        </w:rPr>
        <w:t>；</w:t>
      </w:r>
    </w:p>
    <w:p>
      <w:pPr>
        <w:spacing w:line="360" w:lineRule="auto"/>
        <w:rPr>
          <w:b/>
          <w:bCs/>
          <w:color w:val="000000"/>
          <w:szCs w:val="21"/>
        </w:rPr>
      </w:pPr>
      <w:r>
        <w:rPr>
          <w:rFonts w:hint="eastAsia"/>
          <w:b/>
          <w:bCs/>
          <w:color w:val="000000"/>
          <w:szCs w:val="21"/>
        </w:rPr>
        <w:t xml:space="preserve">    思政元素：对比国内外半导体技术的发展历程，学生能够感受到国家半导体技术的优势与差距， 通过个案学习，学生能够明白国际化技术竞争中的公正、平等的相对性，树立法治观念。</w:t>
      </w:r>
    </w:p>
    <w:p>
      <w:pPr>
        <w:spacing w:line="360" w:lineRule="auto"/>
        <w:ind w:firstLine="420" w:firstLineChars="200"/>
        <w:rPr>
          <w:color w:val="000000"/>
          <w:szCs w:val="21"/>
        </w:rPr>
      </w:pPr>
      <w:r>
        <w:rPr>
          <w:color w:val="000000"/>
          <w:szCs w:val="21"/>
        </w:rPr>
        <w:t>1.2、常见半导体材料，固体类型，空间晶格；（重点）</w:t>
      </w:r>
    </w:p>
    <w:p>
      <w:pPr>
        <w:spacing w:line="360" w:lineRule="auto"/>
        <w:ind w:firstLine="420" w:firstLineChars="200"/>
        <w:rPr>
          <w:color w:val="000000"/>
          <w:szCs w:val="21"/>
        </w:rPr>
      </w:pPr>
      <w:r>
        <w:rPr>
          <w:color w:val="000000"/>
          <w:szCs w:val="21"/>
        </w:rPr>
        <w:t>1.3、原子价键，固体中的缺陷和杂质；</w:t>
      </w:r>
    </w:p>
    <w:p>
      <w:pPr>
        <w:spacing w:line="360" w:lineRule="auto"/>
        <w:ind w:firstLine="420" w:firstLineChars="200"/>
        <w:rPr>
          <w:color w:val="000000"/>
          <w:szCs w:val="21"/>
        </w:rPr>
      </w:pPr>
      <w:r>
        <w:rPr>
          <w:color w:val="000000"/>
          <w:szCs w:val="21"/>
        </w:rPr>
        <w:t>1.4、半导体材料的生长过程。</w:t>
      </w:r>
    </w:p>
    <w:p>
      <w:pPr>
        <w:spacing w:line="360" w:lineRule="auto"/>
        <w:ind w:firstLine="420" w:firstLineChars="200"/>
        <w:rPr>
          <w:color w:val="000000"/>
          <w:szCs w:val="21"/>
        </w:rPr>
      </w:pPr>
      <w:r>
        <w:rPr>
          <w:color w:val="000000"/>
          <w:szCs w:val="21"/>
        </w:rPr>
        <w:t>本章内容支撑课程目标1、4。</w:t>
      </w:r>
      <w:r>
        <w:rPr>
          <w:color w:val="000000"/>
          <w:szCs w:val="21"/>
        </w:rPr>
        <w:tab/>
      </w:r>
    </w:p>
    <w:p>
      <w:pPr>
        <w:spacing w:line="360" w:lineRule="auto"/>
        <w:ind w:firstLine="420" w:firstLineChars="200"/>
        <w:rPr>
          <w:rFonts w:eastAsia="黑体"/>
          <w:color w:val="000000"/>
          <w:szCs w:val="21"/>
        </w:rPr>
      </w:pPr>
      <w:r>
        <w:rPr>
          <w:rFonts w:eastAsia="黑体"/>
          <w:color w:val="000000"/>
        </w:rPr>
        <w:t xml:space="preserve">2  </w:t>
      </w:r>
      <w:r>
        <w:rPr>
          <w:rFonts w:eastAsia="黑体"/>
          <w:color w:val="000000"/>
          <w:szCs w:val="21"/>
        </w:rPr>
        <w:t>固体量子理论初步（6学时）</w:t>
      </w:r>
    </w:p>
    <w:p>
      <w:pPr>
        <w:spacing w:line="360" w:lineRule="auto"/>
        <w:ind w:firstLine="420" w:firstLineChars="200"/>
        <w:rPr>
          <w:color w:val="000000"/>
          <w:szCs w:val="21"/>
        </w:rPr>
      </w:pPr>
      <w:r>
        <w:rPr>
          <w:color w:val="000000"/>
          <w:szCs w:val="21"/>
        </w:rPr>
        <w:t>2.1、量子力学的基本原理及简单应用</w:t>
      </w:r>
    </w:p>
    <w:p>
      <w:pPr>
        <w:spacing w:line="360" w:lineRule="auto"/>
        <w:ind w:firstLine="420" w:firstLineChars="200"/>
        <w:rPr>
          <w:color w:val="000000"/>
          <w:szCs w:val="21"/>
        </w:rPr>
      </w:pPr>
      <w:r>
        <w:rPr>
          <w:color w:val="000000"/>
          <w:szCs w:val="21"/>
        </w:rPr>
        <w:t>2.2、能带的形成，K空间能带图，金属、半导体、绝缘体各自对应的能带图，状态密度函数；（重点）</w:t>
      </w:r>
    </w:p>
    <w:p>
      <w:pPr>
        <w:spacing w:line="360" w:lineRule="auto"/>
        <w:ind w:firstLine="420" w:firstLineChars="200"/>
        <w:rPr>
          <w:color w:val="000000"/>
          <w:szCs w:val="21"/>
        </w:rPr>
      </w:pPr>
      <w:r>
        <w:rPr>
          <w:color w:val="000000"/>
          <w:szCs w:val="21"/>
        </w:rPr>
        <w:t>2.3、电子的有效质量，空穴的概念，费米分布，费米能级。（重点、难点）</w:t>
      </w:r>
    </w:p>
    <w:p>
      <w:pPr>
        <w:spacing w:line="360" w:lineRule="auto"/>
        <w:ind w:firstLine="420" w:firstLineChars="200"/>
        <w:rPr>
          <w:color w:val="000000"/>
          <w:szCs w:val="21"/>
        </w:rPr>
      </w:pPr>
      <w:r>
        <w:rPr>
          <w:color w:val="000000"/>
          <w:szCs w:val="21"/>
        </w:rPr>
        <w:t>本章内容支撑课程目标1。</w:t>
      </w:r>
      <w:r>
        <w:rPr>
          <w:color w:val="000000"/>
          <w:szCs w:val="21"/>
        </w:rPr>
        <w:tab/>
      </w:r>
    </w:p>
    <w:p>
      <w:pPr>
        <w:spacing w:line="360" w:lineRule="auto"/>
        <w:ind w:firstLine="420" w:firstLineChars="200"/>
        <w:rPr>
          <w:rFonts w:eastAsia="黑体"/>
          <w:color w:val="000000"/>
          <w:szCs w:val="21"/>
        </w:rPr>
      </w:pPr>
      <w:r>
        <w:rPr>
          <w:rFonts w:eastAsia="黑体"/>
          <w:color w:val="000000"/>
          <w:szCs w:val="21"/>
        </w:rPr>
        <w:t>3  平衡半导体（6学时）</w:t>
      </w:r>
    </w:p>
    <w:p>
      <w:pPr>
        <w:spacing w:line="360" w:lineRule="auto"/>
        <w:ind w:firstLine="420" w:firstLineChars="200"/>
        <w:rPr>
          <w:color w:val="000000"/>
          <w:szCs w:val="21"/>
        </w:rPr>
      </w:pPr>
      <w:r>
        <w:rPr>
          <w:color w:val="000000"/>
          <w:szCs w:val="21"/>
        </w:rPr>
        <w:t>3.1、n</w:t>
      </w:r>
      <w:r>
        <w:rPr>
          <w:color w:val="000000"/>
          <w:szCs w:val="21"/>
          <w:vertAlign w:val="subscript"/>
        </w:rPr>
        <w:t>0</w:t>
      </w:r>
      <w:r>
        <w:rPr>
          <w:color w:val="000000"/>
          <w:szCs w:val="21"/>
        </w:rPr>
        <w:t>方程和p</w:t>
      </w:r>
      <w:r>
        <w:rPr>
          <w:color w:val="000000"/>
          <w:szCs w:val="21"/>
          <w:vertAlign w:val="subscript"/>
        </w:rPr>
        <w:t>0</w:t>
      </w:r>
      <w:r>
        <w:rPr>
          <w:color w:val="000000"/>
          <w:szCs w:val="21"/>
        </w:rPr>
        <w:t>方程，载流子浓度乘积，电中性条件，完全电离条件，杂质半导体的载流子浓度的计算，费米能级随掺杂浓度和温度的变化，简并化条件；（重点、难点）</w:t>
      </w:r>
    </w:p>
    <w:p>
      <w:pPr>
        <w:spacing w:line="360" w:lineRule="auto"/>
        <w:ind w:firstLine="420" w:firstLineChars="200"/>
        <w:rPr>
          <w:color w:val="000000"/>
          <w:szCs w:val="21"/>
        </w:rPr>
      </w:pPr>
      <w:r>
        <w:rPr>
          <w:color w:val="000000"/>
          <w:szCs w:val="21"/>
        </w:rPr>
        <w:t>3.2、本征载流子浓度与温度的关系，本征费米能级位置，电离能的概念；（重点、难点）</w:t>
      </w:r>
    </w:p>
    <w:p>
      <w:pPr>
        <w:spacing w:line="360" w:lineRule="auto"/>
        <w:ind w:firstLine="420" w:firstLineChars="200"/>
        <w:rPr>
          <w:color w:val="000000"/>
          <w:szCs w:val="21"/>
        </w:rPr>
      </w:pPr>
      <w:r>
        <w:rPr>
          <w:color w:val="000000"/>
          <w:szCs w:val="21"/>
        </w:rPr>
        <w:t>3.3、费米能级的应用。</w:t>
      </w:r>
    </w:p>
    <w:p>
      <w:pPr>
        <w:spacing w:line="360" w:lineRule="auto"/>
        <w:ind w:firstLine="420" w:firstLineChars="200"/>
        <w:rPr>
          <w:color w:val="000000"/>
          <w:szCs w:val="21"/>
        </w:rPr>
      </w:pPr>
      <w:r>
        <w:rPr>
          <w:color w:val="000000"/>
          <w:szCs w:val="21"/>
        </w:rPr>
        <w:t>本章内容支撑课程目标1。</w:t>
      </w:r>
      <w:r>
        <w:rPr>
          <w:color w:val="000000"/>
          <w:szCs w:val="21"/>
        </w:rPr>
        <w:tab/>
      </w:r>
    </w:p>
    <w:p>
      <w:pPr>
        <w:spacing w:line="360" w:lineRule="auto"/>
        <w:ind w:firstLine="420" w:firstLineChars="200"/>
        <w:rPr>
          <w:rFonts w:eastAsia="黑体"/>
          <w:color w:val="000000"/>
          <w:szCs w:val="21"/>
        </w:rPr>
      </w:pPr>
      <w:r>
        <w:rPr>
          <w:rFonts w:eastAsia="黑体"/>
          <w:color w:val="000000"/>
          <w:szCs w:val="21"/>
        </w:rPr>
        <w:t>4  载流子的输运现象（6学时）</w:t>
      </w:r>
    </w:p>
    <w:p>
      <w:pPr>
        <w:spacing w:line="360" w:lineRule="auto"/>
        <w:ind w:firstLine="420" w:firstLineChars="200"/>
        <w:rPr>
          <w:color w:val="000000"/>
          <w:szCs w:val="21"/>
        </w:rPr>
      </w:pPr>
      <w:r>
        <w:rPr>
          <w:color w:val="000000"/>
          <w:szCs w:val="21"/>
        </w:rPr>
        <w:t>4.1、漂移电流密度方程，扩散电流密度方程，总的电流密度方程，迁移率，电导率，爱因斯坦关系式，霍尔效应；（重点、难点）</w:t>
      </w:r>
    </w:p>
    <w:p>
      <w:pPr>
        <w:spacing w:line="360" w:lineRule="auto"/>
        <w:ind w:firstLine="420" w:firstLineChars="200"/>
        <w:rPr>
          <w:color w:val="000000"/>
          <w:szCs w:val="21"/>
        </w:rPr>
      </w:pPr>
      <w:r>
        <w:rPr>
          <w:color w:val="000000"/>
          <w:szCs w:val="21"/>
        </w:rPr>
        <w:t>4.2、迁移率与杂质浓度和温度的关系，电阻率与杂质浓度和温度的关系，饱和速度，载流子散射的概念，半导体中载流子的主要散射机制。（重点、难点）</w:t>
      </w:r>
    </w:p>
    <w:p>
      <w:pPr>
        <w:spacing w:line="360" w:lineRule="auto"/>
        <w:ind w:firstLine="420" w:firstLineChars="200"/>
        <w:rPr>
          <w:color w:val="000000"/>
          <w:szCs w:val="21"/>
        </w:rPr>
      </w:pPr>
      <w:r>
        <w:rPr>
          <w:color w:val="000000"/>
          <w:szCs w:val="21"/>
        </w:rPr>
        <w:t>本章内容支撑课程目标1、2。</w:t>
      </w:r>
      <w:r>
        <w:rPr>
          <w:color w:val="000000"/>
          <w:szCs w:val="21"/>
        </w:rPr>
        <w:tab/>
      </w:r>
    </w:p>
    <w:p>
      <w:pPr>
        <w:spacing w:line="360" w:lineRule="auto"/>
        <w:ind w:firstLine="420" w:firstLineChars="200"/>
        <w:rPr>
          <w:rFonts w:eastAsia="黑体"/>
          <w:color w:val="000000"/>
          <w:szCs w:val="21"/>
        </w:rPr>
      </w:pPr>
      <w:r>
        <w:rPr>
          <w:rFonts w:eastAsia="黑体"/>
          <w:color w:val="000000"/>
          <w:szCs w:val="21"/>
        </w:rPr>
        <w:t>5 半导体中的非平衡过剩载流子（8学时）</w:t>
      </w:r>
    </w:p>
    <w:p>
      <w:pPr>
        <w:spacing w:line="360" w:lineRule="auto"/>
        <w:ind w:firstLine="420" w:firstLineChars="200"/>
        <w:rPr>
          <w:color w:val="000000"/>
          <w:szCs w:val="21"/>
        </w:rPr>
      </w:pPr>
      <w:r>
        <w:rPr>
          <w:color w:val="000000"/>
          <w:szCs w:val="21"/>
        </w:rPr>
        <w:t>5.1、过剩载流子的产生与复合，连续性方程，小注入条件，双极输运方程，准费米能级；（重点、难点）</w:t>
      </w:r>
    </w:p>
    <w:p>
      <w:pPr>
        <w:spacing w:line="360" w:lineRule="auto"/>
        <w:ind w:left="735" w:leftChars="200" w:hanging="315" w:hangingChars="150"/>
        <w:rPr>
          <w:color w:val="000000"/>
          <w:szCs w:val="21"/>
        </w:rPr>
      </w:pPr>
      <w:r>
        <w:rPr>
          <w:color w:val="000000"/>
          <w:szCs w:val="21"/>
        </w:rPr>
        <w:t>5.2、过剩载流子的寿命，表面态，表面复合速度；（难点）</w:t>
      </w:r>
    </w:p>
    <w:p>
      <w:pPr>
        <w:spacing w:line="360" w:lineRule="auto"/>
        <w:ind w:left="735" w:leftChars="200" w:hanging="315" w:hangingChars="150"/>
        <w:rPr>
          <w:color w:val="000000"/>
          <w:szCs w:val="21"/>
        </w:rPr>
      </w:pPr>
      <w:r>
        <w:rPr>
          <w:color w:val="000000"/>
          <w:szCs w:val="21"/>
        </w:rPr>
        <w:t>5.3</w:t>
      </w:r>
      <w:r>
        <w:rPr>
          <w:rFonts w:hint="eastAsia"/>
          <w:color w:val="000000"/>
          <w:szCs w:val="21"/>
        </w:rPr>
        <w:t>、</w:t>
      </w:r>
      <w:r>
        <w:rPr>
          <w:color w:val="000000"/>
          <w:szCs w:val="21"/>
        </w:rPr>
        <w:t>陷阱效应。</w:t>
      </w:r>
    </w:p>
    <w:p>
      <w:pPr>
        <w:spacing w:line="360" w:lineRule="auto"/>
        <w:ind w:firstLine="420" w:firstLineChars="200"/>
        <w:rPr>
          <w:color w:val="000000"/>
          <w:szCs w:val="21"/>
        </w:rPr>
      </w:pPr>
      <w:r>
        <w:rPr>
          <w:color w:val="000000"/>
          <w:szCs w:val="21"/>
        </w:rPr>
        <w:t>本章内容支撑课程目标1、2、4。</w:t>
      </w:r>
      <w:r>
        <w:rPr>
          <w:color w:val="000000"/>
          <w:szCs w:val="21"/>
        </w:rPr>
        <w:tab/>
      </w:r>
    </w:p>
    <w:p>
      <w:pPr>
        <w:spacing w:line="360" w:lineRule="auto"/>
        <w:ind w:firstLine="420" w:firstLineChars="200"/>
        <w:rPr>
          <w:rFonts w:eastAsia="黑体"/>
          <w:color w:val="000000"/>
          <w:szCs w:val="21"/>
        </w:rPr>
      </w:pPr>
      <w:r>
        <w:rPr>
          <w:rFonts w:eastAsia="黑体"/>
          <w:color w:val="000000"/>
          <w:szCs w:val="21"/>
        </w:rPr>
        <w:t>6 PN结（5学时）</w:t>
      </w:r>
    </w:p>
    <w:p>
      <w:pPr>
        <w:spacing w:line="360" w:lineRule="auto"/>
        <w:ind w:left="735" w:leftChars="200" w:hanging="315" w:hangingChars="150"/>
        <w:rPr>
          <w:color w:val="000000"/>
          <w:szCs w:val="21"/>
        </w:rPr>
      </w:pPr>
      <w:r>
        <w:rPr>
          <w:color w:val="000000"/>
          <w:szCs w:val="21"/>
        </w:rPr>
        <w:t>6.1、pn结能带图,空间电荷区， pn结接触电势差以及与掺杂浓度的关系，势垒电容；（重点、难点）</w:t>
      </w:r>
    </w:p>
    <w:p>
      <w:pPr>
        <w:spacing w:line="360" w:lineRule="auto"/>
        <w:ind w:left="735" w:leftChars="200" w:hanging="315" w:hangingChars="150"/>
        <w:rPr>
          <w:color w:val="000000"/>
          <w:szCs w:val="21"/>
        </w:rPr>
      </w:pPr>
      <w:r>
        <w:rPr>
          <w:color w:val="000000"/>
          <w:szCs w:val="21"/>
        </w:rPr>
        <w:t>6.2、空间电荷区的宽度，突变结。（难点）</w:t>
      </w:r>
    </w:p>
    <w:p>
      <w:pPr>
        <w:spacing w:line="360" w:lineRule="auto"/>
        <w:ind w:firstLine="420" w:firstLineChars="200"/>
        <w:rPr>
          <w:color w:val="000000"/>
          <w:szCs w:val="21"/>
        </w:rPr>
      </w:pPr>
      <w:r>
        <w:rPr>
          <w:color w:val="000000"/>
          <w:szCs w:val="21"/>
        </w:rPr>
        <w:t>本章内容支撑课程目标1、2。</w:t>
      </w:r>
      <w:r>
        <w:rPr>
          <w:color w:val="000000"/>
          <w:szCs w:val="21"/>
        </w:rPr>
        <w:tab/>
      </w:r>
    </w:p>
    <w:p>
      <w:pPr>
        <w:spacing w:line="360" w:lineRule="auto"/>
        <w:ind w:firstLine="420" w:firstLineChars="200"/>
        <w:rPr>
          <w:rFonts w:eastAsia="黑体"/>
          <w:color w:val="000000"/>
          <w:szCs w:val="21"/>
        </w:rPr>
      </w:pPr>
      <w:r>
        <w:rPr>
          <w:rFonts w:eastAsia="黑体"/>
          <w:color w:val="000000"/>
          <w:szCs w:val="21"/>
        </w:rPr>
        <w:t>7 PN结二极管（5学时）</w:t>
      </w:r>
    </w:p>
    <w:p>
      <w:pPr>
        <w:spacing w:line="360" w:lineRule="auto"/>
        <w:ind w:firstLine="420" w:firstLineChars="200"/>
        <w:rPr>
          <w:color w:val="000000"/>
          <w:szCs w:val="21"/>
        </w:rPr>
      </w:pPr>
      <w:r>
        <w:rPr>
          <w:color w:val="000000"/>
          <w:szCs w:val="21"/>
        </w:rPr>
        <w:t>7.1、零偏、正偏、反偏条件下的pn结对应的能带图、电流－电压关系、少数载流子的分布，正偏下pn结内各成份电流分布图，齐纳击穿，雪崩击穿；（重点、难点）</w:t>
      </w:r>
    </w:p>
    <w:p>
      <w:pPr>
        <w:spacing w:line="360" w:lineRule="auto"/>
        <w:ind w:firstLine="420" w:firstLineChars="200"/>
        <w:rPr>
          <w:color w:val="000000"/>
          <w:szCs w:val="21"/>
        </w:rPr>
      </w:pPr>
      <w:r>
        <w:rPr>
          <w:color w:val="000000"/>
          <w:szCs w:val="21"/>
        </w:rPr>
        <w:t>7.2、pn结电流的温度效应，短二极管，反偏产生电流，正偏复合电流，总的正偏电流的组成；（难点）</w:t>
      </w:r>
    </w:p>
    <w:p>
      <w:pPr>
        <w:spacing w:line="360" w:lineRule="auto"/>
        <w:ind w:left="735" w:leftChars="200" w:hanging="315" w:hangingChars="150"/>
        <w:rPr>
          <w:color w:val="000000"/>
          <w:szCs w:val="21"/>
        </w:rPr>
      </w:pPr>
      <w:r>
        <w:rPr>
          <w:color w:val="000000"/>
          <w:szCs w:val="21"/>
        </w:rPr>
        <w:t>7.3、pn结的小信号模型（重点）。</w:t>
      </w:r>
    </w:p>
    <w:p>
      <w:pPr>
        <w:spacing w:line="360" w:lineRule="auto"/>
        <w:ind w:firstLine="420" w:firstLineChars="200"/>
        <w:rPr>
          <w:color w:val="000000"/>
          <w:szCs w:val="21"/>
        </w:rPr>
      </w:pPr>
      <w:r>
        <w:rPr>
          <w:color w:val="000000"/>
          <w:szCs w:val="21"/>
        </w:rPr>
        <w:t>本章内容支撑课程目标1、2。</w:t>
      </w:r>
      <w:r>
        <w:rPr>
          <w:color w:val="000000"/>
          <w:szCs w:val="21"/>
        </w:rPr>
        <w:tab/>
      </w:r>
    </w:p>
    <w:p>
      <w:pPr>
        <w:spacing w:line="360" w:lineRule="auto"/>
        <w:ind w:firstLine="420" w:firstLineChars="200"/>
        <w:rPr>
          <w:rFonts w:eastAsia="黑体"/>
          <w:color w:val="000000"/>
          <w:szCs w:val="21"/>
        </w:rPr>
      </w:pPr>
      <w:r>
        <w:rPr>
          <w:rFonts w:eastAsia="黑体"/>
          <w:color w:val="000000"/>
          <w:szCs w:val="21"/>
        </w:rPr>
        <w:t>8  金属半导体和半导体异质结（4学时）</w:t>
      </w:r>
    </w:p>
    <w:p>
      <w:pPr>
        <w:spacing w:line="360" w:lineRule="auto"/>
        <w:ind w:left="735" w:leftChars="200" w:hanging="315" w:hangingChars="150"/>
        <w:rPr>
          <w:color w:val="000000"/>
          <w:szCs w:val="21"/>
        </w:rPr>
      </w:pPr>
      <w:r>
        <w:rPr>
          <w:color w:val="000000"/>
          <w:szCs w:val="21"/>
        </w:rPr>
        <w:t>8.1、金属和半导体的功函数的定义, 内建电势差, 少数载流子的注入，欧姆接触；（重点、难点）</w:t>
      </w:r>
    </w:p>
    <w:p>
      <w:pPr>
        <w:spacing w:line="360" w:lineRule="auto"/>
        <w:ind w:left="735" w:leftChars="200" w:hanging="315" w:hangingChars="150"/>
        <w:rPr>
          <w:color w:val="000000"/>
          <w:szCs w:val="21"/>
        </w:rPr>
      </w:pPr>
      <w:r>
        <w:rPr>
          <w:color w:val="000000"/>
          <w:szCs w:val="21"/>
        </w:rPr>
        <w:t>8.2、理想肖特基结特性，肖特基效应，电流—电压关系，热电子发射理论；（重点）</w:t>
      </w:r>
    </w:p>
    <w:p>
      <w:pPr>
        <w:spacing w:line="360" w:lineRule="auto"/>
        <w:ind w:left="735" w:leftChars="200" w:hanging="315" w:hangingChars="150"/>
        <w:rPr>
          <w:color w:val="000000"/>
          <w:szCs w:val="21"/>
        </w:rPr>
      </w:pPr>
      <w:r>
        <w:rPr>
          <w:color w:val="000000"/>
          <w:szCs w:val="21"/>
        </w:rPr>
        <w:t>8.3、异质结的能带图。</w:t>
      </w:r>
    </w:p>
    <w:p>
      <w:pPr>
        <w:spacing w:line="360" w:lineRule="auto"/>
        <w:ind w:firstLine="420" w:firstLineChars="200"/>
        <w:rPr>
          <w:color w:val="000000"/>
          <w:szCs w:val="21"/>
        </w:rPr>
      </w:pPr>
      <w:r>
        <w:rPr>
          <w:color w:val="000000"/>
          <w:szCs w:val="21"/>
        </w:rPr>
        <w:t>本章内容支撑课程目标1、2。</w:t>
      </w:r>
      <w:r>
        <w:rPr>
          <w:color w:val="000000"/>
          <w:szCs w:val="21"/>
        </w:rPr>
        <w:tab/>
      </w:r>
    </w:p>
    <w:p>
      <w:pPr>
        <w:spacing w:line="360" w:lineRule="auto"/>
        <w:ind w:firstLine="420" w:firstLineChars="200"/>
        <w:rPr>
          <w:rFonts w:eastAsia="黑体"/>
          <w:color w:val="000000"/>
          <w:szCs w:val="21"/>
        </w:rPr>
      </w:pPr>
      <w:r>
        <w:rPr>
          <w:rFonts w:eastAsia="黑体"/>
          <w:color w:val="000000"/>
          <w:szCs w:val="21"/>
        </w:rPr>
        <w:t>9 双极晶体管（9学时）</w:t>
      </w:r>
    </w:p>
    <w:p>
      <w:pPr>
        <w:spacing w:line="360" w:lineRule="auto"/>
        <w:ind w:firstLine="420" w:firstLineChars="200"/>
        <w:rPr>
          <w:color w:val="000000"/>
          <w:szCs w:val="21"/>
        </w:rPr>
      </w:pPr>
      <w:r>
        <w:rPr>
          <w:color w:val="000000"/>
          <w:szCs w:val="21"/>
        </w:rPr>
        <w:t>9.1、双极晶体管的基本工作原理和能带图，正向有源模式，低频共基极电流增益；（重点、难点）</w:t>
      </w:r>
    </w:p>
    <w:p>
      <w:pPr>
        <w:spacing w:line="360" w:lineRule="auto"/>
        <w:ind w:firstLine="420" w:firstLineChars="200"/>
        <w:rPr>
          <w:color w:val="000000"/>
          <w:szCs w:val="21"/>
        </w:rPr>
      </w:pPr>
      <w:r>
        <w:rPr>
          <w:color w:val="000000"/>
          <w:szCs w:val="21"/>
        </w:rPr>
        <w:t>9.2、非理想效应，晶体管截止频率，开关特性；（难点）</w:t>
      </w:r>
    </w:p>
    <w:p>
      <w:pPr>
        <w:spacing w:line="360" w:lineRule="auto"/>
        <w:ind w:left="735" w:leftChars="200" w:hanging="315" w:hangingChars="150"/>
        <w:rPr>
          <w:color w:val="000000"/>
          <w:szCs w:val="21"/>
        </w:rPr>
      </w:pPr>
      <w:r>
        <w:rPr>
          <w:color w:val="000000"/>
          <w:szCs w:val="21"/>
        </w:rPr>
        <w:t>9.3</w:t>
      </w:r>
      <w:r>
        <w:rPr>
          <w:rFonts w:hint="eastAsia"/>
          <w:color w:val="000000"/>
          <w:szCs w:val="21"/>
        </w:rPr>
        <w:t>、</w:t>
      </w:r>
      <w:r>
        <w:rPr>
          <w:color w:val="000000"/>
          <w:szCs w:val="21"/>
        </w:rPr>
        <w:t>H-P等效电路模型。</w:t>
      </w:r>
    </w:p>
    <w:p>
      <w:pPr>
        <w:spacing w:line="360" w:lineRule="auto"/>
        <w:ind w:firstLine="420" w:firstLineChars="200"/>
        <w:rPr>
          <w:color w:val="000000"/>
          <w:szCs w:val="21"/>
        </w:rPr>
      </w:pPr>
      <w:r>
        <w:rPr>
          <w:color w:val="000000"/>
          <w:szCs w:val="21"/>
        </w:rPr>
        <w:t>本章内容支撑课程目标1、2、3。</w:t>
      </w:r>
      <w:r>
        <w:rPr>
          <w:color w:val="000000"/>
          <w:szCs w:val="21"/>
        </w:rPr>
        <w:tab/>
      </w:r>
    </w:p>
    <w:p>
      <w:pPr>
        <w:spacing w:line="360" w:lineRule="auto"/>
        <w:ind w:firstLine="420" w:firstLineChars="200"/>
        <w:rPr>
          <w:rFonts w:eastAsia="黑体"/>
          <w:color w:val="000000"/>
          <w:szCs w:val="21"/>
        </w:rPr>
      </w:pPr>
      <w:r>
        <w:rPr>
          <w:rFonts w:eastAsia="黑体"/>
          <w:color w:val="000000"/>
          <w:szCs w:val="21"/>
        </w:rPr>
        <w:t>10  金属－氧化物－半导体场效应晶体管（14学时）</w:t>
      </w:r>
    </w:p>
    <w:p>
      <w:pPr>
        <w:spacing w:line="360" w:lineRule="auto"/>
        <w:ind w:firstLine="420" w:firstLineChars="200"/>
        <w:rPr>
          <w:color w:val="000000"/>
          <w:szCs w:val="21"/>
        </w:rPr>
      </w:pPr>
      <w:r>
        <w:rPr>
          <w:color w:val="000000"/>
          <w:szCs w:val="21"/>
        </w:rPr>
        <w:t>10.1、MOS结构的能带图，耗尽层宽度，功函数差，平带电压，阈值电压，电荷分布，低频C-V特性，高频C-V特性，固定电荷、可动电荷、界面态电荷与C-V特性的关系，跨导，衬底偏置效应，频率限制特性；（重点、难点）</w:t>
      </w:r>
    </w:p>
    <w:p>
      <w:pPr>
        <w:spacing w:line="360" w:lineRule="auto"/>
        <w:ind w:left="735" w:leftChars="200" w:hanging="315" w:hangingChars="150"/>
        <w:rPr>
          <w:color w:val="000000"/>
          <w:szCs w:val="21"/>
        </w:rPr>
      </w:pPr>
      <w:r>
        <w:rPr>
          <w:color w:val="000000"/>
          <w:szCs w:val="21"/>
        </w:rPr>
        <w:t>10.2、电流－电压关系，小信号等效电路；（重点、难点）</w:t>
      </w:r>
    </w:p>
    <w:p>
      <w:pPr>
        <w:spacing w:line="360" w:lineRule="auto"/>
        <w:ind w:left="735" w:leftChars="200" w:hanging="315" w:hangingChars="150"/>
        <w:rPr>
          <w:color w:val="000000"/>
          <w:szCs w:val="21"/>
        </w:rPr>
      </w:pPr>
      <w:r>
        <w:rPr>
          <w:color w:val="000000"/>
          <w:szCs w:val="21"/>
        </w:rPr>
        <w:t>10.3、COMS技术工艺原理；</w:t>
      </w:r>
    </w:p>
    <w:p>
      <w:pPr>
        <w:spacing w:line="360" w:lineRule="auto"/>
        <w:ind w:left="735" w:leftChars="200" w:hanging="315" w:hangingChars="150"/>
        <w:rPr>
          <w:color w:val="000000"/>
          <w:szCs w:val="21"/>
        </w:rPr>
      </w:pPr>
      <w:r>
        <w:rPr>
          <w:color w:val="000000"/>
          <w:szCs w:val="21"/>
        </w:rPr>
        <w:t>10.4、非理想效应，按比例缩小理论（重点）</w:t>
      </w:r>
    </w:p>
    <w:p>
      <w:pPr>
        <w:spacing w:line="360" w:lineRule="auto"/>
        <w:ind w:firstLine="420" w:firstLineChars="200"/>
        <w:rPr>
          <w:color w:val="000000"/>
          <w:szCs w:val="21"/>
        </w:rPr>
      </w:pPr>
      <w:r>
        <w:rPr>
          <w:color w:val="000000"/>
          <w:szCs w:val="21"/>
        </w:rPr>
        <w:t>本章内容支撑课程目标1、2、3、4。</w:t>
      </w:r>
      <w:r>
        <w:rPr>
          <w:color w:val="000000"/>
          <w:szCs w:val="21"/>
        </w:rPr>
        <w:tab/>
      </w:r>
    </w:p>
    <w:p>
      <w:pPr>
        <w:spacing w:line="360" w:lineRule="auto"/>
        <w:ind w:left="735" w:leftChars="200" w:hanging="315" w:hangingChars="150"/>
        <w:rPr>
          <w:color w:val="000000"/>
          <w:szCs w:val="21"/>
        </w:rPr>
      </w:pPr>
    </w:p>
    <w:p>
      <w:pPr>
        <w:adjustRightInd w:val="0"/>
        <w:snapToGrid w:val="0"/>
        <w:spacing w:line="360" w:lineRule="auto"/>
        <w:rPr>
          <w:rFonts w:eastAsia="黑体"/>
          <w:color w:val="000000"/>
        </w:rPr>
      </w:pPr>
      <w:r>
        <w:rPr>
          <w:rFonts w:eastAsia="黑体"/>
          <w:color w:val="000000"/>
        </w:rPr>
        <w:t>五、实验内容</w:t>
      </w:r>
    </w:p>
    <w:p>
      <w:pPr>
        <w:adjustRightInd w:val="0"/>
        <w:snapToGrid w:val="0"/>
        <w:spacing w:line="360" w:lineRule="auto"/>
        <w:ind w:firstLine="420" w:firstLineChars="200"/>
        <w:rPr>
          <w:kern w:val="0"/>
          <w:szCs w:val="21"/>
        </w:rPr>
      </w:pPr>
      <w:r>
        <w:rPr>
          <w:kern w:val="0"/>
          <w:szCs w:val="21"/>
        </w:rPr>
        <w:t>实验环节主要是操作实验设备，要求保证实验条件，即具备霍尔效应实验仪和半导体特性分析仪；要求学生掌握半导体材料及器件测试的实验原理和实验方法，</w:t>
      </w:r>
      <w:r>
        <w:rPr>
          <w:color w:val="000000"/>
          <w:szCs w:val="21"/>
        </w:rPr>
        <w:t>巩固在理论课程中所学到的基本性质和基本原理</w:t>
      </w:r>
      <w:r>
        <w:rPr>
          <w:kern w:val="0"/>
          <w:szCs w:val="21"/>
        </w:rPr>
        <w:t>，</w:t>
      </w:r>
      <w:r>
        <w:rPr>
          <w:color w:val="000000"/>
          <w:szCs w:val="21"/>
        </w:rPr>
        <w:t>增强学生的专业实践能力</w:t>
      </w:r>
      <w:r>
        <w:rPr>
          <w:kern w:val="0"/>
          <w:szCs w:val="21"/>
        </w:rPr>
        <w:t>。</w:t>
      </w:r>
    </w:p>
    <w:p>
      <w:pPr>
        <w:adjustRightInd w:val="0"/>
        <w:snapToGrid w:val="0"/>
        <w:spacing w:line="360" w:lineRule="auto"/>
        <w:ind w:firstLine="420" w:firstLineChars="200"/>
        <w:rPr>
          <w:kern w:val="0"/>
          <w:szCs w:val="21"/>
        </w:rPr>
      </w:pPr>
      <w:r>
        <w:rPr>
          <w:kern w:val="0"/>
          <w:szCs w:val="21"/>
        </w:rPr>
        <w:t>4个学时共完成2个实验，均为正常课内实验。</w:t>
      </w:r>
    </w:p>
    <w:p>
      <w:pPr>
        <w:adjustRightInd w:val="0"/>
        <w:snapToGrid w:val="0"/>
        <w:spacing w:line="360" w:lineRule="auto"/>
        <w:ind w:firstLine="420" w:firstLineChars="200"/>
        <w:rPr>
          <w:rFonts w:eastAsia="黑体"/>
          <w:color w:val="000000"/>
        </w:rPr>
      </w:pPr>
      <w:r>
        <w:rPr>
          <w:rFonts w:eastAsia="黑体"/>
          <w:color w:val="000000"/>
        </w:rPr>
        <w:t>实验一霍尔效应实验（2学时）</w:t>
      </w:r>
    </w:p>
    <w:p>
      <w:pPr>
        <w:widowControl/>
        <w:adjustRightInd w:val="0"/>
        <w:snapToGrid w:val="0"/>
        <w:spacing w:line="360" w:lineRule="auto"/>
        <w:jc w:val="left"/>
        <w:rPr>
          <w:color w:val="000000"/>
          <w:kern w:val="0"/>
          <w:szCs w:val="21"/>
        </w:rPr>
      </w:pPr>
      <w:r>
        <w:rPr>
          <w:color w:val="000000"/>
          <w:kern w:val="0"/>
          <w:szCs w:val="21"/>
        </w:rPr>
        <w:t>内容：测量霍尔元件的零位电势和零位电阻，测量霍尔电压V</w:t>
      </w:r>
      <w:r>
        <w:rPr>
          <w:color w:val="000000"/>
          <w:kern w:val="0"/>
          <w:szCs w:val="21"/>
          <w:vertAlign w:val="subscript"/>
        </w:rPr>
        <w:t>H</w:t>
      </w:r>
      <w:r>
        <w:rPr>
          <w:color w:val="000000"/>
          <w:kern w:val="0"/>
          <w:szCs w:val="21"/>
        </w:rPr>
        <w:t>与工作电流I</w:t>
      </w:r>
      <w:r>
        <w:rPr>
          <w:color w:val="000000"/>
          <w:kern w:val="0"/>
          <w:szCs w:val="21"/>
          <w:vertAlign w:val="subscript"/>
        </w:rPr>
        <w:t>s</w:t>
      </w:r>
      <w:r>
        <w:rPr>
          <w:color w:val="000000"/>
          <w:kern w:val="0"/>
          <w:szCs w:val="21"/>
        </w:rPr>
        <w:t>的关系，测量霍尔电压V</w:t>
      </w:r>
      <w:r>
        <w:rPr>
          <w:color w:val="000000"/>
          <w:kern w:val="0"/>
          <w:szCs w:val="21"/>
          <w:vertAlign w:val="subscript"/>
        </w:rPr>
        <w:t>H</w:t>
      </w:r>
      <w:r>
        <w:rPr>
          <w:color w:val="000000"/>
          <w:kern w:val="0"/>
          <w:szCs w:val="21"/>
        </w:rPr>
        <w:t>与励磁电流I</w:t>
      </w:r>
      <w:r>
        <w:rPr>
          <w:color w:val="000000"/>
          <w:kern w:val="0"/>
          <w:szCs w:val="21"/>
          <w:vertAlign w:val="subscript"/>
        </w:rPr>
        <w:t>M</w:t>
      </w:r>
      <w:r>
        <w:rPr>
          <w:color w:val="000000"/>
          <w:kern w:val="0"/>
          <w:szCs w:val="21"/>
        </w:rPr>
        <w:t>的关系，</w:t>
      </w:r>
      <w:r>
        <w:rPr>
          <w:snapToGrid w:val="0"/>
          <w:color w:val="000000"/>
          <w:kern w:val="0"/>
          <w:szCs w:val="21"/>
        </w:rPr>
        <w:t>计算霍尔元件的霍尔灵敏度、</w:t>
      </w:r>
      <w:r>
        <w:rPr>
          <w:color w:val="000000"/>
          <w:kern w:val="0"/>
          <w:szCs w:val="21"/>
        </w:rPr>
        <w:t>载流子迁移率和电导率。</w:t>
      </w:r>
    </w:p>
    <w:p>
      <w:pPr>
        <w:adjustRightInd w:val="0"/>
        <w:snapToGrid w:val="0"/>
        <w:spacing w:line="360" w:lineRule="auto"/>
        <w:ind w:left="424" w:leftChars="202"/>
        <w:rPr>
          <w:color w:val="000000"/>
          <w:kern w:val="0"/>
          <w:szCs w:val="21"/>
        </w:rPr>
      </w:pPr>
      <w:r>
        <w:rPr>
          <w:color w:val="000000"/>
          <w:kern w:val="0"/>
          <w:szCs w:val="21"/>
        </w:rPr>
        <w:t>基本要求：</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1、了解霍尔效应的基本原理；</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2、掌握测量霍尔灵敏度的方法；</w:t>
      </w:r>
    </w:p>
    <w:p>
      <w:pPr>
        <w:widowControl/>
        <w:adjustRightInd w:val="0"/>
        <w:snapToGrid w:val="0"/>
        <w:spacing w:line="360" w:lineRule="auto"/>
        <w:ind w:firstLine="420" w:firstLineChars="200"/>
        <w:jc w:val="left"/>
        <w:rPr>
          <w:snapToGrid w:val="0"/>
          <w:color w:val="000000"/>
          <w:kern w:val="0"/>
          <w:szCs w:val="21"/>
        </w:rPr>
      </w:pPr>
      <w:r>
        <w:rPr>
          <w:snapToGrid w:val="0"/>
          <w:color w:val="000000"/>
          <w:kern w:val="0"/>
          <w:szCs w:val="21"/>
        </w:rPr>
        <w:t>3、理解能够利用宏观参量（霍尔电压）测定微观参量（载流子迁移率）的原理。（重点）</w:t>
      </w:r>
    </w:p>
    <w:p>
      <w:pPr>
        <w:spacing w:line="360" w:lineRule="auto"/>
        <w:ind w:firstLine="420" w:firstLineChars="200"/>
        <w:rPr>
          <w:color w:val="000000"/>
          <w:szCs w:val="21"/>
        </w:rPr>
      </w:pPr>
      <w:r>
        <w:rPr>
          <w:color w:val="000000"/>
          <w:szCs w:val="21"/>
        </w:rPr>
        <w:t>本实验内容支撑课程目标2、3。</w:t>
      </w:r>
      <w:r>
        <w:rPr>
          <w:color w:val="000000"/>
          <w:szCs w:val="21"/>
        </w:rPr>
        <w:tab/>
      </w:r>
    </w:p>
    <w:p>
      <w:pPr>
        <w:adjustRightInd w:val="0"/>
        <w:snapToGrid w:val="0"/>
        <w:spacing w:line="360" w:lineRule="auto"/>
        <w:ind w:firstLine="420" w:firstLineChars="200"/>
        <w:rPr>
          <w:rFonts w:eastAsia="黑体"/>
          <w:color w:val="000000"/>
        </w:rPr>
      </w:pPr>
      <w:r>
        <w:rPr>
          <w:rFonts w:eastAsia="黑体"/>
          <w:color w:val="000000"/>
        </w:rPr>
        <w:t>实验二晶体管输入输出特性曲线测试实验（2学时）</w:t>
      </w:r>
    </w:p>
    <w:p>
      <w:pPr>
        <w:widowControl/>
        <w:adjustRightInd w:val="0"/>
        <w:snapToGrid w:val="0"/>
        <w:spacing w:line="360" w:lineRule="auto"/>
        <w:jc w:val="left"/>
        <w:rPr>
          <w:color w:val="000000"/>
          <w:kern w:val="0"/>
          <w:szCs w:val="21"/>
        </w:rPr>
      </w:pPr>
      <w:r>
        <w:rPr>
          <w:color w:val="000000"/>
          <w:kern w:val="0"/>
          <w:szCs w:val="21"/>
        </w:rPr>
        <w:t>内容：测量晶体管的反向击穿电压，</w:t>
      </w:r>
      <w:r>
        <w:rPr>
          <w:snapToGrid w:val="0"/>
          <w:color w:val="000000"/>
          <w:kern w:val="0"/>
          <w:szCs w:val="21"/>
        </w:rPr>
        <w:t>对BJT管的输入和输出特性曲线进行测试，计算出输入阻抗、</w:t>
      </w:r>
      <w:r>
        <w:rPr>
          <w:color w:val="000000"/>
          <w:kern w:val="0"/>
          <w:szCs w:val="21"/>
        </w:rPr>
        <w:t>电流增益和饱和压降，判断所测量的晶体管是否正常。</w:t>
      </w:r>
    </w:p>
    <w:p>
      <w:pPr>
        <w:adjustRightInd w:val="0"/>
        <w:snapToGrid w:val="0"/>
        <w:spacing w:line="360" w:lineRule="auto"/>
        <w:ind w:left="424" w:leftChars="202"/>
        <w:rPr>
          <w:color w:val="000000"/>
          <w:kern w:val="0"/>
          <w:szCs w:val="21"/>
        </w:rPr>
      </w:pPr>
      <w:r>
        <w:rPr>
          <w:color w:val="000000"/>
          <w:kern w:val="0"/>
          <w:szCs w:val="21"/>
        </w:rPr>
        <w:t>基本要求：</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1、掌握测量BJT管典型参数和输入输出特性的原理和方法；（重点）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2、掌握不同类型（pnp或npn）BJT管输入特性曲线的测量原理和方法；</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3、学会判断晶体管是否工作正常。</w:t>
      </w:r>
    </w:p>
    <w:p>
      <w:pPr>
        <w:widowControl/>
        <w:adjustRightInd w:val="0"/>
        <w:snapToGrid w:val="0"/>
        <w:spacing w:line="360" w:lineRule="auto"/>
        <w:ind w:left="426"/>
        <w:jc w:val="left"/>
        <w:rPr>
          <w:snapToGrid w:val="0"/>
          <w:color w:val="000000"/>
          <w:kern w:val="0"/>
          <w:szCs w:val="21"/>
        </w:rPr>
      </w:pPr>
      <w:r>
        <w:rPr>
          <w:color w:val="000000"/>
          <w:szCs w:val="21"/>
        </w:rPr>
        <w:t>本实验内容支撑课程目标2、3。</w:t>
      </w:r>
    </w:p>
    <w:p>
      <w:pPr>
        <w:widowControl/>
        <w:adjustRightInd w:val="0"/>
        <w:snapToGrid w:val="0"/>
        <w:spacing w:line="360" w:lineRule="auto"/>
        <w:ind w:left="426"/>
        <w:jc w:val="left"/>
        <w:rPr>
          <w:snapToGrid w:val="0"/>
          <w:color w:val="000000"/>
          <w:kern w:val="0"/>
          <w:szCs w:val="21"/>
        </w:rPr>
      </w:pPr>
    </w:p>
    <w:p>
      <w:pPr>
        <w:spacing w:after="156" w:afterLines="50" w:line="360" w:lineRule="auto"/>
        <w:rPr>
          <w:rFonts w:eastAsia="黑体"/>
          <w:color w:val="000000"/>
        </w:rPr>
      </w:pPr>
      <w:r>
        <w:rPr>
          <w:rFonts w:hint="eastAsia" w:eastAsia="黑体"/>
          <w:color w:val="000000"/>
        </w:rPr>
        <w:t>六、学时分配</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0"/>
        <w:gridCol w:w="1650"/>
        <w:gridCol w:w="1633"/>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jc w:val="center"/>
              <w:rPr>
                <w:color w:val="000000"/>
                <w:sz w:val="18"/>
                <w:szCs w:val="18"/>
              </w:rPr>
            </w:pPr>
            <w:r>
              <w:rPr>
                <w:rFonts w:hint="eastAsia"/>
                <w:color w:val="000000"/>
                <w:sz w:val="18"/>
                <w:szCs w:val="18"/>
              </w:rPr>
              <w:t>讲授的知识点及内容</w:t>
            </w:r>
          </w:p>
        </w:tc>
        <w:tc>
          <w:tcPr>
            <w:tcW w:w="993" w:type="pct"/>
          </w:tcPr>
          <w:p>
            <w:pPr>
              <w:jc w:val="center"/>
              <w:rPr>
                <w:color w:val="000000"/>
                <w:sz w:val="18"/>
                <w:szCs w:val="18"/>
              </w:rPr>
            </w:pPr>
            <w:r>
              <w:rPr>
                <w:rFonts w:hint="eastAsia"/>
                <w:color w:val="000000"/>
                <w:sz w:val="18"/>
                <w:szCs w:val="18"/>
              </w:rPr>
              <w:t>讲授（学时）</w:t>
            </w:r>
          </w:p>
        </w:tc>
        <w:tc>
          <w:tcPr>
            <w:tcW w:w="983" w:type="pct"/>
            <w:vAlign w:val="center"/>
          </w:tcPr>
          <w:p>
            <w:pPr>
              <w:jc w:val="center"/>
              <w:rPr>
                <w:color w:val="000000"/>
                <w:sz w:val="18"/>
                <w:szCs w:val="18"/>
              </w:rPr>
            </w:pPr>
            <w:r>
              <w:rPr>
                <w:rFonts w:hint="eastAsia"/>
                <w:color w:val="000000"/>
                <w:sz w:val="18"/>
                <w:szCs w:val="18"/>
              </w:rPr>
              <w:t>实验（学时）</w:t>
            </w:r>
          </w:p>
        </w:tc>
        <w:tc>
          <w:tcPr>
            <w:tcW w:w="700" w:type="pct"/>
          </w:tcPr>
          <w:p>
            <w:pPr>
              <w:jc w:val="center"/>
              <w:rPr>
                <w:color w:val="000000"/>
                <w:sz w:val="18"/>
                <w:szCs w:val="18"/>
              </w:rPr>
            </w:pPr>
            <w:r>
              <w:rPr>
                <w:rFonts w:hint="eastAsia"/>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1 绪论及固体晶格结构</w:t>
            </w:r>
          </w:p>
        </w:tc>
        <w:tc>
          <w:tcPr>
            <w:tcW w:w="993" w:type="pct"/>
          </w:tcPr>
          <w:p>
            <w:pPr>
              <w:jc w:val="center"/>
              <w:rPr>
                <w:rFonts w:ascii="宋体" w:hAnsi="宋体"/>
                <w:color w:val="000000"/>
                <w:sz w:val="18"/>
                <w:szCs w:val="18"/>
              </w:rPr>
            </w:pPr>
            <w:r>
              <w:rPr>
                <w:rFonts w:hint="eastAsia" w:ascii="宋体" w:hAnsi="宋体"/>
                <w:color w:val="000000"/>
                <w:sz w:val="18"/>
                <w:szCs w:val="18"/>
              </w:rPr>
              <w:t>4</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2 固体量子理论初步</w:t>
            </w:r>
          </w:p>
        </w:tc>
        <w:tc>
          <w:tcPr>
            <w:tcW w:w="993" w:type="pct"/>
          </w:tcPr>
          <w:p>
            <w:pPr>
              <w:jc w:val="center"/>
              <w:rPr>
                <w:rFonts w:ascii="宋体" w:hAnsi="宋体"/>
                <w:color w:val="000000"/>
                <w:sz w:val="18"/>
                <w:szCs w:val="18"/>
              </w:rPr>
            </w:pPr>
            <w:r>
              <w:rPr>
                <w:rFonts w:hint="eastAsia" w:ascii="宋体" w:hAnsi="宋体"/>
                <w:color w:val="000000"/>
                <w:sz w:val="18"/>
                <w:szCs w:val="18"/>
              </w:rPr>
              <w:t>6</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3 平衡半导体</w:t>
            </w:r>
          </w:p>
        </w:tc>
        <w:tc>
          <w:tcPr>
            <w:tcW w:w="993" w:type="pct"/>
          </w:tcPr>
          <w:p>
            <w:pPr>
              <w:jc w:val="center"/>
              <w:rPr>
                <w:rFonts w:ascii="宋体" w:hAnsi="宋体"/>
                <w:color w:val="000000"/>
                <w:sz w:val="18"/>
                <w:szCs w:val="18"/>
              </w:rPr>
            </w:pPr>
            <w:r>
              <w:rPr>
                <w:rFonts w:hint="eastAsia" w:ascii="宋体" w:hAnsi="宋体"/>
                <w:color w:val="000000"/>
                <w:sz w:val="18"/>
                <w:szCs w:val="18"/>
              </w:rPr>
              <w:t>6</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4 载流子的输运现象</w:t>
            </w:r>
          </w:p>
        </w:tc>
        <w:tc>
          <w:tcPr>
            <w:tcW w:w="993" w:type="pct"/>
          </w:tcPr>
          <w:p>
            <w:pPr>
              <w:jc w:val="center"/>
              <w:rPr>
                <w:rFonts w:ascii="宋体" w:hAnsi="宋体"/>
                <w:color w:val="000000"/>
                <w:sz w:val="18"/>
                <w:szCs w:val="18"/>
              </w:rPr>
            </w:pPr>
            <w:r>
              <w:rPr>
                <w:rFonts w:hint="eastAsia" w:ascii="宋体" w:hAnsi="宋体"/>
                <w:color w:val="000000"/>
                <w:sz w:val="18"/>
                <w:szCs w:val="18"/>
              </w:rPr>
              <w:t>6</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2</w:t>
            </w:r>
          </w:p>
        </w:tc>
        <w:tc>
          <w:tcPr>
            <w:tcW w:w="700" w:type="pct"/>
          </w:tcPr>
          <w:p>
            <w:pPr>
              <w:jc w:val="center"/>
              <w:rPr>
                <w:rFonts w:ascii="宋体" w:hAnsi="宋体"/>
                <w:color w:val="000000"/>
                <w:sz w:val="18"/>
                <w:szCs w:val="18"/>
              </w:rPr>
            </w:pPr>
            <w:r>
              <w:rPr>
                <w:rFonts w:hint="eastAsia" w:ascii="宋体" w:hAnsi="宋体"/>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5 半导体中的非平衡过剩载流子</w:t>
            </w:r>
          </w:p>
        </w:tc>
        <w:tc>
          <w:tcPr>
            <w:tcW w:w="993" w:type="pct"/>
          </w:tcPr>
          <w:p>
            <w:pPr>
              <w:jc w:val="center"/>
              <w:rPr>
                <w:rFonts w:ascii="宋体" w:hAnsi="宋体"/>
                <w:color w:val="000000"/>
                <w:sz w:val="18"/>
                <w:szCs w:val="18"/>
              </w:rPr>
            </w:pPr>
            <w:r>
              <w:rPr>
                <w:rFonts w:hint="eastAsia" w:ascii="宋体" w:hAnsi="宋体"/>
                <w:color w:val="000000"/>
                <w:sz w:val="18"/>
                <w:szCs w:val="18"/>
              </w:rPr>
              <w:t>8</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6 PN结</w:t>
            </w:r>
          </w:p>
        </w:tc>
        <w:tc>
          <w:tcPr>
            <w:tcW w:w="993" w:type="pct"/>
          </w:tcPr>
          <w:p>
            <w:pPr>
              <w:jc w:val="center"/>
              <w:rPr>
                <w:rFonts w:ascii="宋体" w:hAnsi="宋体"/>
                <w:color w:val="000000"/>
                <w:sz w:val="18"/>
                <w:szCs w:val="18"/>
              </w:rPr>
            </w:pPr>
            <w:r>
              <w:rPr>
                <w:rFonts w:hint="eastAsia" w:ascii="宋体" w:hAnsi="宋体"/>
                <w:color w:val="000000"/>
                <w:sz w:val="18"/>
                <w:szCs w:val="18"/>
              </w:rPr>
              <w:t>5</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7 PN</w:t>
            </w:r>
            <w:r>
              <w:rPr>
                <w:rFonts w:ascii="宋体" w:hAnsi="宋体"/>
                <w:color w:val="000000"/>
                <w:sz w:val="18"/>
                <w:szCs w:val="18"/>
              </w:rPr>
              <w:t>结</w:t>
            </w:r>
            <w:r>
              <w:rPr>
                <w:rFonts w:hint="eastAsia" w:ascii="宋体" w:hAnsi="宋体"/>
                <w:color w:val="000000"/>
                <w:sz w:val="18"/>
                <w:szCs w:val="18"/>
              </w:rPr>
              <w:t>二极管</w:t>
            </w:r>
          </w:p>
        </w:tc>
        <w:tc>
          <w:tcPr>
            <w:tcW w:w="993" w:type="pct"/>
          </w:tcPr>
          <w:p>
            <w:pPr>
              <w:jc w:val="center"/>
              <w:rPr>
                <w:rFonts w:ascii="宋体" w:hAnsi="宋体"/>
                <w:color w:val="000000"/>
                <w:sz w:val="18"/>
                <w:szCs w:val="18"/>
              </w:rPr>
            </w:pPr>
            <w:r>
              <w:rPr>
                <w:rFonts w:hint="eastAsia" w:ascii="宋体" w:hAnsi="宋体"/>
                <w:color w:val="000000"/>
                <w:sz w:val="18"/>
                <w:szCs w:val="18"/>
              </w:rPr>
              <w:t>5</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8 金属半导体和半导体异质结</w:t>
            </w:r>
          </w:p>
        </w:tc>
        <w:tc>
          <w:tcPr>
            <w:tcW w:w="993" w:type="pct"/>
          </w:tcPr>
          <w:p>
            <w:pPr>
              <w:jc w:val="center"/>
              <w:rPr>
                <w:rFonts w:ascii="宋体" w:hAnsi="宋体"/>
                <w:color w:val="000000"/>
                <w:sz w:val="18"/>
                <w:szCs w:val="18"/>
              </w:rPr>
            </w:pPr>
            <w:r>
              <w:rPr>
                <w:rFonts w:hint="eastAsia" w:ascii="宋体" w:hAnsi="宋体"/>
                <w:color w:val="000000"/>
                <w:sz w:val="18"/>
                <w:szCs w:val="18"/>
              </w:rPr>
              <w:t>5</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9 双极晶体管</w:t>
            </w:r>
          </w:p>
        </w:tc>
        <w:tc>
          <w:tcPr>
            <w:tcW w:w="993" w:type="pct"/>
          </w:tcPr>
          <w:p>
            <w:pPr>
              <w:jc w:val="center"/>
              <w:rPr>
                <w:rFonts w:ascii="宋体" w:hAnsi="宋体"/>
                <w:color w:val="000000"/>
                <w:sz w:val="18"/>
                <w:szCs w:val="18"/>
              </w:rPr>
            </w:pPr>
            <w:r>
              <w:rPr>
                <w:rFonts w:hint="eastAsia" w:ascii="宋体" w:hAnsi="宋体"/>
                <w:color w:val="000000"/>
                <w:sz w:val="18"/>
                <w:szCs w:val="18"/>
              </w:rPr>
              <w:t>9</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2</w:t>
            </w:r>
          </w:p>
        </w:tc>
        <w:tc>
          <w:tcPr>
            <w:tcW w:w="700" w:type="pct"/>
          </w:tcPr>
          <w:p>
            <w:pPr>
              <w:jc w:val="center"/>
              <w:rPr>
                <w:rFonts w:ascii="宋体" w:hAnsi="宋体"/>
                <w:color w:val="000000"/>
                <w:sz w:val="18"/>
                <w:szCs w:val="18"/>
              </w:rPr>
            </w:pPr>
            <w:r>
              <w:rPr>
                <w:rFonts w:hint="eastAsia" w:ascii="宋体" w:hAnsi="宋体"/>
                <w:color w:val="000000"/>
                <w:sz w:val="18"/>
                <w:szCs w:val="18"/>
              </w:rPr>
              <w:t>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4" w:type="pct"/>
          </w:tcPr>
          <w:p>
            <w:pPr>
              <w:ind w:left="174" w:leftChars="83"/>
              <w:jc w:val="left"/>
              <w:rPr>
                <w:rFonts w:ascii="宋体" w:hAnsi="宋体"/>
                <w:color w:val="000000"/>
                <w:sz w:val="18"/>
                <w:szCs w:val="18"/>
              </w:rPr>
            </w:pPr>
            <w:r>
              <w:rPr>
                <w:rFonts w:hint="eastAsia" w:ascii="宋体" w:hAnsi="宋体"/>
                <w:color w:val="000000"/>
                <w:sz w:val="18"/>
                <w:szCs w:val="18"/>
              </w:rPr>
              <w:t>10 金属－氧化物－半导体场效应晶体管</w:t>
            </w:r>
          </w:p>
        </w:tc>
        <w:tc>
          <w:tcPr>
            <w:tcW w:w="993" w:type="pct"/>
          </w:tcPr>
          <w:p>
            <w:pPr>
              <w:jc w:val="center"/>
              <w:rPr>
                <w:rFonts w:ascii="宋体" w:hAnsi="宋体"/>
                <w:color w:val="000000"/>
                <w:sz w:val="18"/>
                <w:szCs w:val="18"/>
              </w:rPr>
            </w:pPr>
            <w:r>
              <w:rPr>
                <w:rFonts w:hint="eastAsia" w:ascii="宋体" w:hAnsi="宋体"/>
                <w:color w:val="000000"/>
                <w:sz w:val="18"/>
                <w:szCs w:val="18"/>
              </w:rPr>
              <w:t>14</w:t>
            </w:r>
          </w:p>
        </w:tc>
        <w:tc>
          <w:tcPr>
            <w:tcW w:w="983" w:type="pct"/>
            <w:vAlign w:val="center"/>
          </w:tcPr>
          <w:p>
            <w:pPr>
              <w:jc w:val="center"/>
              <w:rPr>
                <w:rFonts w:ascii="宋体" w:hAnsi="宋体"/>
                <w:color w:val="000000"/>
                <w:sz w:val="18"/>
                <w:szCs w:val="18"/>
              </w:rPr>
            </w:pPr>
            <w:r>
              <w:rPr>
                <w:rFonts w:hint="eastAsia" w:ascii="宋体" w:hAnsi="宋体"/>
                <w:color w:val="000000"/>
                <w:sz w:val="18"/>
                <w:szCs w:val="18"/>
              </w:rPr>
              <w:t>0</w:t>
            </w:r>
          </w:p>
        </w:tc>
        <w:tc>
          <w:tcPr>
            <w:tcW w:w="700" w:type="pct"/>
          </w:tcPr>
          <w:p>
            <w:pPr>
              <w:jc w:val="center"/>
              <w:rPr>
                <w:rFonts w:ascii="宋体" w:hAnsi="宋体"/>
                <w:color w:val="000000"/>
                <w:sz w:val="18"/>
                <w:szCs w:val="18"/>
              </w:rPr>
            </w:pPr>
            <w:r>
              <w:rPr>
                <w:rFonts w:hint="eastAsia" w:ascii="宋体" w:hAnsi="宋体"/>
                <w:color w:val="000000"/>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2324" w:type="pct"/>
          </w:tcPr>
          <w:p>
            <w:pPr>
              <w:jc w:val="center"/>
              <w:rPr>
                <w:color w:val="000000"/>
                <w:sz w:val="18"/>
                <w:szCs w:val="18"/>
              </w:rPr>
            </w:pPr>
            <w:r>
              <w:rPr>
                <w:rFonts w:hint="eastAsia"/>
                <w:color w:val="000000"/>
                <w:sz w:val="18"/>
                <w:szCs w:val="18"/>
              </w:rPr>
              <w:t>合计</w:t>
            </w:r>
          </w:p>
        </w:tc>
        <w:tc>
          <w:tcPr>
            <w:tcW w:w="993" w:type="pct"/>
          </w:tcPr>
          <w:p>
            <w:pPr>
              <w:jc w:val="center"/>
              <w:rPr>
                <w:rFonts w:ascii="宋体" w:hAnsi="宋体"/>
                <w:color w:val="000000"/>
                <w:sz w:val="18"/>
                <w:szCs w:val="18"/>
              </w:rPr>
            </w:pPr>
            <w:r>
              <w:rPr>
                <w:rFonts w:hint="eastAsia" w:ascii="宋体" w:hAnsi="宋体"/>
                <w:color w:val="000000"/>
                <w:sz w:val="18"/>
                <w:szCs w:val="18"/>
              </w:rPr>
              <w:t>68</w:t>
            </w:r>
          </w:p>
        </w:tc>
        <w:tc>
          <w:tcPr>
            <w:tcW w:w="983" w:type="pct"/>
            <w:vAlign w:val="center"/>
          </w:tcPr>
          <w:p>
            <w:pPr>
              <w:jc w:val="center"/>
              <w:rPr>
                <w:color w:val="000000"/>
                <w:sz w:val="18"/>
                <w:szCs w:val="18"/>
              </w:rPr>
            </w:pPr>
            <w:r>
              <w:rPr>
                <w:rFonts w:hint="eastAsia" w:ascii="宋体" w:hAnsi="宋体"/>
                <w:color w:val="000000"/>
                <w:sz w:val="18"/>
                <w:szCs w:val="18"/>
              </w:rPr>
              <w:t>4</w:t>
            </w:r>
          </w:p>
        </w:tc>
        <w:tc>
          <w:tcPr>
            <w:tcW w:w="700" w:type="pct"/>
          </w:tcPr>
          <w:p>
            <w:pPr>
              <w:jc w:val="center"/>
              <w:rPr>
                <w:rFonts w:ascii="宋体" w:hAnsi="宋体"/>
                <w:color w:val="000000"/>
                <w:sz w:val="18"/>
                <w:szCs w:val="18"/>
              </w:rPr>
            </w:pPr>
            <w:r>
              <w:rPr>
                <w:rFonts w:hint="eastAsia" w:ascii="宋体" w:hAnsi="宋体"/>
                <w:color w:val="000000"/>
                <w:sz w:val="18"/>
                <w:szCs w:val="18"/>
              </w:rPr>
              <w:t>72</w:t>
            </w:r>
          </w:p>
        </w:tc>
      </w:tr>
    </w:tbl>
    <w:p>
      <w:pPr>
        <w:tabs>
          <w:tab w:val="left" w:pos="420"/>
        </w:tabs>
        <w:spacing w:line="360" w:lineRule="auto"/>
        <w:ind w:left="420" w:hanging="420"/>
        <w:rPr>
          <w:rFonts w:eastAsia="黑体"/>
          <w:color w:val="000000"/>
          <w:szCs w:val="24"/>
        </w:rPr>
      </w:pPr>
    </w:p>
    <w:p>
      <w:pPr>
        <w:tabs>
          <w:tab w:val="left" w:pos="420"/>
        </w:tabs>
        <w:spacing w:line="360" w:lineRule="auto"/>
        <w:ind w:left="420" w:hanging="420"/>
        <w:rPr>
          <w:rFonts w:eastAsia="黑体"/>
          <w:color w:val="000000"/>
          <w:szCs w:val="24"/>
        </w:rPr>
      </w:pPr>
      <w:r>
        <w:rPr>
          <w:rFonts w:hint="eastAsia" w:eastAsia="黑体"/>
          <w:color w:val="000000"/>
          <w:szCs w:val="24"/>
        </w:rPr>
        <w:t>七、教材、补充教材及参考资料</w:t>
      </w:r>
    </w:p>
    <w:p>
      <w:pPr>
        <w:spacing w:line="360" w:lineRule="auto"/>
        <w:ind w:firstLine="420" w:firstLineChars="200"/>
        <w:rPr>
          <w:rFonts w:ascii="宋体"/>
          <w:bCs/>
          <w:color w:val="000000"/>
        </w:rPr>
      </w:pPr>
      <w:r>
        <w:rPr>
          <w:rFonts w:ascii="宋体" w:hAnsi="宋体"/>
          <w:bCs/>
          <w:color w:val="000000"/>
        </w:rPr>
        <w:t>1</w:t>
      </w:r>
      <w:r>
        <w:rPr>
          <w:rFonts w:hint="eastAsia" w:ascii="宋体" w:hAnsi="宋体"/>
          <w:bCs/>
          <w:color w:val="000000"/>
        </w:rPr>
        <w:t>、推荐教材：</w:t>
      </w:r>
    </w:p>
    <w:p>
      <w:pPr>
        <w:spacing w:line="360" w:lineRule="auto"/>
        <w:ind w:firstLine="420" w:firstLineChars="200"/>
        <w:rPr>
          <w:rFonts w:ascii="宋体"/>
          <w:color w:val="000000"/>
        </w:rPr>
      </w:pPr>
      <w:r>
        <w:rPr>
          <w:rFonts w:ascii="宋体" w:hAnsi="宋体"/>
          <w:bCs/>
          <w:color w:val="000000"/>
        </w:rPr>
        <w:t>Donald A.Neamen</w:t>
      </w:r>
      <w:r>
        <w:rPr>
          <w:rFonts w:hint="eastAsia" w:ascii="宋体" w:hAnsi="宋体"/>
          <w:bCs/>
          <w:color w:val="000000"/>
        </w:rPr>
        <w:t>，《半导体物理与器件》，ISBN：0072321075，电子工业出版社，</w:t>
      </w:r>
      <w:r>
        <w:rPr>
          <w:rFonts w:ascii="宋体" w:hAnsi="宋体"/>
          <w:bCs/>
          <w:color w:val="000000"/>
        </w:rPr>
        <w:t>20</w:t>
      </w:r>
      <w:r>
        <w:rPr>
          <w:rFonts w:hint="eastAsia" w:ascii="宋体" w:hAnsi="宋体"/>
          <w:bCs/>
          <w:color w:val="000000"/>
        </w:rPr>
        <w:t>13。</w:t>
      </w:r>
    </w:p>
    <w:p>
      <w:pPr>
        <w:spacing w:line="360" w:lineRule="auto"/>
        <w:ind w:firstLine="420" w:firstLineChars="200"/>
        <w:rPr>
          <w:rFonts w:ascii="宋体"/>
          <w:bCs/>
          <w:color w:val="000000"/>
        </w:rPr>
      </w:pPr>
      <w:r>
        <w:rPr>
          <w:rFonts w:ascii="宋体"/>
          <w:color w:val="000000"/>
        </w:rPr>
        <w:t>2</w:t>
      </w:r>
      <w:r>
        <w:rPr>
          <w:rFonts w:hint="eastAsia" w:ascii="宋体"/>
          <w:color w:val="000000"/>
        </w:rPr>
        <w:t>、</w:t>
      </w:r>
      <w:r>
        <w:rPr>
          <w:rFonts w:hint="eastAsia" w:ascii="宋体" w:hAnsi="宋体"/>
          <w:bCs/>
          <w:color w:val="000000"/>
        </w:rPr>
        <w:t>参考书：</w:t>
      </w:r>
    </w:p>
    <w:p>
      <w:pPr>
        <w:spacing w:line="360" w:lineRule="auto"/>
        <w:ind w:firstLine="210" w:firstLineChars="100"/>
        <w:rPr>
          <w:rFonts w:ascii="宋体"/>
          <w:color w:val="000000"/>
        </w:rPr>
      </w:pPr>
      <w:r>
        <w:rPr>
          <w:rFonts w:hint="eastAsia" w:ascii="宋体" w:hAnsi="宋体"/>
          <w:bCs/>
          <w:color w:val="000000"/>
        </w:rPr>
        <w:t>（1）刘恩科，《半导体物理学》，ISBN：</w:t>
      </w:r>
      <w:r>
        <w:rPr>
          <w:rFonts w:ascii="宋体" w:hAnsi="宋体"/>
          <w:bCs/>
          <w:color w:val="000000"/>
        </w:rPr>
        <w:t>9787118065626</w:t>
      </w:r>
      <w:r>
        <w:rPr>
          <w:rFonts w:hint="eastAsia" w:ascii="宋体" w:hAnsi="宋体"/>
          <w:bCs/>
          <w:color w:val="000000"/>
        </w:rPr>
        <w:t>，西安交通大学出版社，</w:t>
      </w:r>
      <w:r>
        <w:rPr>
          <w:rFonts w:ascii="宋体" w:hAnsi="宋体"/>
          <w:bCs/>
          <w:color w:val="000000"/>
        </w:rPr>
        <w:t>2003</w:t>
      </w:r>
      <w:r>
        <w:rPr>
          <w:rFonts w:hint="eastAsia" w:ascii="宋体" w:hAnsi="宋体"/>
          <w:bCs/>
          <w:color w:val="000000"/>
        </w:rPr>
        <w:t>。</w:t>
      </w:r>
    </w:p>
    <w:p>
      <w:pPr>
        <w:widowControl/>
        <w:spacing w:line="360" w:lineRule="auto"/>
        <w:ind w:firstLine="210" w:firstLineChars="100"/>
        <w:jc w:val="left"/>
        <w:rPr>
          <w:rFonts w:ascii="宋体" w:hAnsi="宋体"/>
          <w:bCs/>
          <w:color w:val="000000"/>
        </w:rPr>
      </w:pPr>
      <w:r>
        <w:rPr>
          <w:rFonts w:hint="eastAsia" w:ascii="宋体" w:hAnsi="宋体"/>
          <w:color w:val="000000"/>
        </w:rPr>
        <w:t>（2）</w:t>
      </w:r>
      <w:r>
        <w:rPr>
          <w:rFonts w:hint="eastAsia" w:ascii="宋体" w:hAnsi="宋体"/>
          <w:bCs/>
          <w:color w:val="000000"/>
        </w:rPr>
        <w:t>施敏，《半导体器件物理》，ISBN：9787560525969，</w:t>
      </w:r>
      <w:r>
        <w:fldChar w:fldCharType="begin"/>
      </w:r>
      <w:r>
        <w:instrText xml:space="preserve"> HYPERLINK "https://book.jd.com/publish/%E8%A5%BF%E5%AE%89%E4%BA%A4%E9%80%9A%E5%A4%A7%E5%AD%A6%E5%87%BA%E7%89%88%E7%A4%BE_1.html" \t "https://item.jd.com/_blank" \o "西安交通大学出版社" </w:instrText>
      </w:r>
      <w:r>
        <w:fldChar w:fldCharType="separate"/>
      </w:r>
      <w:r>
        <w:rPr>
          <w:rFonts w:ascii="宋体" w:hAnsi="宋体"/>
          <w:bCs/>
          <w:color w:val="000000"/>
        </w:rPr>
        <w:t>西安交通大学出版社</w:t>
      </w:r>
      <w:r>
        <w:rPr>
          <w:rFonts w:ascii="宋体" w:hAnsi="宋体"/>
          <w:bCs/>
          <w:color w:val="000000"/>
        </w:rPr>
        <w:fldChar w:fldCharType="end"/>
      </w:r>
      <w:r>
        <w:rPr>
          <w:rFonts w:hint="eastAsia" w:ascii="宋体" w:hAnsi="宋体"/>
          <w:bCs/>
          <w:color w:val="000000"/>
        </w:rPr>
        <w:t>，2008。</w:t>
      </w:r>
    </w:p>
    <w:p>
      <w:pPr>
        <w:widowControl/>
        <w:spacing w:line="360" w:lineRule="auto"/>
        <w:ind w:firstLine="210" w:firstLineChars="100"/>
        <w:jc w:val="left"/>
        <w:rPr>
          <w:rFonts w:ascii="宋体" w:hAnsi="宋体"/>
          <w:bCs/>
          <w:color w:val="000000"/>
        </w:rPr>
      </w:pPr>
      <w:r>
        <w:rPr>
          <w:rFonts w:hint="eastAsia" w:ascii="宋体" w:hAnsi="宋体"/>
          <w:bCs/>
          <w:color w:val="000000"/>
        </w:rPr>
        <w:t>（3）</w:t>
      </w:r>
      <w:r>
        <w:rPr>
          <w:rFonts w:hint="eastAsia" w:ascii="宋体" w:hAnsi="宋体"/>
          <w:color w:val="000000"/>
        </w:rPr>
        <w:t>张兴，</w:t>
      </w:r>
      <w:r>
        <w:rPr>
          <w:rFonts w:hint="eastAsia" w:ascii="宋体" w:hAnsi="宋体"/>
          <w:bCs/>
          <w:color w:val="000000"/>
        </w:rPr>
        <w:t>《</w:t>
      </w:r>
      <w:r>
        <w:rPr>
          <w:rFonts w:ascii="宋体" w:hAnsi="宋体"/>
          <w:bCs/>
          <w:color w:val="000000"/>
        </w:rPr>
        <w:t>微电子</w:t>
      </w:r>
      <w:r>
        <w:rPr>
          <w:rFonts w:hint="eastAsia" w:ascii="宋体" w:hAnsi="宋体"/>
          <w:bCs/>
          <w:color w:val="000000"/>
        </w:rPr>
        <w:t>学概论》，ISBN：</w:t>
      </w:r>
      <w:r>
        <w:rPr>
          <w:rFonts w:ascii="宋体" w:hAnsi="宋体"/>
          <w:bCs/>
          <w:color w:val="000000"/>
        </w:rPr>
        <w:t>9787</w:t>
      </w:r>
      <w:r>
        <w:rPr>
          <w:rFonts w:hint="eastAsia" w:ascii="宋体" w:hAnsi="宋体"/>
          <w:bCs/>
          <w:color w:val="000000"/>
        </w:rPr>
        <w:t>301168790，北京大学出版社，</w:t>
      </w:r>
      <w:r>
        <w:rPr>
          <w:rFonts w:ascii="宋体" w:hAnsi="宋体"/>
          <w:bCs/>
          <w:color w:val="000000"/>
        </w:rPr>
        <w:t>20</w:t>
      </w:r>
      <w:r>
        <w:rPr>
          <w:rFonts w:hint="eastAsia" w:ascii="宋体" w:hAnsi="宋体"/>
          <w:bCs/>
          <w:color w:val="000000"/>
        </w:rPr>
        <w:t>10。</w:t>
      </w:r>
    </w:p>
    <w:p>
      <w:pPr>
        <w:widowControl/>
        <w:spacing w:line="360" w:lineRule="auto"/>
        <w:ind w:firstLine="210" w:firstLineChars="100"/>
        <w:jc w:val="left"/>
        <w:rPr>
          <w:rFonts w:ascii="宋体"/>
          <w:color w:val="000000"/>
        </w:rPr>
      </w:pPr>
      <w:r>
        <w:rPr>
          <w:rFonts w:hint="eastAsia" w:ascii="宋体" w:hAnsi="宋体"/>
          <w:color w:val="000000"/>
        </w:rPr>
        <w:t>（4）视频资料：蒋玉龙，复旦大学，2013，</w:t>
      </w:r>
      <w:r>
        <w:rPr>
          <w:rFonts w:ascii="宋体" w:hAnsi="宋体"/>
          <w:color w:val="000000"/>
        </w:rPr>
        <w:t xml:space="preserve">http://resource.jingpinke.com </w:t>
      </w:r>
      <w:r>
        <w:rPr>
          <w:rFonts w:hint="eastAsia" w:ascii="宋体" w:hAnsi="宋体"/>
          <w:color w:val="000000"/>
        </w:rPr>
        <w:t>（</w:t>
      </w:r>
      <w:r>
        <w:fldChar w:fldCharType="begin"/>
      </w:r>
      <w:r>
        <w:instrText xml:space="preserve"> HYPERLINK "http://video.haosou.com" </w:instrText>
      </w:r>
      <w:r>
        <w:fldChar w:fldCharType="separate"/>
      </w:r>
      <w:r>
        <w:rPr>
          <w:rFonts w:hint="eastAsia"/>
          <w:color w:val="000000"/>
        </w:rPr>
        <w:t>国家精品课程资源网</w:t>
      </w:r>
      <w:r>
        <w:rPr>
          <w:rFonts w:hint="eastAsia"/>
          <w:color w:val="000000"/>
        </w:rPr>
        <w:fldChar w:fldCharType="end"/>
      </w:r>
      <w:r>
        <w:rPr>
          <w:rFonts w:hint="eastAsia" w:ascii="宋体" w:hAnsi="宋体"/>
          <w:color w:val="000000"/>
        </w:rPr>
        <w:t>）。</w:t>
      </w:r>
    </w:p>
    <w:p>
      <w:pPr>
        <w:tabs>
          <w:tab w:val="left" w:pos="420"/>
        </w:tabs>
        <w:spacing w:line="360" w:lineRule="auto"/>
        <w:ind w:left="420" w:hanging="420"/>
        <w:rPr>
          <w:rFonts w:eastAsia="黑体"/>
          <w:color w:val="000000"/>
          <w:szCs w:val="24"/>
        </w:rPr>
      </w:pPr>
    </w:p>
    <w:p>
      <w:pPr>
        <w:tabs>
          <w:tab w:val="left" w:pos="420"/>
        </w:tabs>
        <w:spacing w:line="360" w:lineRule="auto"/>
        <w:ind w:left="420" w:hanging="420"/>
        <w:rPr>
          <w:rFonts w:eastAsia="黑体"/>
          <w:color w:val="000000"/>
          <w:szCs w:val="24"/>
        </w:rPr>
      </w:pPr>
      <w:r>
        <w:rPr>
          <w:rFonts w:hint="eastAsia" w:eastAsia="黑体"/>
          <w:color w:val="000000"/>
          <w:szCs w:val="24"/>
        </w:rPr>
        <w:t>八、课程目标达成的途径和措施</w:t>
      </w:r>
    </w:p>
    <w:p>
      <w:pPr>
        <w:tabs>
          <w:tab w:val="left" w:pos="420"/>
        </w:tabs>
        <w:spacing w:line="360" w:lineRule="auto"/>
        <w:ind w:firstLine="420" w:firstLineChars="200"/>
        <w:rPr>
          <w:rFonts w:eastAsia="黑体"/>
          <w:color w:val="000000"/>
          <w:szCs w:val="24"/>
        </w:rPr>
      </w:pPr>
      <w:r>
        <w:rPr>
          <w:rFonts w:hint="eastAsia"/>
          <w:color w:val="000000"/>
          <w:szCs w:val="21"/>
        </w:rPr>
        <w:t>1、考核目标：在考核学生对半导体物理及器件的基本概念、基本原理的理解和掌握的基础上，重点考核学生对本大纲所要求的重点内容的掌握程度。</w:t>
      </w:r>
    </w:p>
    <w:p>
      <w:pPr>
        <w:tabs>
          <w:tab w:val="left" w:pos="420"/>
        </w:tabs>
        <w:spacing w:line="360" w:lineRule="auto"/>
        <w:ind w:left="420" w:leftChars="200"/>
        <w:rPr>
          <w:color w:val="000000"/>
          <w:szCs w:val="21"/>
        </w:rPr>
      </w:pPr>
      <w:r>
        <w:rPr>
          <w:rFonts w:hint="eastAsia"/>
          <w:color w:val="000000"/>
          <w:szCs w:val="21"/>
        </w:rPr>
        <w:t>2、考核方式：课堂情况、作业、课内实验和考试。</w:t>
      </w:r>
    </w:p>
    <w:p>
      <w:pPr>
        <w:tabs>
          <w:tab w:val="left" w:pos="420"/>
        </w:tabs>
        <w:spacing w:line="360" w:lineRule="auto"/>
        <w:ind w:left="420" w:leftChars="200"/>
        <w:rPr>
          <w:color w:val="000000"/>
          <w:szCs w:val="21"/>
        </w:rPr>
      </w:pPr>
      <w:r>
        <w:rPr>
          <w:rFonts w:hint="eastAsia"/>
          <w:color w:val="000000"/>
          <w:szCs w:val="21"/>
        </w:rPr>
        <w:t>3、评价环节对课程目标达成贡献率及支撑材料：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338"/>
        <w:gridCol w:w="1944"/>
        <w:gridCol w:w="1763"/>
        <w:gridCol w:w="2120"/>
        <w:gridCol w:w="1141"/>
      </w:tblGrid>
      <w:tr>
        <w:tblPrEx>
          <w:tblCellMar>
            <w:top w:w="0" w:type="dxa"/>
            <w:left w:w="108" w:type="dxa"/>
            <w:bottom w:w="0" w:type="dxa"/>
            <w:right w:w="108" w:type="dxa"/>
          </w:tblCellMar>
        </w:tblPrEx>
        <w:trPr>
          <w:trHeight w:val="319" w:hRule="atLeast"/>
          <w:jc w:val="center"/>
        </w:trPr>
        <w:tc>
          <w:tcPr>
            <w:tcW w:w="80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11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课堂情况</w:t>
            </w:r>
          </w:p>
        </w:tc>
        <w:tc>
          <w:tcPr>
            <w:tcW w:w="106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作业</w:t>
            </w:r>
          </w:p>
        </w:tc>
        <w:tc>
          <w:tcPr>
            <w:tcW w:w="1276" w:type="pct"/>
            <w:tcBorders>
              <w:top w:val="single" w:color="auto" w:sz="4" w:space="0"/>
              <w:left w:val="single" w:color="auto" w:sz="4" w:space="0"/>
              <w:bottom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课内实验</w:t>
            </w:r>
          </w:p>
        </w:tc>
        <w:tc>
          <w:tcPr>
            <w:tcW w:w="687" w:type="pct"/>
            <w:tcBorders>
              <w:top w:val="single" w:color="auto" w:sz="4" w:space="0"/>
              <w:left w:val="single" w:color="auto" w:sz="4" w:space="0"/>
              <w:bottom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期末考试</w:t>
            </w:r>
          </w:p>
        </w:tc>
      </w:tr>
      <w:tr>
        <w:tblPrEx>
          <w:tblCellMar>
            <w:top w:w="0" w:type="dxa"/>
            <w:left w:w="108" w:type="dxa"/>
            <w:bottom w:w="0" w:type="dxa"/>
            <w:right w:w="108" w:type="dxa"/>
          </w:tblCellMar>
        </w:tblPrEx>
        <w:trPr>
          <w:trHeight w:val="484" w:hRule="atLeast"/>
          <w:jc w:val="center"/>
        </w:trPr>
        <w:tc>
          <w:tcPr>
            <w:tcW w:w="80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w:t>
            </w:r>
          </w:p>
          <w:p>
            <w:pPr>
              <w:widowControl/>
              <w:jc w:val="center"/>
              <w:rPr>
                <w:rFonts w:ascii="宋体" w:hAnsi="宋体" w:cs="宋体"/>
                <w:color w:val="000000"/>
                <w:kern w:val="0"/>
                <w:sz w:val="18"/>
              </w:rPr>
            </w:pPr>
            <w:r>
              <w:rPr>
                <w:rFonts w:hint="eastAsia" w:ascii="宋体" w:hAnsi="宋体" w:cs="宋体"/>
                <w:color w:val="000000"/>
                <w:kern w:val="0"/>
                <w:sz w:val="18"/>
              </w:rPr>
              <w:t>的贡献率</w:t>
            </w:r>
          </w:p>
        </w:tc>
        <w:tc>
          <w:tcPr>
            <w:tcW w:w="1170"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0.10</w:t>
            </w:r>
          </w:p>
        </w:tc>
        <w:tc>
          <w:tcPr>
            <w:tcW w:w="1061"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0.10</w:t>
            </w:r>
          </w:p>
        </w:tc>
        <w:tc>
          <w:tcPr>
            <w:tcW w:w="1276" w:type="pct"/>
            <w:tcBorders>
              <w:top w:val="single" w:color="auto" w:sz="4" w:space="0"/>
              <w:left w:val="single" w:color="auto" w:sz="4" w:space="0"/>
              <w:bottom w:val="single" w:color="auto" w:sz="4" w:space="0"/>
            </w:tcBorders>
            <w:vAlign w:val="center"/>
          </w:tcPr>
          <w:p>
            <w:pPr>
              <w:widowControl/>
              <w:jc w:val="center"/>
              <w:rPr>
                <w:color w:val="000000"/>
                <w:kern w:val="0"/>
                <w:sz w:val="18"/>
              </w:rPr>
            </w:pPr>
            <w:r>
              <w:rPr>
                <w:color w:val="000000"/>
                <w:kern w:val="0"/>
                <w:sz w:val="18"/>
              </w:rPr>
              <w:t>0.10</w:t>
            </w:r>
          </w:p>
        </w:tc>
        <w:tc>
          <w:tcPr>
            <w:tcW w:w="687" w:type="pct"/>
            <w:tcBorders>
              <w:top w:val="single" w:color="auto" w:sz="4" w:space="0"/>
              <w:left w:val="single" w:color="auto" w:sz="4" w:space="0"/>
              <w:bottom w:val="single" w:color="auto" w:sz="4" w:space="0"/>
            </w:tcBorders>
            <w:vAlign w:val="center"/>
          </w:tcPr>
          <w:p>
            <w:pPr>
              <w:widowControl/>
              <w:jc w:val="center"/>
              <w:rPr>
                <w:color w:val="000000"/>
                <w:kern w:val="0"/>
                <w:sz w:val="18"/>
              </w:rPr>
            </w:pPr>
            <w:r>
              <w:rPr>
                <w:color w:val="000000"/>
                <w:kern w:val="0"/>
                <w:sz w:val="18"/>
              </w:rPr>
              <w:t>0.70</w:t>
            </w:r>
          </w:p>
        </w:tc>
      </w:tr>
      <w:tr>
        <w:tblPrEx>
          <w:tblCellMar>
            <w:top w:w="0" w:type="dxa"/>
            <w:left w:w="108" w:type="dxa"/>
            <w:bottom w:w="0" w:type="dxa"/>
            <w:right w:w="108" w:type="dxa"/>
          </w:tblCellMar>
        </w:tblPrEx>
        <w:trPr>
          <w:trHeight w:val="538" w:hRule="atLeast"/>
          <w:jc w:val="center"/>
        </w:trPr>
        <w:tc>
          <w:tcPr>
            <w:tcW w:w="80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11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课堂评价标准，</w:t>
            </w:r>
            <w:r>
              <w:rPr>
                <w:rFonts w:hint="eastAsia" w:ascii="宋体" w:hAnsi="宋体" w:cs="宋体"/>
                <w:color w:val="000000"/>
                <w:kern w:val="0"/>
                <w:sz w:val="18"/>
              </w:rPr>
              <w:t>课堂提问记录</w:t>
            </w:r>
            <w:r>
              <w:rPr>
                <w:rFonts w:ascii="宋体" w:hAnsi="宋体" w:cs="宋体"/>
                <w:color w:val="000000"/>
                <w:kern w:val="0"/>
                <w:sz w:val="18"/>
              </w:rPr>
              <w:t>，结合出勤率等</w:t>
            </w:r>
          </w:p>
        </w:tc>
        <w:tc>
          <w:tcPr>
            <w:tcW w:w="106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作业评价标准，</w:t>
            </w:r>
            <w:r>
              <w:rPr>
                <w:rFonts w:hint="eastAsia" w:ascii="宋体" w:hAnsi="宋体" w:cs="宋体"/>
                <w:color w:val="000000"/>
                <w:kern w:val="0"/>
                <w:sz w:val="18"/>
              </w:rPr>
              <w:t>典型作业</w:t>
            </w:r>
            <w:r>
              <w:rPr>
                <w:rFonts w:ascii="宋体" w:hAnsi="宋体" w:cs="宋体"/>
                <w:color w:val="000000"/>
                <w:kern w:val="0"/>
                <w:sz w:val="18"/>
              </w:rPr>
              <w:t>拍照，或电子版</w:t>
            </w:r>
          </w:p>
        </w:tc>
        <w:tc>
          <w:tcPr>
            <w:tcW w:w="1276" w:type="pct"/>
            <w:tcBorders>
              <w:top w:val="single" w:color="auto" w:sz="4" w:space="0"/>
              <w:left w:val="single" w:color="auto" w:sz="4" w:space="0"/>
              <w:bottom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课内实验评价标准，</w:t>
            </w:r>
            <w:r>
              <w:rPr>
                <w:rFonts w:hint="eastAsia" w:ascii="宋体" w:hAnsi="宋体" w:cs="宋体"/>
                <w:color w:val="000000"/>
                <w:kern w:val="0"/>
                <w:sz w:val="18"/>
              </w:rPr>
              <w:t>实验课堂记录，实验报告</w:t>
            </w:r>
          </w:p>
        </w:tc>
        <w:tc>
          <w:tcPr>
            <w:tcW w:w="687" w:type="pct"/>
            <w:tcBorders>
              <w:top w:val="single" w:color="auto" w:sz="4" w:space="0"/>
              <w:left w:val="single" w:color="auto" w:sz="4" w:space="0"/>
              <w:bottom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试题评分标准，</w:t>
            </w:r>
            <w:r>
              <w:rPr>
                <w:rFonts w:ascii="宋体" w:hAnsi="宋体" w:cs="宋体"/>
                <w:color w:val="000000"/>
                <w:kern w:val="0"/>
                <w:sz w:val="18"/>
              </w:rPr>
              <w:t>试卷</w:t>
            </w:r>
          </w:p>
        </w:tc>
      </w:tr>
    </w:tbl>
    <w:p>
      <w:pPr>
        <w:tabs>
          <w:tab w:val="left" w:pos="420"/>
        </w:tabs>
        <w:spacing w:line="360" w:lineRule="auto"/>
        <w:ind w:left="420" w:hanging="420"/>
        <w:rPr>
          <w:color w:val="000000"/>
        </w:rPr>
      </w:pPr>
    </w:p>
    <w:p>
      <w:pPr>
        <w:tabs>
          <w:tab w:val="left" w:pos="420"/>
        </w:tabs>
        <w:spacing w:line="360" w:lineRule="auto"/>
        <w:ind w:left="420" w:hanging="420"/>
        <w:rPr>
          <w:color w:val="000000"/>
        </w:rPr>
      </w:pPr>
    </w:p>
    <w:p>
      <w:pPr>
        <w:tabs>
          <w:tab w:val="left" w:pos="420"/>
        </w:tabs>
        <w:spacing w:line="360" w:lineRule="auto"/>
        <w:ind w:left="420" w:hanging="420"/>
        <w:rPr>
          <w:color w:val="000000"/>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九、覆盖课程目标达成评价的知识点及权重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7"/>
        <w:gridCol w:w="1473"/>
        <w:gridCol w:w="17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2" w:type="pct"/>
            <w:vAlign w:val="center"/>
          </w:tcPr>
          <w:p>
            <w:pPr>
              <w:jc w:val="center"/>
              <w:rPr>
                <w:sz w:val="18"/>
                <w:szCs w:val="18"/>
              </w:rPr>
            </w:pPr>
            <w:r>
              <w:rPr>
                <w:sz w:val="18"/>
                <w:szCs w:val="18"/>
              </w:rPr>
              <w:t>知识点</w:t>
            </w:r>
          </w:p>
        </w:tc>
        <w:tc>
          <w:tcPr>
            <w:tcW w:w="887" w:type="pct"/>
            <w:vAlign w:val="center"/>
          </w:tcPr>
          <w:p>
            <w:pPr>
              <w:jc w:val="center"/>
              <w:rPr>
                <w:sz w:val="18"/>
                <w:szCs w:val="18"/>
              </w:rPr>
            </w:pPr>
            <w:r>
              <w:rPr>
                <w:sz w:val="18"/>
                <w:szCs w:val="18"/>
              </w:rPr>
              <w:t>权重</w:t>
            </w:r>
          </w:p>
        </w:tc>
        <w:tc>
          <w:tcPr>
            <w:tcW w:w="1051"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1、固体晶格结构</w:t>
            </w:r>
          </w:p>
        </w:tc>
        <w:tc>
          <w:tcPr>
            <w:tcW w:w="887" w:type="pct"/>
            <w:vAlign w:val="center"/>
          </w:tcPr>
          <w:p>
            <w:pPr>
              <w:jc w:val="center"/>
              <w:rPr>
                <w:sz w:val="18"/>
                <w:szCs w:val="18"/>
              </w:rPr>
            </w:pPr>
            <w:r>
              <w:rPr>
                <w:rFonts w:hint="eastAsia"/>
                <w:sz w:val="18"/>
                <w:szCs w:val="18"/>
              </w:rPr>
              <w:t>0.05</w:t>
            </w:r>
          </w:p>
        </w:tc>
        <w:tc>
          <w:tcPr>
            <w:tcW w:w="1051" w:type="pct"/>
            <w:vAlign w:val="center"/>
          </w:tcPr>
          <w:p>
            <w:pPr>
              <w:jc w:val="center"/>
              <w:rPr>
                <w:sz w:val="18"/>
                <w:szCs w:val="18"/>
              </w:rPr>
            </w:pPr>
            <w:r>
              <w:rPr>
                <w:rFonts w:hint="eastAsia"/>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2、固体量子理论初步</w:t>
            </w:r>
          </w:p>
        </w:tc>
        <w:tc>
          <w:tcPr>
            <w:tcW w:w="887" w:type="pct"/>
            <w:vAlign w:val="center"/>
          </w:tcPr>
          <w:p>
            <w:pPr>
              <w:jc w:val="center"/>
              <w:rPr>
                <w:sz w:val="18"/>
                <w:szCs w:val="18"/>
              </w:rPr>
            </w:pPr>
            <w:r>
              <w:rPr>
                <w:rFonts w:hint="eastAsia"/>
                <w:sz w:val="18"/>
                <w:szCs w:val="18"/>
              </w:rPr>
              <w:t>0.05</w:t>
            </w:r>
          </w:p>
        </w:tc>
        <w:tc>
          <w:tcPr>
            <w:tcW w:w="1051"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3、平衡半导体</w:t>
            </w:r>
          </w:p>
        </w:tc>
        <w:tc>
          <w:tcPr>
            <w:tcW w:w="887" w:type="pct"/>
            <w:vAlign w:val="center"/>
          </w:tcPr>
          <w:p>
            <w:pPr>
              <w:jc w:val="center"/>
              <w:rPr>
                <w:sz w:val="18"/>
                <w:szCs w:val="18"/>
              </w:rPr>
            </w:pPr>
            <w:r>
              <w:rPr>
                <w:rFonts w:hint="eastAsia"/>
                <w:sz w:val="18"/>
                <w:szCs w:val="18"/>
              </w:rPr>
              <w:t>0.</w:t>
            </w:r>
            <w:r>
              <w:rPr>
                <w:sz w:val="18"/>
                <w:szCs w:val="18"/>
              </w:rPr>
              <w:t>1</w:t>
            </w:r>
            <w:r>
              <w:rPr>
                <w:rFonts w:hint="eastAsia"/>
                <w:sz w:val="18"/>
                <w:szCs w:val="18"/>
              </w:rPr>
              <w:t>0</w:t>
            </w:r>
          </w:p>
        </w:tc>
        <w:tc>
          <w:tcPr>
            <w:tcW w:w="1051"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4、载流子的输运现象</w:t>
            </w:r>
          </w:p>
        </w:tc>
        <w:tc>
          <w:tcPr>
            <w:tcW w:w="887" w:type="pct"/>
            <w:vAlign w:val="center"/>
          </w:tcPr>
          <w:p>
            <w:pPr>
              <w:jc w:val="center"/>
              <w:rPr>
                <w:sz w:val="18"/>
                <w:szCs w:val="18"/>
              </w:rPr>
            </w:pPr>
            <w:r>
              <w:rPr>
                <w:rFonts w:hint="eastAsia"/>
                <w:sz w:val="18"/>
                <w:szCs w:val="18"/>
              </w:rPr>
              <w:t>0.</w:t>
            </w:r>
            <w:r>
              <w:rPr>
                <w:sz w:val="18"/>
                <w:szCs w:val="18"/>
              </w:rPr>
              <w:t>10</w:t>
            </w:r>
          </w:p>
        </w:tc>
        <w:tc>
          <w:tcPr>
            <w:tcW w:w="1051"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5、半导体中的非平衡过剩载流子</w:t>
            </w:r>
          </w:p>
        </w:tc>
        <w:tc>
          <w:tcPr>
            <w:tcW w:w="887" w:type="pct"/>
            <w:vAlign w:val="center"/>
          </w:tcPr>
          <w:p>
            <w:pPr>
              <w:jc w:val="center"/>
              <w:rPr>
                <w:sz w:val="18"/>
                <w:szCs w:val="18"/>
              </w:rPr>
            </w:pPr>
            <w:r>
              <w:rPr>
                <w:rFonts w:hint="eastAsia"/>
                <w:sz w:val="18"/>
                <w:szCs w:val="18"/>
              </w:rPr>
              <w:t>0.15</w:t>
            </w:r>
          </w:p>
        </w:tc>
        <w:tc>
          <w:tcPr>
            <w:tcW w:w="1051" w:type="pct"/>
            <w:vAlign w:val="center"/>
          </w:tcPr>
          <w:p>
            <w:pPr>
              <w:jc w:val="center"/>
              <w:rPr>
                <w:sz w:val="18"/>
                <w:szCs w:val="18"/>
              </w:rPr>
            </w:pPr>
            <w:r>
              <w:rPr>
                <w:rFonts w:hint="eastAsia"/>
                <w:sz w:val="18"/>
                <w:szCs w:val="18"/>
              </w:rPr>
              <w:t>1、2、4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6、PN结</w:t>
            </w:r>
          </w:p>
        </w:tc>
        <w:tc>
          <w:tcPr>
            <w:tcW w:w="887" w:type="pct"/>
            <w:vAlign w:val="center"/>
          </w:tcPr>
          <w:p>
            <w:pPr>
              <w:jc w:val="center"/>
              <w:rPr>
                <w:sz w:val="18"/>
                <w:szCs w:val="18"/>
              </w:rPr>
            </w:pPr>
            <w:r>
              <w:rPr>
                <w:rFonts w:hint="eastAsia"/>
                <w:sz w:val="18"/>
                <w:szCs w:val="18"/>
              </w:rPr>
              <w:t>0.05</w:t>
            </w:r>
          </w:p>
        </w:tc>
        <w:tc>
          <w:tcPr>
            <w:tcW w:w="1051"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7、PN</w:t>
            </w:r>
            <w:r>
              <w:rPr>
                <w:rFonts w:ascii="宋体" w:hAnsi="宋体"/>
                <w:color w:val="000000"/>
                <w:sz w:val="18"/>
                <w:szCs w:val="18"/>
              </w:rPr>
              <w:t>结</w:t>
            </w:r>
            <w:r>
              <w:rPr>
                <w:rFonts w:hint="eastAsia" w:ascii="宋体" w:hAnsi="宋体"/>
                <w:color w:val="000000"/>
                <w:sz w:val="18"/>
                <w:szCs w:val="18"/>
              </w:rPr>
              <w:t>二极管</w:t>
            </w:r>
          </w:p>
        </w:tc>
        <w:tc>
          <w:tcPr>
            <w:tcW w:w="887" w:type="pct"/>
            <w:vAlign w:val="center"/>
          </w:tcPr>
          <w:p>
            <w:pPr>
              <w:jc w:val="center"/>
              <w:rPr>
                <w:sz w:val="18"/>
                <w:szCs w:val="18"/>
              </w:rPr>
            </w:pPr>
            <w:r>
              <w:rPr>
                <w:rFonts w:hint="eastAsia"/>
                <w:sz w:val="18"/>
                <w:szCs w:val="18"/>
              </w:rPr>
              <w:t>0.</w:t>
            </w:r>
            <w:r>
              <w:rPr>
                <w:sz w:val="18"/>
                <w:szCs w:val="18"/>
              </w:rPr>
              <w:t>10</w:t>
            </w:r>
          </w:p>
        </w:tc>
        <w:tc>
          <w:tcPr>
            <w:tcW w:w="1051"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8、金属半导体和半导体异质结</w:t>
            </w:r>
          </w:p>
        </w:tc>
        <w:tc>
          <w:tcPr>
            <w:tcW w:w="887" w:type="pct"/>
            <w:vAlign w:val="center"/>
          </w:tcPr>
          <w:p>
            <w:pPr>
              <w:jc w:val="center"/>
              <w:rPr>
                <w:sz w:val="18"/>
                <w:szCs w:val="18"/>
              </w:rPr>
            </w:pPr>
            <w:r>
              <w:rPr>
                <w:rFonts w:hint="eastAsia"/>
                <w:sz w:val="18"/>
                <w:szCs w:val="18"/>
              </w:rPr>
              <w:t>0.05</w:t>
            </w:r>
          </w:p>
        </w:tc>
        <w:tc>
          <w:tcPr>
            <w:tcW w:w="1051"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9、双极晶体管</w:t>
            </w:r>
          </w:p>
        </w:tc>
        <w:tc>
          <w:tcPr>
            <w:tcW w:w="887" w:type="pct"/>
            <w:vAlign w:val="center"/>
          </w:tcPr>
          <w:p>
            <w:pPr>
              <w:jc w:val="center"/>
              <w:rPr>
                <w:sz w:val="18"/>
                <w:szCs w:val="18"/>
              </w:rPr>
            </w:pPr>
            <w:r>
              <w:rPr>
                <w:rFonts w:hint="eastAsia"/>
                <w:sz w:val="18"/>
                <w:szCs w:val="18"/>
              </w:rPr>
              <w:t>0.15</w:t>
            </w:r>
          </w:p>
        </w:tc>
        <w:tc>
          <w:tcPr>
            <w:tcW w:w="1051" w:type="pct"/>
            <w:vAlign w:val="center"/>
          </w:tcPr>
          <w:p>
            <w:pPr>
              <w:jc w:val="center"/>
              <w:rPr>
                <w:sz w:val="18"/>
                <w:szCs w:val="18"/>
              </w:rPr>
            </w:pPr>
            <w:r>
              <w:rPr>
                <w:rFonts w:hint="eastAsia"/>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2" w:type="pct"/>
          </w:tcPr>
          <w:p>
            <w:pPr>
              <w:ind w:left="317" w:leftChars="151"/>
              <w:rPr>
                <w:sz w:val="18"/>
                <w:szCs w:val="18"/>
              </w:rPr>
            </w:pPr>
            <w:r>
              <w:rPr>
                <w:rFonts w:hint="eastAsia" w:ascii="宋体" w:hAnsi="宋体"/>
                <w:color w:val="000000"/>
                <w:sz w:val="18"/>
                <w:szCs w:val="18"/>
              </w:rPr>
              <w:t>10、金属－氧化物－半导体场效应晶体管</w:t>
            </w:r>
          </w:p>
        </w:tc>
        <w:tc>
          <w:tcPr>
            <w:tcW w:w="887" w:type="pct"/>
            <w:vAlign w:val="center"/>
          </w:tcPr>
          <w:p>
            <w:pPr>
              <w:jc w:val="center"/>
              <w:rPr>
                <w:sz w:val="18"/>
                <w:szCs w:val="18"/>
              </w:rPr>
            </w:pPr>
            <w:r>
              <w:rPr>
                <w:rFonts w:hint="eastAsia"/>
                <w:sz w:val="18"/>
                <w:szCs w:val="18"/>
              </w:rPr>
              <w:t>0.20</w:t>
            </w:r>
          </w:p>
        </w:tc>
        <w:tc>
          <w:tcPr>
            <w:tcW w:w="1051" w:type="pct"/>
            <w:vAlign w:val="center"/>
          </w:tcPr>
          <w:p>
            <w:pPr>
              <w:jc w:val="center"/>
              <w:rPr>
                <w:sz w:val="18"/>
                <w:szCs w:val="18"/>
              </w:rPr>
            </w:pPr>
            <w:r>
              <w:rPr>
                <w:rFonts w:hint="eastAsia"/>
                <w:sz w:val="18"/>
                <w:szCs w:val="18"/>
              </w:rPr>
              <w:t>1、2、3、4</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tabs>
          <w:tab w:val="left" w:pos="420"/>
        </w:tabs>
        <w:adjustRightInd w:val="0"/>
        <w:snapToGrid w:val="0"/>
        <w:spacing w:line="360" w:lineRule="auto"/>
        <w:rPr>
          <w:rFonts w:eastAsia="黑体"/>
          <w:color w:val="000000"/>
          <w:szCs w:val="24"/>
        </w:rPr>
        <w:sectPr>
          <w:footerReference r:id="rId8" w:type="default"/>
          <w:pgSz w:w="11906" w:h="16838"/>
          <w:pgMar w:top="1440" w:right="1800" w:bottom="1440" w:left="1800" w:header="851" w:footer="992" w:gutter="0"/>
          <w:cols w:space="720" w:num="1"/>
          <w:docGrid w:type="lines" w:linePitch="312" w:charSpace="0"/>
        </w:sectPr>
      </w:pPr>
    </w:p>
    <w:p>
      <w:pPr>
        <w:tabs>
          <w:tab w:val="left" w:pos="420"/>
        </w:tabs>
        <w:adjustRightInd w:val="0"/>
        <w:snapToGrid w:val="0"/>
        <w:spacing w:line="360" w:lineRule="auto"/>
        <w:rPr>
          <w:color w:val="000000"/>
        </w:rPr>
      </w:pPr>
      <w:r>
        <w:rPr>
          <w:rFonts w:eastAsia="黑体"/>
          <w:color w:val="000000"/>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981"/>
        <w:gridCol w:w="1124"/>
        <w:gridCol w:w="1035"/>
        <w:gridCol w:w="974"/>
        <w:gridCol w:w="960"/>
        <w:gridCol w:w="1077"/>
        <w:gridCol w:w="990"/>
        <w:gridCol w:w="918"/>
        <w:gridCol w:w="1029"/>
        <w:gridCol w:w="1135"/>
        <w:gridCol w:w="932"/>
        <w:gridCol w:w="929"/>
        <w:gridCol w:w="929"/>
        <w:gridCol w:w="935"/>
      </w:tblGrid>
      <w:tr>
        <w:tblPrEx>
          <w:tblCellMar>
            <w:top w:w="0" w:type="dxa"/>
            <w:left w:w="108" w:type="dxa"/>
            <w:bottom w:w="0" w:type="dxa"/>
            <w:right w:w="108" w:type="dxa"/>
          </w:tblCellMar>
        </w:tblPrEx>
        <w:trPr>
          <w:trHeight w:val="1015" w:hRule="atLeast"/>
          <w:jc w:val="center"/>
        </w:trPr>
        <w:tc>
          <w:tcPr>
            <w:tcW w:w="352"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课程目标</w:t>
            </w:r>
          </w:p>
        </w:tc>
        <w:tc>
          <w:tcPr>
            <w:tcW w:w="403"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知识面比例</w:t>
            </w:r>
          </w:p>
          <w:p>
            <w:pPr>
              <w:widowControl/>
              <w:adjustRightInd w:val="0"/>
              <w:jc w:val="center"/>
              <w:rPr>
                <w:color w:val="000000"/>
                <w:kern w:val="0"/>
                <w:sz w:val="18"/>
                <w:szCs w:val="18"/>
              </w:rPr>
            </w:pPr>
            <w:r>
              <w:rPr>
                <w:color w:val="000000"/>
                <w:kern w:val="0"/>
                <w:sz w:val="18"/>
                <w:szCs w:val="18"/>
              </w:rPr>
              <w:t>（本列总和为1）</w:t>
            </w:r>
          </w:p>
          <w:p>
            <w:pPr>
              <w:widowControl/>
              <w:adjustRightInd w:val="0"/>
              <w:jc w:val="center"/>
              <w:rPr>
                <w:i/>
                <w:color w:val="000000"/>
                <w:kern w:val="0"/>
                <w:sz w:val="18"/>
                <w:szCs w:val="18"/>
              </w:rPr>
            </w:pPr>
            <w:r>
              <w:rPr>
                <w:i/>
                <w:color w:val="000000"/>
                <w:kern w:val="0"/>
                <w:sz w:val="18"/>
                <w:szCs w:val="18"/>
              </w:rPr>
              <w:t>P</w:t>
            </w:r>
            <w:r>
              <w:rPr>
                <w:i/>
                <w:color w:val="000000"/>
                <w:kern w:val="0"/>
                <w:sz w:val="18"/>
                <w:szCs w:val="18"/>
                <w:vertAlign w:val="subscript"/>
              </w:rPr>
              <w:t>i</w:t>
            </w:r>
          </w:p>
        </w:tc>
        <w:tc>
          <w:tcPr>
            <w:tcW w:w="1449" w:type="pct"/>
            <w:gridSpan w:val="4"/>
            <w:tcBorders>
              <w:top w:val="single" w:color="auto" w:sz="4" w:space="0"/>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sz w:val="18"/>
                <w:szCs w:val="18"/>
              </w:rPr>
              <w:t>各环节评价比例分配</w:t>
            </w:r>
            <w:r>
              <w:rPr>
                <w:color w:val="000000"/>
                <w:sz w:val="18"/>
                <w:szCs w:val="18"/>
              </w:rPr>
              <w:br w:type="textWrapping"/>
            </w:r>
            <w:r>
              <w:rPr>
                <w:color w:val="000000"/>
                <w:sz w:val="18"/>
                <w:szCs w:val="18"/>
              </w:rPr>
              <w:t>（每行总和为1）</w:t>
            </w:r>
            <w:r>
              <w:rPr>
                <w:color w:val="000000"/>
                <w:sz w:val="18"/>
                <w:szCs w:val="18"/>
              </w:rPr>
              <w:br w:type="textWrapping"/>
            </w:r>
            <w:r>
              <w:rPr>
                <w:i/>
                <w:color w:val="000000"/>
                <w:sz w:val="18"/>
                <w:szCs w:val="18"/>
              </w:rPr>
              <w:t>W</w:t>
            </w:r>
            <w:r>
              <w:rPr>
                <w:i/>
                <w:color w:val="000000"/>
                <w:sz w:val="18"/>
                <w:szCs w:val="18"/>
                <w:vertAlign w:val="subscript"/>
              </w:rPr>
              <w:t>ik</w:t>
            </w:r>
          </w:p>
        </w:tc>
        <w:tc>
          <w:tcPr>
            <w:tcW w:w="1459" w:type="pct"/>
            <w:gridSpan w:val="4"/>
            <w:tcBorders>
              <w:top w:val="single" w:color="auto" w:sz="4" w:space="0"/>
              <w:left w:val="nil"/>
              <w:bottom w:val="single" w:color="auto" w:sz="4" w:space="0"/>
              <w:right w:val="single" w:color="auto" w:sz="4" w:space="0"/>
            </w:tcBorders>
            <w:vAlign w:val="center"/>
          </w:tcPr>
          <w:p>
            <w:pPr>
              <w:adjustRightInd w:val="0"/>
              <w:jc w:val="center"/>
              <w:rPr>
                <w:color w:val="000000"/>
                <w:sz w:val="18"/>
                <w:szCs w:val="18"/>
              </w:rPr>
            </w:pPr>
            <w:r>
              <w:rPr>
                <w:color w:val="000000"/>
                <w:sz w:val="18"/>
                <w:szCs w:val="18"/>
              </w:rPr>
              <w:t>各环节在课程达成中的占比</w:t>
            </w:r>
            <w:r>
              <w:rPr>
                <w:color w:val="000000"/>
                <w:sz w:val="18"/>
                <w:szCs w:val="18"/>
              </w:rPr>
              <w:br w:type="textWrapping"/>
            </w:r>
            <w:r>
              <w:rPr>
                <w:color w:val="000000"/>
                <w:sz w:val="18"/>
                <w:szCs w:val="18"/>
              </w:rPr>
              <w:t>（所有行列总和为1）</w:t>
            </w:r>
            <w:r>
              <w:rPr>
                <w:color w:val="000000"/>
                <w:sz w:val="18"/>
                <w:szCs w:val="18"/>
              </w:rPr>
              <w:br w:type="textWrapping"/>
            </w:r>
            <w:r>
              <w:rPr>
                <w:i/>
                <w:color w:val="000000"/>
                <w:sz w:val="18"/>
                <w:szCs w:val="18"/>
              </w:rPr>
              <w:t>S</w:t>
            </w:r>
            <w:r>
              <w:rPr>
                <w:i/>
                <w:color w:val="000000"/>
                <w:sz w:val="18"/>
                <w:szCs w:val="18"/>
                <w:vertAlign w:val="subscript"/>
              </w:rPr>
              <w:t>ik</w:t>
            </w:r>
            <w:r>
              <w:rPr>
                <w:i/>
                <w:color w:val="000000"/>
                <w:sz w:val="18"/>
                <w:szCs w:val="18"/>
              </w:rPr>
              <w:t>=P</w:t>
            </w:r>
            <w:r>
              <w:rPr>
                <w:i/>
                <w:color w:val="000000"/>
                <w:sz w:val="18"/>
                <w:szCs w:val="18"/>
                <w:vertAlign w:val="subscript"/>
              </w:rPr>
              <w:t>i</w:t>
            </w:r>
            <w:r>
              <w:rPr>
                <w:i/>
                <w:color w:val="000000"/>
                <w:sz w:val="18"/>
                <w:szCs w:val="18"/>
              </w:rPr>
              <w:t>*W</w:t>
            </w:r>
            <w:r>
              <w:rPr>
                <w:i/>
                <w:color w:val="000000"/>
                <w:sz w:val="18"/>
                <w:szCs w:val="18"/>
                <w:vertAlign w:val="subscript"/>
              </w:rPr>
              <w:t>ik</w:t>
            </w:r>
          </w:p>
        </w:tc>
        <w:tc>
          <w:tcPr>
            <w:tcW w:w="1336" w:type="pct"/>
            <w:gridSpan w:val="4"/>
            <w:tcBorders>
              <w:top w:val="single" w:color="auto" w:sz="4" w:space="0"/>
              <w:left w:val="nil"/>
              <w:bottom w:val="single" w:color="auto" w:sz="4" w:space="0"/>
              <w:right w:val="single" w:color="auto" w:sz="4" w:space="0"/>
            </w:tcBorders>
            <w:vAlign w:val="center"/>
          </w:tcPr>
          <w:p>
            <w:pPr>
              <w:adjustRightInd w:val="0"/>
              <w:jc w:val="center"/>
              <w:rPr>
                <w:color w:val="000000"/>
                <w:sz w:val="18"/>
                <w:szCs w:val="18"/>
              </w:rPr>
            </w:pPr>
            <w:r>
              <w:rPr>
                <w:color w:val="000000"/>
                <w:sz w:val="18"/>
                <w:szCs w:val="18"/>
              </w:rPr>
              <w:t>各环节课程目标考核权重分布</w:t>
            </w:r>
          </w:p>
          <w:p>
            <w:pPr>
              <w:adjustRightInd w:val="0"/>
              <w:jc w:val="center"/>
              <w:rPr>
                <w:color w:val="000000"/>
                <w:sz w:val="18"/>
                <w:szCs w:val="18"/>
              </w:rPr>
            </w:pPr>
            <w:r>
              <w:rPr>
                <w:color w:val="000000"/>
                <w:sz w:val="18"/>
                <w:szCs w:val="18"/>
              </w:rPr>
              <w:t>（每一列总和为1）</w:t>
            </w:r>
          </w:p>
          <w:p>
            <w:pPr>
              <w:adjustRightInd w:val="0"/>
              <w:jc w:val="center"/>
              <w:rPr>
                <w:color w:val="000000"/>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35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jc w:val="left"/>
              <w:rPr>
                <w:color w:val="000000"/>
                <w:kern w:val="0"/>
                <w:sz w:val="18"/>
                <w:szCs w:val="18"/>
              </w:rPr>
            </w:pPr>
          </w:p>
        </w:tc>
        <w:tc>
          <w:tcPr>
            <w:tcW w:w="371"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349"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作业</w:t>
            </w:r>
          </w:p>
        </w:tc>
        <w:tc>
          <w:tcPr>
            <w:tcW w:w="34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课内实验</w:t>
            </w:r>
          </w:p>
        </w:tc>
        <w:tc>
          <w:tcPr>
            <w:tcW w:w="38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c>
          <w:tcPr>
            <w:tcW w:w="355"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329"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作业</w:t>
            </w:r>
          </w:p>
        </w:tc>
        <w:tc>
          <w:tcPr>
            <w:tcW w:w="369"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课内实验</w:t>
            </w:r>
          </w:p>
        </w:tc>
        <w:tc>
          <w:tcPr>
            <w:tcW w:w="407"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c>
          <w:tcPr>
            <w:tcW w:w="33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作业</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课内实验</w:t>
            </w:r>
          </w:p>
        </w:tc>
        <w:tc>
          <w:tcPr>
            <w:tcW w:w="33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r>
      <w:tr>
        <w:tblPrEx>
          <w:tblCellMar>
            <w:top w:w="0" w:type="dxa"/>
            <w:left w:w="108" w:type="dxa"/>
            <w:bottom w:w="0" w:type="dxa"/>
            <w:right w:w="108" w:type="dxa"/>
          </w:tblCellMar>
        </w:tblPrEx>
        <w:trPr>
          <w:trHeight w:val="716" w:hRule="atLeast"/>
          <w:jc w:val="center"/>
        </w:trPr>
        <w:tc>
          <w:tcPr>
            <w:tcW w:w="352" w:type="pct"/>
            <w:tcBorders>
              <w:top w:val="nil"/>
              <w:left w:val="single" w:color="auto" w:sz="4" w:space="0"/>
              <w:bottom w:val="single" w:color="auto" w:sz="4" w:space="0"/>
              <w:right w:val="single" w:color="auto" w:sz="4" w:space="0"/>
            </w:tcBorders>
            <w:vAlign w:val="center"/>
          </w:tcPr>
          <w:p>
            <w:pPr>
              <w:widowControl/>
              <w:adjustRightInd w:val="0"/>
              <w:jc w:val="center"/>
              <w:rPr>
                <w:color w:val="000000"/>
                <w:sz w:val="18"/>
                <w:szCs w:val="18"/>
              </w:rPr>
            </w:pPr>
            <w:r>
              <w:rPr>
                <w:color w:val="000000"/>
                <w:sz w:val="18"/>
                <w:szCs w:val="18"/>
              </w:rPr>
              <w:t>1</w:t>
            </w:r>
          </w:p>
        </w:tc>
        <w:tc>
          <w:tcPr>
            <w:tcW w:w="40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w:t>
            </w:r>
          </w:p>
        </w:tc>
        <w:tc>
          <w:tcPr>
            <w:tcW w:w="371"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4" w:type="pct"/>
            <w:tcBorders>
              <w:top w:val="nil"/>
              <w:left w:val="nil"/>
              <w:bottom w:val="single" w:color="auto" w:sz="4" w:space="0"/>
              <w:right w:val="single" w:color="auto" w:sz="4" w:space="0"/>
            </w:tcBorders>
            <w:vAlign w:val="center"/>
          </w:tcPr>
          <w:p>
            <w:pPr>
              <w:jc w:val="center"/>
              <w:rPr>
                <w:color w:val="000000"/>
                <w:kern w:val="0"/>
                <w:sz w:val="18"/>
                <w:szCs w:val="18"/>
              </w:rPr>
            </w:pPr>
          </w:p>
        </w:tc>
        <w:tc>
          <w:tcPr>
            <w:tcW w:w="386"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0.8</w:t>
            </w:r>
          </w:p>
        </w:tc>
        <w:tc>
          <w:tcPr>
            <w:tcW w:w="355"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0.05</w:t>
            </w:r>
          </w:p>
        </w:tc>
        <w:tc>
          <w:tcPr>
            <w:tcW w:w="32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0.05</w:t>
            </w:r>
          </w:p>
        </w:tc>
        <w:tc>
          <w:tcPr>
            <w:tcW w:w="36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p>
        </w:tc>
        <w:tc>
          <w:tcPr>
            <w:tcW w:w="407"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0.4</w:t>
            </w:r>
          </w:p>
        </w:tc>
        <w:tc>
          <w:tcPr>
            <w:tcW w:w="33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p>
        </w:tc>
        <w:tc>
          <w:tcPr>
            <w:tcW w:w="33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0.57</w:t>
            </w:r>
          </w:p>
        </w:tc>
      </w:tr>
      <w:tr>
        <w:tblPrEx>
          <w:tblCellMar>
            <w:top w:w="0" w:type="dxa"/>
            <w:left w:w="108" w:type="dxa"/>
            <w:bottom w:w="0" w:type="dxa"/>
            <w:right w:w="108" w:type="dxa"/>
          </w:tblCellMar>
        </w:tblPrEx>
        <w:trPr>
          <w:trHeight w:val="694" w:hRule="atLeast"/>
          <w:jc w:val="center"/>
        </w:trPr>
        <w:tc>
          <w:tcPr>
            <w:tcW w:w="352" w:type="pct"/>
            <w:tcBorders>
              <w:top w:val="nil"/>
              <w:left w:val="single" w:color="auto" w:sz="4" w:space="0"/>
              <w:bottom w:val="single" w:color="auto" w:sz="4" w:space="0"/>
              <w:right w:val="single" w:color="auto" w:sz="4" w:space="0"/>
            </w:tcBorders>
            <w:vAlign w:val="center"/>
          </w:tcPr>
          <w:p>
            <w:pPr>
              <w:widowControl/>
              <w:adjustRightInd w:val="0"/>
              <w:jc w:val="center"/>
              <w:rPr>
                <w:color w:val="000000"/>
                <w:sz w:val="18"/>
                <w:szCs w:val="18"/>
              </w:rPr>
            </w:pPr>
            <w:r>
              <w:rPr>
                <w:color w:val="000000"/>
                <w:sz w:val="18"/>
                <w:szCs w:val="18"/>
              </w:rPr>
              <w:t>2</w:t>
            </w:r>
          </w:p>
        </w:tc>
        <w:tc>
          <w:tcPr>
            <w:tcW w:w="40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0.3</w:t>
            </w:r>
          </w:p>
        </w:tc>
        <w:tc>
          <w:tcPr>
            <w:tcW w:w="371"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4"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0.15</w:t>
            </w:r>
          </w:p>
        </w:tc>
        <w:tc>
          <w:tcPr>
            <w:tcW w:w="386"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0.65</w:t>
            </w:r>
          </w:p>
        </w:tc>
        <w:tc>
          <w:tcPr>
            <w:tcW w:w="355"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0.03</w:t>
            </w:r>
          </w:p>
        </w:tc>
        <w:tc>
          <w:tcPr>
            <w:tcW w:w="32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0.03</w:t>
            </w:r>
          </w:p>
        </w:tc>
        <w:tc>
          <w:tcPr>
            <w:tcW w:w="36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0.05</w:t>
            </w:r>
          </w:p>
        </w:tc>
        <w:tc>
          <w:tcPr>
            <w:tcW w:w="407"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0.195</w:t>
            </w:r>
          </w:p>
        </w:tc>
        <w:tc>
          <w:tcPr>
            <w:tcW w:w="33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0.3</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0.3</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w:t>
            </w:r>
          </w:p>
        </w:tc>
        <w:tc>
          <w:tcPr>
            <w:tcW w:w="33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0.28</w:t>
            </w:r>
          </w:p>
        </w:tc>
      </w:tr>
      <w:tr>
        <w:tblPrEx>
          <w:tblCellMar>
            <w:top w:w="0" w:type="dxa"/>
            <w:left w:w="108" w:type="dxa"/>
            <w:bottom w:w="0" w:type="dxa"/>
            <w:right w:w="108" w:type="dxa"/>
          </w:tblCellMar>
        </w:tblPrEx>
        <w:trPr>
          <w:trHeight w:val="690" w:hRule="atLeast"/>
          <w:jc w:val="center"/>
        </w:trPr>
        <w:tc>
          <w:tcPr>
            <w:tcW w:w="352" w:type="pct"/>
            <w:tcBorders>
              <w:top w:val="nil"/>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sz w:val="18"/>
                <w:szCs w:val="18"/>
              </w:rPr>
              <w:t>3</w:t>
            </w:r>
          </w:p>
        </w:tc>
        <w:tc>
          <w:tcPr>
            <w:tcW w:w="40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0.15</w:t>
            </w:r>
          </w:p>
        </w:tc>
        <w:tc>
          <w:tcPr>
            <w:tcW w:w="371"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0.14</w:t>
            </w:r>
          </w:p>
        </w:tc>
        <w:tc>
          <w:tcPr>
            <w:tcW w:w="344"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0.36</w:t>
            </w:r>
          </w:p>
        </w:tc>
        <w:tc>
          <w:tcPr>
            <w:tcW w:w="386"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0.4</w:t>
            </w:r>
          </w:p>
        </w:tc>
        <w:tc>
          <w:tcPr>
            <w:tcW w:w="355"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0.015</w:t>
            </w:r>
          </w:p>
        </w:tc>
        <w:tc>
          <w:tcPr>
            <w:tcW w:w="32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0.02</w:t>
            </w:r>
          </w:p>
        </w:tc>
        <w:tc>
          <w:tcPr>
            <w:tcW w:w="36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0.05</w:t>
            </w:r>
          </w:p>
        </w:tc>
        <w:tc>
          <w:tcPr>
            <w:tcW w:w="407"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0.06</w:t>
            </w:r>
          </w:p>
        </w:tc>
        <w:tc>
          <w:tcPr>
            <w:tcW w:w="33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0.15</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0.2</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0.5</w:t>
            </w:r>
          </w:p>
        </w:tc>
        <w:tc>
          <w:tcPr>
            <w:tcW w:w="33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0.09</w:t>
            </w:r>
          </w:p>
        </w:tc>
      </w:tr>
      <w:tr>
        <w:tblPrEx>
          <w:tblCellMar>
            <w:top w:w="0" w:type="dxa"/>
            <w:left w:w="108" w:type="dxa"/>
            <w:bottom w:w="0" w:type="dxa"/>
            <w:right w:w="108" w:type="dxa"/>
          </w:tblCellMar>
        </w:tblPrEx>
        <w:trPr>
          <w:trHeight w:val="764" w:hRule="atLeast"/>
          <w:jc w:val="center"/>
        </w:trPr>
        <w:tc>
          <w:tcPr>
            <w:tcW w:w="352" w:type="pct"/>
            <w:tcBorders>
              <w:top w:val="nil"/>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sz w:val="18"/>
                <w:szCs w:val="18"/>
              </w:rPr>
              <w:t>4</w:t>
            </w:r>
          </w:p>
        </w:tc>
        <w:tc>
          <w:tcPr>
            <w:tcW w:w="40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0.05</w:t>
            </w:r>
          </w:p>
        </w:tc>
        <w:tc>
          <w:tcPr>
            <w:tcW w:w="371"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0.1</w:t>
            </w:r>
          </w:p>
        </w:tc>
        <w:tc>
          <w:tcPr>
            <w:tcW w:w="349" w:type="pct"/>
            <w:tcBorders>
              <w:top w:val="nil"/>
              <w:left w:val="nil"/>
              <w:bottom w:val="single" w:color="auto" w:sz="4" w:space="0"/>
              <w:right w:val="single" w:color="auto" w:sz="4" w:space="0"/>
            </w:tcBorders>
            <w:vAlign w:val="center"/>
          </w:tcPr>
          <w:p>
            <w:pPr>
              <w:jc w:val="center"/>
              <w:rPr>
                <w:color w:val="000000"/>
                <w:kern w:val="0"/>
                <w:sz w:val="18"/>
                <w:szCs w:val="18"/>
              </w:rPr>
            </w:pPr>
          </w:p>
        </w:tc>
        <w:tc>
          <w:tcPr>
            <w:tcW w:w="344" w:type="pct"/>
            <w:tcBorders>
              <w:top w:val="nil"/>
              <w:left w:val="nil"/>
              <w:bottom w:val="single" w:color="auto" w:sz="4" w:space="0"/>
              <w:right w:val="single" w:color="auto" w:sz="4" w:space="0"/>
            </w:tcBorders>
            <w:vAlign w:val="center"/>
          </w:tcPr>
          <w:p>
            <w:pPr>
              <w:jc w:val="center"/>
              <w:rPr>
                <w:color w:val="000000"/>
                <w:kern w:val="0"/>
                <w:sz w:val="18"/>
                <w:szCs w:val="18"/>
              </w:rPr>
            </w:pPr>
          </w:p>
        </w:tc>
        <w:tc>
          <w:tcPr>
            <w:tcW w:w="386"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0.9</w:t>
            </w:r>
          </w:p>
        </w:tc>
        <w:tc>
          <w:tcPr>
            <w:tcW w:w="355"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0.005</w:t>
            </w:r>
          </w:p>
        </w:tc>
        <w:tc>
          <w:tcPr>
            <w:tcW w:w="32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p>
        </w:tc>
        <w:tc>
          <w:tcPr>
            <w:tcW w:w="369"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p>
        </w:tc>
        <w:tc>
          <w:tcPr>
            <w:tcW w:w="407" w:type="pct"/>
            <w:tcBorders>
              <w:top w:val="nil"/>
              <w:left w:val="nil"/>
              <w:bottom w:val="single" w:color="auto" w:sz="4" w:space="0"/>
              <w:right w:val="single" w:color="auto" w:sz="4" w:space="0"/>
            </w:tcBorders>
            <w:vAlign w:val="center"/>
          </w:tcPr>
          <w:p>
            <w:pPr>
              <w:widowControl/>
              <w:jc w:val="center"/>
              <w:textAlignment w:val="center"/>
              <w:rPr>
                <w:color w:val="000000"/>
                <w:kern w:val="0"/>
                <w:sz w:val="18"/>
                <w:szCs w:val="18"/>
              </w:rPr>
            </w:pPr>
            <w:r>
              <w:rPr>
                <w:color w:val="000000"/>
                <w:kern w:val="0"/>
                <w:sz w:val="18"/>
                <w:szCs w:val="18"/>
              </w:rPr>
              <w:t>0.045</w:t>
            </w:r>
          </w:p>
        </w:tc>
        <w:tc>
          <w:tcPr>
            <w:tcW w:w="334"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0.05</w:t>
            </w: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p>
        </w:tc>
        <w:tc>
          <w:tcPr>
            <w:tcW w:w="333"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p>
        </w:tc>
        <w:tc>
          <w:tcPr>
            <w:tcW w:w="336"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0.06</w:t>
            </w:r>
          </w:p>
        </w:tc>
      </w:tr>
      <w:tr>
        <w:tblPrEx>
          <w:tblCellMar>
            <w:top w:w="0" w:type="dxa"/>
            <w:left w:w="108" w:type="dxa"/>
            <w:bottom w:w="0" w:type="dxa"/>
            <w:right w:w="108" w:type="dxa"/>
          </w:tblCellMar>
        </w:tblPrEx>
        <w:trPr>
          <w:trHeight w:val="537" w:hRule="atLeast"/>
          <w:jc w:val="center"/>
        </w:trPr>
        <w:tc>
          <w:tcPr>
            <w:tcW w:w="2205" w:type="pct"/>
            <w:gridSpan w:val="6"/>
            <w:tcBorders>
              <w:top w:val="single" w:color="auto" w:sz="4" w:space="0"/>
              <w:left w:val="single" w:color="auto" w:sz="4" w:space="0"/>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各环节对课程目标达成的贡献率（</w:t>
            </w:r>
            <w:r>
              <w:rPr>
                <w:i/>
                <w:color w:val="000000"/>
                <w:kern w:val="0"/>
                <w:sz w:val="18"/>
                <w:szCs w:val="18"/>
              </w:rPr>
              <w:t>M</w:t>
            </w:r>
            <w:r>
              <w:rPr>
                <w:i/>
                <w:color w:val="000000"/>
                <w:kern w:val="0"/>
                <w:sz w:val="18"/>
                <w:szCs w:val="18"/>
                <w:vertAlign w:val="subscript"/>
              </w:rPr>
              <w:t>k</w:t>
            </w:r>
            <w:r>
              <w:rPr>
                <w:color w:val="000000"/>
                <w:kern w:val="0"/>
                <w:sz w:val="18"/>
                <w:szCs w:val="18"/>
              </w:rPr>
              <w:t>）</w:t>
            </w:r>
          </w:p>
        </w:tc>
        <w:tc>
          <w:tcPr>
            <w:tcW w:w="355"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0.10</w:t>
            </w:r>
          </w:p>
        </w:tc>
        <w:tc>
          <w:tcPr>
            <w:tcW w:w="329"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0.10</w:t>
            </w:r>
          </w:p>
        </w:tc>
        <w:tc>
          <w:tcPr>
            <w:tcW w:w="369"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0.10</w:t>
            </w:r>
          </w:p>
        </w:tc>
        <w:tc>
          <w:tcPr>
            <w:tcW w:w="407" w:type="pct"/>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0.70</w:t>
            </w:r>
          </w:p>
        </w:tc>
        <w:tc>
          <w:tcPr>
            <w:tcW w:w="1336" w:type="pct"/>
            <w:gridSpan w:val="4"/>
            <w:tcBorders>
              <w:top w:val="nil"/>
              <w:left w:val="nil"/>
              <w:bottom w:val="single" w:color="auto" w:sz="4" w:space="0"/>
              <w:right w:val="single" w:color="auto" w:sz="4" w:space="0"/>
            </w:tcBorders>
            <w:vAlign w:val="center"/>
          </w:tcPr>
          <w:p>
            <w:pPr>
              <w:widowControl/>
              <w:adjustRightInd w:val="0"/>
              <w:jc w:val="center"/>
              <w:rPr>
                <w:color w:val="000000"/>
                <w:kern w:val="0"/>
                <w:sz w:val="18"/>
                <w:szCs w:val="18"/>
              </w:rPr>
            </w:pPr>
            <w:r>
              <w:rPr>
                <w:color w:val="000000"/>
                <w:kern w:val="0"/>
                <w:sz w:val="18"/>
                <w:szCs w:val="18"/>
              </w:rPr>
              <w:t>教师出题或布置作业时</w:t>
            </w:r>
          </w:p>
          <w:p>
            <w:pPr>
              <w:widowControl/>
              <w:adjustRightInd w:val="0"/>
              <w:jc w:val="center"/>
              <w:rPr>
                <w:color w:val="000000"/>
                <w:kern w:val="0"/>
                <w:sz w:val="18"/>
                <w:szCs w:val="18"/>
              </w:rPr>
            </w:pPr>
            <w:r>
              <w:rPr>
                <w:color w:val="000000"/>
                <w:kern w:val="0"/>
                <w:sz w:val="18"/>
                <w:szCs w:val="18"/>
              </w:rPr>
              <w:t>要尽量做到按照以上比例布局</w:t>
            </w:r>
          </w:p>
        </w:tc>
      </w:tr>
    </w:tbl>
    <w:p>
      <w:pPr>
        <w:spacing w:line="360" w:lineRule="auto"/>
        <w:jc w:val="left"/>
      </w:pPr>
    </w:p>
    <w:p>
      <w:pPr>
        <w:spacing w:line="360" w:lineRule="auto"/>
        <w:rPr>
          <w:color w:val="000000"/>
          <w:szCs w:val="21"/>
        </w:rPr>
        <w:sectPr>
          <w:footerReference r:id="rId9" w:type="default"/>
          <w:pgSz w:w="16838" w:h="11906" w:orient="landscape"/>
          <w:pgMar w:top="1800" w:right="1440" w:bottom="1800" w:left="1440" w:header="851" w:footer="992" w:gutter="0"/>
          <w:cols w:space="720" w:num="1"/>
          <w:docGrid w:type="line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54" o:spt="75" type="#_x0000_t75" style="height:36pt;width:165.65pt;" o:ole="t" filled="f" o:preferrelative="t" stroked="f" coordsize="21600,21600">
            <v:path/>
            <v:fill on="f" focussize="0,0"/>
            <v:stroke on="f" joinstyle="miter"/>
            <v:imagedata r:id="rId201" o:title=""/>
            <o:lock v:ext="edit" aspectratio="t"/>
            <w10:wrap type="none"/>
            <w10:anchorlock/>
          </v:shape>
          <o:OLEObject Type="Embed" ProgID="Equation.3" ShapeID="_x0000_i1054" DrawAspect="Content" ObjectID="_1468075754" r:id="rId212">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55"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55" DrawAspect="Content" ObjectID="_1468075755" r:id="rId213">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56" o:spt="75" type="#_x0000_t75" style="height:17.25pt;width:14.25pt;" o:ole="t" filled="f" o:preferrelative="t" stroked="f" coordsize="21600,21600">
            <v:path/>
            <v:fill on="f" focussize="0,0"/>
            <v:stroke on="f" joinstyle="miter"/>
            <v:imagedata r:id="rId205" o:title=""/>
            <o:lock v:ext="edit" aspectratio="t"/>
            <w10:wrap type="none"/>
            <w10:anchorlock/>
          </v:shape>
          <o:OLEObject Type="Embed" ProgID="Equation.3" ShapeID="_x0000_i1056" DrawAspect="Content" ObjectID="_1468075756" r:id="rId214">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57" o:spt="75" type="#_x0000_t75" style="height:17.25pt;width:74.3pt;" o:ole="t" filled="f" o:preferrelative="t" stroked="f" coordsize="21600,21600">
            <v:path/>
            <v:fill on="f" focussize="0,0"/>
            <v:stroke on="f" joinstyle="miter"/>
            <v:imagedata r:id="rId207" o:title=""/>
            <o:lock v:ext="edit" aspectratio="t"/>
            <w10:wrap type="none"/>
            <w10:anchorlock/>
          </v:shape>
          <o:OLEObject Type="Embed" ProgID="Equation.3" ShapeID="_x0000_i1057" DrawAspect="Content" ObjectID="_1468075757" r:id="rId215">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058" o:spt="75" type="#_x0000_t75" style="height:17.25pt;width:17.25pt;" o:ole="t" filled="f" o:preferrelative="t" stroked="f" coordsize="21600,21600">
            <v:path/>
            <v:fill on="f" focussize="0,0"/>
            <v:stroke on="f" joinstyle="miter"/>
            <v:imagedata r:id="rId209" o:title=""/>
            <o:lock v:ext="edit" aspectratio="t"/>
            <w10:wrap type="none"/>
            <w10:anchorlock/>
          </v:shape>
          <o:OLEObject Type="Embed" ProgID="Equation.3" ShapeID="_x0000_i1058" DrawAspect="Content" ObjectID="_1468075758" r:id="rId216">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059" o:spt="75" type="#_x0000_t75" style="height:17.25pt;width:12.75pt;" o:ole="t" filled="f" o:preferrelative="t" stroked="f" coordsize="21600,21600">
            <v:path/>
            <v:fill on="f" focussize="0,0"/>
            <v:stroke on="f" joinstyle="miter"/>
            <v:imagedata r:id="rId211" o:title=""/>
            <o:lock v:ext="edit" aspectratio="t"/>
            <w10:wrap type="none"/>
            <w10:anchorlock/>
          </v:shape>
          <o:OLEObject Type="Embed" ProgID="Equation.3" ShapeID="_x0000_i1059" DrawAspect="Content" ObjectID="_1468075759" r:id="rId217">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br w:type="page"/>
      </w:r>
    </w:p>
    <w:p>
      <w:pPr>
        <w:pStyle w:val="20"/>
        <w:spacing w:before="240" w:after="360"/>
      </w:pPr>
      <w:bookmarkStart w:id="164" w:name="_Toc46996559"/>
      <w:bookmarkStart w:id="165" w:name="_Toc16103"/>
      <w:r>
        <w:rPr>
          <w:rFonts w:hint="eastAsia"/>
        </w:rPr>
        <w:t>《</w:t>
      </w:r>
      <w:r>
        <w:t>Y02060005-</w:t>
      </w:r>
      <w:r>
        <w:rPr>
          <w:rFonts w:hint="eastAsia"/>
        </w:rPr>
        <w:t>电路原理》教学大纲</w:t>
      </w:r>
      <w:bookmarkEnd w:id="164"/>
      <w:bookmarkEnd w:id="165"/>
    </w:p>
    <w:p>
      <w:pPr>
        <w:adjustRightInd w:val="0"/>
        <w:snapToGrid w:val="0"/>
        <w:spacing w:line="360" w:lineRule="auto"/>
        <w:rPr>
          <w:bCs/>
          <w:kern w:val="0"/>
        </w:rPr>
      </w:pPr>
      <w:r>
        <w:rPr>
          <w:rFonts w:hint="eastAsia" w:eastAsia="黑体"/>
          <w:szCs w:val="21"/>
        </w:rPr>
        <w:t>课程编号：</w:t>
      </w:r>
      <w:r>
        <w:rPr>
          <w:bCs/>
          <w:kern w:val="0"/>
        </w:rPr>
        <w:t>Y02060005</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电路原理</w:t>
      </w:r>
      <w:r>
        <w:rPr>
          <w:szCs w:val="21"/>
        </w:rPr>
        <w:tab/>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56</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 xml:space="preserve">学 </w:t>
      </w:r>
      <w:r>
        <w:rPr>
          <w:rFonts w:eastAsia="黑体"/>
          <w:szCs w:val="21"/>
        </w:rPr>
        <w:t xml:space="preserve">   </w:t>
      </w:r>
      <w:r>
        <w:rPr>
          <w:rFonts w:hint="eastAsia" w:eastAsia="黑体"/>
          <w:szCs w:val="21"/>
        </w:rPr>
        <w:t>分：</w:t>
      </w:r>
      <w:r>
        <w:rPr>
          <w:rFonts w:eastAsia="黑体"/>
          <w:szCs w:val="21"/>
        </w:rPr>
        <w:t>3.5</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高等数学、大学物理、线性代数</w:t>
      </w:r>
    </w:p>
    <w:p>
      <w:pPr>
        <w:adjustRightInd w:val="0"/>
        <w:snapToGrid w:val="0"/>
        <w:spacing w:line="360" w:lineRule="auto"/>
        <w:rPr>
          <w:szCs w:val="21"/>
        </w:rPr>
      </w:pPr>
      <w:r>
        <w:rPr>
          <w:rFonts w:hint="eastAsia" w:eastAsia="黑体"/>
          <w:szCs w:val="21"/>
        </w:rPr>
        <w:t>大纲撰写人：</w:t>
      </w:r>
      <w:r>
        <w:rPr>
          <w:rFonts w:hint="eastAsia"/>
          <w:szCs w:val="21"/>
        </w:rPr>
        <w:t>储成群</w:t>
      </w:r>
    </w:p>
    <w:p>
      <w:pPr>
        <w:adjustRightInd w:val="0"/>
        <w:snapToGrid w:val="0"/>
        <w:spacing w:line="360" w:lineRule="auto"/>
        <w:rPr>
          <w:szCs w:val="21"/>
        </w:rPr>
      </w:pPr>
      <w:r>
        <w:rPr>
          <w:rFonts w:hint="eastAsia" w:eastAsia="黑体"/>
          <w:szCs w:val="21"/>
        </w:rPr>
        <w:t>大纲编写（修订）时</w:t>
      </w:r>
      <w:r>
        <w:rPr>
          <w:rFonts w:eastAsia="黑体"/>
          <w:szCs w:val="21"/>
        </w:rPr>
        <w:t>间：</w:t>
      </w:r>
      <w:r>
        <w:rPr>
          <w:szCs w:val="21"/>
        </w:rPr>
        <w:t>2019年5月</w:t>
      </w:r>
    </w:p>
    <w:p>
      <w:pPr>
        <w:rPr>
          <w:b/>
          <w:szCs w:val="21"/>
        </w:rPr>
      </w:pPr>
    </w:p>
    <w:p>
      <w:pPr>
        <w:numPr>
          <w:ilvl w:val="0"/>
          <w:numId w:val="22"/>
        </w:numPr>
        <w:adjustRightInd w:val="0"/>
        <w:snapToGrid w:val="0"/>
        <w:spacing w:line="360" w:lineRule="auto"/>
        <w:rPr>
          <w:rFonts w:eastAsia="黑体"/>
          <w:szCs w:val="21"/>
        </w:rPr>
      </w:pPr>
      <w:r>
        <w:rPr>
          <w:rFonts w:hint="eastAsia" w:eastAsia="黑体"/>
          <w:szCs w:val="21"/>
        </w:rPr>
        <w:t>课程在教学计划中的地位、作用</w:t>
      </w:r>
    </w:p>
    <w:p>
      <w:pPr>
        <w:adjustRightInd w:val="0"/>
        <w:snapToGrid w:val="0"/>
        <w:spacing w:line="360" w:lineRule="auto"/>
        <w:ind w:firstLine="420" w:firstLineChars="200"/>
        <w:rPr>
          <w:color w:val="000000"/>
          <w:szCs w:val="21"/>
        </w:rPr>
      </w:pPr>
      <w:r>
        <w:rPr>
          <w:rFonts w:hint="eastAsia"/>
          <w:color w:val="000000"/>
          <w:szCs w:val="21"/>
        </w:rPr>
        <w:t>本课程是测控技术与仪器、电子科学与技术、微电子科学与工程专业的一门重要的专业基础类教育课程。通过本课程的学习，使学生明确电路理论的基本概念，掌握电路的基本理论知识、分析计算电路的基本方法和初步技能，掌握电阻电路、动态电路时域分析方法，着眼于培养学生的综合素质和能力，为后续课程的学习、从事理论研究和工程技术打下坚实基础。本课程理论严密，逻辑性强，对学生辩证思维能力的培养和树立理论联系实际的科学观点，及提高学生分析问题、解决问题的能力都有重要作用。</w:t>
      </w:r>
    </w:p>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bookmarkStart w:id="166" w:name="OLE_LINK2"/>
      <w:bookmarkStart w:id="167" w:name="OLE_LINK1"/>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345" w:type="pct"/>
          </w:tcPr>
          <w:p>
            <w:pPr>
              <w:spacing w:line="360" w:lineRule="auto"/>
              <w:rPr>
                <w:sz w:val="18"/>
                <w:szCs w:val="18"/>
              </w:rPr>
            </w:pPr>
            <w:r>
              <w:rPr>
                <w:rFonts w:hint="eastAsia"/>
                <w:sz w:val="18"/>
                <w:szCs w:val="18"/>
              </w:rPr>
              <w:t>能够掌握电路理论的基本概念与定律，建立实际电路模型化的概念，掌握实际电路建模的处理方法和原则，对实际电路和理想电路之间的联系与区别有深刻的认识。</w:t>
            </w:r>
          </w:p>
        </w:tc>
        <w:tc>
          <w:tcPr>
            <w:tcW w:w="2288" w:type="pct"/>
          </w:tcPr>
          <w:p>
            <w:pPr>
              <w:spacing w:line="360" w:lineRule="auto"/>
              <w:rPr>
                <w:b/>
                <w:sz w:val="18"/>
                <w:szCs w:val="18"/>
              </w:rPr>
            </w:pPr>
            <w:r>
              <w:rPr>
                <w:rFonts w:hint="eastAsia"/>
                <w:b/>
                <w:sz w:val="18"/>
                <w:szCs w:val="18"/>
              </w:rPr>
              <w:t>指标点</w:t>
            </w:r>
            <w:r>
              <w:rPr>
                <w:b/>
                <w:sz w:val="18"/>
                <w:szCs w:val="18"/>
              </w:rPr>
              <w:t>1</w:t>
            </w:r>
            <w:r>
              <w:rPr>
                <w:rFonts w:hint="eastAsia"/>
                <w:b/>
                <w:sz w:val="18"/>
                <w:szCs w:val="18"/>
              </w:rPr>
              <w:t>-1知识体系：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345" w:type="pct"/>
          </w:tcPr>
          <w:p>
            <w:pPr>
              <w:adjustRightInd w:val="0"/>
              <w:snapToGrid w:val="0"/>
              <w:spacing w:line="360" w:lineRule="auto"/>
              <w:rPr>
                <w:sz w:val="18"/>
                <w:szCs w:val="18"/>
              </w:rPr>
            </w:pPr>
            <w:r>
              <w:rPr>
                <w:rFonts w:hint="eastAsia"/>
                <w:sz w:val="18"/>
                <w:szCs w:val="18"/>
              </w:rPr>
              <w:t>能够掌握电路的基本分析方法，对不同分析方法的应用背景和特点有清晰的认识，对复杂工程问题对应的电路模型具有建立方程并求解的能力，且具有将求解结果与实际结合的能力。</w:t>
            </w:r>
          </w:p>
        </w:tc>
        <w:tc>
          <w:tcPr>
            <w:tcW w:w="2288" w:type="pct"/>
          </w:tcPr>
          <w:p>
            <w:pPr>
              <w:spacing w:line="360" w:lineRule="auto"/>
              <w:rPr>
                <w:b/>
                <w:sz w:val="18"/>
                <w:szCs w:val="18"/>
              </w:rPr>
            </w:pPr>
            <w:r>
              <w:rPr>
                <w:rFonts w:hint="eastAsia"/>
                <w:b/>
                <w:sz w:val="18"/>
                <w:szCs w:val="18"/>
              </w:rPr>
              <w:t>指标点</w:t>
            </w:r>
            <w:r>
              <w:rPr>
                <w:b/>
                <w:sz w:val="18"/>
                <w:szCs w:val="18"/>
              </w:rPr>
              <w:t>1</w:t>
            </w:r>
            <w:r>
              <w:rPr>
                <w:rFonts w:hint="eastAsia"/>
                <w:b/>
                <w:sz w:val="18"/>
                <w:szCs w:val="18"/>
              </w:rPr>
              <w:t>-</w:t>
            </w:r>
            <w:r>
              <w:rPr>
                <w:b/>
                <w:sz w:val="18"/>
                <w:szCs w:val="18"/>
              </w:rPr>
              <w:t>2知识运用</w:t>
            </w:r>
            <w:r>
              <w:rPr>
                <w:rFonts w:hint="eastAsia"/>
                <w:b/>
                <w:sz w:val="18"/>
                <w:szCs w:val="18"/>
              </w:rPr>
              <w:t>能力：</w:t>
            </w:r>
            <w:r>
              <w:rPr>
                <w:rFonts w:hint="eastAsia" w:ascii="宋体" w:hAnsi="宋体"/>
                <w:kern w:val="0"/>
                <w:sz w:val="18"/>
                <w:szCs w:val="18"/>
              </w:rPr>
              <w:t>能将基础知识恰当地运用到电子科学与技术专业</w:t>
            </w:r>
            <w:r>
              <w:rPr>
                <w:rFonts w:hint="eastAsia"/>
                <w:sz w:val="18"/>
                <w:szCs w:val="18"/>
              </w:rPr>
              <w:t>电路系统、物联网及现场总线等</w:t>
            </w:r>
            <w:r>
              <w:rPr>
                <w:rFonts w:hint="eastAsia" w:ascii="宋体" w:hAnsi="宋体"/>
                <w:kern w:val="0"/>
                <w:sz w:val="18"/>
                <w:szCs w:val="18"/>
              </w:rPr>
              <w:t>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3</w:t>
            </w:r>
          </w:p>
        </w:tc>
        <w:tc>
          <w:tcPr>
            <w:tcW w:w="2345" w:type="pct"/>
          </w:tcPr>
          <w:p>
            <w:pPr>
              <w:adjustRightInd w:val="0"/>
              <w:snapToGrid w:val="0"/>
              <w:spacing w:line="360" w:lineRule="auto"/>
              <w:rPr>
                <w:sz w:val="18"/>
                <w:szCs w:val="18"/>
              </w:rPr>
            </w:pPr>
            <w:r>
              <w:rPr>
                <w:rFonts w:hint="eastAsia"/>
                <w:sz w:val="18"/>
                <w:szCs w:val="18"/>
              </w:rPr>
              <w:t>能够形成分析复杂工程问题的思路，并针对实际工程应用中涉及到的工程问题和背景建立相应电路模型，识别其中关键特性和参数。</w:t>
            </w:r>
          </w:p>
        </w:tc>
        <w:tc>
          <w:tcPr>
            <w:tcW w:w="2288" w:type="pct"/>
          </w:tcPr>
          <w:p>
            <w:pPr>
              <w:spacing w:line="360" w:lineRule="auto"/>
              <w:rPr>
                <w:b/>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4</w:t>
            </w:r>
          </w:p>
        </w:tc>
        <w:tc>
          <w:tcPr>
            <w:tcW w:w="2345" w:type="pct"/>
          </w:tcPr>
          <w:p>
            <w:pPr>
              <w:spacing w:line="360" w:lineRule="auto"/>
              <w:rPr>
                <w:sz w:val="18"/>
                <w:szCs w:val="18"/>
              </w:rPr>
            </w:pPr>
            <w:r>
              <w:rPr>
                <w:rFonts w:hint="eastAsia"/>
                <w:sz w:val="18"/>
                <w:szCs w:val="18"/>
              </w:rPr>
              <w:t>能够根据电路模型建立数学方程并求解，从而得到具体的结果，获取所需关键特征和参数。根据计算结果并结合实际工程问题得出相关的结论，将工程问题转换成技术问题。</w:t>
            </w:r>
          </w:p>
        </w:tc>
        <w:tc>
          <w:tcPr>
            <w:tcW w:w="2288" w:type="pct"/>
          </w:tcPr>
          <w:p>
            <w:pPr>
              <w:spacing w:line="360" w:lineRule="auto"/>
              <w:rPr>
                <w:b/>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bookmarkEnd w:id="166"/>
      <w:bookmarkEnd w:id="167"/>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adjustRightInd w:val="0"/>
        <w:snapToGrid w:val="0"/>
        <w:spacing w:line="360" w:lineRule="auto"/>
        <w:ind w:firstLine="420" w:firstLineChars="200"/>
        <w:rPr>
          <w:color w:val="000000"/>
          <w:szCs w:val="21"/>
        </w:rPr>
      </w:pPr>
      <w:r>
        <w:rPr>
          <w:rFonts w:hint="eastAsia"/>
          <w:color w:val="000000"/>
          <w:szCs w:val="21"/>
        </w:rPr>
        <w:t>1、本课</w:t>
      </w:r>
      <w:r>
        <w:rPr>
          <w:color w:val="000000"/>
          <w:szCs w:val="21"/>
        </w:rPr>
        <w:t>程为学科基础教育课程，要求先修高等数学、大学物理等课程，在教学中注重基础知识、基本概念和思维方法的传授，同时运用类比式和启发式教学，使学生掌握电路分析与设计的方法手段，培养逻辑分析和设计能力。</w:t>
      </w:r>
    </w:p>
    <w:p>
      <w:pPr>
        <w:adjustRightInd w:val="0"/>
        <w:snapToGrid w:val="0"/>
        <w:spacing w:line="360" w:lineRule="auto"/>
        <w:ind w:firstLine="420" w:firstLineChars="200"/>
        <w:rPr>
          <w:color w:val="000000"/>
          <w:szCs w:val="21"/>
        </w:rPr>
      </w:pPr>
      <w:r>
        <w:rPr>
          <w:color w:val="000000"/>
          <w:szCs w:val="21"/>
        </w:rPr>
        <w:t>2、本课程要求在CAI教室进行授课，教师应通过向学生列举大量实例、以及丰富的习题，使学生深入掌握所学理论知识。</w:t>
      </w:r>
    </w:p>
    <w:p>
      <w:pPr>
        <w:widowControl/>
        <w:adjustRightInd w:val="0"/>
        <w:snapToGrid w:val="0"/>
        <w:spacing w:line="360" w:lineRule="auto"/>
        <w:ind w:firstLine="420" w:firstLineChars="200"/>
        <w:jc w:val="left"/>
      </w:pPr>
      <w:r>
        <w:rPr>
          <w:szCs w:val="21"/>
        </w:rPr>
        <w:t>3</w:t>
      </w:r>
      <w:r>
        <w:rPr>
          <w:rFonts w:hint="eastAsia"/>
          <w:szCs w:val="21"/>
        </w:rPr>
        <w:t>、深度和广度说明：</w:t>
      </w:r>
      <w:r>
        <w:rPr>
          <w:rFonts w:hint="eastAsia"/>
        </w:rPr>
        <w:t>电阻电路的等效变换和一般分析、电路定理、含有运算放大器的电阻电路、储能元件、一阶电路和二阶电路、相量法、正弦稳态电路分析等要深入讲解；含有耦合电感的电路、电路的频率响应的讲解为中等深度；非正弦周期电流电路和信号的频谱、二端口网络只做简单介绍；对电路分析方法的讲解应涵盖广些。</w:t>
      </w:r>
    </w:p>
    <w:p>
      <w:pPr>
        <w:spacing w:line="360" w:lineRule="auto"/>
        <w:ind w:firstLine="420" w:firstLineChars="200"/>
        <w:rPr>
          <w:szCs w:val="21"/>
        </w:rPr>
      </w:pPr>
      <w:r>
        <w:rPr>
          <w:szCs w:val="21"/>
        </w:rPr>
        <w:t>4、偏差说明：偏差说明：为了鼓励教师引入个人授课风格或者适应技术发展的紧迫性，本课程允许教师授课内容做适当调整，最大正偏差为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rPr>
          <w:rFonts w:eastAsia="黑体"/>
          <w:szCs w:val="21"/>
        </w:rPr>
      </w:pPr>
      <w:r>
        <w:rPr>
          <w:rFonts w:hint="eastAsia" w:eastAsia="黑体"/>
          <w:szCs w:val="21"/>
        </w:rPr>
        <w:t>四、教学内容和教学方法</w:t>
      </w:r>
    </w:p>
    <w:p>
      <w:pPr>
        <w:widowControl/>
        <w:adjustRightInd w:val="0"/>
        <w:snapToGrid w:val="0"/>
        <w:spacing w:line="360" w:lineRule="auto"/>
        <w:ind w:firstLine="420" w:firstLineChars="200"/>
        <w:jc w:val="left"/>
        <w:rPr>
          <w:color w:val="000000"/>
        </w:rPr>
      </w:pPr>
      <w:r>
        <w:rPr>
          <w:rFonts w:hint="eastAsia"/>
          <w:color w:val="000000"/>
        </w:rPr>
        <w:t>本课程重点讲授的内容包括：电阻电路的等效变换和一般分析、各种电路定理、含有运算放大器的电阻电路、储能元件、一阶电路和二阶电路、相量法、正弦稳态电路分析、含有耦合电感的电路、电路的频率响应、非正弦周期电流电路和信号的频谱、二端口网络等。</w:t>
      </w:r>
    </w:p>
    <w:p>
      <w:pPr>
        <w:spacing w:line="360" w:lineRule="auto"/>
        <w:ind w:firstLine="420" w:firstLineChars="200"/>
        <w:rPr>
          <w:color w:val="FF0000"/>
          <w:szCs w:val="21"/>
        </w:rPr>
      </w:pPr>
      <w:r>
        <w:rPr>
          <w:szCs w:val="21"/>
        </w:rPr>
        <w:t>本课程在教学方法上，充分利用各种媒体教学手段</w:t>
      </w:r>
      <w:r>
        <w:rPr>
          <w:rFonts w:hint="eastAsia"/>
          <w:szCs w:val="21"/>
        </w:rPr>
        <w:t>。</w:t>
      </w:r>
      <w:r>
        <w:rPr>
          <w:rFonts w:hint="eastAsia" w:cs="宋体"/>
          <w:snapToGrid w:val="0"/>
          <w:kern w:val="0"/>
          <w:szCs w:val="21"/>
        </w:rPr>
        <w:t>教师在</w:t>
      </w:r>
      <w:r>
        <w:rPr>
          <w:rFonts w:hint="eastAsia" w:cs="宋体"/>
          <w:snapToGrid w:val="0"/>
          <w:color w:val="000000"/>
          <w:kern w:val="0"/>
          <w:szCs w:val="21"/>
        </w:rPr>
        <w:t>知识讲解的过程中要充分利用问题引导、案例分析等多种教学方法，以进一步提高教学质量</w:t>
      </w:r>
      <w:r>
        <w:rPr>
          <w:color w:val="FF0000"/>
          <w:szCs w:val="21"/>
        </w:rPr>
        <w:t>。</w:t>
      </w:r>
    </w:p>
    <w:p>
      <w:pPr>
        <w:widowControl/>
        <w:adjustRightInd w:val="0"/>
        <w:snapToGrid w:val="0"/>
        <w:spacing w:line="360" w:lineRule="auto"/>
        <w:ind w:left="426"/>
        <w:jc w:val="left"/>
        <w:rPr>
          <w:rFonts w:eastAsia="黑体" w:cs="宋体"/>
          <w:snapToGrid w:val="0"/>
          <w:color w:val="000000"/>
          <w:kern w:val="0"/>
          <w:szCs w:val="21"/>
        </w:rPr>
      </w:pPr>
    </w:p>
    <w:p>
      <w:pPr>
        <w:widowControl/>
        <w:adjustRightInd w:val="0"/>
        <w:snapToGrid w:val="0"/>
        <w:spacing w:line="360" w:lineRule="auto"/>
        <w:ind w:left="426"/>
        <w:jc w:val="left"/>
        <w:rPr>
          <w:rFonts w:eastAsia="黑体" w:cs="宋体"/>
          <w:color w:val="000000"/>
          <w:kern w:val="0"/>
          <w:szCs w:val="21"/>
        </w:rPr>
      </w:pPr>
      <w:r>
        <w:rPr>
          <w:rFonts w:hint="eastAsia" w:eastAsia="黑体" w:cs="宋体"/>
          <w:snapToGrid w:val="0"/>
          <w:color w:val="000000"/>
          <w:kern w:val="0"/>
          <w:szCs w:val="21"/>
        </w:rPr>
        <w:t>1 电路的基本概念与定律（5学时）</w:t>
      </w:r>
    </w:p>
    <w:p>
      <w:pPr>
        <w:widowControl/>
        <w:adjustRightInd w:val="0"/>
        <w:snapToGrid w:val="0"/>
        <w:spacing w:line="360" w:lineRule="auto"/>
        <w:ind w:left="426"/>
        <w:jc w:val="left"/>
        <w:rPr>
          <w:rFonts w:cs="宋体"/>
          <w:snapToGrid w:val="0"/>
          <w:color w:val="000000"/>
          <w:kern w:val="0"/>
          <w:szCs w:val="21"/>
        </w:rPr>
      </w:pPr>
      <w:r>
        <w:rPr>
          <w:rFonts w:hint="eastAsia" w:cs="宋体"/>
          <w:snapToGrid w:val="0"/>
          <w:color w:val="000000"/>
          <w:kern w:val="0"/>
          <w:szCs w:val="21"/>
        </w:rPr>
        <w:t>1.1、使学生了解电路元件、电阻元件和电路模型；</w:t>
      </w:r>
    </w:p>
    <w:p>
      <w:pPr>
        <w:widowControl/>
        <w:adjustRightInd w:val="0"/>
        <w:snapToGrid w:val="0"/>
        <w:spacing w:line="360" w:lineRule="auto"/>
        <w:ind w:left="426"/>
        <w:jc w:val="left"/>
        <w:rPr>
          <w:rFonts w:cs="宋体"/>
          <w:snapToGrid w:val="0"/>
          <w:color w:val="000000"/>
          <w:kern w:val="0"/>
          <w:szCs w:val="21"/>
        </w:rPr>
      </w:pPr>
      <w:r>
        <w:rPr>
          <w:rFonts w:hint="eastAsia" w:cs="宋体"/>
          <w:snapToGrid w:val="0"/>
          <w:color w:val="000000"/>
          <w:kern w:val="0"/>
          <w:szCs w:val="21"/>
        </w:rPr>
        <w:t>1.2、使学生学会熟练应用基尔霍夫定律</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widowControl/>
        <w:adjustRightInd w:val="0"/>
        <w:snapToGrid w:val="0"/>
        <w:spacing w:line="360" w:lineRule="auto"/>
        <w:ind w:left="426"/>
        <w:jc w:val="left"/>
        <w:rPr>
          <w:rFonts w:cs="宋体"/>
          <w:snapToGrid w:val="0"/>
          <w:color w:val="000000"/>
          <w:kern w:val="0"/>
          <w:szCs w:val="21"/>
        </w:rPr>
      </w:pPr>
      <w:r>
        <w:rPr>
          <w:rFonts w:hint="eastAsia" w:cs="宋体"/>
          <w:snapToGrid w:val="0"/>
          <w:color w:val="000000"/>
          <w:kern w:val="0"/>
          <w:szCs w:val="21"/>
        </w:rPr>
        <w:t>1.3、知晓电压、电流的参考方向与实际方向之间的关系，学会功率平衡验算。</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cs="宋体"/>
          <w:color w:val="000000"/>
          <w:kern w:val="0"/>
          <w:szCs w:val="21"/>
        </w:rPr>
      </w:pPr>
      <w:r>
        <w:rPr>
          <w:rFonts w:hint="eastAsia" w:eastAsia="黑体" w:cs="宋体"/>
          <w:snapToGrid w:val="0"/>
          <w:color w:val="000000"/>
          <w:kern w:val="0"/>
          <w:szCs w:val="21"/>
        </w:rPr>
        <w:t xml:space="preserve">2 </w:t>
      </w:r>
      <w:r>
        <w:rPr>
          <w:rFonts w:hint="eastAsia" w:eastAsia="黑体" w:cs="宋体"/>
          <w:bCs/>
          <w:snapToGrid w:val="0"/>
          <w:color w:val="000000"/>
          <w:kern w:val="0"/>
          <w:szCs w:val="21"/>
        </w:rPr>
        <w:t>电阻电路的等效变换</w:t>
      </w:r>
      <w:r>
        <w:rPr>
          <w:rFonts w:hint="eastAsia" w:eastAsia="黑体" w:cs="宋体"/>
          <w:snapToGrid w:val="0"/>
          <w:color w:val="000000"/>
          <w:kern w:val="0"/>
          <w:szCs w:val="21"/>
        </w:rPr>
        <w:t>（4学时）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kern w:val="0"/>
          <w:szCs w:val="21"/>
        </w:rPr>
        <w:t>2.1、知晓电阻和电源串并联等效变换；</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widowControl/>
        <w:adjustRightInd w:val="0"/>
        <w:snapToGrid w:val="0"/>
        <w:spacing w:line="360" w:lineRule="auto"/>
        <w:ind w:left="426"/>
        <w:jc w:val="left"/>
        <w:rPr>
          <w:rFonts w:cs="宋体"/>
          <w:color w:val="000000"/>
          <w:kern w:val="0"/>
          <w:szCs w:val="21"/>
        </w:rPr>
      </w:pPr>
      <w:r>
        <w:rPr>
          <w:rFonts w:hint="eastAsia" w:cs="宋体"/>
          <w:snapToGrid w:val="0"/>
          <w:color w:val="000000"/>
          <w:kern w:val="0"/>
          <w:szCs w:val="21"/>
        </w:rPr>
        <w:t>2.2、学会进行含源支路的等效变换、输入电阻的计算；</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adjustRightInd w:val="0"/>
        <w:snapToGrid w:val="0"/>
        <w:spacing w:line="360" w:lineRule="auto"/>
        <w:ind w:left="426"/>
        <w:rPr>
          <w:rFonts w:cs="宋体"/>
          <w:snapToGrid w:val="0"/>
          <w:color w:val="000000"/>
          <w:kern w:val="0"/>
          <w:szCs w:val="21"/>
        </w:rPr>
      </w:pPr>
      <w:r>
        <w:rPr>
          <w:rFonts w:hint="eastAsia" w:cs="宋体"/>
          <w:snapToGrid w:val="0"/>
          <w:color w:val="000000"/>
          <w:kern w:val="0"/>
          <w:szCs w:val="21"/>
        </w:rPr>
        <w:t>2.3、知晓含虚元件支路的等效变换；</w:t>
      </w:r>
    </w:p>
    <w:p>
      <w:pPr>
        <w:adjustRightInd w:val="0"/>
        <w:snapToGrid w:val="0"/>
        <w:spacing w:line="360" w:lineRule="auto"/>
        <w:ind w:left="426"/>
        <w:rPr>
          <w:rFonts w:cs="宋体"/>
          <w:snapToGrid w:val="0"/>
          <w:color w:val="000000"/>
          <w:kern w:val="0"/>
          <w:szCs w:val="21"/>
        </w:rPr>
      </w:pPr>
      <w:r>
        <w:rPr>
          <w:rFonts w:hint="eastAsia" w:cs="宋体"/>
          <w:snapToGrid w:val="0"/>
          <w:color w:val="000000"/>
          <w:kern w:val="0"/>
          <w:szCs w:val="21"/>
        </w:rPr>
        <w:t>2.4、学会电阻星形联接与三角形连接的等值变换。</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rPr>
          <w:color w:val="000000"/>
        </w:rPr>
      </w:pPr>
      <w:r>
        <w:rPr>
          <w:rFonts w:hint="eastAsia" w:eastAsia="黑体"/>
          <w:color w:val="000000"/>
        </w:rPr>
        <w:t xml:space="preserve">3 </w:t>
      </w:r>
      <w:r>
        <w:rPr>
          <w:rFonts w:hint="eastAsia" w:eastAsia="黑体" w:cs="宋体"/>
          <w:snapToGrid w:val="0"/>
          <w:color w:val="000000"/>
          <w:kern w:val="0"/>
          <w:szCs w:val="21"/>
        </w:rPr>
        <w:t>电阻电路的一般分析方法（5学时）</w:t>
      </w:r>
    </w:p>
    <w:p>
      <w:pPr>
        <w:adjustRightInd w:val="0"/>
        <w:snapToGrid w:val="0"/>
        <w:spacing w:line="360" w:lineRule="auto"/>
        <w:ind w:left="426"/>
        <w:rPr>
          <w:rFonts w:cs="宋体"/>
          <w:snapToGrid w:val="0"/>
          <w:color w:val="000000"/>
          <w:kern w:val="0"/>
          <w:szCs w:val="21"/>
        </w:rPr>
      </w:pPr>
      <w:r>
        <w:rPr>
          <w:rFonts w:hint="eastAsia" w:cs="宋体"/>
          <w:snapToGrid w:val="0"/>
          <w:color w:val="000000"/>
          <w:kern w:val="0"/>
          <w:szCs w:val="21"/>
        </w:rPr>
        <w:t>3.1、知晓网络图论的基本概念；</w:t>
      </w:r>
    </w:p>
    <w:p>
      <w:pPr>
        <w:adjustRightInd w:val="0"/>
        <w:snapToGrid w:val="0"/>
        <w:spacing w:line="360" w:lineRule="auto"/>
        <w:ind w:left="426"/>
        <w:rPr>
          <w:color w:val="000000"/>
        </w:rPr>
      </w:pPr>
      <w:r>
        <w:rPr>
          <w:rFonts w:hint="eastAsia"/>
          <w:color w:val="000000"/>
        </w:rPr>
        <w:t>3.2、会解KCL、KVL的独立性方程</w:t>
      </w:r>
      <w:r>
        <w:rPr>
          <w:rFonts w:hint="eastAsia" w:cs="宋体"/>
          <w:snapToGrid w:val="0"/>
          <w:color w:val="000000"/>
          <w:kern w:val="0"/>
          <w:szCs w:val="21"/>
        </w:rPr>
        <w:t>；</w:t>
      </w:r>
    </w:p>
    <w:p>
      <w:pPr>
        <w:adjustRightInd w:val="0"/>
        <w:snapToGrid w:val="0"/>
        <w:spacing w:line="360" w:lineRule="auto"/>
        <w:ind w:left="426"/>
        <w:rPr>
          <w:color w:val="000000" w:themeColor="text1"/>
          <w14:textFill>
            <w14:solidFill>
              <w14:schemeClr w14:val="tx1"/>
            </w14:solidFill>
          </w14:textFill>
        </w:rPr>
      </w:pPr>
      <w:r>
        <w:rPr>
          <w:rFonts w:hint="eastAsia"/>
          <w:color w:val="000000" w:themeColor="text1"/>
          <w14:textFill>
            <w14:solidFill>
              <w14:schemeClr w14:val="tx1"/>
            </w14:solidFill>
          </w14:textFill>
        </w:rPr>
        <w:t>3.3、学会应用支路法、回路法（网孔法）、结点法（结点电压法）进行电路分析</w:t>
      </w:r>
      <w:r>
        <w:rPr>
          <w:rFonts w:hint="eastAsia" w:cs="宋体"/>
          <w:bCs/>
          <w:snapToGrid w:val="0"/>
          <w:color w:val="000000" w:themeColor="text1"/>
          <w:kern w:val="0"/>
          <w:szCs w:val="21"/>
          <w14:textFill>
            <w14:solidFill>
              <w14:schemeClr w14:val="tx1"/>
            </w14:solidFill>
          </w14:textFill>
        </w:rPr>
        <w:t>；</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widowControl/>
        <w:adjustRightInd w:val="0"/>
        <w:snapToGrid w:val="0"/>
        <w:spacing w:line="360" w:lineRule="auto"/>
        <w:ind w:left="426"/>
        <w:jc w:val="left"/>
        <w:rPr>
          <w:rFonts w:cs="宋体"/>
          <w:snapToGrid w:val="0"/>
          <w:color w:val="000000"/>
          <w:kern w:val="0"/>
          <w:szCs w:val="21"/>
        </w:rPr>
      </w:pPr>
      <w:r>
        <w:rPr>
          <w:rFonts w:hint="eastAsia"/>
          <w:color w:val="000000"/>
        </w:rPr>
        <w:t>3.4、学会在运用回路法列写电路方程时碰到单一电流源（或受控电流源）支路的处理及在运用结点法列写电路方程时碰到单一电压源（或受控电压源）支路的处理方法</w:t>
      </w:r>
      <w:r>
        <w:rPr>
          <w:rFonts w:hint="eastAsia" w:cs="宋体"/>
          <w:bCs/>
          <w:snapToGrid w:val="0"/>
          <w:color w:val="000000"/>
          <w:kern w:val="0"/>
          <w:szCs w:val="21"/>
        </w:rPr>
        <w:t>。</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rPr>
          <w:color w:val="000000"/>
        </w:rPr>
      </w:pPr>
      <w:r>
        <w:rPr>
          <w:rFonts w:hint="eastAsia" w:eastAsia="黑体"/>
          <w:color w:val="000000"/>
        </w:rPr>
        <w:t xml:space="preserve">4 </w:t>
      </w:r>
      <w:r>
        <w:rPr>
          <w:rFonts w:hint="eastAsia" w:eastAsia="黑体" w:cs="宋体"/>
          <w:snapToGrid w:val="0"/>
          <w:color w:val="000000"/>
          <w:kern w:val="0"/>
          <w:szCs w:val="21"/>
        </w:rPr>
        <w:t>电路定理（5学时）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4.1、知晓并学会使用叠加定理、戴维南定理和诺顿定理；</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4.2、学会互易定理的应用。</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5 正弦交流电路的稳态分析</w:t>
      </w:r>
      <w:r>
        <w:rPr>
          <w:rFonts w:hint="eastAsia" w:eastAsia="黑体" w:cs="宋体"/>
          <w:snapToGrid w:val="0"/>
          <w:color w:val="000000"/>
          <w:kern w:val="0"/>
          <w:szCs w:val="21"/>
        </w:rPr>
        <w:t>（6学时）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5.1、知晓复阻抗、复导纳及其等效变换；</w:t>
      </w:r>
    </w:p>
    <w:p>
      <w:pPr>
        <w:widowControl/>
        <w:tabs>
          <w:tab w:val="left" w:pos="900"/>
        </w:tabs>
        <w:adjustRightInd w:val="0"/>
        <w:snapToGrid w:val="0"/>
        <w:spacing w:line="360" w:lineRule="auto"/>
        <w:ind w:left="426"/>
        <w:jc w:val="left"/>
        <w:rPr>
          <w:rFonts w:cs="宋体"/>
          <w:snapToGrid w:val="0"/>
          <w:color w:val="000000"/>
          <w:kern w:val="0"/>
          <w:szCs w:val="21"/>
        </w:rPr>
      </w:pPr>
      <w:r>
        <w:rPr>
          <w:rFonts w:hint="eastAsia" w:cs="宋体"/>
          <w:bCs/>
          <w:snapToGrid w:val="0"/>
          <w:color w:val="000000"/>
          <w:kern w:val="0"/>
          <w:szCs w:val="21"/>
        </w:rPr>
        <w:t>5.2、使学生能够熟练运用正弦电流电路相量分析与计算方法；</w:t>
      </w:r>
      <w:r>
        <w:rPr>
          <w:rFonts w:hint="eastAsia" w:cs="宋体"/>
          <w:snapToGrid w:val="0"/>
          <w:color w:val="000000" w:themeColor="text1"/>
          <w:kern w:val="0"/>
          <w:szCs w:val="21"/>
          <w14:textFill>
            <w14:solidFill>
              <w14:schemeClr w14:val="tx1"/>
            </w14:solidFill>
          </w14:textFill>
        </w:rPr>
        <w:t>（</w:t>
      </w:r>
      <w:r>
        <w:rPr>
          <w:rFonts w:hint="eastAsia" w:ascii="宋体" w:hAnsi="宋体" w:cs="宋体"/>
          <w:snapToGrid w:val="0"/>
          <w:color w:val="000000" w:themeColor="text1"/>
          <w:kern w:val="0"/>
          <w:szCs w:val="21"/>
          <w14:textFill>
            <w14:solidFill>
              <w14:schemeClr w14:val="tx1"/>
            </w14:solidFill>
          </w14:textFill>
        </w:rPr>
        <w:t>难点、重点</w:t>
      </w:r>
      <w:r>
        <w:rPr>
          <w:rFonts w:hint="eastAsia" w:cs="宋体"/>
          <w:snapToGrid w:val="0"/>
          <w:color w:val="000000" w:themeColor="text1"/>
          <w:kern w:val="0"/>
          <w:szCs w:val="21"/>
          <w14:textFill>
            <w14:solidFill>
              <w14:schemeClr w14:val="tx1"/>
            </w14:solidFill>
          </w14:textFill>
        </w:rPr>
        <w:t>）</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5.3、知晓正弦电流电路功率的计算方法；</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5.4、知晓有功功率、无功功率、视在功率、复功率、功率因数；</w:t>
      </w:r>
    </w:p>
    <w:p>
      <w:pPr>
        <w:widowControl/>
        <w:tabs>
          <w:tab w:val="left" w:pos="900"/>
        </w:tabs>
        <w:adjustRightInd w:val="0"/>
        <w:snapToGrid w:val="0"/>
        <w:spacing w:line="360" w:lineRule="auto"/>
        <w:ind w:left="426"/>
        <w:jc w:val="left"/>
        <w:rPr>
          <w:rFonts w:cs="宋体"/>
          <w:snapToGrid w:val="0"/>
          <w:color w:val="000000"/>
          <w:kern w:val="0"/>
          <w:szCs w:val="21"/>
        </w:rPr>
      </w:pPr>
      <w:r>
        <w:rPr>
          <w:rFonts w:hint="eastAsia" w:cs="宋体"/>
          <w:bCs/>
          <w:snapToGrid w:val="0"/>
          <w:color w:val="000000"/>
          <w:kern w:val="0"/>
          <w:szCs w:val="21"/>
        </w:rPr>
        <w:t>5.5、理解正弦电流电路中功率、能量关系。</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 xml:space="preserve">6 </w:t>
      </w:r>
      <w:r>
        <w:rPr>
          <w:rFonts w:hint="eastAsia" w:eastAsia="黑体" w:cs="宋体"/>
          <w:snapToGrid w:val="0"/>
          <w:color w:val="000000"/>
          <w:kern w:val="0"/>
          <w:szCs w:val="21"/>
        </w:rPr>
        <w:t>电路的频率响应（3学时）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6.1、知晓串联谐振、并联谐振、频率响应的概念；</w:t>
      </w:r>
      <w:r>
        <w:rPr>
          <w:rFonts w:hint="eastAsia" w:cs="宋体"/>
          <w:snapToGrid w:val="0"/>
          <w:color w:val="000000"/>
          <w:kern w:val="0"/>
          <w:szCs w:val="21"/>
        </w:rPr>
        <w:t>（重点）</w:t>
      </w:r>
    </w:p>
    <w:p>
      <w:pPr>
        <w:widowControl/>
        <w:tabs>
          <w:tab w:val="left" w:pos="900"/>
        </w:tabs>
        <w:adjustRightInd w:val="0"/>
        <w:snapToGrid w:val="0"/>
        <w:spacing w:line="360" w:lineRule="auto"/>
        <w:ind w:left="426"/>
        <w:jc w:val="left"/>
        <w:rPr>
          <w:rFonts w:cs="宋体"/>
          <w:snapToGrid w:val="0"/>
          <w:color w:val="000000"/>
          <w:kern w:val="0"/>
          <w:szCs w:val="21"/>
        </w:rPr>
      </w:pPr>
      <w:r>
        <w:rPr>
          <w:rFonts w:hint="eastAsia" w:cs="宋体"/>
          <w:bCs/>
          <w:snapToGrid w:val="0"/>
          <w:color w:val="000000"/>
          <w:kern w:val="0"/>
          <w:szCs w:val="21"/>
        </w:rPr>
        <w:t>6.2、熟练运用谐振电路的分析方法。</w:t>
      </w:r>
      <w:r>
        <w:rPr>
          <w:rFonts w:hint="eastAsia" w:cs="宋体"/>
          <w:snapToGrid w:val="0"/>
          <w:color w:val="000000"/>
          <w:kern w:val="0"/>
          <w:szCs w:val="21"/>
        </w:rPr>
        <w:t>（难点）</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7 一阶电路的时域分析</w:t>
      </w:r>
      <w:r>
        <w:rPr>
          <w:rFonts w:hint="eastAsia" w:eastAsia="黑体" w:cs="宋体"/>
          <w:snapToGrid w:val="0"/>
          <w:color w:val="000000"/>
          <w:kern w:val="0"/>
          <w:szCs w:val="21"/>
        </w:rPr>
        <w:t>（4学时）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7.1、知晓动态电路的方程及其初始条件；</w:t>
      </w:r>
      <w:r>
        <w:rPr>
          <w:rFonts w:hint="eastAsia" w:cs="宋体"/>
          <w:snapToGrid w:val="0"/>
          <w:color w:val="000000"/>
          <w:kern w:val="0"/>
          <w:szCs w:val="21"/>
        </w:rPr>
        <w:t>（重点）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7.2、深入理解一阶电路的零输入响应、零状态响应和全响应。（难点）</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8 二阶电路的时域分析（2学时）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8.1、知晓二阶电路的零输入响应；（重点）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8.2、深入理解二阶电路的阶跃响应和冲激响应。（难点）</w:t>
      </w:r>
    </w:p>
    <w:p>
      <w:pPr>
        <w:widowControl/>
        <w:adjustRightInd w:val="0"/>
        <w:snapToGrid w:val="0"/>
        <w:spacing w:line="360" w:lineRule="auto"/>
        <w:ind w:left="426"/>
        <w:jc w:val="left"/>
        <w:rPr>
          <w:rFonts w:cs="宋体"/>
          <w:snapToGrid w:val="0"/>
          <w:color w:val="000000"/>
          <w:kern w:val="0"/>
          <w:szCs w:val="21"/>
        </w:rPr>
      </w:pPr>
      <w:r>
        <w:rPr>
          <w:rFonts w:cs="宋体"/>
          <w:bCs/>
          <w:snapToGrid w:val="0"/>
          <w:kern w:val="0"/>
          <w:szCs w:val="21"/>
        </w:rPr>
        <w:t>本章内容支撑课程目标1</w:t>
      </w:r>
      <w:r>
        <w:rPr>
          <w:rFonts w:hint="eastAsia" w:cs="宋体"/>
          <w:bCs/>
          <w:snapToGrid w:val="0"/>
          <w:kern w:val="0"/>
          <w:szCs w:val="21"/>
        </w:rPr>
        <w:t>、2</w:t>
      </w:r>
      <w:r>
        <w:rPr>
          <w:rFonts w:hint="eastAsia" w:cs="宋体"/>
          <w:bCs/>
          <w:snapToGrid w:val="0"/>
          <w:color w:val="FF0000"/>
          <w:kern w:val="0"/>
          <w:szCs w:val="21"/>
        </w:rPr>
        <w:t>。</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9 拉普拉斯变换（5学时）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9.1、知晓拉普拉斯变换的定义和基本性质；</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9.2、能够对拉普拉斯反变换的部分分式进行展开；（重点）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9.3、能够应用拉普拉斯变换分析线性电路。（难点）</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10 网络函数（3学时）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10.1、知晓网络函数的定义、网络函数的极点与零点；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10.2、学习极点、零点与冲击响应；（难点）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10.3、学习极点、零点与频率响应。（难点）</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、2、3、</w:t>
      </w:r>
      <w:r>
        <w:rPr>
          <w:rFonts w:cs="宋体"/>
          <w:bCs/>
          <w:snapToGrid w:val="0"/>
          <w:kern w:val="0"/>
          <w:szCs w:val="21"/>
        </w:rPr>
        <w:t>4</w:t>
      </w:r>
      <w:r>
        <w:rPr>
          <w:rFonts w:hint="eastAsia" w:cs="宋体"/>
          <w:bCs/>
          <w:snapToGrid w:val="0"/>
          <w:kern w:val="0"/>
          <w:szCs w:val="21"/>
        </w:rPr>
        <w:t>。</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11 图论及电路方程的矩阵形式（6学时）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11.1、知晓割集的概念；</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11.2、知晓关联矩阵、回路矩阵和割集矩阵；</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11.3、熟练应用回路电流方程的矩阵形式和结点电压方程的矩阵形式。（难点）</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本章内容支撑课程目标1</w:t>
      </w:r>
      <w:r>
        <w:rPr>
          <w:rFonts w:hint="eastAsia" w:cs="宋体"/>
          <w:bCs/>
          <w:snapToGrid w:val="0"/>
          <w:kern w:val="0"/>
          <w:szCs w:val="21"/>
        </w:rPr>
        <w:t>、2、3、</w:t>
      </w:r>
      <w:r>
        <w:rPr>
          <w:rFonts w:cs="宋体"/>
          <w:bCs/>
          <w:snapToGrid w:val="0"/>
          <w:kern w:val="0"/>
          <w:szCs w:val="21"/>
        </w:rPr>
        <w:t>4</w:t>
      </w:r>
      <w:r>
        <w:rPr>
          <w:rFonts w:hint="eastAsia" w:cs="宋体"/>
          <w:bCs/>
          <w:snapToGrid w:val="0"/>
          <w:kern w:val="0"/>
          <w:szCs w:val="21"/>
        </w:rPr>
        <w:t>。</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12 二端口网络（6学时）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12.1、知晓二端口网络；</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12.2、知晓二端口的方程和参数；</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12.3、能够画出二端口网络的等效电路；（重点）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12.4、能够写出二端口网络的转移函数；（难点）</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12.5、知晓二端口网络的连接。</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w:t>
      </w:r>
      <w:r>
        <w:rPr>
          <w:rFonts w:hint="eastAsia" w:cs="宋体"/>
          <w:bCs/>
          <w:snapToGrid w:val="0"/>
          <w:kern w:val="0"/>
          <w:szCs w:val="21"/>
        </w:rPr>
        <w:t>3、4。</w:t>
      </w:r>
    </w:p>
    <w:p>
      <w:pPr>
        <w:widowControl/>
        <w:tabs>
          <w:tab w:val="left" w:pos="900"/>
        </w:tabs>
        <w:adjustRightInd w:val="0"/>
        <w:snapToGrid w:val="0"/>
        <w:spacing w:line="360" w:lineRule="auto"/>
        <w:ind w:left="426"/>
        <w:jc w:val="left"/>
        <w:rPr>
          <w:rFonts w:eastAsia="黑体"/>
          <w:snapToGrid w:val="0"/>
          <w:color w:val="000000"/>
          <w:kern w:val="0"/>
          <w:szCs w:val="21"/>
        </w:rPr>
      </w:pPr>
      <w:r>
        <w:rPr>
          <w:rFonts w:hint="eastAsia" w:eastAsia="黑体"/>
          <w:snapToGrid w:val="0"/>
          <w:color w:val="000000"/>
          <w:kern w:val="0"/>
          <w:szCs w:val="21"/>
        </w:rPr>
        <w:t>13 非线性电阻电路（2学时）</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13.1、知晓非线性电路的概念；</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13.2、学会使用非线性电路的图解分析法；</w:t>
      </w:r>
    </w:p>
    <w:p>
      <w:pPr>
        <w:widowControl/>
        <w:tabs>
          <w:tab w:val="left" w:pos="900"/>
        </w:tabs>
        <w:adjustRightInd w:val="0"/>
        <w:snapToGrid w:val="0"/>
        <w:spacing w:line="360" w:lineRule="auto"/>
        <w:ind w:left="426"/>
        <w:jc w:val="left"/>
        <w:rPr>
          <w:rFonts w:cs="宋体"/>
          <w:bCs/>
          <w:snapToGrid w:val="0"/>
          <w:color w:val="000000"/>
          <w:kern w:val="0"/>
          <w:szCs w:val="21"/>
        </w:rPr>
      </w:pPr>
      <w:r>
        <w:rPr>
          <w:rFonts w:hint="eastAsia" w:cs="宋体"/>
          <w:bCs/>
          <w:snapToGrid w:val="0"/>
          <w:color w:val="000000"/>
          <w:kern w:val="0"/>
          <w:szCs w:val="21"/>
        </w:rPr>
        <w:t>13.3、学会使用非线性电路的小信号分析法。</w:t>
      </w:r>
    </w:p>
    <w:p>
      <w:pPr>
        <w:widowControl/>
        <w:adjustRightInd w:val="0"/>
        <w:snapToGrid w:val="0"/>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3、4。</w:t>
      </w:r>
    </w:p>
    <w:p>
      <w:pPr>
        <w:widowControl/>
        <w:adjustRightInd w:val="0"/>
        <w:snapToGrid w:val="0"/>
        <w:spacing w:line="360" w:lineRule="auto"/>
        <w:ind w:left="426"/>
        <w:jc w:val="left"/>
        <w:rPr>
          <w:rFonts w:cs="宋体"/>
          <w:snapToGrid w:val="0"/>
          <w:kern w:val="0"/>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spacing w:line="360" w:lineRule="auto"/>
        <w:ind w:firstLine="420"/>
        <w:rPr>
          <w:szCs w:val="21"/>
        </w:rPr>
      </w:pPr>
      <w:r>
        <w:rPr>
          <w:szCs w:val="21"/>
        </w:rPr>
        <w:t>无</w:t>
      </w:r>
      <w:r>
        <w:rPr>
          <w:rFonts w:hint="eastAsia"/>
          <w:szCs w:val="21"/>
        </w:rPr>
        <w:t>。</w:t>
      </w:r>
    </w:p>
    <w:p>
      <w:pPr>
        <w:spacing w:line="360" w:lineRule="auto"/>
        <w:ind w:firstLine="420"/>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00"/>
        <w:gridCol w:w="1609"/>
        <w:gridCol w:w="1609"/>
        <w:gridCol w:w="16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57" w:hRule="atLeast"/>
          <w:jc w:val="center"/>
        </w:trPr>
        <w:tc>
          <w:tcPr>
            <w:tcW w:w="2045" w:type="pct"/>
            <w:vAlign w:val="center"/>
          </w:tcPr>
          <w:p>
            <w:pPr>
              <w:adjustRightInd w:val="0"/>
              <w:snapToGrid w:val="0"/>
              <w:jc w:val="center"/>
              <w:rPr>
                <w:color w:val="000000"/>
                <w:sz w:val="18"/>
                <w:szCs w:val="18"/>
              </w:rPr>
            </w:pPr>
            <w:r>
              <w:rPr>
                <w:color w:val="000000"/>
                <w:sz w:val="18"/>
                <w:szCs w:val="18"/>
              </w:rPr>
              <w:t>讲授的知识点及内容</w:t>
            </w:r>
          </w:p>
        </w:tc>
        <w:tc>
          <w:tcPr>
            <w:tcW w:w="968" w:type="pct"/>
            <w:vAlign w:val="center"/>
          </w:tcPr>
          <w:p>
            <w:pPr>
              <w:adjustRightInd w:val="0"/>
              <w:snapToGrid w:val="0"/>
              <w:jc w:val="center"/>
              <w:rPr>
                <w:color w:val="000000"/>
                <w:sz w:val="18"/>
                <w:szCs w:val="18"/>
              </w:rPr>
            </w:pPr>
            <w:r>
              <w:rPr>
                <w:color w:val="000000"/>
                <w:sz w:val="18"/>
                <w:szCs w:val="18"/>
              </w:rPr>
              <w:t>讲授（学时）</w:t>
            </w:r>
          </w:p>
        </w:tc>
        <w:tc>
          <w:tcPr>
            <w:tcW w:w="968" w:type="pct"/>
            <w:vAlign w:val="center"/>
          </w:tcPr>
          <w:p>
            <w:pPr>
              <w:adjustRightInd w:val="0"/>
              <w:snapToGrid w:val="0"/>
              <w:jc w:val="center"/>
              <w:rPr>
                <w:color w:val="000000"/>
                <w:sz w:val="18"/>
                <w:szCs w:val="18"/>
              </w:rPr>
            </w:pPr>
            <w:r>
              <w:rPr>
                <w:color w:val="000000"/>
                <w:sz w:val="18"/>
                <w:szCs w:val="18"/>
              </w:rPr>
              <w:t>实验（学时）</w:t>
            </w:r>
          </w:p>
        </w:tc>
        <w:tc>
          <w:tcPr>
            <w:tcW w:w="1019" w:type="pct"/>
            <w:vAlign w:val="center"/>
          </w:tcPr>
          <w:p>
            <w:pPr>
              <w:adjustRightInd w:val="0"/>
              <w:snapToGrid w:val="0"/>
              <w:jc w:val="center"/>
              <w:rPr>
                <w:color w:val="000000"/>
                <w:sz w:val="18"/>
                <w:szCs w:val="18"/>
              </w:rPr>
            </w:pPr>
            <w:r>
              <w:rPr>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1电路的基本概念与定律</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5</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2电阻电路的等效变换</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4</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3电阻电路的一般分析方法</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5</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4电路定理</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5</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5正弦交流电路的稳态分析</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6</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6电路的频率响应</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3</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7一阶电路的时域分析</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4</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8二阶电路的时域分析</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2</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9拉普拉斯变换</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5</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10网络函数</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3</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11图论及电路方程的矩阵形式</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6</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12二端口网络</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6</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sz w:val="18"/>
                <w:szCs w:val="18"/>
              </w:rPr>
            </w:pPr>
            <w:r>
              <w:rPr>
                <w:color w:val="000000"/>
                <w:sz w:val="18"/>
                <w:szCs w:val="18"/>
              </w:rPr>
              <w:t>13非线性电阻电路</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2</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045" w:type="pct"/>
            <w:vAlign w:val="center"/>
          </w:tcPr>
          <w:p>
            <w:pPr>
              <w:widowControl/>
              <w:adjustRightInd w:val="0"/>
              <w:snapToGrid w:val="0"/>
              <w:jc w:val="center"/>
              <w:rPr>
                <w:color w:val="000000"/>
                <w:kern w:val="0"/>
                <w:sz w:val="18"/>
                <w:szCs w:val="18"/>
              </w:rPr>
            </w:pPr>
            <w:r>
              <w:rPr>
                <w:color w:val="000000"/>
                <w:kern w:val="0"/>
                <w:sz w:val="18"/>
                <w:szCs w:val="18"/>
              </w:rPr>
              <w:t>合计</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56</w:t>
            </w:r>
          </w:p>
        </w:tc>
        <w:tc>
          <w:tcPr>
            <w:tcW w:w="968" w:type="pct"/>
            <w:vAlign w:val="center"/>
          </w:tcPr>
          <w:p>
            <w:pPr>
              <w:widowControl/>
              <w:adjustRightInd w:val="0"/>
              <w:snapToGrid w:val="0"/>
              <w:jc w:val="center"/>
              <w:rPr>
                <w:color w:val="000000"/>
                <w:kern w:val="0"/>
                <w:sz w:val="18"/>
                <w:szCs w:val="18"/>
              </w:rPr>
            </w:pPr>
            <w:r>
              <w:rPr>
                <w:color w:val="000000"/>
                <w:kern w:val="0"/>
                <w:sz w:val="18"/>
                <w:szCs w:val="18"/>
              </w:rPr>
              <w:t>0</w:t>
            </w:r>
          </w:p>
        </w:tc>
        <w:tc>
          <w:tcPr>
            <w:tcW w:w="1019" w:type="pct"/>
            <w:vAlign w:val="center"/>
          </w:tcPr>
          <w:p>
            <w:pPr>
              <w:widowControl/>
              <w:adjustRightInd w:val="0"/>
              <w:snapToGrid w:val="0"/>
              <w:jc w:val="center"/>
              <w:rPr>
                <w:color w:val="000000"/>
                <w:kern w:val="0"/>
                <w:sz w:val="18"/>
                <w:szCs w:val="18"/>
              </w:rPr>
            </w:pPr>
            <w:r>
              <w:rPr>
                <w:color w:val="000000"/>
                <w:kern w:val="0"/>
                <w:sz w:val="18"/>
                <w:szCs w:val="18"/>
              </w:rPr>
              <w:t>56</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adjustRightInd w:val="0"/>
        <w:snapToGrid w:val="0"/>
        <w:spacing w:line="360" w:lineRule="auto"/>
        <w:ind w:firstLine="420" w:firstLineChars="200"/>
        <w:rPr>
          <w:color w:val="000000"/>
          <w:szCs w:val="21"/>
        </w:rPr>
      </w:pPr>
      <w:r>
        <w:rPr>
          <w:rFonts w:hint="eastAsia"/>
          <w:color w:val="000000"/>
          <w:szCs w:val="21"/>
        </w:rPr>
        <w:t xml:space="preserve">1、邱关源，《电路（第5版）》，ISBN </w:t>
      </w:r>
      <w:r>
        <w:rPr>
          <w:color w:val="000000"/>
          <w:szCs w:val="21"/>
        </w:rPr>
        <w:t>9787040196719</w:t>
      </w:r>
      <w:r>
        <w:rPr>
          <w:rFonts w:hint="eastAsia"/>
          <w:color w:val="000000"/>
          <w:szCs w:val="21"/>
        </w:rPr>
        <w:t>，高等教育出版社。</w:t>
      </w:r>
    </w:p>
    <w:p>
      <w:pPr>
        <w:adjustRightInd w:val="0"/>
        <w:snapToGrid w:val="0"/>
        <w:spacing w:line="360" w:lineRule="auto"/>
        <w:ind w:firstLine="420" w:firstLineChars="200"/>
        <w:rPr>
          <w:color w:val="000000"/>
          <w:szCs w:val="21"/>
        </w:rPr>
      </w:pPr>
      <w:r>
        <w:rPr>
          <w:rFonts w:hint="eastAsia"/>
          <w:color w:val="000000"/>
          <w:szCs w:val="21"/>
        </w:rPr>
        <w:t xml:space="preserve">2、刘岚，《电路分析基础》，ISBN </w:t>
      </w:r>
      <w:r>
        <w:rPr>
          <w:color w:val="000000"/>
          <w:szCs w:val="21"/>
        </w:rPr>
        <w:t>9787040144178</w:t>
      </w:r>
      <w:r>
        <w:rPr>
          <w:rFonts w:hint="eastAsia"/>
          <w:color w:val="000000"/>
          <w:szCs w:val="21"/>
        </w:rPr>
        <w:t>，高等教育出版社。</w:t>
      </w:r>
    </w:p>
    <w:p>
      <w:pPr>
        <w:adjustRightInd w:val="0"/>
        <w:snapToGrid w:val="0"/>
        <w:spacing w:line="360" w:lineRule="auto"/>
        <w:ind w:firstLine="420" w:firstLineChars="200"/>
        <w:rPr>
          <w:color w:val="000000"/>
          <w:szCs w:val="21"/>
        </w:rPr>
      </w:pPr>
      <w:r>
        <w:rPr>
          <w:rFonts w:hint="eastAsia"/>
          <w:color w:val="000000"/>
          <w:szCs w:val="21"/>
        </w:rPr>
        <w:t xml:space="preserve">3、李瀚荪，《电路分析基础（第4版）》，ISBN </w:t>
      </w:r>
      <w:r>
        <w:rPr>
          <w:color w:val="000000"/>
          <w:szCs w:val="21"/>
        </w:rPr>
        <w:t>9787040184709</w:t>
      </w:r>
      <w:r>
        <w:rPr>
          <w:rFonts w:hint="eastAsia"/>
          <w:color w:val="000000"/>
          <w:szCs w:val="21"/>
        </w:rPr>
        <w:t>，高等教育出版社。</w:t>
      </w:r>
    </w:p>
    <w:p>
      <w:pPr>
        <w:adjustRightInd w:val="0"/>
        <w:snapToGrid w:val="0"/>
        <w:spacing w:line="360" w:lineRule="auto"/>
        <w:ind w:firstLine="420" w:firstLineChars="200"/>
        <w:rPr>
          <w:color w:val="000000"/>
          <w:szCs w:val="21"/>
        </w:rPr>
      </w:pPr>
      <w:r>
        <w:rPr>
          <w:rFonts w:hint="eastAsia"/>
          <w:color w:val="000000"/>
          <w:szCs w:val="21"/>
        </w:rPr>
        <w:t>4、Charles K. Alexander，《Fundamentals of Electric Circuits》，ISBN 7900630988，清华大学出版社。</w:t>
      </w:r>
    </w:p>
    <w:p>
      <w:pPr>
        <w:adjustRightInd w:val="0"/>
        <w:snapToGrid w:val="0"/>
        <w:spacing w:line="360" w:lineRule="auto"/>
        <w:ind w:firstLine="420" w:firstLineChars="200"/>
        <w:rPr>
          <w:color w:val="000000"/>
          <w:szCs w:val="21"/>
        </w:rPr>
      </w:pPr>
      <w:r>
        <w:rPr>
          <w:rFonts w:hint="eastAsia"/>
          <w:color w:val="000000"/>
          <w:szCs w:val="21"/>
        </w:rPr>
        <w:t xml:space="preserve">5、James W. Nilsson，《Introductory Circuits for Electrical and Computer Engineering》，ISBN </w:t>
      </w:r>
      <w:r>
        <w:rPr>
          <w:color w:val="000000"/>
          <w:szCs w:val="21"/>
        </w:rPr>
        <w:t>9780130198556</w:t>
      </w:r>
      <w:r>
        <w:rPr>
          <w:rFonts w:hint="eastAsia"/>
          <w:color w:val="000000"/>
          <w:szCs w:val="21"/>
        </w:rPr>
        <w:t>，电子工业出版社。</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color w:val="000000"/>
          <w:szCs w:val="21"/>
        </w:rPr>
      </w:pPr>
      <w:r>
        <w:rPr>
          <w:color w:val="000000"/>
          <w:szCs w:val="21"/>
        </w:rPr>
        <w:t>1</w:t>
      </w:r>
      <w:r>
        <w:rPr>
          <w:rFonts w:hint="eastAsia"/>
          <w:color w:val="000000"/>
          <w:szCs w:val="21"/>
        </w:rPr>
        <w:t>、考核目标：在考核学生对电路原理的基本知识、基本原理和方法的基础上，重点考核学生的电路分析能力、动态电路的时域、频域分析能力，解决专业复杂实际问题的能力。</w:t>
      </w:r>
    </w:p>
    <w:p>
      <w:pPr>
        <w:spacing w:line="360" w:lineRule="auto"/>
        <w:ind w:firstLine="420" w:firstLineChars="200"/>
        <w:rPr>
          <w:color w:val="000000"/>
          <w:szCs w:val="21"/>
        </w:rPr>
      </w:pPr>
      <w:r>
        <w:rPr>
          <w:color w:val="000000"/>
          <w:szCs w:val="21"/>
        </w:rPr>
        <w:t>2</w:t>
      </w:r>
      <w:r>
        <w:rPr>
          <w:rFonts w:hint="eastAsia"/>
          <w:color w:val="000000"/>
          <w:szCs w:val="21"/>
        </w:rPr>
        <w:t>、考核方式：考试、课内、课外作业及随堂点名提问。</w:t>
      </w:r>
    </w:p>
    <w:p>
      <w:pPr>
        <w:spacing w:line="360" w:lineRule="auto"/>
        <w:ind w:firstLine="420" w:firstLineChars="200"/>
        <w:rPr>
          <w:color w:val="000000"/>
        </w:rPr>
      </w:pPr>
      <w:r>
        <w:rPr>
          <w:color w:val="000000"/>
          <w:szCs w:val="21"/>
        </w:rPr>
        <w:t>3、</w:t>
      </w:r>
      <w:r>
        <w:rPr>
          <w:rFonts w:hint="eastAsia"/>
          <w:color w:val="000000"/>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2235"/>
        <w:gridCol w:w="2041"/>
        <w:gridCol w:w="2136"/>
        <w:gridCol w:w="1900"/>
      </w:tblGrid>
      <w:tr>
        <w:tblPrEx>
          <w:tblCellMar>
            <w:top w:w="0" w:type="dxa"/>
            <w:left w:w="108" w:type="dxa"/>
            <w:bottom w:w="0" w:type="dxa"/>
            <w:right w:w="108" w:type="dxa"/>
          </w:tblCellMar>
        </w:tblPrEx>
        <w:trPr>
          <w:trHeight w:val="691"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12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课堂情况</w:t>
            </w:r>
          </w:p>
        </w:tc>
        <w:tc>
          <w:tcPr>
            <w:tcW w:w="1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作业</w:t>
            </w:r>
          </w:p>
        </w:tc>
        <w:tc>
          <w:tcPr>
            <w:tcW w:w="1143"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期末考试</w:t>
            </w:r>
          </w:p>
        </w:tc>
      </w:tr>
      <w:tr>
        <w:tblPrEx>
          <w:tblCellMar>
            <w:top w:w="0" w:type="dxa"/>
            <w:left w:w="108" w:type="dxa"/>
            <w:bottom w:w="0" w:type="dxa"/>
            <w:right w:w="108" w:type="dxa"/>
          </w:tblCellMar>
        </w:tblPrEx>
        <w:trPr>
          <w:trHeight w:val="1061"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w:t>
            </w:r>
          </w:p>
          <w:p>
            <w:pPr>
              <w:widowControl/>
              <w:jc w:val="center"/>
              <w:rPr>
                <w:rFonts w:ascii="宋体" w:hAnsi="宋体" w:cs="宋体"/>
                <w:color w:val="000000"/>
                <w:kern w:val="0"/>
                <w:sz w:val="18"/>
              </w:rPr>
            </w:pPr>
            <w:r>
              <w:rPr>
                <w:rFonts w:hint="eastAsia" w:ascii="宋体" w:hAnsi="宋体" w:cs="宋体"/>
                <w:color w:val="000000"/>
                <w:kern w:val="0"/>
                <w:sz w:val="18"/>
              </w:rPr>
              <w:t>的贡献率</w:t>
            </w:r>
          </w:p>
        </w:tc>
        <w:tc>
          <w:tcPr>
            <w:tcW w:w="122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0.18</w:t>
            </w:r>
          </w:p>
        </w:tc>
        <w:tc>
          <w:tcPr>
            <w:tcW w:w="12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0.18</w:t>
            </w:r>
          </w:p>
        </w:tc>
        <w:tc>
          <w:tcPr>
            <w:tcW w:w="1143" w:type="pct"/>
            <w:tcBorders>
              <w:top w:val="single" w:color="auto" w:sz="4" w:space="0"/>
              <w:left w:val="single" w:color="auto" w:sz="4" w:space="0"/>
              <w:bottom w:val="single" w:color="auto" w:sz="4" w:space="0"/>
            </w:tcBorders>
            <w:shd w:val="clear" w:color="auto" w:fill="auto"/>
            <w:vAlign w:val="center"/>
          </w:tcPr>
          <w:p>
            <w:pPr>
              <w:jc w:val="center"/>
              <w:rPr>
                <w:color w:val="000000"/>
                <w:sz w:val="18"/>
                <w:szCs w:val="18"/>
              </w:rPr>
            </w:pPr>
            <w:r>
              <w:rPr>
                <w:color w:val="000000"/>
                <w:sz w:val="18"/>
                <w:szCs w:val="18"/>
              </w:rPr>
              <w:t>0.64</w:t>
            </w:r>
          </w:p>
        </w:tc>
      </w:tr>
      <w:tr>
        <w:tblPrEx>
          <w:tblCellMar>
            <w:top w:w="0" w:type="dxa"/>
            <w:left w:w="108" w:type="dxa"/>
            <w:bottom w:w="0" w:type="dxa"/>
            <w:right w:w="108" w:type="dxa"/>
          </w:tblCellMar>
        </w:tblPrEx>
        <w:trPr>
          <w:trHeight w:val="1495"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12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ascii="宋体" w:hAnsi="宋体" w:cs="宋体"/>
                <w:color w:val="000000"/>
                <w:kern w:val="0"/>
                <w:sz w:val="18"/>
              </w:rPr>
              <w:t>课堂评价标准，</w:t>
            </w:r>
            <w:r>
              <w:rPr>
                <w:rFonts w:hint="eastAsia" w:ascii="宋体" w:hAnsi="宋体" w:cs="宋体"/>
                <w:color w:val="000000"/>
                <w:kern w:val="0"/>
                <w:sz w:val="18"/>
              </w:rPr>
              <w:t>课堂提问记录</w:t>
            </w:r>
            <w:r>
              <w:rPr>
                <w:rFonts w:ascii="宋体" w:hAnsi="宋体" w:cs="宋体"/>
                <w:color w:val="000000"/>
                <w:kern w:val="0"/>
                <w:sz w:val="18"/>
              </w:rPr>
              <w:t>或随堂考试，结合出勤率等</w:t>
            </w:r>
          </w:p>
        </w:tc>
        <w:tc>
          <w:tcPr>
            <w:tcW w:w="128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ascii="宋体" w:hAnsi="宋体" w:cs="宋体"/>
                <w:color w:val="000000"/>
                <w:kern w:val="0"/>
                <w:sz w:val="18"/>
              </w:rPr>
              <w:t>作业评价标准，</w:t>
            </w:r>
            <w:r>
              <w:rPr>
                <w:rFonts w:hint="eastAsia" w:ascii="宋体" w:hAnsi="宋体" w:cs="宋体"/>
                <w:color w:val="000000"/>
                <w:kern w:val="0"/>
                <w:sz w:val="18"/>
              </w:rPr>
              <w:t>典型作业</w:t>
            </w:r>
            <w:r>
              <w:rPr>
                <w:rFonts w:ascii="宋体" w:hAnsi="宋体" w:cs="宋体"/>
                <w:color w:val="000000"/>
                <w:kern w:val="0"/>
                <w:sz w:val="18"/>
              </w:rPr>
              <w:t>拍照，或电子版</w:t>
            </w:r>
          </w:p>
        </w:tc>
        <w:tc>
          <w:tcPr>
            <w:tcW w:w="1143"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试题评分标准，</w:t>
            </w:r>
            <w:r>
              <w:rPr>
                <w:rFonts w:ascii="宋体" w:hAnsi="宋体" w:cs="宋体"/>
                <w:color w:val="000000"/>
                <w:kern w:val="0"/>
                <w:sz w:val="18"/>
              </w:rPr>
              <w:t>试卷</w:t>
            </w:r>
          </w:p>
        </w:tc>
      </w:tr>
    </w:tbl>
    <w:p>
      <w:pPr>
        <w:spacing w:line="360" w:lineRule="auto"/>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780"/>
        <w:gridCol w:w="25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jc w:val="center"/>
              <w:rPr>
                <w:sz w:val="18"/>
                <w:szCs w:val="18"/>
              </w:rPr>
            </w:pPr>
            <w:r>
              <w:rPr>
                <w:sz w:val="18"/>
                <w:szCs w:val="18"/>
              </w:rPr>
              <w:t>知识点</w:t>
            </w:r>
          </w:p>
        </w:tc>
        <w:tc>
          <w:tcPr>
            <w:tcW w:w="1071" w:type="pct"/>
            <w:vAlign w:val="center"/>
          </w:tcPr>
          <w:p>
            <w:pPr>
              <w:jc w:val="center"/>
              <w:rPr>
                <w:sz w:val="18"/>
                <w:szCs w:val="18"/>
              </w:rPr>
            </w:pPr>
            <w:r>
              <w:rPr>
                <w:sz w:val="18"/>
                <w:szCs w:val="18"/>
              </w:rPr>
              <w:t>权重</w:t>
            </w:r>
          </w:p>
        </w:tc>
        <w:tc>
          <w:tcPr>
            <w:tcW w:w="1504"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1电路的基本概念与定律</w:t>
            </w:r>
          </w:p>
        </w:tc>
        <w:tc>
          <w:tcPr>
            <w:tcW w:w="1071" w:type="pct"/>
            <w:vAlign w:val="center"/>
          </w:tcPr>
          <w:p>
            <w:pPr>
              <w:widowControl/>
              <w:jc w:val="center"/>
              <w:rPr>
                <w:kern w:val="0"/>
                <w:sz w:val="18"/>
                <w:szCs w:val="18"/>
              </w:rPr>
            </w:pPr>
            <w:r>
              <w:rPr>
                <w:sz w:val="18"/>
                <w:szCs w:val="18"/>
              </w:rPr>
              <w:t>0.08</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2电阻电路的等效变换</w:t>
            </w:r>
          </w:p>
        </w:tc>
        <w:tc>
          <w:tcPr>
            <w:tcW w:w="1071" w:type="pct"/>
            <w:vAlign w:val="center"/>
          </w:tcPr>
          <w:p>
            <w:pPr>
              <w:jc w:val="center"/>
              <w:rPr>
                <w:sz w:val="18"/>
                <w:szCs w:val="18"/>
              </w:rPr>
            </w:pPr>
            <w:r>
              <w:rPr>
                <w:sz w:val="18"/>
                <w:szCs w:val="18"/>
              </w:rPr>
              <w:t>0.07</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3电阻电路的一般分析方法</w:t>
            </w:r>
          </w:p>
        </w:tc>
        <w:tc>
          <w:tcPr>
            <w:tcW w:w="1071" w:type="pct"/>
            <w:vAlign w:val="center"/>
          </w:tcPr>
          <w:p>
            <w:pPr>
              <w:jc w:val="center"/>
              <w:rPr>
                <w:sz w:val="18"/>
                <w:szCs w:val="18"/>
              </w:rPr>
            </w:pPr>
            <w:r>
              <w:rPr>
                <w:sz w:val="18"/>
                <w:szCs w:val="18"/>
              </w:rPr>
              <w:t>0.09</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4电路定理</w:t>
            </w:r>
          </w:p>
        </w:tc>
        <w:tc>
          <w:tcPr>
            <w:tcW w:w="1071" w:type="pct"/>
            <w:vAlign w:val="center"/>
          </w:tcPr>
          <w:p>
            <w:pPr>
              <w:jc w:val="center"/>
              <w:rPr>
                <w:sz w:val="18"/>
                <w:szCs w:val="18"/>
              </w:rPr>
            </w:pPr>
            <w:r>
              <w:rPr>
                <w:sz w:val="18"/>
                <w:szCs w:val="18"/>
              </w:rPr>
              <w:t>0.09</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5正弦交流电路的稳态分析</w:t>
            </w:r>
          </w:p>
        </w:tc>
        <w:tc>
          <w:tcPr>
            <w:tcW w:w="1071" w:type="pct"/>
            <w:vAlign w:val="center"/>
          </w:tcPr>
          <w:p>
            <w:pPr>
              <w:jc w:val="center"/>
              <w:rPr>
                <w:sz w:val="18"/>
                <w:szCs w:val="18"/>
              </w:rPr>
            </w:pPr>
            <w:r>
              <w:rPr>
                <w:sz w:val="18"/>
                <w:szCs w:val="18"/>
              </w:rPr>
              <w:t>0.11</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6电路的频率响应</w:t>
            </w:r>
          </w:p>
        </w:tc>
        <w:tc>
          <w:tcPr>
            <w:tcW w:w="1071" w:type="pct"/>
            <w:vAlign w:val="center"/>
          </w:tcPr>
          <w:p>
            <w:pPr>
              <w:jc w:val="center"/>
              <w:rPr>
                <w:sz w:val="18"/>
                <w:szCs w:val="18"/>
              </w:rPr>
            </w:pPr>
            <w:r>
              <w:rPr>
                <w:sz w:val="18"/>
                <w:szCs w:val="18"/>
              </w:rPr>
              <w:t>0.05</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7一阶电路的时域分析</w:t>
            </w:r>
          </w:p>
        </w:tc>
        <w:tc>
          <w:tcPr>
            <w:tcW w:w="1071" w:type="pct"/>
            <w:vAlign w:val="center"/>
          </w:tcPr>
          <w:p>
            <w:pPr>
              <w:jc w:val="center"/>
              <w:rPr>
                <w:sz w:val="18"/>
                <w:szCs w:val="18"/>
              </w:rPr>
            </w:pPr>
            <w:r>
              <w:rPr>
                <w:sz w:val="18"/>
                <w:szCs w:val="18"/>
              </w:rPr>
              <w:t>0.07</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8二阶电路的时域分析</w:t>
            </w:r>
          </w:p>
        </w:tc>
        <w:tc>
          <w:tcPr>
            <w:tcW w:w="1071" w:type="pct"/>
            <w:vAlign w:val="center"/>
          </w:tcPr>
          <w:p>
            <w:pPr>
              <w:jc w:val="center"/>
              <w:rPr>
                <w:sz w:val="18"/>
                <w:szCs w:val="18"/>
              </w:rPr>
            </w:pPr>
            <w:r>
              <w:rPr>
                <w:sz w:val="18"/>
                <w:szCs w:val="18"/>
              </w:rPr>
              <w:t>0.04</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9拉普拉斯变换</w:t>
            </w:r>
          </w:p>
        </w:tc>
        <w:tc>
          <w:tcPr>
            <w:tcW w:w="1071" w:type="pct"/>
            <w:vAlign w:val="center"/>
          </w:tcPr>
          <w:p>
            <w:pPr>
              <w:jc w:val="center"/>
              <w:rPr>
                <w:sz w:val="18"/>
                <w:szCs w:val="18"/>
              </w:rPr>
            </w:pPr>
            <w:r>
              <w:rPr>
                <w:sz w:val="18"/>
                <w:szCs w:val="18"/>
              </w:rPr>
              <w:t>0.09</w:t>
            </w:r>
          </w:p>
        </w:tc>
        <w:tc>
          <w:tcPr>
            <w:tcW w:w="1504"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10网络函数</w:t>
            </w:r>
          </w:p>
        </w:tc>
        <w:tc>
          <w:tcPr>
            <w:tcW w:w="1071" w:type="pct"/>
            <w:vAlign w:val="center"/>
          </w:tcPr>
          <w:p>
            <w:pPr>
              <w:jc w:val="center"/>
              <w:rPr>
                <w:sz w:val="18"/>
                <w:szCs w:val="18"/>
              </w:rPr>
            </w:pPr>
            <w:r>
              <w:rPr>
                <w:sz w:val="18"/>
                <w:szCs w:val="18"/>
              </w:rPr>
              <w:t>0.05</w:t>
            </w:r>
          </w:p>
        </w:tc>
        <w:tc>
          <w:tcPr>
            <w:tcW w:w="1504" w:type="pct"/>
            <w:vAlign w:val="center"/>
          </w:tcPr>
          <w:p>
            <w:pPr>
              <w:jc w:val="center"/>
              <w:rPr>
                <w:sz w:val="18"/>
                <w:szCs w:val="18"/>
              </w:rPr>
            </w:pPr>
            <w:r>
              <w:rPr>
                <w:sz w:val="18"/>
                <w:szCs w:val="18"/>
              </w:rPr>
              <w:t>1、2、3、4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11图论及电路方程的矩阵形式</w:t>
            </w:r>
          </w:p>
        </w:tc>
        <w:tc>
          <w:tcPr>
            <w:tcW w:w="1071" w:type="pct"/>
            <w:vAlign w:val="center"/>
          </w:tcPr>
          <w:p>
            <w:pPr>
              <w:jc w:val="center"/>
              <w:rPr>
                <w:sz w:val="18"/>
                <w:szCs w:val="18"/>
              </w:rPr>
            </w:pPr>
            <w:r>
              <w:rPr>
                <w:sz w:val="18"/>
                <w:szCs w:val="18"/>
              </w:rPr>
              <w:t>0.11</w:t>
            </w:r>
          </w:p>
        </w:tc>
        <w:tc>
          <w:tcPr>
            <w:tcW w:w="1504" w:type="pct"/>
            <w:vAlign w:val="center"/>
          </w:tcPr>
          <w:p>
            <w:pPr>
              <w:jc w:val="center"/>
              <w:rPr>
                <w:sz w:val="18"/>
                <w:szCs w:val="18"/>
              </w:rPr>
            </w:pPr>
            <w:r>
              <w:rPr>
                <w:sz w:val="18"/>
                <w:szCs w:val="18"/>
              </w:rPr>
              <w:t>1、2、3、4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12二端口网络</w:t>
            </w:r>
          </w:p>
        </w:tc>
        <w:tc>
          <w:tcPr>
            <w:tcW w:w="1071" w:type="pct"/>
            <w:vAlign w:val="center"/>
          </w:tcPr>
          <w:p>
            <w:pPr>
              <w:jc w:val="center"/>
              <w:rPr>
                <w:sz w:val="18"/>
                <w:szCs w:val="18"/>
              </w:rPr>
            </w:pPr>
            <w:r>
              <w:rPr>
                <w:sz w:val="18"/>
                <w:szCs w:val="18"/>
              </w:rPr>
              <w:t>0.11</w:t>
            </w:r>
          </w:p>
        </w:tc>
        <w:tc>
          <w:tcPr>
            <w:tcW w:w="1504" w:type="pct"/>
            <w:vAlign w:val="center"/>
          </w:tcPr>
          <w:p>
            <w:pPr>
              <w:jc w:val="center"/>
              <w:rPr>
                <w:sz w:val="18"/>
                <w:szCs w:val="18"/>
              </w:rPr>
            </w:pPr>
            <w:r>
              <w:rPr>
                <w:sz w:val="18"/>
                <w:szCs w:val="18"/>
              </w:rPr>
              <w:t>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5" w:type="pct"/>
            <w:vAlign w:val="center"/>
          </w:tcPr>
          <w:p>
            <w:pPr>
              <w:ind w:left="210" w:leftChars="100"/>
              <w:jc w:val="left"/>
              <w:rPr>
                <w:sz w:val="18"/>
                <w:szCs w:val="18"/>
              </w:rPr>
            </w:pPr>
            <w:r>
              <w:rPr>
                <w:sz w:val="18"/>
                <w:szCs w:val="18"/>
              </w:rPr>
              <w:t>13非线性电阻电路</w:t>
            </w:r>
          </w:p>
        </w:tc>
        <w:tc>
          <w:tcPr>
            <w:tcW w:w="1071" w:type="pct"/>
            <w:vAlign w:val="center"/>
          </w:tcPr>
          <w:p>
            <w:pPr>
              <w:jc w:val="center"/>
              <w:rPr>
                <w:sz w:val="18"/>
                <w:szCs w:val="18"/>
              </w:rPr>
            </w:pPr>
            <w:r>
              <w:rPr>
                <w:sz w:val="18"/>
                <w:szCs w:val="18"/>
              </w:rPr>
              <w:t>0.04</w:t>
            </w:r>
          </w:p>
        </w:tc>
        <w:tc>
          <w:tcPr>
            <w:tcW w:w="1504" w:type="pct"/>
            <w:vAlign w:val="center"/>
          </w:tcPr>
          <w:p>
            <w:pPr>
              <w:jc w:val="center"/>
              <w:rPr>
                <w:sz w:val="18"/>
                <w:szCs w:val="18"/>
              </w:rPr>
            </w:pPr>
            <w:r>
              <w:rPr>
                <w:sz w:val="18"/>
                <w:szCs w:val="18"/>
              </w:rPr>
              <w:t>3、4</w:t>
            </w:r>
          </w:p>
        </w:tc>
      </w:tr>
    </w:tbl>
    <w:p>
      <w:pPr>
        <w:spacing w:before="120" w:beforeLines="50" w:line="360" w:lineRule="auto"/>
        <w:ind w:firstLine="420" w:firstLineChars="200"/>
        <w:rPr>
          <w:szCs w:val="21"/>
        </w:rPr>
        <w:sectPr>
          <w:headerReference r:id="rId12" w:type="first"/>
          <w:footerReference r:id="rId15" w:type="first"/>
          <w:headerReference r:id="rId10" w:type="default"/>
          <w:footerReference r:id="rId13" w:type="default"/>
          <w:headerReference r:id="rId11" w:type="even"/>
          <w:footerReference r:id="rId14" w:type="even"/>
          <w:pgSz w:w="11906" w:h="16838"/>
          <w:pgMar w:top="1440" w:right="1797" w:bottom="1440" w:left="1797" w:header="851" w:footer="992" w:gutter="0"/>
          <w:cols w:space="425" w:num="1"/>
          <w:docGrid w:linePitch="312" w:charSpace="0"/>
        </w:sectPr>
      </w:pPr>
      <w:r>
        <w:rPr>
          <w:rFonts w:hint="eastAsia"/>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6"/>
        <w:gridCol w:w="943"/>
        <w:gridCol w:w="1361"/>
        <w:gridCol w:w="1297"/>
        <w:gridCol w:w="1540"/>
        <w:gridCol w:w="1492"/>
        <w:gridCol w:w="1442"/>
        <w:gridCol w:w="1428"/>
        <w:gridCol w:w="1211"/>
        <w:gridCol w:w="1297"/>
        <w:gridCol w:w="1361"/>
      </w:tblGrid>
      <w:tr>
        <w:tblPrEx>
          <w:tblCellMar>
            <w:top w:w="0" w:type="dxa"/>
            <w:left w:w="108" w:type="dxa"/>
            <w:bottom w:w="0" w:type="dxa"/>
            <w:right w:w="108" w:type="dxa"/>
          </w:tblCellMar>
        </w:tblPrEx>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5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64" w:type="pct"/>
            <w:gridSpan w:val="3"/>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3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48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课堂情况</w:t>
            </w:r>
          </w:p>
        </w:tc>
        <w:tc>
          <w:tcPr>
            <w:tcW w:w="46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55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期末考试</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课堂情况</w:t>
            </w:r>
          </w:p>
        </w:tc>
        <w:tc>
          <w:tcPr>
            <w:tcW w:w="51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512"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期末考试</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课堂情况</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期末考试</w:t>
            </w:r>
          </w:p>
        </w:tc>
      </w:tr>
      <w:tr>
        <w:tblPrEx>
          <w:tblCellMar>
            <w:top w:w="0" w:type="dxa"/>
            <w:left w:w="108" w:type="dxa"/>
            <w:bottom w:w="0" w:type="dxa"/>
            <w:right w:w="108" w:type="dxa"/>
          </w:tblCellMar>
        </w:tblPrEx>
        <w:trPr>
          <w:trHeight w:val="702"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0.4</w:t>
            </w:r>
          </w:p>
        </w:tc>
        <w:tc>
          <w:tcPr>
            <w:tcW w:w="48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w:t>
            </w:r>
          </w:p>
        </w:tc>
        <w:tc>
          <w:tcPr>
            <w:tcW w:w="46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w:t>
            </w:r>
          </w:p>
        </w:tc>
        <w:tc>
          <w:tcPr>
            <w:tcW w:w="5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0.6</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5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0.44</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0.44</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0.37</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0.4</w:t>
            </w:r>
          </w:p>
        </w:tc>
        <w:tc>
          <w:tcPr>
            <w:tcW w:w="488"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w:t>
            </w:r>
          </w:p>
        </w:tc>
        <w:tc>
          <w:tcPr>
            <w:tcW w:w="46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w:t>
            </w: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517"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0.24</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0.44</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0.44</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0.37</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3</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488"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46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0.8</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0.01</w:t>
            </w:r>
          </w:p>
        </w:tc>
        <w:tc>
          <w:tcPr>
            <w:tcW w:w="517"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0.01</w:t>
            </w: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0.06</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0.06</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0.13</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4</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488"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46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w:t>
            </w:r>
          </w:p>
        </w:tc>
        <w:tc>
          <w:tcPr>
            <w:tcW w:w="551"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0.8</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0.01</w:t>
            </w:r>
          </w:p>
        </w:tc>
        <w:tc>
          <w:tcPr>
            <w:tcW w:w="517"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0.01</w:t>
            </w: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0.08</w:t>
            </w:r>
          </w:p>
        </w:tc>
        <w:tc>
          <w:tcPr>
            <w:tcW w:w="4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0.06</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0.06</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sz w:val="18"/>
                <w:szCs w:val="18"/>
              </w:rPr>
            </w:pPr>
            <w:r>
              <w:rPr>
                <w:color w:val="000000"/>
                <w:sz w:val="18"/>
                <w:szCs w:val="18"/>
              </w:rPr>
              <w:t>0.13</w:t>
            </w:r>
          </w:p>
        </w:tc>
      </w:tr>
      <w:tr>
        <w:tblPrEx>
          <w:tblCellMar>
            <w:top w:w="0" w:type="dxa"/>
            <w:left w:w="108" w:type="dxa"/>
            <w:bottom w:w="0" w:type="dxa"/>
            <w:right w:w="108" w:type="dxa"/>
          </w:tblCellMar>
        </w:tblPrEx>
        <w:trPr>
          <w:trHeight w:val="1026" w:hRule="atLeast"/>
          <w:jc w:val="center"/>
        </w:trPr>
        <w:tc>
          <w:tcPr>
            <w:tcW w:w="2049"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0.18</w:t>
            </w:r>
          </w:p>
        </w:tc>
        <w:tc>
          <w:tcPr>
            <w:tcW w:w="51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0.18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sz w:val="18"/>
                <w:szCs w:val="18"/>
              </w:rPr>
            </w:pPr>
            <w:r>
              <w:rPr>
                <w:color w:val="000000"/>
                <w:sz w:val="18"/>
                <w:szCs w:val="18"/>
              </w:rPr>
              <w:t>0.64</w:t>
            </w:r>
          </w:p>
        </w:tc>
        <w:tc>
          <w:tcPr>
            <w:tcW w:w="13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60" o:spt="75" type="#_x0000_t75" style="height:36pt;width:166.5pt;" o:ole="t" filled="f" o:preferrelative="t" stroked="f" coordsize="21600,21600">
            <v:path/>
            <v:fill on="f" focussize="0,0"/>
            <v:stroke on="f" joinstyle="miter"/>
            <v:imagedata r:id="rId201" o:title=""/>
            <o:lock v:ext="edit" aspectratio="t"/>
            <w10:wrap type="none"/>
            <w10:anchorlock/>
          </v:shape>
          <o:OLEObject Type="Embed" ProgID="Equation.3" ShapeID="_x0000_i1060" DrawAspect="Content" ObjectID="_1468075760" r:id="rId218">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61"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61" DrawAspect="Content" ObjectID="_1468075761" r:id="rId219">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62" o:spt="75" type="#_x0000_t75" style="height:18pt;width:13.5pt;" o:ole="t" filled="f" o:preferrelative="t" stroked="f" coordsize="21600,21600">
            <v:path/>
            <v:fill on="f" focussize="0,0"/>
            <v:stroke on="f" joinstyle="miter"/>
            <v:imagedata r:id="rId205" o:title=""/>
            <o:lock v:ext="edit" aspectratio="t"/>
            <w10:wrap type="none"/>
            <w10:anchorlock/>
          </v:shape>
          <o:OLEObject Type="Embed" ProgID="Equation.3" ShapeID="_x0000_i1062" DrawAspect="Content" ObjectID="_1468075762" r:id="rId220">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63" o:spt="75" type="#_x0000_t75" style="height:18pt;width:73.55pt;" o:ole="t" filled="f" o:preferrelative="t" stroked="f" coordsize="21600,21600">
            <v:path/>
            <v:fill on="f" focussize="0,0"/>
            <v:stroke on="f" joinstyle="miter"/>
            <v:imagedata r:id="rId207" o:title=""/>
            <o:lock v:ext="edit" aspectratio="t"/>
            <w10:wrap type="none"/>
            <w10:anchorlock/>
          </v:shape>
          <o:OLEObject Type="Embed" ProgID="Equation.3" ShapeID="_x0000_i1063" DrawAspect="Content" ObjectID="_1468075763" r:id="rId221">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064" o:spt="75" type="#_x0000_t75" style="height:18pt;width:18pt;" o:ole="t" filled="f" o:preferrelative="t" stroked="f" coordsize="21600,21600">
            <v:path/>
            <v:fill on="f" focussize="0,0"/>
            <v:stroke on="f" joinstyle="miter"/>
            <v:imagedata r:id="rId209" o:title=""/>
            <o:lock v:ext="edit" aspectratio="t"/>
            <w10:wrap type="none"/>
            <w10:anchorlock/>
          </v:shape>
          <o:OLEObject Type="Embed" ProgID="Equation.3" ShapeID="_x0000_i1064" DrawAspect="Content" ObjectID="_1468075764" r:id="rId222">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065" o:spt="75" type="#_x0000_t75" style="height:18pt;width:13.5pt;" o:ole="t" filled="f" o:preferrelative="t" stroked="f" coordsize="21600,21600">
            <v:path/>
            <v:fill on="f" focussize="0,0"/>
            <v:stroke on="f" joinstyle="miter"/>
            <v:imagedata r:id="rId211" o:title=""/>
            <o:lock v:ext="edit" aspectratio="t"/>
            <w10:wrap type="none"/>
            <w10:anchorlock/>
          </v:shape>
          <o:OLEObject Type="Embed" ProgID="Equation.3" ShapeID="_x0000_i1065" DrawAspect="Content" ObjectID="_1468075765" r:id="rId223">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68" w:name="_Toc6663"/>
      <w:bookmarkStart w:id="169" w:name="_Toc46996560"/>
      <w:r>
        <w:rPr>
          <w:rFonts w:hint="eastAsia"/>
        </w:rPr>
        <w:t>《</w:t>
      </w:r>
      <w:r>
        <w:t>Y02060011-</w:t>
      </w:r>
      <w:r>
        <w:rPr>
          <w:rFonts w:hint="eastAsia"/>
        </w:rPr>
        <w:t>信号与系统》教学大纲</w:t>
      </w:r>
      <w:bookmarkEnd w:id="168"/>
      <w:bookmarkEnd w:id="169"/>
    </w:p>
    <w:p>
      <w:pPr>
        <w:adjustRightInd w:val="0"/>
        <w:snapToGrid w:val="0"/>
        <w:spacing w:line="360" w:lineRule="auto"/>
        <w:rPr>
          <w:bCs/>
          <w:kern w:val="0"/>
        </w:rPr>
      </w:pPr>
      <w:r>
        <w:rPr>
          <w:rFonts w:hint="eastAsia" w:eastAsia="黑体"/>
          <w:szCs w:val="21"/>
        </w:rPr>
        <w:t>课程编号：</w:t>
      </w:r>
      <w:r>
        <w:rPr>
          <w:rFonts w:eastAsia="黑体"/>
          <w:szCs w:val="21"/>
        </w:rPr>
        <w:t>Y02060011</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信号与系统</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4</w:t>
      </w:r>
      <w:r>
        <w:rPr>
          <w:rFonts w:hint="eastAsia"/>
          <w:szCs w:val="21"/>
        </w:rPr>
        <w:t>8</w:t>
      </w:r>
      <w:r>
        <w:rPr>
          <w:szCs w:val="21"/>
        </w:rPr>
        <w:t xml:space="preserve"> (</w:t>
      </w:r>
      <w:r>
        <w:rPr>
          <w:rFonts w:hint="eastAsia"/>
          <w:szCs w:val="21"/>
        </w:rPr>
        <w:t>实验8学时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分：3</w:t>
      </w:r>
    </w:p>
    <w:p>
      <w:pPr>
        <w:adjustRightInd w:val="0"/>
        <w:snapToGrid w:val="0"/>
        <w:spacing w:line="360" w:lineRule="auto"/>
        <w:rPr>
          <w:rFonts w:eastAsia="黑体"/>
          <w:szCs w:val="21"/>
        </w:rPr>
      </w:pPr>
      <w:r>
        <w:rPr>
          <w:rFonts w:hint="eastAsia" w:eastAsia="黑体"/>
          <w:szCs w:val="21"/>
        </w:rPr>
        <w:t>适用专业：</w:t>
      </w:r>
      <w:r>
        <w:rPr>
          <w:rFonts w:hint="eastAsia" w:ascii="宋体" w:hAnsi="宋体" w:cs="宋体"/>
        </w:rPr>
        <w:t>电子科学与技术专业</w:t>
      </w:r>
    </w:p>
    <w:p>
      <w:pPr>
        <w:adjustRightInd w:val="0"/>
        <w:snapToGrid w:val="0"/>
        <w:spacing w:line="360" w:lineRule="auto"/>
        <w:rPr>
          <w:rFonts w:ascii="宋体" w:hAnsi="宋体" w:cs="宋体"/>
        </w:rPr>
      </w:pPr>
      <w:r>
        <w:rPr>
          <w:rFonts w:hint="eastAsia" w:eastAsia="黑体"/>
          <w:szCs w:val="21"/>
        </w:rPr>
        <w:t>先修课程：</w:t>
      </w:r>
      <w:r>
        <w:rPr>
          <w:rFonts w:hint="eastAsia" w:ascii="宋体" w:hAnsi="宋体" w:cs="宋体"/>
        </w:rPr>
        <w:t>高等数学、复变函数与积分变换、电路分析基础、模拟电子技术</w:t>
      </w:r>
    </w:p>
    <w:p>
      <w:pPr>
        <w:adjustRightInd w:val="0"/>
        <w:snapToGrid w:val="0"/>
        <w:spacing w:line="360" w:lineRule="auto"/>
        <w:rPr>
          <w:rFonts w:ascii="宋体" w:cs="宋体"/>
        </w:rPr>
      </w:pPr>
      <w:r>
        <w:rPr>
          <w:rFonts w:hint="eastAsia" w:eastAsia="黑体"/>
        </w:rPr>
        <w:t>大纲撰写人：</w:t>
      </w:r>
      <w:r>
        <w:rPr>
          <w:rFonts w:hint="eastAsia"/>
        </w:rPr>
        <w:t>张晓明</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rPr>
          <w:b/>
          <w:bCs/>
        </w:rPr>
      </w:pPr>
    </w:p>
    <w:p>
      <w:pPr>
        <w:spacing w:line="360" w:lineRule="auto"/>
        <w:rPr>
          <w:rFonts w:ascii="黑体" w:hAnsi="黑体" w:eastAsia="黑体"/>
        </w:rPr>
      </w:pPr>
      <w:r>
        <w:rPr>
          <w:rFonts w:hint="eastAsia" w:ascii="黑体" w:hAnsi="黑体" w:eastAsia="黑体"/>
        </w:rPr>
        <w:t>一、课程在教学计划中的地位、作用</w:t>
      </w:r>
    </w:p>
    <w:p>
      <w:pPr>
        <w:spacing w:line="360" w:lineRule="auto"/>
        <w:ind w:firstLine="420" w:firstLineChars="200"/>
      </w:pPr>
      <w:r>
        <w:rPr>
          <w:rFonts w:hint="eastAsia" w:cs="宋体"/>
        </w:rPr>
        <w:t>本课程是</w:t>
      </w:r>
      <w:r>
        <w:rPr>
          <w:rFonts w:hint="eastAsia" w:ascii="宋体" w:hAnsi="宋体" w:cs="宋体"/>
        </w:rPr>
        <w:t>测控技术及仪器专业、电子科学与技术专业、微电子科学与工程专业的学科基础教育课程。信号</w:t>
      </w:r>
      <w:r>
        <w:rPr>
          <w:rFonts w:hint="eastAsia" w:cs="宋体"/>
        </w:rPr>
        <w:t>与系统课程是联系</w:t>
      </w:r>
      <w:r>
        <w:rPr>
          <w:rFonts w:hint="eastAsia"/>
          <w:bCs/>
          <w:kern w:val="0"/>
        </w:rPr>
        <w:t>数学与自然科学基本理论、</w:t>
      </w:r>
      <w:r>
        <w:rPr>
          <w:rFonts w:hint="eastAsia" w:cs="宋体"/>
        </w:rPr>
        <w:t>工程信号与系统分析设计两者的桥梁和纽带。本课程</w:t>
      </w:r>
      <w:r>
        <w:rPr>
          <w:szCs w:val="21"/>
        </w:rPr>
        <w:t>以提高学生</w:t>
      </w:r>
      <w:r>
        <w:rPr>
          <w:rFonts w:hint="eastAsia"/>
          <w:szCs w:val="21"/>
        </w:rPr>
        <w:t>利用</w:t>
      </w:r>
      <w:r>
        <w:rPr>
          <w:szCs w:val="21"/>
        </w:rPr>
        <w:t>数学工具分析工程中信号与系统为目的，</w:t>
      </w:r>
      <w:r>
        <w:rPr>
          <w:rFonts w:hint="eastAsia" w:cs="宋体"/>
        </w:rPr>
        <w:t>采用信息论和系统论对工程实际问题进行抽象分析，主要讲授确定性连续信号、线性时不变系统时域、频域及复频域分析的基本概念和方法，</w:t>
      </w:r>
      <w:r>
        <w:rPr>
          <w:rFonts w:hint="eastAsia" w:ascii="宋体" w:hAnsi="宋体"/>
        </w:rPr>
        <w:t>为解决工程实践中所遇到的信号与系统分析与设计问题打下坚实的理论基础</w:t>
      </w:r>
      <w:r>
        <w:rPr>
          <w:rFonts w:hint="eastAsia" w:cs="宋体"/>
        </w:rPr>
        <w:t>。通过该课程的学习，使学生能够运用数学工具分析和解决典型工程问题，建立运用信号与系统理论分析问题和解决问题的基本思路和方法，具备对复杂工程中信号与系统分析和设计的基础理论知识，</w:t>
      </w:r>
      <w:r>
        <w:rPr>
          <w:rFonts w:hint="eastAsia" w:ascii="宋体" w:hAnsi="宋体" w:cs="宋体"/>
          <w:snapToGrid w:val="0"/>
          <w:kern w:val="0"/>
        </w:rPr>
        <w:t>为后续专业课程的学习打下理论基础。</w:t>
      </w:r>
    </w:p>
    <w:p/>
    <w:p>
      <w:pPr>
        <w:spacing w:line="360" w:lineRule="auto"/>
        <w:rPr>
          <w:rFonts w:ascii="黑体" w:hAnsi="黑体" w:eastAsia="黑体"/>
        </w:rPr>
      </w:pPr>
      <w:r>
        <w:rPr>
          <w:rFonts w:hint="eastAsia" w:ascii="黑体" w:hAnsi="黑体" w:eastAsia="黑体"/>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345" w:type="pct"/>
          </w:tcPr>
          <w:p>
            <w:pPr>
              <w:spacing w:line="360" w:lineRule="auto"/>
              <w:rPr>
                <w:sz w:val="18"/>
                <w:szCs w:val="18"/>
              </w:rPr>
            </w:pPr>
            <w:r>
              <w:rPr>
                <w:sz w:val="18"/>
                <w:szCs w:val="18"/>
              </w:rPr>
              <w:t>能够从时域</w:t>
            </w:r>
            <w:r>
              <w:rPr>
                <w:rFonts w:hint="eastAsia"/>
                <w:sz w:val="18"/>
                <w:szCs w:val="18"/>
              </w:rPr>
              <w:t>、</w:t>
            </w:r>
            <w:r>
              <w:rPr>
                <w:sz w:val="18"/>
                <w:szCs w:val="18"/>
              </w:rPr>
              <w:t>频域及复频域角度</w:t>
            </w:r>
            <w:r>
              <w:rPr>
                <w:rFonts w:hint="eastAsia"/>
                <w:sz w:val="18"/>
                <w:szCs w:val="18"/>
              </w:rPr>
              <w:t>，</w:t>
            </w:r>
            <w:r>
              <w:rPr>
                <w:sz w:val="18"/>
                <w:szCs w:val="18"/>
              </w:rPr>
              <w:t>列写</w:t>
            </w:r>
            <w:r>
              <w:rPr>
                <w:rFonts w:hint="eastAsia"/>
                <w:sz w:val="18"/>
                <w:szCs w:val="18"/>
              </w:rPr>
              <w:t>、</w:t>
            </w:r>
            <w:r>
              <w:rPr>
                <w:sz w:val="18"/>
                <w:szCs w:val="18"/>
              </w:rPr>
              <w:t>推导连续</w:t>
            </w:r>
            <w:r>
              <w:rPr>
                <w:rFonts w:hint="eastAsia"/>
                <w:sz w:val="18"/>
                <w:szCs w:val="18"/>
              </w:rPr>
              <w:t>确定</w:t>
            </w:r>
            <w:r>
              <w:rPr>
                <w:sz w:val="18"/>
                <w:szCs w:val="18"/>
              </w:rPr>
              <w:t>信号的线性分解</w:t>
            </w:r>
            <w:r>
              <w:rPr>
                <w:rFonts w:hint="eastAsia"/>
                <w:sz w:val="18"/>
                <w:szCs w:val="18"/>
              </w:rPr>
              <w:t>、</w:t>
            </w:r>
            <w:r>
              <w:rPr>
                <w:sz w:val="18"/>
                <w:szCs w:val="18"/>
              </w:rPr>
              <w:t>变换及其基本性质</w:t>
            </w:r>
            <w:r>
              <w:rPr>
                <w:rFonts w:hint="eastAsia"/>
                <w:sz w:val="18"/>
                <w:szCs w:val="18"/>
              </w:rPr>
              <w:t>，运用时域卷积、傅里叶变换、拉氏变换方法求解线性时不变系统的响应，</w:t>
            </w:r>
            <w:r>
              <w:rPr>
                <w:sz w:val="18"/>
                <w:szCs w:val="18"/>
              </w:rPr>
              <w:t>并解释相关概念的物理工程含义</w:t>
            </w:r>
            <w:r>
              <w:rPr>
                <w:rFonts w:hint="eastAsia"/>
                <w:sz w:val="18"/>
                <w:szCs w:val="18"/>
              </w:rPr>
              <w:t>；</w:t>
            </w:r>
          </w:p>
        </w:tc>
        <w:tc>
          <w:tcPr>
            <w:tcW w:w="2288" w:type="pct"/>
          </w:tcPr>
          <w:p>
            <w:pPr>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345" w:type="pct"/>
          </w:tcPr>
          <w:p>
            <w:pPr>
              <w:spacing w:line="360" w:lineRule="auto"/>
              <w:rPr>
                <w:sz w:val="18"/>
                <w:szCs w:val="18"/>
              </w:rPr>
            </w:pPr>
            <w:r>
              <w:rPr>
                <w:sz w:val="18"/>
                <w:szCs w:val="18"/>
              </w:rPr>
              <w:t>能够运用时域</w:t>
            </w:r>
            <w:r>
              <w:rPr>
                <w:rFonts w:hint="eastAsia"/>
                <w:sz w:val="18"/>
                <w:szCs w:val="18"/>
              </w:rPr>
              <w:t>、</w:t>
            </w:r>
            <w:r>
              <w:rPr>
                <w:sz w:val="18"/>
                <w:szCs w:val="18"/>
              </w:rPr>
              <w:t>频域及复频域分析方法</w:t>
            </w:r>
            <w:r>
              <w:rPr>
                <w:rFonts w:hint="eastAsia"/>
                <w:sz w:val="18"/>
                <w:szCs w:val="18"/>
              </w:rPr>
              <w:t>，解决电子科学与技术专业工程问题中的信号与系统相关问题。</w:t>
            </w:r>
          </w:p>
        </w:tc>
        <w:tc>
          <w:tcPr>
            <w:tcW w:w="2288" w:type="pct"/>
          </w:tcPr>
          <w:p>
            <w:pPr>
              <w:spacing w:line="360" w:lineRule="auto"/>
              <w:rPr>
                <w:sz w:val="18"/>
                <w:szCs w:val="18"/>
              </w:rPr>
            </w:pPr>
            <w:r>
              <w:rPr>
                <w:rFonts w:hint="eastAsia"/>
                <w:b/>
                <w:sz w:val="18"/>
                <w:szCs w:val="18"/>
              </w:rPr>
              <w:t>指标点1-2 知识运用能力</w:t>
            </w:r>
            <w:r>
              <w:rPr>
                <w:rFonts w:hint="eastAsia"/>
                <w:sz w:val="18"/>
                <w:szCs w:val="18"/>
              </w:rPr>
              <w:t>：</w:t>
            </w:r>
            <w:r>
              <w:rPr>
                <w:rFonts w:hint="eastAsia" w:ascii="宋体" w:hAnsi="宋体"/>
                <w:kern w:val="0"/>
                <w:sz w:val="18"/>
                <w:szCs w:val="18"/>
              </w:rPr>
              <w:t>能将基础知识恰当地运用到电子科学与技术专业电路系统、物联网及现场总线等复杂工程问题的解决中。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3</w:t>
            </w:r>
          </w:p>
        </w:tc>
        <w:tc>
          <w:tcPr>
            <w:tcW w:w="2345" w:type="pct"/>
          </w:tcPr>
          <w:p>
            <w:pPr>
              <w:spacing w:line="360" w:lineRule="auto"/>
              <w:rPr>
                <w:sz w:val="18"/>
                <w:szCs w:val="18"/>
              </w:rPr>
            </w:pPr>
            <w:r>
              <w:rPr>
                <w:rFonts w:hint="eastAsia"/>
                <w:sz w:val="18"/>
                <w:szCs w:val="18"/>
              </w:rPr>
              <w:t>能够进行典型工程问题的物理建模、模型求解、工程物理解释，并识别工程物理信号和系统的关键特征和参数，分析信号与系统中</w:t>
            </w:r>
            <w:r>
              <w:rPr>
                <w:rFonts w:hint="eastAsia" w:cs="宋体"/>
                <w:sz w:val="18"/>
                <w:szCs w:val="18"/>
              </w:rPr>
              <w:t>时频域性能参数间的内在联系；</w:t>
            </w:r>
          </w:p>
        </w:tc>
        <w:tc>
          <w:tcPr>
            <w:tcW w:w="2288" w:type="pct"/>
          </w:tcPr>
          <w:p>
            <w:pPr>
              <w:spacing w:line="360" w:lineRule="auto"/>
              <w:rPr>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4</w:t>
            </w:r>
          </w:p>
        </w:tc>
        <w:tc>
          <w:tcPr>
            <w:tcW w:w="2345" w:type="pct"/>
          </w:tcPr>
          <w:p>
            <w:pPr>
              <w:spacing w:line="360" w:lineRule="auto"/>
              <w:rPr>
                <w:sz w:val="18"/>
                <w:szCs w:val="18"/>
              </w:rPr>
            </w:pPr>
            <w:r>
              <w:rPr>
                <w:sz w:val="18"/>
                <w:szCs w:val="18"/>
              </w:rPr>
              <w:t>能够应用信号与系统知识对典型信号</w:t>
            </w:r>
            <w:r>
              <w:rPr>
                <w:rFonts w:hint="eastAsia"/>
                <w:sz w:val="18"/>
                <w:szCs w:val="18"/>
              </w:rPr>
              <w:t>和</w:t>
            </w:r>
            <w:r>
              <w:rPr>
                <w:sz w:val="18"/>
                <w:szCs w:val="18"/>
              </w:rPr>
              <w:t>系统动态特性进行</w:t>
            </w:r>
            <w:r>
              <w:rPr>
                <w:rFonts w:hint="eastAsia"/>
                <w:sz w:val="18"/>
                <w:szCs w:val="18"/>
              </w:rPr>
              <w:t>分析，判断问题识别和表达结论的有效性。</w:t>
            </w:r>
          </w:p>
        </w:tc>
        <w:tc>
          <w:tcPr>
            <w:tcW w:w="2288" w:type="pct"/>
          </w:tcPr>
          <w:p>
            <w:pPr>
              <w:spacing w:line="360" w:lineRule="auto"/>
              <w:rPr>
                <w:sz w:val="18"/>
                <w:szCs w:val="18"/>
              </w:rPr>
            </w:pPr>
            <w:r>
              <w:rPr>
                <w:rFonts w:hint="eastAsia"/>
                <w:b/>
                <w:sz w:val="18"/>
                <w:szCs w:val="18"/>
              </w:rPr>
              <w:t>指标点2-3 结论判断</w:t>
            </w:r>
            <w:r>
              <w:rPr>
                <w:rFonts w:hint="eastAsia"/>
                <w:sz w:val="18"/>
                <w:szCs w:val="18"/>
              </w:rPr>
              <w:t>：能够应用专业知识和原理分析判断结论的有效性。</w:t>
            </w:r>
          </w:p>
        </w:tc>
      </w:tr>
    </w:tbl>
    <w:p>
      <w:pPr>
        <w:spacing w:line="360" w:lineRule="auto"/>
      </w:pPr>
    </w:p>
    <w:p>
      <w:pPr>
        <w:spacing w:line="360" w:lineRule="auto"/>
        <w:rPr>
          <w:rFonts w:ascii="黑体" w:hAnsi="黑体" w:eastAsia="黑体"/>
        </w:rPr>
      </w:pPr>
      <w:r>
        <w:rPr>
          <w:rFonts w:hint="eastAsia" w:ascii="黑体" w:hAnsi="黑体" w:eastAsia="黑体"/>
        </w:rPr>
        <w:t>三、基本要求（含先修课程）</w:t>
      </w:r>
    </w:p>
    <w:p>
      <w:pPr>
        <w:spacing w:line="360" w:lineRule="auto"/>
        <w:ind w:firstLine="420" w:firstLineChars="200"/>
      </w:pPr>
      <w:r>
        <w:t>1</w:t>
      </w:r>
      <w:r>
        <w:rPr>
          <w:rFonts w:hint="eastAsia" w:cs="宋体"/>
        </w:rPr>
        <w:t>、本课程为学科基础教育课程，要求先修</w:t>
      </w:r>
      <w:r>
        <w:rPr>
          <w:rFonts w:hint="eastAsia" w:ascii="宋体" w:hAnsi="宋体" w:cs="宋体"/>
        </w:rPr>
        <w:t>复变函数与积分变换、</w:t>
      </w:r>
      <w:r>
        <w:rPr>
          <w:rFonts w:hint="eastAsia" w:cs="宋体"/>
        </w:rPr>
        <w:t>电路</w:t>
      </w:r>
      <w:r>
        <w:rPr>
          <w:rFonts w:hint="eastAsia" w:ascii="宋体" w:hAnsi="宋体" w:cs="宋体"/>
        </w:rPr>
        <w:t>分析基础、模拟电子技术</w:t>
      </w:r>
      <w:r>
        <w:rPr>
          <w:rFonts w:hint="eastAsia" w:cs="宋体"/>
        </w:rPr>
        <w:t>，是联系</w:t>
      </w:r>
      <w:r>
        <w:rPr>
          <w:rFonts w:hint="eastAsia"/>
          <w:bCs/>
          <w:kern w:val="0"/>
        </w:rPr>
        <w:t>数学和自然科学基本理论、</w:t>
      </w:r>
      <w:r>
        <w:rPr>
          <w:rFonts w:hint="eastAsia" w:cs="宋体"/>
        </w:rPr>
        <w:t>工程信号与系统分析设计两者的桥梁和纽带。通过本课程的学习，培养学生的思维推理能力和分析运算能力，提高学生利用信号与系统理论分析和解决具体工程问题的能力，锻炼学生对复杂工程问题的探究能力。</w:t>
      </w:r>
    </w:p>
    <w:p>
      <w:pPr>
        <w:spacing w:line="360" w:lineRule="auto"/>
        <w:ind w:firstLine="420" w:firstLineChars="200"/>
      </w:pPr>
      <w:r>
        <w:t>2</w:t>
      </w:r>
      <w:r>
        <w:rPr>
          <w:rFonts w:hint="eastAsia" w:cs="宋体"/>
        </w:rPr>
        <w:t>、在教学过程中应注重从工程观点来学习、理解及应用相应的基础知识、基本概念和思维方法，将学生从只关注数学计算转移到信号与系统基本理论、方法的理解和应用上。在课堂讲授环节和实验环节中将数学运算和数学变换视为基本工具，重点放在对数学理论分析结果的工程物理意义的解释和应用上。</w:t>
      </w:r>
    </w:p>
    <w:p>
      <w:pPr>
        <w:spacing w:line="360" w:lineRule="auto"/>
        <w:ind w:firstLine="420" w:firstLineChars="200"/>
      </w:pPr>
      <w:r>
        <w:t>3</w:t>
      </w:r>
      <w:r>
        <w:rPr>
          <w:rFonts w:hint="eastAsia" w:cs="宋体"/>
        </w:rPr>
        <w:t>、结合学生熟悉的电路系统和机械系统经典实例，贯彻工程问题物理建模、模型数学分析求解及其工程物理意义解释的基本思路和方法，重点培养学生针对具体工程问题灵活运用理论知识的能力。</w:t>
      </w:r>
    </w:p>
    <w:p>
      <w:pPr>
        <w:spacing w:line="360" w:lineRule="auto"/>
        <w:ind w:firstLine="420" w:firstLineChars="200"/>
      </w:pPr>
      <w:r>
        <w:t>4、培养学生运用Matlab软件进行信号与系统时域、频域及复频域分析方法，对计算机解算数据进行物理意义解释与分析。</w:t>
      </w:r>
    </w:p>
    <w:p>
      <w:pPr>
        <w:spacing w:line="360" w:lineRule="auto"/>
        <w:ind w:firstLine="420" w:firstLineChars="200"/>
      </w:pPr>
      <w:r>
        <w:t>5、本课程是一门理论性很强的课程。要求学生通过实验环节把所学的理论知识与工程实践联系起来，具备针对典型工程问题进行信号与系统分析的能力。要求在CAI教室进行授课，教学和实验交替进行，并且辅以针对具体工程问题的综合性报告环节，以提高学生对理论知识的综合运用能力。</w:t>
      </w:r>
    </w:p>
    <w:p>
      <w:pPr>
        <w:spacing w:line="360" w:lineRule="auto"/>
        <w:ind w:firstLine="420" w:firstLineChars="200"/>
      </w:pPr>
      <w:r>
        <w:t>6、深度和广度说明：1）以确定性连续信号和线性时不变系统为重点，讲授时域、频域、复频域中信号与系统的分析方法，适当介绍离散信号、离散系统的时域分析方法；2）拉普拉氏变换变换重点讲授单边拉氏变换，简要介绍左边信号拉氏变换和双边拉氏变换知识；3）傅里叶变换、拉氏变换的性质讲解中简要介绍其数学证明，重点讲授其工程物理意义。</w:t>
      </w:r>
    </w:p>
    <w:p>
      <w:pPr>
        <w:widowControl/>
        <w:spacing w:line="360" w:lineRule="auto"/>
        <w:ind w:firstLine="420" w:firstLineChars="200"/>
        <w:jc w:val="left"/>
      </w:pPr>
      <w:r>
        <w:t>7、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pPr>
    </w:p>
    <w:p>
      <w:pPr>
        <w:spacing w:line="360" w:lineRule="auto"/>
        <w:rPr>
          <w:rFonts w:ascii="黑体" w:hAnsi="黑体" w:eastAsia="黑体"/>
        </w:rPr>
      </w:pPr>
      <w:r>
        <w:rPr>
          <w:rFonts w:hint="eastAsia" w:ascii="黑体" w:hAnsi="黑体" w:eastAsia="黑体"/>
        </w:rPr>
        <w:t>四、教学内容和教学方法</w:t>
      </w:r>
    </w:p>
    <w:p>
      <w:pPr>
        <w:widowControl/>
        <w:spacing w:line="360" w:lineRule="auto"/>
        <w:ind w:firstLine="420" w:firstLineChars="200"/>
        <w:jc w:val="left"/>
      </w:pPr>
      <w:r>
        <w:t>本课程重点讲授的内容包括：信号与系统的描述与分类、信号的时域分析、线性时不变系统（LTI系统）的时域分析、周期信号、非周期信号的频域分析、LTI系统的频域分析、信号与系统的复频域分析、Matlab辅助分析方法。</w:t>
      </w:r>
    </w:p>
    <w:p>
      <w:pPr>
        <w:widowControl/>
        <w:spacing w:line="360" w:lineRule="auto"/>
        <w:ind w:firstLine="420" w:firstLineChars="200"/>
        <w:jc w:val="left"/>
      </w:pPr>
      <w:r>
        <w:t>本课程在教学方法上，充分利用各种媒体教学手段，采取课堂教学、多媒体课件、验证性实验、课外分组实验方式有机结合，提高教学效率。</w:t>
      </w:r>
    </w:p>
    <w:p>
      <w:pPr>
        <w:widowControl/>
        <w:spacing w:line="360" w:lineRule="auto"/>
        <w:ind w:firstLine="420" w:firstLineChars="200"/>
        <w:jc w:val="left"/>
      </w:pPr>
      <w:r>
        <w:t>1）利用CAI形式讲授，辅以重要知识点的板书推导与分析，引导学生理解分析思路；</w:t>
      </w:r>
    </w:p>
    <w:p>
      <w:pPr>
        <w:widowControl/>
        <w:spacing w:line="360" w:lineRule="auto"/>
        <w:ind w:firstLine="420" w:firstLineChars="200"/>
        <w:jc w:val="left"/>
      </w:pPr>
      <w:r>
        <w:t>2）讲授过程和综合性报告中注重工程实例分析，使学生运用数学工具分析问题过程中理解其工程物理含义；</w:t>
      </w:r>
    </w:p>
    <w:p>
      <w:pPr>
        <w:widowControl/>
        <w:spacing w:line="360" w:lineRule="auto"/>
        <w:ind w:firstLine="420" w:firstLineChars="200"/>
        <w:jc w:val="left"/>
      </w:pPr>
      <w:r>
        <w:t>3）理论讲授和实验中穿插Matlab计算机辅助分析知识和应用的介绍。</w:t>
      </w:r>
    </w:p>
    <w:p>
      <w:pPr>
        <w:widowControl/>
        <w:spacing w:line="360" w:lineRule="auto"/>
        <w:ind w:left="426"/>
        <w:jc w:val="left"/>
        <w:rPr>
          <w:rFonts w:eastAsia="黑体"/>
          <w:snapToGrid w:val="0"/>
          <w:kern w:val="0"/>
        </w:rPr>
      </w:pPr>
      <w:r>
        <w:rPr>
          <w:rFonts w:eastAsia="黑体"/>
          <w:snapToGrid w:val="0"/>
          <w:kern w:val="0"/>
        </w:rPr>
        <w:t>1  信号与系统分析导论（3学时）</w:t>
      </w:r>
    </w:p>
    <w:p>
      <w:pPr>
        <w:widowControl/>
        <w:spacing w:line="360" w:lineRule="auto"/>
        <w:ind w:firstLine="420" w:firstLineChars="200"/>
        <w:rPr>
          <w:snapToGrid w:val="0"/>
          <w:kern w:val="0"/>
        </w:rPr>
      </w:pPr>
      <w:r>
        <w:rPr>
          <w:snapToGrid w:val="0"/>
          <w:kern w:val="0"/>
        </w:rPr>
        <w:t>1.1、理解信号、系统的基本概念及相互关系；</w:t>
      </w:r>
    </w:p>
    <w:p>
      <w:pPr>
        <w:widowControl/>
        <w:spacing w:line="360" w:lineRule="auto"/>
        <w:ind w:firstLine="420" w:firstLineChars="200"/>
        <w:jc w:val="left"/>
        <w:rPr>
          <w:snapToGrid w:val="0"/>
          <w:kern w:val="0"/>
        </w:rPr>
      </w:pPr>
      <w:r>
        <w:rPr>
          <w:snapToGrid w:val="0"/>
          <w:kern w:val="0"/>
        </w:rPr>
        <w:t>1.2、掌握信号的定义、描述及分类；</w:t>
      </w:r>
    </w:p>
    <w:p>
      <w:pPr>
        <w:widowControl/>
        <w:spacing w:line="360" w:lineRule="auto"/>
        <w:ind w:firstLine="420" w:firstLineChars="200"/>
        <w:jc w:val="left"/>
        <w:rPr>
          <w:snapToGrid w:val="0"/>
          <w:kern w:val="0"/>
        </w:rPr>
      </w:pPr>
      <w:r>
        <w:rPr>
          <w:snapToGrid w:val="0"/>
          <w:kern w:val="0"/>
        </w:rPr>
        <w:t>1.3、掌握系统的定义、描述、分类及联结；</w:t>
      </w:r>
    </w:p>
    <w:p>
      <w:pPr>
        <w:widowControl/>
        <w:spacing w:line="360" w:lineRule="auto"/>
        <w:ind w:firstLine="420" w:firstLineChars="200"/>
        <w:jc w:val="left"/>
        <w:rPr>
          <w:snapToGrid w:val="0"/>
          <w:kern w:val="0"/>
        </w:rPr>
      </w:pPr>
      <w:r>
        <w:rPr>
          <w:snapToGrid w:val="0"/>
          <w:kern w:val="0"/>
        </w:rPr>
        <w:t>1.4、熟悉信号与系统分析的基本方法和理论。</w:t>
      </w:r>
    </w:p>
    <w:p>
      <w:pPr>
        <w:widowControl/>
        <w:spacing w:line="360" w:lineRule="auto"/>
        <w:ind w:firstLine="422" w:firstLineChars="200"/>
        <w:jc w:val="left"/>
        <w:rPr>
          <w:snapToGrid w:val="0"/>
          <w:kern w:val="0"/>
        </w:rPr>
      </w:pPr>
      <w:r>
        <w:rPr>
          <w:b/>
          <w:snapToGrid w:val="0"/>
          <w:kern w:val="0"/>
        </w:rPr>
        <w:t>重点：</w:t>
      </w:r>
      <w:r>
        <w:rPr>
          <w:snapToGrid w:val="0"/>
          <w:kern w:val="0"/>
        </w:rPr>
        <w:t>连续信号及离散信号的特点；线性时不变系统的特性。</w:t>
      </w:r>
    </w:p>
    <w:p>
      <w:pPr>
        <w:widowControl/>
        <w:spacing w:line="360" w:lineRule="auto"/>
        <w:ind w:firstLine="422" w:firstLineChars="200"/>
        <w:jc w:val="left"/>
        <w:rPr>
          <w:snapToGrid w:val="0"/>
          <w:kern w:val="0"/>
        </w:rPr>
      </w:pPr>
      <w:r>
        <w:rPr>
          <w:b/>
          <w:snapToGrid w:val="0"/>
          <w:kern w:val="0"/>
        </w:rPr>
        <w:t>难点：</w:t>
      </w:r>
      <w:r>
        <w:rPr>
          <w:snapToGrid w:val="0"/>
          <w:kern w:val="0"/>
        </w:rPr>
        <w:t>线性系统、时变系统及因果系统的判断。</w:t>
      </w:r>
    </w:p>
    <w:p>
      <w:pPr>
        <w:widowControl/>
        <w:spacing w:line="360" w:lineRule="auto"/>
        <w:ind w:firstLine="422" w:firstLineChars="200"/>
        <w:jc w:val="left"/>
        <w:rPr>
          <w:snapToGrid w:val="0"/>
          <w:kern w:val="0"/>
        </w:rPr>
      </w:pPr>
      <w:r>
        <w:rPr>
          <w:b/>
          <w:snapToGrid w:val="0"/>
          <w:kern w:val="0"/>
        </w:rPr>
        <w:t>课程思政元素：</w:t>
      </w:r>
      <w:r>
        <w:rPr>
          <w:snapToGrid w:val="0"/>
          <w:kern w:val="0"/>
        </w:rPr>
        <w:t>结合系统的分类、联结及分析方法，引导学生深入理解马克思辩证唯物主义的系统观中普遍联系的观点、个体与整体的关系，体现马克思主义的理论自信。</w:t>
      </w:r>
    </w:p>
    <w:p>
      <w:pPr>
        <w:widowControl/>
        <w:spacing w:line="360" w:lineRule="auto"/>
        <w:ind w:firstLine="422" w:firstLineChars="200"/>
        <w:jc w:val="left"/>
        <w:rPr>
          <w:snapToGrid w:val="0"/>
          <w:kern w:val="0"/>
        </w:rPr>
      </w:pPr>
      <w:r>
        <w:rPr>
          <w:b/>
          <w:snapToGrid w:val="0"/>
          <w:kern w:val="0"/>
        </w:rPr>
        <w:t>教学方式：</w:t>
      </w:r>
      <w:r>
        <w:rPr>
          <w:snapToGrid w:val="0"/>
          <w:kern w:val="0"/>
        </w:rPr>
        <w:t>课堂教学3学时。</w:t>
      </w:r>
    </w:p>
    <w:p>
      <w:pPr>
        <w:widowControl/>
        <w:spacing w:line="360" w:lineRule="auto"/>
        <w:ind w:firstLine="420" w:firstLineChars="200"/>
        <w:jc w:val="left"/>
        <w:rPr>
          <w:snapToGrid w:val="0"/>
          <w:kern w:val="0"/>
        </w:rPr>
      </w:pPr>
      <w:r>
        <w:rPr>
          <w:bCs/>
          <w:snapToGrid w:val="0"/>
          <w:kern w:val="0"/>
          <w:szCs w:val="21"/>
        </w:rPr>
        <w:t>本章内容支撑课程目标1、2。</w:t>
      </w:r>
    </w:p>
    <w:p>
      <w:pPr>
        <w:widowControl/>
        <w:spacing w:line="360" w:lineRule="auto"/>
        <w:ind w:firstLine="420" w:firstLineChars="200"/>
        <w:jc w:val="left"/>
        <w:rPr>
          <w:rFonts w:eastAsia="黑体"/>
          <w:snapToGrid w:val="0"/>
          <w:kern w:val="0"/>
        </w:rPr>
      </w:pPr>
      <w:r>
        <w:rPr>
          <w:rFonts w:eastAsia="黑体"/>
          <w:snapToGrid w:val="0"/>
          <w:kern w:val="0"/>
        </w:rPr>
        <w:t>2  信号的时域分析（5学时）</w:t>
      </w:r>
    </w:p>
    <w:p>
      <w:pPr>
        <w:widowControl/>
        <w:spacing w:line="360" w:lineRule="auto"/>
        <w:ind w:firstLine="420" w:firstLineChars="200"/>
        <w:jc w:val="left"/>
        <w:rPr>
          <w:snapToGrid w:val="0"/>
          <w:kern w:val="0"/>
        </w:rPr>
      </w:pPr>
      <w:r>
        <w:rPr>
          <w:snapToGrid w:val="0"/>
          <w:kern w:val="0"/>
        </w:rPr>
        <w:t>2.1、掌握典型连续信号及离散信号的时域描述和基本运算；</w:t>
      </w:r>
    </w:p>
    <w:p>
      <w:pPr>
        <w:widowControl/>
        <w:spacing w:line="360" w:lineRule="auto"/>
        <w:ind w:firstLine="420" w:firstLineChars="200"/>
        <w:jc w:val="left"/>
        <w:rPr>
          <w:rFonts w:ascii="宋体"/>
          <w:snapToGrid w:val="0"/>
          <w:kern w:val="0"/>
        </w:rPr>
      </w:pPr>
      <w:r>
        <w:rPr>
          <w:snapToGrid w:val="0"/>
          <w:kern w:val="0"/>
        </w:rPr>
        <w:t>2.3、能够进行连续信号、离散信号的分解；</w:t>
      </w:r>
    </w:p>
    <w:p>
      <w:pPr>
        <w:widowControl/>
        <w:spacing w:line="360" w:lineRule="auto"/>
        <w:ind w:firstLine="420" w:firstLineChars="200"/>
        <w:jc w:val="left"/>
        <w:rPr>
          <w:snapToGrid w:val="0"/>
          <w:kern w:val="0"/>
        </w:rPr>
      </w:pPr>
      <w:r>
        <w:rPr>
          <w:snapToGrid w:val="0"/>
          <w:kern w:val="0"/>
        </w:rPr>
        <w:t>2.4、掌握确定信号的时域分解方法；</w:t>
      </w:r>
    </w:p>
    <w:p>
      <w:pPr>
        <w:widowControl/>
        <w:spacing w:line="360" w:lineRule="auto"/>
        <w:ind w:firstLine="420" w:firstLineChars="200"/>
        <w:jc w:val="left"/>
        <w:rPr>
          <w:snapToGrid w:val="0"/>
          <w:kern w:val="0"/>
        </w:rPr>
      </w:pPr>
      <w:r>
        <w:rPr>
          <w:snapToGrid w:val="0"/>
          <w:kern w:val="0"/>
        </w:rPr>
        <w:t>2.5、熟悉连续信号及离散信号的Matlab表示及运算。</w:t>
      </w:r>
    </w:p>
    <w:p>
      <w:pPr>
        <w:widowControl/>
        <w:spacing w:line="360" w:lineRule="auto"/>
        <w:ind w:left="424" w:leftChars="202"/>
        <w:jc w:val="left"/>
        <w:rPr>
          <w:snapToGrid w:val="0"/>
          <w:kern w:val="0"/>
        </w:rPr>
      </w:pPr>
      <w:r>
        <w:rPr>
          <w:b/>
          <w:snapToGrid w:val="0"/>
          <w:kern w:val="0"/>
        </w:rPr>
        <w:t>重点：</w:t>
      </w:r>
      <w:r>
        <w:rPr>
          <w:snapToGrid w:val="0"/>
          <w:kern w:val="0"/>
        </w:rPr>
        <w:t>典型连续信号的表示与特性，尤其是单位冲激信号的特性；连续信号的基本运算，尤其是卷积积分运算；任意信号分解为基本信号的线性组合，尤其是任意连续信号分解为冲激信号的线性组合。</w:t>
      </w:r>
    </w:p>
    <w:p>
      <w:pPr>
        <w:widowControl/>
        <w:spacing w:line="360" w:lineRule="auto"/>
        <w:ind w:left="424" w:leftChars="202"/>
        <w:jc w:val="left"/>
        <w:rPr>
          <w:snapToGrid w:val="0"/>
          <w:kern w:val="0"/>
        </w:rPr>
      </w:pPr>
      <w:r>
        <w:rPr>
          <w:b/>
          <w:snapToGrid w:val="0"/>
          <w:kern w:val="0"/>
        </w:rPr>
        <w:t>难点：</w:t>
      </w:r>
      <w:r>
        <w:rPr>
          <w:snapToGrid w:val="0"/>
          <w:kern w:val="0"/>
        </w:rPr>
        <w:t>单位冲激信号的特性；信号基本运算的组合；信号的卷积积分运算；任意信号分解为基本信号的线性组合。</w:t>
      </w:r>
    </w:p>
    <w:p>
      <w:pPr>
        <w:widowControl/>
        <w:spacing w:line="360" w:lineRule="auto"/>
        <w:ind w:firstLine="422" w:firstLineChars="200"/>
        <w:jc w:val="left"/>
        <w:rPr>
          <w:snapToGrid w:val="0"/>
          <w:kern w:val="0"/>
        </w:rPr>
      </w:pPr>
      <w:r>
        <w:rPr>
          <w:b/>
          <w:snapToGrid w:val="0"/>
          <w:kern w:val="0"/>
        </w:rPr>
        <w:t>教学方式：</w:t>
      </w:r>
      <w:r>
        <w:rPr>
          <w:snapToGrid w:val="0"/>
          <w:kern w:val="0"/>
        </w:rPr>
        <w:t>课堂讲授5学时，实验教学2学时。</w:t>
      </w:r>
    </w:p>
    <w:p>
      <w:pPr>
        <w:widowControl/>
        <w:spacing w:line="360" w:lineRule="auto"/>
        <w:ind w:firstLine="420" w:firstLineChars="200"/>
        <w:jc w:val="left"/>
        <w:rPr>
          <w:snapToGrid w:val="0"/>
          <w:kern w:val="0"/>
        </w:rPr>
      </w:pPr>
      <w:r>
        <w:rPr>
          <w:bCs/>
          <w:snapToGrid w:val="0"/>
          <w:kern w:val="0"/>
          <w:szCs w:val="21"/>
        </w:rPr>
        <w:t>本章内容支撑课程目标1、2。</w:t>
      </w:r>
    </w:p>
    <w:p>
      <w:pPr>
        <w:widowControl/>
        <w:spacing w:line="360" w:lineRule="auto"/>
        <w:ind w:firstLine="420" w:firstLineChars="200"/>
        <w:jc w:val="left"/>
        <w:rPr>
          <w:rFonts w:eastAsia="黑体"/>
          <w:snapToGrid w:val="0"/>
          <w:kern w:val="0"/>
        </w:rPr>
      </w:pPr>
      <w:r>
        <w:rPr>
          <w:rFonts w:eastAsia="黑体"/>
          <w:snapToGrid w:val="0"/>
          <w:kern w:val="0"/>
        </w:rPr>
        <w:t>3  系统的时域分析（6学时）</w:t>
      </w:r>
    </w:p>
    <w:p>
      <w:pPr>
        <w:widowControl/>
        <w:spacing w:line="360" w:lineRule="auto"/>
        <w:ind w:firstLine="420" w:firstLineChars="200"/>
        <w:jc w:val="left"/>
        <w:rPr>
          <w:snapToGrid w:val="0"/>
          <w:kern w:val="0"/>
        </w:rPr>
      </w:pPr>
      <w:r>
        <w:rPr>
          <w:snapToGrid w:val="0"/>
          <w:kern w:val="0"/>
        </w:rPr>
        <w:t>3.1、线性时不变系统的描述、特点及时域分析的基本思路与方法；</w:t>
      </w:r>
    </w:p>
    <w:p>
      <w:pPr>
        <w:widowControl/>
        <w:spacing w:line="360" w:lineRule="auto"/>
        <w:ind w:firstLine="420" w:firstLineChars="200"/>
        <w:jc w:val="left"/>
        <w:rPr>
          <w:snapToGrid w:val="0"/>
          <w:kern w:val="0"/>
        </w:rPr>
      </w:pPr>
      <w:r>
        <w:rPr>
          <w:snapToGrid w:val="0"/>
          <w:kern w:val="0"/>
        </w:rPr>
        <w:t>3.2、理解并学会线性常系数微分方程及线性常系数差分方程解方法及其数学概念；</w:t>
      </w:r>
    </w:p>
    <w:p>
      <w:pPr>
        <w:widowControl/>
        <w:spacing w:line="360" w:lineRule="auto"/>
        <w:ind w:left="424" w:leftChars="202"/>
        <w:jc w:val="left"/>
        <w:rPr>
          <w:snapToGrid w:val="0"/>
          <w:kern w:val="0"/>
        </w:rPr>
      </w:pPr>
      <w:r>
        <w:rPr>
          <w:snapToGrid w:val="0"/>
          <w:kern w:val="0"/>
        </w:rPr>
        <w:t>3.3、理解并学会连续LTI系统响应分解的物理概念、工程意义及其与微分方程解的关系；</w:t>
      </w:r>
    </w:p>
    <w:p>
      <w:pPr>
        <w:widowControl/>
        <w:spacing w:line="360" w:lineRule="auto"/>
        <w:ind w:firstLine="420" w:firstLineChars="200"/>
        <w:jc w:val="left"/>
        <w:rPr>
          <w:snapToGrid w:val="0"/>
          <w:kern w:val="0"/>
        </w:rPr>
      </w:pPr>
      <w:r>
        <w:rPr>
          <w:snapToGrid w:val="0"/>
          <w:kern w:val="0"/>
        </w:rPr>
        <w:t>3.4、理解掌握连续系统的单位冲激响应的概念及其求解方法；</w:t>
      </w:r>
    </w:p>
    <w:p>
      <w:pPr>
        <w:widowControl/>
        <w:spacing w:line="360" w:lineRule="auto"/>
        <w:ind w:firstLine="420" w:firstLineChars="200"/>
        <w:jc w:val="left"/>
        <w:rPr>
          <w:snapToGrid w:val="0"/>
          <w:kern w:val="0"/>
        </w:rPr>
      </w:pPr>
      <w:r>
        <w:rPr>
          <w:snapToGrid w:val="0"/>
          <w:kern w:val="0"/>
        </w:rPr>
        <w:t>3.5、熟练掌握卷积积分及用卷积积分求解连续系统零状态响应的方法及物理意义；</w:t>
      </w:r>
    </w:p>
    <w:p>
      <w:pPr>
        <w:widowControl/>
        <w:spacing w:line="360" w:lineRule="auto"/>
        <w:ind w:firstLine="420" w:firstLineChars="200"/>
        <w:jc w:val="left"/>
        <w:rPr>
          <w:snapToGrid w:val="0"/>
          <w:kern w:val="0"/>
        </w:rPr>
      </w:pPr>
      <w:r>
        <w:rPr>
          <w:snapToGrid w:val="0"/>
          <w:kern w:val="0"/>
        </w:rPr>
        <w:t>3.6、掌握系统联结方式及其冲激响应描述，理解其物理意义；</w:t>
      </w:r>
    </w:p>
    <w:p>
      <w:pPr>
        <w:widowControl/>
        <w:spacing w:line="360" w:lineRule="auto"/>
        <w:ind w:firstLine="420" w:firstLineChars="200"/>
        <w:jc w:val="left"/>
        <w:rPr>
          <w:snapToGrid w:val="0"/>
          <w:kern w:val="0"/>
        </w:rPr>
      </w:pPr>
      <w:r>
        <w:rPr>
          <w:snapToGrid w:val="0"/>
          <w:kern w:val="0"/>
        </w:rPr>
        <w:t>3.7、学会基于Matlab的系统时域分析方法。</w:t>
      </w:r>
    </w:p>
    <w:p>
      <w:pPr>
        <w:widowControl/>
        <w:spacing w:line="360" w:lineRule="auto"/>
        <w:ind w:left="424" w:leftChars="202"/>
        <w:jc w:val="left"/>
        <w:rPr>
          <w:snapToGrid w:val="0"/>
          <w:kern w:val="0"/>
        </w:rPr>
      </w:pPr>
      <w:r>
        <w:rPr>
          <w:b/>
          <w:snapToGrid w:val="0"/>
          <w:kern w:val="0"/>
        </w:rPr>
        <w:t>重点：</w:t>
      </w:r>
      <w:r>
        <w:rPr>
          <w:snapToGrid w:val="0"/>
          <w:kern w:val="0"/>
        </w:rPr>
        <w:t>连续线性时不变(LTI)系统的特性；连续LTI系统单位冲激响应的求解；用卷积法计算连续LTI系统零状态响应。</w:t>
      </w:r>
    </w:p>
    <w:p>
      <w:pPr>
        <w:widowControl/>
        <w:spacing w:line="360" w:lineRule="auto"/>
        <w:ind w:firstLine="422" w:firstLineChars="200"/>
        <w:jc w:val="left"/>
        <w:rPr>
          <w:snapToGrid w:val="0"/>
          <w:kern w:val="0"/>
        </w:rPr>
      </w:pPr>
      <w:r>
        <w:rPr>
          <w:b/>
          <w:snapToGrid w:val="0"/>
          <w:kern w:val="0"/>
        </w:rPr>
        <w:t>难点：</w:t>
      </w:r>
      <w:r>
        <w:rPr>
          <w:snapToGrid w:val="0"/>
          <w:kern w:val="0"/>
        </w:rPr>
        <w:t>卷积积分物理工程概念；系统零输入响应、零状态响应的物理工程概念。</w:t>
      </w:r>
    </w:p>
    <w:p>
      <w:pPr>
        <w:widowControl/>
        <w:spacing w:line="360" w:lineRule="auto"/>
        <w:ind w:firstLine="422" w:firstLineChars="200"/>
        <w:jc w:val="left"/>
        <w:rPr>
          <w:snapToGrid w:val="0"/>
          <w:kern w:val="0"/>
        </w:rPr>
      </w:pPr>
      <w:r>
        <w:rPr>
          <w:b/>
          <w:snapToGrid w:val="0"/>
          <w:kern w:val="0"/>
        </w:rPr>
        <w:t>课程思政元素：</w:t>
      </w:r>
      <w:r>
        <w:rPr>
          <w:snapToGrid w:val="0"/>
          <w:kern w:val="0"/>
        </w:rPr>
        <w:t>结合系统零输入响应、零状态响应及单位冲激响应，引导学生深入理解马克思主义的系统观中事物的发展变化是内因和外因共同作用的结果。但它们的作用和地位是不同的。内因是事物发展变化的根据，它规定事物发展的方向，是事物发展的根本动力；外因是事物发展的条件，一般起加速或延缓事物发展的作用。外因必须通过内因才能起作用。</w:t>
      </w:r>
    </w:p>
    <w:p>
      <w:pPr>
        <w:widowControl/>
        <w:spacing w:line="360" w:lineRule="auto"/>
        <w:ind w:firstLine="422" w:firstLineChars="200"/>
        <w:jc w:val="left"/>
        <w:rPr>
          <w:snapToGrid w:val="0"/>
          <w:kern w:val="0"/>
        </w:rPr>
      </w:pPr>
      <w:r>
        <w:rPr>
          <w:b/>
          <w:snapToGrid w:val="0"/>
          <w:kern w:val="0"/>
        </w:rPr>
        <w:t>教学方式：</w:t>
      </w:r>
      <w:r>
        <w:rPr>
          <w:snapToGrid w:val="0"/>
          <w:kern w:val="0"/>
        </w:rPr>
        <w:t>课堂讲授6学时，实验教学2学时。</w:t>
      </w:r>
    </w:p>
    <w:p>
      <w:pPr>
        <w:widowControl/>
        <w:spacing w:line="360" w:lineRule="auto"/>
        <w:ind w:firstLine="420" w:firstLineChars="200"/>
        <w:jc w:val="left"/>
        <w:rPr>
          <w:snapToGrid w:val="0"/>
          <w:kern w:val="0"/>
        </w:rPr>
      </w:pPr>
      <w:r>
        <w:rPr>
          <w:bCs/>
          <w:snapToGrid w:val="0"/>
          <w:kern w:val="0"/>
          <w:szCs w:val="21"/>
        </w:rPr>
        <w:t>本章内容支撑课程目标1、2、3、4。</w:t>
      </w:r>
    </w:p>
    <w:p>
      <w:pPr>
        <w:widowControl/>
        <w:spacing w:line="360" w:lineRule="auto"/>
        <w:ind w:firstLine="420" w:firstLineChars="200"/>
        <w:jc w:val="left"/>
        <w:rPr>
          <w:rFonts w:eastAsia="黑体"/>
          <w:snapToGrid w:val="0"/>
          <w:kern w:val="0"/>
        </w:rPr>
      </w:pPr>
      <w:r>
        <w:rPr>
          <w:rFonts w:eastAsia="黑体"/>
          <w:snapToGrid w:val="0"/>
          <w:kern w:val="0"/>
        </w:rPr>
        <w:t>4  连续信号的频域分析（10学时）</w:t>
      </w:r>
    </w:p>
    <w:p>
      <w:pPr>
        <w:widowControl/>
        <w:spacing w:line="360" w:lineRule="auto"/>
        <w:ind w:firstLine="420" w:firstLineChars="200"/>
        <w:jc w:val="left"/>
        <w:rPr>
          <w:snapToGrid w:val="0"/>
          <w:kern w:val="0"/>
        </w:rPr>
      </w:pPr>
      <w:r>
        <w:rPr>
          <w:snapToGrid w:val="0"/>
          <w:kern w:val="0"/>
        </w:rPr>
        <w:t>4.1、掌握连续时间周期信号的傅里叶级数定义、基本性质及物理意义；</w:t>
      </w:r>
    </w:p>
    <w:p>
      <w:pPr>
        <w:widowControl/>
        <w:spacing w:line="360" w:lineRule="auto"/>
        <w:ind w:firstLine="420" w:firstLineChars="200"/>
        <w:jc w:val="left"/>
        <w:rPr>
          <w:snapToGrid w:val="0"/>
          <w:kern w:val="0"/>
        </w:rPr>
      </w:pPr>
      <w:r>
        <w:rPr>
          <w:snapToGrid w:val="0"/>
          <w:kern w:val="0"/>
        </w:rPr>
        <w:t>4.2、理解连续时间周期信号的频谱概念；</w:t>
      </w:r>
    </w:p>
    <w:p>
      <w:pPr>
        <w:widowControl/>
        <w:spacing w:line="360" w:lineRule="auto"/>
        <w:ind w:firstLine="420" w:firstLineChars="200"/>
        <w:jc w:val="left"/>
        <w:rPr>
          <w:snapToGrid w:val="0"/>
          <w:kern w:val="0"/>
        </w:rPr>
      </w:pPr>
      <w:r>
        <w:rPr>
          <w:snapToGrid w:val="0"/>
          <w:kern w:val="0"/>
        </w:rPr>
        <w:t>4.3、掌握连续时间信号的傅里叶变换定义、基本性质及物理意义；</w:t>
      </w:r>
    </w:p>
    <w:p>
      <w:pPr>
        <w:widowControl/>
        <w:spacing w:line="360" w:lineRule="auto"/>
        <w:ind w:firstLine="420" w:firstLineChars="200"/>
        <w:jc w:val="left"/>
        <w:rPr>
          <w:snapToGrid w:val="0"/>
          <w:kern w:val="0"/>
        </w:rPr>
      </w:pPr>
      <w:r>
        <w:rPr>
          <w:snapToGrid w:val="0"/>
          <w:kern w:val="0"/>
        </w:rPr>
        <w:t>4.4、理解连续时间信号的有效带宽、频谱概念及其物理意义；</w:t>
      </w:r>
    </w:p>
    <w:p>
      <w:pPr>
        <w:widowControl/>
        <w:spacing w:line="360" w:lineRule="auto"/>
        <w:ind w:firstLine="420" w:firstLineChars="200"/>
        <w:jc w:val="left"/>
        <w:rPr>
          <w:snapToGrid w:val="0"/>
          <w:kern w:val="0"/>
        </w:rPr>
      </w:pPr>
      <w:r>
        <w:rPr>
          <w:snapToGrid w:val="0"/>
          <w:kern w:val="0"/>
        </w:rPr>
        <w:t>4.5、学会利用MATLAB进行周期信号和非周期信号的频域分析方法。</w:t>
      </w:r>
    </w:p>
    <w:p>
      <w:pPr>
        <w:widowControl/>
        <w:spacing w:line="360" w:lineRule="auto"/>
        <w:ind w:left="424" w:leftChars="202"/>
        <w:jc w:val="left"/>
        <w:rPr>
          <w:snapToGrid w:val="0"/>
          <w:kern w:val="0"/>
        </w:rPr>
      </w:pPr>
      <w:r>
        <w:rPr>
          <w:b/>
          <w:snapToGrid w:val="0"/>
          <w:kern w:val="0"/>
        </w:rPr>
        <w:t>重点：</w:t>
      </w:r>
      <w:r>
        <w:rPr>
          <w:snapToGrid w:val="0"/>
          <w:kern w:val="0"/>
        </w:rPr>
        <w:t>从数学概念、物理概念及工程概念深刻理解连续周期信号、连续非周期信号的频谱概念，以及信号时域与频域的关系；连续时间周期信号频谱的计算；连续时间信号傅里叶变换的基本性质、物理含义及应用，连续时间非周期信号频谱的计算；抽样信号频谱的特点，连续时间信号离散化与抽样定理的内容及其意义。</w:t>
      </w:r>
    </w:p>
    <w:p>
      <w:pPr>
        <w:widowControl/>
        <w:spacing w:line="360" w:lineRule="auto"/>
        <w:ind w:left="424" w:leftChars="202"/>
        <w:jc w:val="left"/>
        <w:rPr>
          <w:snapToGrid w:val="0"/>
          <w:kern w:val="0"/>
        </w:rPr>
      </w:pPr>
      <w:r>
        <w:rPr>
          <w:b/>
          <w:snapToGrid w:val="0"/>
          <w:kern w:val="0"/>
        </w:rPr>
        <w:t>难点：</w:t>
      </w:r>
      <w:r>
        <w:rPr>
          <w:snapToGrid w:val="0"/>
          <w:kern w:val="0"/>
        </w:rPr>
        <w:t>连续时间信号傅里叶变换的基本性质、物理含义；连续信号的频谱概念及频谱分析方法。</w:t>
      </w:r>
    </w:p>
    <w:p>
      <w:pPr>
        <w:widowControl/>
        <w:spacing w:line="360" w:lineRule="auto"/>
        <w:ind w:firstLine="422" w:firstLineChars="200"/>
        <w:jc w:val="left"/>
        <w:rPr>
          <w:snapToGrid w:val="0"/>
          <w:kern w:val="0"/>
        </w:rPr>
      </w:pPr>
      <w:r>
        <w:rPr>
          <w:b/>
          <w:snapToGrid w:val="0"/>
          <w:kern w:val="0"/>
        </w:rPr>
        <w:t>教学方式：</w:t>
      </w:r>
      <w:r>
        <w:rPr>
          <w:snapToGrid w:val="0"/>
          <w:kern w:val="0"/>
        </w:rPr>
        <w:t>课堂讲授10学时，实验教学2学时。</w:t>
      </w:r>
    </w:p>
    <w:p>
      <w:pPr>
        <w:widowControl/>
        <w:spacing w:line="360" w:lineRule="auto"/>
        <w:ind w:firstLine="420" w:firstLineChars="200"/>
        <w:jc w:val="left"/>
        <w:rPr>
          <w:snapToGrid w:val="0"/>
          <w:kern w:val="0"/>
        </w:rPr>
      </w:pPr>
      <w:r>
        <w:rPr>
          <w:bCs/>
          <w:snapToGrid w:val="0"/>
          <w:kern w:val="0"/>
          <w:szCs w:val="21"/>
        </w:rPr>
        <w:t>本章内容支撑课程目标1、2、3、4。</w:t>
      </w:r>
    </w:p>
    <w:p>
      <w:pPr>
        <w:widowControl/>
        <w:spacing w:line="360" w:lineRule="auto"/>
        <w:ind w:firstLine="420" w:firstLineChars="200"/>
        <w:jc w:val="left"/>
        <w:rPr>
          <w:rFonts w:eastAsia="黑体"/>
          <w:snapToGrid w:val="0"/>
          <w:kern w:val="0"/>
        </w:rPr>
      </w:pPr>
      <w:r>
        <w:rPr>
          <w:rFonts w:eastAsia="黑体"/>
          <w:snapToGrid w:val="0"/>
          <w:kern w:val="0"/>
        </w:rPr>
        <w:t>5  连续系统的频域分析（8学时）</w:t>
      </w:r>
    </w:p>
    <w:p>
      <w:pPr>
        <w:widowControl/>
        <w:spacing w:line="360" w:lineRule="auto"/>
        <w:ind w:firstLine="420" w:firstLineChars="200"/>
        <w:jc w:val="left"/>
        <w:rPr>
          <w:snapToGrid w:val="0"/>
          <w:kern w:val="0"/>
        </w:rPr>
      </w:pPr>
      <w:r>
        <w:rPr>
          <w:snapToGrid w:val="0"/>
          <w:kern w:val="0"/>
        </w:rPr>
        <w:t>5.1、理解连续信号通过系统响应频谱分析思路与方法；</w:t>
      </w:r>
    </w:p>
    <w:p>
      <w:pPr>
        <w:widowControl/>
        <w:spacing w:line="360" w:lineRule="auto"/>
        <w:ind w:firstLine="420" w:firstLineChars="200"/>
        <w:jc w:val="left"/>
        <w:rPr>
          <w:snapToGrid w:val="0"/>
          <w:kern w:val="0"/>
        </w:rPr>
      </w:pPr>
      <w:r>
        <w:rPr>
          <w:snapToGrid w:val="0"/>
          <w:kern w:val="0"/>
        </w:rPr>
        <w:t>5.2、理解并学会连续LTI系统的频率响应的概念、物理意义及工程应用；</w:t>
      </w:r>
    </w:p>
    <w:p>
      <w:pPr>
        <w:widowControl/>
        <w:spacing w:line="360" w:lineRule="auto"/>
        <w:ind w:firstLine="420" w:firstLineChars="200"/>
        <w:jc w:val="left"/>
        <w:rPr>
          <w:snapToGrid w:val="0"/>
          <w:kern w:val="0"/>
        </w:rPr>
      </w:pPr>
      <w:r>
        <w:rPr>
          <w:snapToGrid w:val="0"/>
          <w:kern w:val="0"/>
        </w:rPr>
        <w:t>5.3、理解无失真传输系统的定义及特征；</w:t>
      </w:r>
    </w:p>
    <w:p>
      <w:pPr>
        <w:widowControl/>
        <w:spacing w:line="360" w:lineRule="auto"/>
        <w:ind w:firstLine="420" w:firstLineChars="200"/>
        <w:jc w:val="left"/>
        <w:rPr>
          <w:snapToGrid w:val="0"/>
          <w:kern w:val="0"/>
        </w:rPr>
      </w:pPr>
      <w:r>
        <w:rPr>
          <w:snapToGrid w:val="0"/>
          <w:kern w:val="0"/>
        </w:rPr>
        <w:t>5.4、掌握理想低通滤波器的定义、特征及其冲激响应、阶跃响应的分析方法；</w:t>
      </w:r>
    </w:p>
    <w:p>
      <w:pPr>
        <w:widowControl/>
        <w:spacing w:line="360" w:lineRule="auto"/>
        <w:ind w:firstLine="420" w:firstLineChars="200"/>
        <w:jc w:val="left"/>
        <w:rPr>
          <w:snapToGrid w:val="0"/>
          <w:kern w:val="0"/>
        </w:rPr>
      </w:pPr>
      <w:r>
        <w:rPr>
          <w:snapToGrid w:val="0"/>
          <w:kern w:val="0"/>
        </w:rPr>
        <w:t>5.5、理解时域抽样定理的工程概念；</w:t>
      </w:r>
    </w:p>
    <w:p>
      <w:pPr>
        <w:widowControl/>
        <w:spacing w:line="360" w:lineRule="auto"/>
        <w:ind w:firstLine="420" w:firstLineChars="200"/>
        <w:jc w:val="left"/>
        <w:rPr>
          <w:snapToGrid w:val="0"/>
          <w:kern w:val="0"/>
        </w:rPr>
      </w:pPr>
      <w:r>
        <w:rPr>
          <w:snapToGrid w:val="0"/>
          <w:kern w:val="0"/>
        </w:rPr>
        <w:t>5.6、学会利用MATLAB进行连续系统频域分析方法。</w:t>
      </w:r>
    </w:p>
    <w:p>
      <w:pPr>
        <w:widowControl/>
        <w:spacing w:line="360" w:lineRule="auto"/>
        <w:ind w:left="424" w:leftChars="202"/>
        <w:jc w:val="left"/>
        <w:rPr>
          <w:snapToGrid w:val="0"/>
          <w:kern w:val="0"/>
        </w:rPr>
      </w:pPr>
      <w:r>
        <w:rPr>
          <w:b/>
          <w:snapToGrid w:val="0"/>
          <w:kern w:val="0"/>
        </w:rPr>
        <w:t>重点：</w:t>
      </w:r>
      <w:r>
        <w:rPr>
          <w:snapToGrid w:val="0"/>
          <w:kern w:val="0"/>
        </w:rPr>
        <w:t>连续系统特性的频域表示(频率响应)；虚指数信号通过系统响应的特点，及任意信号通过系统响应的频域分析；无失真系统与理想低通滤波器的时、频特性；时域抽样定理的工程概念</w:t>
      </w:r>
    </w:p>
    <w:p>
      <w:pPr>
        <w:widowControl/>
        <w:spacing w:line="360" w:lineRule="auto"/>
        <w:ind w:left="424" w:leftChars="202"/>
        <w:jc w:val="left"/>
        <w:rPr>
          <w:snapToGrid w:val="0"/>
          <w:kern w:val="0"/>
        </w:rPr>
      </w:pPr>
      <w:r>
        <w:rPr>
          <w:b/>
          <w:snapToGrid w:val="0"/>
          <w:kern w:val="0"/>
        </w:rPr>
        <w:t>难点：</w:t>
      </w:r>
      <w:r>
        <w:rPr>
          <w:snapToGrid w:val="0"/>
          <w:kern w:val="0"/>
        </w:rPr>
        <w:t>周期信号通过系统响应的频域分析；非周期信号进行频域分析的思路；时域抽样定理的理论基础。</w:t>
      </w:r>
    </w:p>
    <w:p>
      <w:pPr>
        <w:widowControl/>
        <w:spacing w:line="360" w:lineRule="auto"/>
        <w:ind w:firstLine="422" w:firstLineChars="200"/>
        <w:jc w:val="left"/>
        <w:rPr>
          <w:snapToGrid w:val="0"/>
          <w:kern w:val="0"/>
        </w:rPr>
      </w:pPr>
      <w:r>
        <w:rPr>
          <w:b/>
          <w:snapToGrid w:val="0"/>
          <w:kern w:val="0"/>
        </w:rPr>
        <w:t>教学方式：</w:t>
      </w:r>
      <w:r>
        <w:rPr>
          <w:snapToGrid w:val="0"/>
          <w:kern w:val="0"/>
        </w:rPr>
        <w:t>课堂讲授8学时。</w:t>
      </w:r>
    </w:p>
    <w:p>
      <w:pPr>
        <w:widowControl/>
        <w:spacing w:line="360" w:lineRule="auto"/>
        <w:ind w:firstLine="420" w:firstLineChars="200"/>
        <w:jc w:val="left"/>
        <w:rPr>
          <w:snapToGrid w:val="0"/>
          <w:kern w:val="0"/>
        </w:rPr>
      </w:pPr>
      <w:r>
        <w:rPr>
          <w:bCs/>
          <w:snapToGrid w:val="0"/>
          <w:kern w:val="0"/>
          <w:szCs w:val="21"/>
        </w:rPr>
        <w:t>本章内容支撑课程目标1、2、3、4。</w:t>
      </w:r>
    </w:p>
    <w:p>
      <w:pPr>
        <w:widowControl/>
        <w:spacing w:line="360" w:lineRule="auto"/>
        <w:ind w:firstLine="420" w:firstLineChars="200"/>
        <w:jc w:val="left"/>
        <w:rPr>
          <w:rFonts w:eastAsia="黑体"/>
          <w:snapToGrid w:val="0"/>
          <w:kern w:val="0"/>
        </w:rPr>
      </w:pPr>
      <w:r>
        <w:rPr>
          <w:rFonts w:eastAsia="黑体"/>
          <w:snapToGrid w:val="0"/>
          <w:kern w:val="0"/>
        </w:rPr>
        <w:t>6  连续时间信号与系统的复频域分析（8学时）</w:t>
      </w:r>
    </w:p>
    <w:p>
      <w:pPr>
        <w:widowControl/>
        <w:spacing w:line="360" w:lineRule="auto"/>
        <w:ind w:firstLine="420" w:firstLineChars="200"/>
        <w:jc w:val="left"/>
        <w:rPr>
          <w:snapToGrid w:val="0"/>
          <w:kern w:val="0"/>
        </w:rPr>
      </w:pPr>
      <w:r>
        <w:rPr>
          <w:snapToGrid w:val="0"/>
          <w:kern w:val="0"/>
        </w:rPr>
        <w:t>6.1、理解拉普拉斯变换的概念及其工程意义；</w:t>
      </w:r>
    </w:p>
    <w:p>
      <w:pPr>
        <w:widowControl/>
        <w:spacing w:line="360" w:lineRule="auto"/>
        <w:ind w:firstLine="420" w:firstLineChars="200"/>
        <w:jc w:val="left"/>
        <w:rPr>
          <w:snapToGrid w:val="0"/>
          <w:kern w:val="0"/>
        </w:rPr>
      </w:pPr>
      <w:r>
        <w:rPr>
          <w:snapToGrid w:val="0"/>
          <w:kern w:val="0"/>
        </w:rPr>
        <w:t>6.2、掌握拉普拉斯变换的定义、收敛域、基本性质及其与傅里叶变换的联系；</w:t>
      </w:r>
    </w:p>
    <w:p>
      <w:pPr>
        <w:widowControl/>
        <w:spacing w:line="360" w:lineRule="auto"/>
        <w:ind w:firstLine="420" w:firstLineChars="200"/>
        <w:jc w:val="left"/>
        <w:rPr>
          <w:snapToGrid w:val="0"/>
          <w:kern w:val="0"/>
        </w:rPr>
      </w:pPr>
      <w:r>
        <w:rPr>
          <w:snapToGrid w:val="0"/>
          <w:kern w:val="0"/>
        </w:rPr>
        <w:t>6.3、掌握拉普拉斯逆变换方法；</w:t>
      </w:r>
    </w:p>
    <w:p>
      <w:pPr>
        <w:widowControl/>
        <w:spacing w:line="360" w:lineRule="auto"/>
        <w:ind w:firstLine="420" w:firstLineChars="200"/>
        <w:jc w:val="left"/>
        <w:rPr>
          <w:snapToGrid w:val="0"/>
          <w:kern w:val="0"/>
        </w:rPr>
      </w:pPr>
      <w:r>
        <w:rPr>
          <w:snapToGrid w:val="0"/>
          <w:kern w:val="0"/>
        </w:rPr>
        <w:t>6.4、理解并学会连续系统的复频域求解思路及方法；</w:t>
      </w:r>
    </w:p>
    <w:p>
      <w:pPr>
        <w:widowControl/>
        <w:spacing w:line="360" w:lineRule="auto"/>
        <w:ind w:firstLine="420" w:firstLineChars="200"/>
        <w:jc w:val="left"/>
        <w:rPr>
          <w:snapToGrid w:val="0"/>
          <w:kern w:val="0"/>
        </w:rPr>
      </w:pPr>
      <w:r>
        <w:rPr>
          <w:snapToGrid w:val="0"/>
          <w:kern w:val="0"/>
        </w:rPr>
        <w:t>6.5、理解系统函数的定义及工程意义；</w:t>
      </w:r>
    </w:p>
    <w:p>
      <w:pPr>
        <w:widowControl/>
        <w:spacing w:line="360" w:lineRule="auto"/>
        <w:ind w:firstLine="420" w:firstLineChars="200"/>
        <w:jc w:val="left"/>
        <w:rPr>
          <w:snapToGrid w:val="0"/>
          <w:kern w:val="0"/>
        </w:rPr>
      </w:pPr>
      <w:r>
        <w:rPr>
          <w:snapToGrid w:val="0"/>
          <w:kern w:val="0"/>
        </w:rPr>
        <w:t>6.6、学会系统函数描述形式、零极点分布图、系统频率特性的分析方法；</w:t>
      </w:r>
    </w:p>
    <w:p>
      <w:pPr>
        <w:widowControl/>
        <w:spacing w:line="360" w:lineRule="auto"/>
        <w:ind w:firstLine="420" w:firstLineChars="200"/>
        <w:jc w:val="left"/>
        <w:rPr>
          <w:snapToGrid w:val="0"/>
          <w:kern w:val="0"/>
        </w:rPr>
      </w:pPr>
      <w:r>
        <w:rPr>
          <w:snapToGrid w:val="0"/>
          <w:kern w:val="0"/>
        </w:rPr>
        <w:t>6.7、连续系统的联结与模拟的系统函数描述；</w:t>
      </w:r>
    </w:p>
    <w:p>
      <w:pPr>
        <w:widowControl/>
        <w:spacing w:line="360" w:lineRule="auto"/>
        <w:ind w:firstLine="420" w:firstLineChars="200"/>
        <w:jc w:val="left"/>
        <w:rPr>
          <w:snapToGrid w:val="0"/>
          <w:kern w:val="0"/>
        </w:rPr>
      </w:pPr>
      <w:r>
        <w:rPr>
          <w:snapToGrid w:val="0"/>
          <w:kern w:val="0"/>
        </w:rPr>
        <w:t>6.8、学会利用MATLAB进行连续系统复频域分析方法。</w:t>
      </w:r>
    </w:p>
    <w:p>
      <w:pPr>
        <w:widowControl/>
        <w:spacing w:line="360" w:lineRule="auto"/>
        <w:ind w:left="424" w:leftChars="202"/>
        <w:jc w:val="left"/>
        <w:rPr>
          <w:rFonts w:ascii="宋体" w:hAnsi="宋体" w:cs="宋体"/>
          <w:snapToGrid w:val="0"/>
          <w:kern w:val="0"/>
        </w:rPr>
      </w:pPr>
      <w:r>
        <w:rPr>
          <w:b/>
          <w:snapToGrid w:val="0"/>
          <w:kern w:val="0"/>
        </w:rPr>
        <w:t>重点：</w:t>
      </w:r>
      <w:r>
        <w:rPr>
          <w:snapToGrid w:val="0"/>
          <w:kern w:val="0"/>
        </w:rPr>
        <w:t>单边拉普拉斯变换及其基本性质和拉普拉斯反变换；连续LTI系统完全响应的复频域求解；系统函数及其与系统特性（冲激响应、频率响应、因果性、稳定性）的关系；连续LTI系统的模拟框图</w:t>
      </w:r>
      <w:r>
        <w:rPr>
          <w:rFonts w:hint="eastAsia" w:ascii="宋体" w:hAnsi="宋体" w:cs="宋体"/>
          <w:snapToGrid w:val="0"/>
          <w:kern w:val="0"/>
        </w:rPr>
        <w:t>。</w:t>
      </w:r>
    </w:p>
    <w:p>
      <w:pPr>
        <w:widowControl/>
        <w:spacing w:line="360" w:lineRule="auto"/>
        <w:ind w:left="424" w:leftChars="202"/>
        <w:jc w:val="left"/>
        <w:rPr>
          <w:snapToGrid w:val="0"/>
          <w:kern w:val="0"/>
        </w:rPr>
      </w:pPr>
      <w:r>
        <w:rPr>
          <w:b/>
          <w:snapToGrid w:val="0"/>
          <w:kern w:val="0"/>
        </w:rPr>
        <w:t>难点：</w:t>
      </w:r>
      <w:r>
        <w:rPr>
          <w:snapToGrid w:val="0"/>
          <w:kern w:val="0"/>
        </w:rPr>
        <w:t>系统函数、系统零极点分布图与系统频率响应的关系。</w:t>
      </w:r>
    </w:p>
    <w:p>
      <w:pPr>
        <w:widowControl/>
        <w:spacing w:line="360" w:lineRule="auto"/>
        <w:ind w:left="424" w:leftChars="202"/>
        <w:jc w:val="left"/>
        <w:rPr>
          <w:snapToGrid w:val="0"/>
          <w:kern w:val="0"/>
        </w:rPr>
      </w:pPr>
      <w:r>
        <w:rPr>
          <w:b/>
          <w:snapToGrid w:val="0"/>
          <w:kern w:val="0"/>
        </w:rPr>
        <w:t>教学方式：</w:t>
      </w:r>
      <w:r>
        <w:rPr>
          <w:snapToGrid w:val="0"/>
          <w:kern w:val="0"/>
        </w:rPr>
        <w:t>课堂讲授8学时，实验教学2学时。</w:t>
      </w:r>
    </w:p>
    <w:p>
      <w:pPr>
        <w:widowControl/>
        <w:spacing w:line="360" w:lineRule="auto"/>
        <w:ind w:left="424" w:leftChars="202"/>
        <w:jc w:val="left"/>
        <w:rPr>
          <w:snapToGrid w:val="0"/>
          <w:kern w:val="0"/>
        </w:rPr>
      </w:pPr>
      <w:r>
        <w:rPr>
          <w:bCs/>
          <w:snapToGrid w:val="0"/>
          <w:kern w:val="0"/>
          <w:szCs w:val="21"/>
        </w:rPr>
        <w:t>本章内容支撑课程目标1、2、3、4。</w:t>
      </w:r>
    </w:p>
    <w:p/>
    <w:p>
      <w:pPr>
        <w:spacing w:line="360" w:lineRule="auto"/>
        <w:rPr>
          <w:rFonts w:ascii="黑体" w:hAnsi="黑体" w:eastAsia="黑体"/>
        </w:rPr>
      </w:pPr>
      <w:r>
        <w:rPr>
          <w:rFonts w:hint="eastAsia" w:ascii="黑体" w:hAnsi="黑体" w:eastAsia="黑体"/>
        </w:rPr>
        <w:t>五、实验内容</w:t>
      </w:r>
    </w:p>
    <w:p>
      <w:pPr>
        <w:spacing w:line="360" w:lineRule="auto"/>
        <w:ind w:firstLine="424"/>
        <w:rPr>
          <w:kern w:val="0"/>
        </w:rPr>
      </w:pPr>
      <w:r>
        <w:rPr>
          <w:kern w:val="0"/>
        </w:rPr>
        <w:t>实验环节主要是上机操作，要求保证上机条件，即具备常用的Matlab软件工具；要求学生学会Matlab语法、基本编程、数据可视化；学会Matlab环境下进行典型信号及系统的描述、时域分析、频域分析、复频域分析；学会针对典型工程实例运用信号与系统理论进行问题分析和探究的能力。</w:t>
      </w:r>
    </w:p>
    <w:p>
      <w:pPr>
        <w:spacing w:line="360" w:lineRule="auto"/>
        <w:ind w:firstLine="424"/>
        <w:rPr>
          <w:rFonts w:eastAsia="黑体"/>
          <w:snapToGrid w:val="0"/>
          <w:kern w:val="0"/>
        </w:rPr>
      </w:pPr>
      <w:r>
        <w:rPr>
          <w:rFonts w:eastAsia="黑体"/>
          <w:snapToGrid w:val="0"/>
          <w:kern w:val="0"/>
        </w:rPr>
        <w:t>实验一信号的时域分析（2学时）</w:t>
      </w:r>
    </w:p>
    <w:p>
      <w:pPr>
        <w:spacing w:line="360" w:lineRule="auto"/>
        <w:ind w:firstLine="420" w:firstLineChars="200"/>
        <w:rPr>
          <w:snapToGrid w:val="0"/>
          <w:kern w:val="0"/>
        </w:rPr>
      </w:pPr>
      <w:r>
        <w:rPr>
          <w:snapToGrid w:val="0"/>
          <w:kern w:val="0"/>
        </w:rPr>
        <w:t>实验要求：</w:t>
      </w:r>
    </w:p>
    <w:p>
      <w:pPr>
        <w:spacing w:line="360" w:lineRule="auto"/>
        <w:ind w:firstLine="420" w:firstLineChars="200"/>
        <w:rPr>
          <w:snapToGrid w:val="0"/>
          <w:kern w:val="0"/>
        </w:rPr>
      </w:pPr>
      <w:r>
        <w:rPr>
          <w:snapToGrid w:val="0"/>
          <w:kern w:val="0"/>
        </w:rPr>
        <w:t>1、可利用Matlab进行信号的描述，熟悉典型信号的特点；</w:t>
      </w:r>
    </w:p>
    <w:p>
      <w:pPr>
        <w:spacing w:line="360" w:lineRule="auto"/>
        <w:ind w:firstLine="420" w:firstLineChars="200"/>
        <w:rPr>
          <w:snapToGrid w:val="0"/>
          <w:kern w:val="0"/>
        </w:rPr>
      </w:pPr>
      <w:r>
        <w:rPr>
          <w:snapToGrid w:val="0"/>
          <w:kern w:val="0"/>
        </w:rPr>
        <w:t>2、理解并学会Matlab进行信号基本运算的方法。</w:t>
      </w:r>
    </w:p>
    <w:p>
      <w:pPr>
        <w:spacing w:line="360" w:lineRule="auto"/>
        <w:ind w:firstLine="420" w:firstLineChars="200"/>
        <w:rPr>
          <w:snapToGrid w:val="0"/>
          <w:kern w:val="0"/>
        </w:rPr>
      </w:pPr>
      <w:r>
        <w:rPr>
          <w:snapToGrid w:val="0"/>
          <w:kern w:val="0"/>
        </w:rPr>
        <w:t>实验内容：</w:t>
      </w:r>
    </w:p>
    <w:p>
      <w:pPr>
        <w:spacing w:line="360" w:lineRule="auto"/>
        <w:ind w:firstLine="420" w:firstLineChars="200"/>
        <w:rPr>
          <w:snapToGrid w:val="0"/>
          <w:kern w:val="0"/>
        </w:rPr>
      </w:pPr>
      <w:r>
        <w:rPr>
          <w:snapToGrid w:val="0"/>
          <w:kern w:val="0"/>
        </w:rPr>
        <w:t>在Matlab环境下进行典型信号表述、特征分析、信号的基本运算。</w:t>
      </w:r>
    </w:p>
    <w:p>
      <w:pPr>
        <w:spacing w:line="360" w:lineRule="auto"/>
        <w:ind w:firstLine="420" w:firstLineChars="200"/>
        <w:rPr>
          <w:snapToGrid w:val="0"/>
          <w:kern w:val="0"/>
        </w:rPr>
      </w:pPr>
      <w:r>
        <w:rPr>
          <w:bCs/>
          <w:snapToGrid w:val="0"/>
          <w:kern w:val="0"/>
          <w:szCs w:val="21"/>
        </w:rPr>
        <w:t>本章内容支撑课程目标1。</w:t>
      </w:r>
    </w:p>
    <w:p>
      <w:pPr>
        <w:spacing w:line="360" w:lineRule="auto"/>
        <w:ind w:firstLine="420" w:firstLineChars="200"/>
        <w:rPr>
          <w:rFonts w:eastAsia="黑体"/>
          <w:snapToGrid w:val="0"/>
          <w:kern w:val="0"/>
        </w:rPr>
      </w:pPr>
      <w:r>
        <w:rPr>
          <w:rFonts w:eastAsia="黑体"/>
          <w:snapToGrid w:val="0"/>
          <w:kern w:val="0"/>
        </w:rPr>
        <w:t>实验二系统的时域分析（2学时）</w:t>
      </w:r>
    </w:p>
    <w:p>
      <w:pPr>
        <w:spacing w:line="360" w:lineRule="auto"/>
        <w:ind w:firstLine="420" w:firstLineChars="200"/>
        <w:rPr>
          <w:snapToGrid w:val="0"/>
          <w:kern w:val="0"/>
        </w:rPr>
      </w:pPr>
      <w:r>
        <w:rPr>
          <w:snapToGrid w:val="0"/>
          <w:kern w:val="0"/>
        </w:rPr>
        <w:t>实验要求：</w:t>
      </w:r>
    </w:p>
    <w:p>
      <w:pPr>
        <w:spacing w:line="360" w:lineRule="auto"/>
        <w:ind w:firstLine="420" w:firstLineChars="200"/>
        <w:rPr>
          <w:snapToGrid w:val="0"/>
          <w:kern w:val="0"/>
        </w:rPr>
      </w:pPr>
      <w:r>
        <w:rPr>
          <w:snapToGrid w:val="0"/>
          <w:kern w:val="0"/>
        </w:rPr>
        <w:t>1、学会利用Matlab进行连续LTI系统的时域分析方法；</w:t>
      </w:r>
    </w:p>
    <w:p>
      <w:pPr>
        <w:spacing w:line="360" w:lineRule="auto"/>
        <w:ind w:firstLine="420" w:firstLineChars="200"/>
        <w:rPr>
          <w:snapToGrid w:val="0"/>
          <w:kern w:val="0"/>
        </w:rPr>
      </w:pPr>
      <w:r>
        <w:rPr>
          <w:snapToGrid w:val="0"/>
          <w:kern w:val="0"/>
        </w:rPr>
        <w:t>2、加深理解连续系统响应的求解方法及物理意义；</w:t>
      </w:r>
    </w:p>
    <w:p>
      <w:pPr>
        <w:spacing w:line="360" w:lineRule="auto"/>
        <w:ind w:firstLine="420" w:firstLineChars="200"/>
        <w:rPr>
          <w:snapToGrid w:val="0"/>
          <w:kern w:val="0"/>
        </w:rPr>
      </w:pPr>
      <w:r>
        <w:rPr>
          <w:snapToGrid w:val="0"/>
          <w:kern w:val="0"/>
        </w:rPr>
        <w:t>3、学会求解和分析系统单位冲激响应、单位阶跃响应的方法。</w:t>
      </w:r>
    </w:p>
    <w:p>
      <w:pPr>
        <w:spacing w:line="360" w:lineRule="auto"/>
        <w:ind w:firstLine="420" w:firstLineChars="200"/>
        <w:rPr>
          <w:snapToGrid w:val="0"/>
          <w:kern w:val="0"/>
        </w:rPr>
      </w:pPr>
      <w:r>
        <w:rPr>
          <w:snapToGrid w:val="0"/>
          <w:kern w:val="0"/>
        </w:rPr>
        <w:t>实验内容：</w:t>
      </w:r>
    </w:p>
    <w:p>
      <w:pPr>
        <w:spacing w:line="360" w:lineRule="auto"/>
        <w:ind w:firstLine="420" w:firstLineChars="200"/>
        <w:rPr>
          <w:snapToGrid w:val="0"/>
          <w:kern w:val="0"/>
        </w:rPr>
      </w:pPr>
      <w:r>
        <w:rPr>
          <w:snapToGrid w:val="0"/>
          <w:kern w:val="0"/>
        </w:rPr>
        <w:t>在Matlab环境下进行连续LTI系统描述、响应求解、单位冲激响应、单位阶跃响应分析。</w:t>
      </w:r>
    </w:p>
    <w:p>
      <w:pPr>
        <w:spacing w:line="360" w:lineRule="auto"/>
        <w:ind w:firstLine="420" w:firstLineChars="200"/>
        <w:rPr>
          <w:snapToGrid w:val="0"/>
          <w:kern w:val="0"/>
        </w:rPr>
      </w:pPr>
      <w:r>
        <w:rPr>
          <w:bCs/>
          <w:snapToGrid w:val="0"/>
          <w:kern w:val="0"/>
          <w:szCs w:val="21"/>
        </w:rPr>
        <w:t>本章内容支撑课程目标1、3、4。</w:t>
      </w:r>
    </w:p>
    <w:p>
      <w:pPr>
        <w:spacing w:line="360" w:lineRule="auto"/>
        <w:ind w:firstLine="420" w:firstLineChars="200"/>
        <w:rPr>
          <w:rFonts w:eastAsia="黑体"/>
          <w:snapToGrid w:val="0"/>
          <w:kern w:val="0"/>
        </w:rPr>
      </w:pPr>
      <w:r>
        <w:rPr>
          <w:rFonts w:eastAsia="黑体"/>
          <w:snapToGrid w:val="0"/>
          <w:kern w:val="0"/>
        </w:rPr>
        <w:t>实验三信号的频域分析（2学时）</w:t>
      </w:r>
    </w:p>
    <w:p>
      <w:pPr>
        <w:spacing w:line="360" w:lineRule="auto"/>
        <w:ind w:firstLine="420" w:firstLineChars="200"/>
        <w:rPr>
          <w:snapToGrid w:val="0"/>
          <w:kern w:val="0"/>
        </w:rPr>
      </w:pPr>
      <w:r>
        <w:rPr>
          <w:snapToGrid w:val="0"/>
          <w:kern w:val="0"/>
        </w:rPr>
        <w:t>实验要求：</w:t>
      </w:r>
    </w:p>
    <w:p>
      <w:pPr>
        <w:spacing w:line="360" w:lineRule="auto"/>
        <w:ind w:firstLine="420" w:firstLineChars="200"/>
        <w:rPr>
          <w:snapToGrid w:val="0"/>
          <w:kern w:val="0"/>
        </w:rPr>
      </w:pPr>
      <w:r>
        <w:rPr>
          <w:snapToGrid w:val="0"/>
          <w:kern w:val="0"/>
        </w:rPr>
        <w:t>1、学会利用Matlab进行信号频谱分析的方法；</w:t>
      </w:r>
    </w:p>
    <w:p>
      <w:pPr>
        <w:spacing w:line="360" w:lineRule="auto"/>
        <w:ind w:firstLine="420" w:firstLineChars="200"/>
        <w:rPr>
          <w:snapToGrid w:val="0"/>
          <w:kern w:val="0"/>
        </w:rPr>
      </w:pPr>
      <w:r>
        <w:rPr>
          <w:snapToGrid w:val="0"/>
          <w:kern w:val="0"/>
        </w:rPr>
        <w:t>2、理解连续周期、连续非周期信号的频谱特点；</w:t>
      </w:r>
    </w:p>
    <w:p>
      <w:pPr>
        <w:spacing w:line="360" w:lineRule="auto"/>
        <w:ind w:firstLine="420" w:firstLineChars="200"/>
        <w:rPr>
          <w:snapToGrid w:val="0"/>
          <w:kern w:val="0"/>
        </w:rPr>
      </w:pPr>
      <w:r>
        <w:rPr>
          <w:snapToGrid w:val="0"/>
          <w:kern w:val="0"/>
        </w:rPr>
        <w:t>3、理解信号调制的数学、物理概念；</w:t>
      </w:r>
    </w:p>
    <w:p>
      <w:pPr>
        <w:spacing w:line="360" w:lineRule="auto"/>
        <w:ind w:firstLine="420" w:firstLineChars="200"/>
        <w:rPr>
          <w:snapToGrid w:val="0"/>
          <w:kern w:val="0"/>
        </w:rPr>
      </w:pPr>
      <w:r>
        <w:rPr>
          <w:snapToGrid w:val="0"/>
          <w:kern w:val="0"/>
        </w:rPr>
        <w:t>4、学会信号时域分析的工程应用方法。</w:t>
      </w:r>
    </w:p>
    <w:p>
      <w:pPr>
        <w:spacing w:line="360" w:lineRule="auto"/>
        <w:ind w:firstLine="420" w:firstLineChars="200"/>
        <w:rPr>
          <w:snapToGrid w:val="0"/>
          <w:kern w:val="0"/>
        </w:rPr>
      </w:pPr>
      <w:r>
        <w:rPr>
          <w:snapToGrid w:val="0"/>
          <w:kern w:val="0"/>
        </w:rPr>
        <w:t>实验内容：</w:t>
      </w:r>
    </w:p>
    <w:p>
      <w:pPr>
        <w:spacing w:line="360" w:lineRule="auto"/>
        <w:ind w:firstLine="420" w:firstLineChars="200"/>
        <w:rPr>
          <w:snapToGrid w:val="0"/>
          <w:kern w:val="0"/>
        </w:rPr>
      </w:pPr>
      <w:r>
        <w:rPr>
          <w:snapToGrid w:val="0"/>
          <w:kern w:val="0"/>
        </w:rPr>
        <w:t>典型连续周期和连续非周期信号的频谱分析、信号调制解调中信号的频谱分析。</w:t>
      </w:r>
    </w:p>
    <w:p>
      <w:pPr>
        <w:spacing w:line="360" w:lineRule="auto"/>
        <w:ind w:firstLine="420" w:firstLineChars="200"/>
        <w:rPr>
          <w:snapToGrid w:val="0"/>
          <w:kern w:val="0"/>
        </w:rPr>
      </w:pPr>
      <w:r>
        <w:rPr>
          <w:bCs/>
          <w:snapToGrid w:val="0"/>
          <w:kern w:val="0"/>
          <w:szCs w:val="21"/>
        </w:rPr>
        <w:t>本章内容支撑课程目标2、3、4。</w:t>
      </w:r>
    </w:p>
    <w:p>
      <w:pPr>
        <w:spacing w:line="360" w:lineRule="auto"/>
        <w:ind w:firstLine="420" w:firstLineChars="200"/>
        <w:rPr>
          <w:rFonts w:eastAsia="黑体"/>
          <w:snapToGrid w:val="0"/>
          <w:kern w:val="0"/>
        </w:rPr>
      </w:pPr>
      <w:r>
        <w:rPr>
          <w:rFonts w:eastAsia="黑体"/>
          <w:snapToGrid w:val="0"/>
          <w:kern w:val="0"/>
        </w:rPr>
        <w:t>实验四系统的频域、复频域分析（2学时）</w:t>
      </w:r>
    </w:p>
    <w:p>
      <w:pPr>
        <w:spacing w:line="360" w:lineRule="auto"/>
        <w:ind w:firstLine="420" w:firstLineChars="200"/>
        <w:rPr>
          <w:snapToGrid w:val="0"/>
          <w:kern w:val="0"/>
        </w:rPr>
      </w:pPr>
      <w:r>
        <w:rPr>
          <w:snapToGrid w:val="0"/>
          <w:kern w:val="0"/>
        </w:rPr>
        <w:t>实验要求：</w:t>
      </w:r>
    </w:p>
    <w:p>
      <w:pPr>
        <w:spacing w:line="360" w:lineRule="auto"/>
        <w:ind w:firstLine="420" w:firstLineChars="200"/>
        <w:rPr>
          <w:snapToGrid w:val="0"/>
          <w:kern w:val="0"/>
        </w:rPr>
      </w:pPr>
      <w:r>
        <w:rPr>
          <w:snapToGrid w:val="0"/>
          <w:kern w:val="0"/>
        </w:rPr>
        <w:t>1、理解和熟悉连续系统的系统函数概念；</w:t>
      </w:r>
    </w:p>
    <w:p>
      <w:pPr>
        <w:spacing w:line="360" w:lineRule="auto"/>
        <w:ind w:firstLine="420" w:firstLineChars="200"/>
        <w:rPr>
          <w:snapToGrid w:val="0"/>
          <w:kern w:val="0"/>
        </w:rPr>
      </w:pPr>
      <w:r>
        <w:rPr>
          <w:snapToGrid w:val="0"/>
          <w:kern w:val="0"/>
        </w:rPr>
        <w:t>2、理解系统函数零极点分布与其频率特性的关系；</w:t>
      </w:r>
    </w:p>
    <w:p>
      <w:pPr>
        <w:spacing w:line="360" w:lineRule="auto"/>
        <w:ind w:firstLine="420" w:firstLineChars="200"/>
        <w:rPr>
          <w:snapToGrid w:val="0"/>
          <w:kern w:val="0"/>
        </w:rPr>
      </w:pPr>
      <w:r>
        <w:rPr>
          <w:snapToGrid w:val="0"/>
          <w:kern w:val="0"/>
        </w:rPr>
        <w:t>3、理解和熟悉滤波器系统对不同频率信号的处理机制；</w:t>
      </w:r>
    </w:p>
    <w:p>
      <w:pPr>
        <w:spacing w:line="360" w:lineRule="auto"/>
        <w:ind w:firstLine="420" w:firstLineChars="200"/>
        <w:rPr>
          <w:snapToGrid w:val="0"/>
          <w:kern w:val="0"/>
        </w:rPr>
      </w:pPr>
      <w:r>
        <w:rPr>
          <w:snapToGrid w:val="0"/>
          <w:kern w:val="0"/>
        </w:rPr>
        <w:t>4、学会Matlab进行系统频域、复频域分析的方法。</w:t>
      </w:r>
    </w:p>
    <w:p>
      <w:pPr>
        <w:spacing w:line="360" w:lineRule="auto"/>
        <w:ind w:firstLine="420" w:firstLineChars="200"/>
        <w:rPr>
          <w:snapToGrid w:val="0"/>
          <w:kern w:val="0"/>
        </w:rPr>
      </w:pPr>
      <w:r>
        <w:rPr>
          <w:snapToGrid w:val="0"/>
          <w:kern w:val="0"/>
        </w:rPr>
        <w:t>实验内容：</w:t>
      </w:r>
    </w:p>
    <w:p>
      <w:pPr>
        <w:spacing w:line="360" w:lineRule="auto"/>
        <w:ind w:firstLine="420" w:firstLineChars="200"/>
        <w:rPr>
          <w:snapToGrid w:val="0"/>
          <w:kern w:val="0"/>
        </w:rPr>
      </w:pPr>
      <w:r>
        <w:rPr>
          <w:snapToGrid w:val="0"/>
          <w:kern w:val="0"/>
        </w:rPr>
        <w:t>连续LTI系统零极点分布及响应分析、滤波器特性分析及对信号的处理。</w:t>
      </w:r>
    </w:p>
    <w:p>
      <w:pPr>
        <w:spacing w:line="360" w:lineRule="auto"/>
        <w:ind w:firstLine="420" w:firstLineChars="200"/>
        <w:rPr>
          <w:snapToGrid w:val="0"/>
          <w:kern w:val="0"/>
        </w:rPr>
      </w:pPr>
      <w:r>
        <w:rPr>
          <w:bCs/>
          <w:snapToGrid w:val="0"/>
          <w:kern w:val="0"/>
          <w:szCs w:val="21"/>
        </w:rPr>
        <w:t>本章内容支撑课程目标1、2、3、4。</w:t>
      </w:r>
    </w:p>
    <w:p>
      <w:pPr>
        <w:spacing w:line="360" w:lineRule="auto"/>
        <w:ind w:firstLine="424"/>
        <w:rPr>
          <w:rFonts w:ascii="宋体"/>
          <w:snapToGrid w:val="0"/>
          <w:kern w:val="0"/>
        </w:rPr>
      </w:pPr>
    </w:p>
    <w:p>
      <w:pPr>
        <w:spacing w:line="360" w:lineRule="auto"/>
        <w:rPr>
          <w:rFonts w:ascii="黑体" w:hAnsi="黑体" w:eastAsia="黑体"/>
        </w:rPr>
      </w:pPr>
      <w:r>
        <w:rPr>
          <w:rFonts w:hint="eastAsia" w:ascii="黑体" w:hAnsi="黑体" w:eastAsia="黑体"/>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34"/>
        <w:gridCol w:w="1667"/>
        <w:gridCol w:w="1623"/>
        <w:gridCol w:w="1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sz w:val="18"/>
                <w:szCs w:val="18"/>
              </w:rPr>
              <w:t>讲授的知识点及内容</w:t>
            </w:r>
          </w:p>
        </w:tc>
        <w:tc>
          <w:tcPr>
            <w:tcW w:w="1003" w:type="pct"/>
            <w:vAlign w:val="center"/>
          </w:tcPr>
          <w:p>
            <w:pPr>
              <w:adjustRightInd w:val="0"/>
              <w:snapToGrid w:val="0"/>
              <w:jc w:val="center"/>
              <w:rPr>
                <w:sz w:val="18"/>
                <w:szCs w:val="18"/>
              </w:rPr>
            </w:pPr>
            <w:r>
              <w:rPr>
                <w:rFonts w:hint="eastAsia" w:cs="宋体"/>
                <w:sz w:val="18"/>
                <w:szCs w:val="18"/>
              </w:rPr>
              <w:t>讲授（学时）</w:t>
            </w:r>
          </w:p>
        </w:tc>
        <w:tc>
          <w:tcPr>
            <w:tcW w:w="976" w:type="pct"/>
            <w:vAlign w:val="center"/>
          </w:tcPr>
          <w:p>
            <w:pPr>
              <w:adjustRightInd w:val="0"/>
              <w:snapToGrid w:val="0"/>
              <w:jc w:val="center"/>
              <w:rPr>
                <w:sz w:val="18"/>
                <w:szCs w:val="18"/>
              </w:rPr>
            </w:pPr>
            <w:r>
              <w:rPr>
                <w:rFonts w:hint="eastAsia" w:cs="宋体"/>
                <w:sz w:val="18"/>
                <w:szCs w:val="18"/>
              </w:rPr>
              <w:t>实验（学时）</w:t>
            </w:r>
          </w:p>
        </w:tc>
        <w:tc>
          <w:tcPr>
            <w:tcW w:w="775" w:type="pct"/>
            <w:vAlign w:val="center"/>
          </w:tcPr>
          <w:p>
            <w:pPr>
              <w:adjustRightInd w:val="0"/>
              <w:snapToGrid w:val="0"/>
              <w:jc w:val="center"/>
              <w:rPr>
                <w:sz w:val="18"/>
                <w:szCs w:val="18"/>
              </w:rPr>
            </w:pPr>
            <w:r>
              <w:rPr>
                <w:rFonts w:hint="eastAsia" w:cs="宋体"/>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1信号与系统分析导论</w:t>
            </w:r>
          </w:p>
        </w:tc>
        <w:tc>
          <w:tcPr>
            <w:tcW w:w="1003" w:type="pct"/>
            <w:vAlign w:val="center"/>
          </w:tcPr>
          <w:p>
            <w:pPr>
              <w:adjustRightInd w:val="0"/>
              <w:snapToGrid w:val="0"/>
              <w:jc w:val="center"/>
              <w:rPr>
                <w:sz w:val="18"/>
                <w:szCs w:val="18"/>
              </w:rPr>
            </w:pPr>
            <w:r>
              <w:rPr>
                <w:sz w:val="18"/>
                <w:szCs w:val="18"/>
              </w:rPr>
              <w:t>3</w:t>
            </w:r>
          </w:p>
        </w:tc>
        <w:tc>
          <w:tcPr>
            <w:tcW w:w="976" w:type="pct"/>
            <w:vAlign w:val="center"/>
          </w:tcPr>
          <w:p>
            <w:pPr>
              <w:adjustRightInd w:val="0"/>
              <w:snapToGrid w:val="0"/>
              <w:jc w:val="center"/>
              <w:rPr>
                <w:sz w:val="18"/>
                <w:szCs w:val="18"/>
              </w:rPr>
            </w:pPr>
            <w:r>
              <w:rPr>
                <w:sz w:val="18"/>
                <w:szCs w:val="18"/>
              </w:rPr>
              <w:t>0</w:t>
            </w:r>
          </w:p>
        </w:tc>
        <w:tc>
          <w:tcPr>
            <w:tcW w:w="775" w:type="pct"/>
            <w:vAlign w:val="center"/>
          </w:tcPr>
          <w:p>
            <w:pPr>
              <w:adjustRightInd w:val="0"/>
              <w:snapToGrid w:val="0"/>
              <w:jc w:val="center"/>
              <w:rPr>
                <w:sz w:val="18"/>
                <w:szCs w:val="18"/>
              </w:rPr>
            </w:pPr>
            <w:r>
              <w:rPr>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2信号的时域分析</w:t>
            </w:r>
          </w:p>
        </w:tc>
        <w:tc>
          <w:tcPr>
            <w:tcW w:w="1003" w:type="pct"/>
            <w:vAlign w:val="center"/>
          </w:tcPr>
          <w:p>
            <w:pPr>
              <w:adjustRightInd w:val="0"/>
              <w:snapToGrid w:val="0"/>
              <w:jc w:val="center"/>
              <w:rPr>
                <w:sz w:val="18"/>
                <w:szCs w:val="18"/>
              </w:rPr>
            </w:pPr>
            <w:r>
              <w:rPr>
                <w:sz w:val="18"/>
                <w:szCs w:val="18"/>
              </w:rPr>
              <w:t>5</w:t>
            </w:r>
          </w:p>
        </w:tc>
        <w:tc>
          <w:tcPr>
            <w:tcW w:w="976" w:type="pct"/>
            <w:vAlign w:val="center"/>
          </w:tcPr>
          <w:p>
            <w:pPr>
              <w:adjustRightInd w:val="0"/>
              <w:snapToGrid w:val="0"/>
              <w:jc w:val="center"/>
              <w:rPr>
                <w:sz w:val="18"/>
                <w:szCs w:val="18"/>
              </w:rPr>
            </w:pPr>
            <w:r>
              <w:rPr>
                <w:sz w:val="18"/>
                <w:szCs w:val="18"/>
              </w:rPr>
              <w:t>2</w:t>
            </w:r>
          </w:p>
        </w:tc>
        <w:tc>
          <w:tcPr>
            <w:tcW w:w="775" w:type="pct"/>
            <w:vAlign w:val="center"/>
          </w:tcPr>
          <w:p>
            <w:pPr>
              <w:adjustRightInd w:val="0"/>
              <w:snapToGrid w:val="0"/>
              <w:jc w:val="center"/>
              <w:rPr>
                <w:sz w:val="18"/>
                <w:szCs w:val="18"/>
              </w:rPr>
            </w:pPr>
            <w:r>
              <w:rPr>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3系统的时域分析</w:t>
            </w:r>
          </w:p>
        </w:tc>
        <w:tc>
          <w:tcPr>
            <w:tcW w:w="1003" w:type="pct"/>
            <w:vAlign w:val="center"/>
          </w:tcPr>
          <w:p>
            <w:pPr>
              <w:adjustRightInd w:val="0"/>
              <w:snapToGrid w:val="0"/>
              <w:jc w:val="center"/>
              <w:rPr>
                <w:sz w:val="18"/>
                <w:szCs w:val="18"/>
              </w:rPr>
            </w:pPr>
            <w:r>
              <w:rPr>
                <w:sz w:val="18"/>
                <w:szCs w:val="18"/>
              </w:rPr>
              <w:t>6</w:t>
            </w:r>
          </w:p>
        </w:tc>
        <w:tc>
          <w:tcPr>
            <w:tcW w:w="976" w:type="pct"/>
            <w:vAlign w:val="center"/>
          </w:tcPr>
          <w:p>
            <w:pPr>
              <w:adjustRightInd w:val="0"/>
              <w:snapToGrid w:val="0"/>
              <w:jc w:val="center"/>
              <w:rPr>
                <w:sz w:val="18"/>
                <w:szCs w:val="18"/>
              </w:rPr>
            </w:pPr>
            <w:r>
              <w:rPr>
                <w:sz w:val="18"/>
                <w:szCs w:val="18"/>
              </w:rPr>
              <w:t>2</w:t>
            </w:r>
          </w:p>
        </w:tc>
        <w:tc>
          <w:tcPr>
            <w:tcW w:w="775"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4信号的频域分析</w:t>
            </w:r>
          </w:p>
        </w:tc>
        <w:tc>
          <w:tcPr>
            <w:tcW w:w="1003" w:type="pct"/>
            <w:vAlign w:val="center"/>
          </w:tcPr>
          <w:p>
            <w:pPr>
              <w:adjustRightInd w:val="0"/>
              <w:snapToGrid w:val="0"/>
              <w:jc w:val="center"/>
              <w:rPr>
                <w:sz w:val="18"/>
                <w:szCs w:val="18"/>
              </w:rPr>
            </w:pPr>
            <w:r>
              <w:rPr>
                <w:sz w:val="18"/>
                <w:szCs w:val="18"/>
              </w:rPr>
              <w:t>10</w:t>
            </w:r>
          </w:p>
        </w:tc>
        <w:tc>
          <w:tcPr>
            <w:tcW w:w="976" w:type="pct"/>
            <w:vAlign w:val="center"/>
          </w:tcPr>
          <w:p>
            <w:pPr>
              <w:adjustRightInd w:val="0"/>
              <w:snapToGrid w:val="0"/>
              <w:jc w:val="center"/>
              <w:rPr>
                <w:sz w:val="18"/>
                <w:szCs w:val="18"/>
              </w:rPr>
            </w:pPr>
            <w:r>
              <w:rPr>
                <w:sz w:val="18"/>
                <w:szCs w:val="18"/>
              </w:rPr>
              <w:t>2</w:t>
            </w:r>
          </w:p>
        </w:tc>
        <w:tc>
          <w:tcPr>
            <w:tcW w:w="775" w:type="pct"/>
            <w:vAlign w:val="center"/>
          </w:tcPr>
          <w:p>
            <w:pPr>
              <w:adjustRightInd w:val="0"/>
              <w:snapToGrid w:val="0"/>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5系统的频域分析</w:t>
            </w:r>
          </w:p>
        </w:tc>
        <w:tc>
          <w:tcPr>
            <w:tcW w:w="1003" w:type="pct"/>
            <w:vAlign w:val="center"/>
          </w:tcPr>
          <w:p>
            <w:pPr>
              <w:adjustRightInd w:val="0"/>
              <w:snapToGrid w:val="0"/>
              <w:jc w:val="center"/>
              <w:rPr>
                <w:sz w:val="18"/>
                <w:szCs w:val="18"/>
              </w:rPr>
            </w:pPr>
            <w:r>
              <w:rPr>
                <w:sz w:val="18"/>
                <w:szCs w:val="18"/>
              </w:rPr>
              <w:t>8</w:t>
            </w:r>
          </w:p>
        </w:tc>
        <w:tc>
          <w:tcPr>
            <w:tcW w:w="976" w:type="pct"/>
            <w:vAlign w:val="center"/>
          </w:tcPr>
          <w:p>
            <w:pPr>
              <w:adjustRightInd w:val="0"/>
              <w:snapToGrid w:val="0"/>
              <w:jc w:val="center"/>
              <w:rPr>
                <w:sz w:val="18"/>
                <w:szCs w:val="18"/>
              </w:rPr>
            </w:pPr>
            <w:r>
              <w:rPr>
                <w:sz w:val="18"/>
                <w:szCs w:val="18"/>
              </w:rPr>
              <w:t>0</w:t>
            </w:r>
          </w:p>
        </w:tc>
        <w:tc>
          <w:tcPr>
            <w:tcW w:w="775"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6连续时间信号与系统的复频域分析</w:t>
            </w:r>
          </w:p>
        </w:tc>
        <w:tc>
          <w:tcPr>
            <w:tcW w:w="1003" w:type="pct"/>
            <w:vAlign w:val="center"/>
          </w:tcPr>
          <w:p>
            <w:pPr>
              <w:adjustRightInd w:val="0"/>
              <w:snapToGrid w:val="0"/>
              <w:jc w:val="center"/>
              <w:rPr>
                <w:sz w:val="18"/>
                <w:szCs w:val="18"/>
              </w:rPr>
            </w:pPr>
            <w:r>
              <w:rPr>
                <w:sz w:val="18"/>
                <w:szCs w:val="18"/>
              </w:rPr>
              <w:t>8</w:t>
            </w:r>
          </w:p>
        </w:tc>
        <w:tc>
          <w:tcPr>
            <w:tcW w:w="976" w:type="pct"/>
            <w:vAlign w:val="center"/>
          </w:tcPr>
          <w:p>
            <w:pPr>
              <w:adjustRightInd w:val="0"/>
              <w:snapToGrid w:val="0"/>
              <w:jc w:val="center"/>
              <w:rPr>
                <w:sz w:val="18"/>
                <w:szCs w:val="18"/>
              </w:rPr>
            </w:pPr>
            <w:r>
              <w:rPr>
                <w:sz w:val="18"/>
                <w:szCs w:val="18"/>
              </w:rPr>
              <w:t>2</w:t>
            </w:r>
          </w:p>
        </w:tc>
        <w:tc>
          <w:tcPr>
            <w:tcW w:w="775" w:type="pct"/>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6" w:type="pct"/>
            <w:vAlign w:val="center"/>
          </w:tcPr>
          <w:p>
            <w:pPr>
              <w:adjustRightInd w:val="0"/>
              <w:snapToGrid w:val="0"/>
              <w:jc w:val="center"/>
              <w:rPr>
                <w:sz w:val="18"/>
                <w:szCs w:val="18"/>
              </w:rPr>
            </w:pPr>
            <w:r>
              <w:rPr>
                <w:rFonts w:hint="eastAsia" w:cs="宋体"/>
                <w:sz w:val="18"/>
                <w:szCs w:val="18"/>
              </w:rPr>
              <w:t>合计</w:t>
            </w:r>
          </w:p>
        </w:tc>
        <w:tc>
          <w:tcPr>
            <w:tcW w:w="1003" w:type="pct"/>
            <w:vAlign w:val="center"/>
          </w:tcPr>
          <w:p>
            <w:pPr>
              <w:adjustRightInd w:val="0"/>
              <w:snapToGrid w:val="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40</w:t>
            </w:r>
            <w:r>
              <w:rPr>
                <w:sz w:val="18"/>
                <w:szCs w:val="18"/>
              </w:rPr>
              <w:fldChar w:fldCharType="end"/>
            </w:r>
          </w:p>
        </w:tc>
        <w:tc>
          <w:tcPr>
            <w:tcW w:w="976" w:type="pct"/>
            <w:vAlign w:val="center"/>
          </w:tcPr>
          <w:p>
            <w:pPr>
              <w:adjustRightInd w:val="0"/>
              <w:snapToGrid w:val="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8</w:t>
            </w:r>
            <w:r>
              <w:rPr>
                <w:sz w:val="18"/>
                <w:szCs w:val="18"/>
              </w:rPr>
              <w:fldChar w:fldCharType="end"/>
            </w:r>
          </w:p>
        </w:tc>
        <w:tc>
          <w:tcPr>
            <w:tcW w:w="775" w:type="pct"/>
            <w:vAlign w:val="center"/>
          </w:tcPr>
          <w:p>
            <w:pPr>
              <w:adjustRightInd w:val="0"/>
              <w:snapToGrid w:val="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48</w:t>
            </w:r>
            <w:r>
              <w:rPr>
                <w:sz w:val="18"/>
                <w:szCs w:val="18"/>
              </w:rPr>
              <w:fldChar w:fldCharType="end"/>
            </w:r>
          </w:p>
        </w:tc>
      </w:tr>
    </w:tbl>
    <w:p>
      <w:pPr>
        <w:widowControl/>
        <w:spacing w:line="360" w:lineRule="auto"/>
        <w:jc w:val="left"/>
        <w:rPr>
          <w:rFonts w:ascii="黑体" w:hAnsi="宋体" w:eastAsia="黑体"/>
          <w:kern w:val="0"/>
        </w:rPr>
      </w:pPr>
    </w:p>
    <w:p>
      <w:pPr>
        <w:spacing w:line="360" w:lineRule="auto"/>
        <w:rPr>
          <w:rFonts w:ascii="黑体" w:hAnsi="黑体" w:eastAsia="黑体"/>
        </w:rPr>
      </w:pPr>
      <w:r>
        <w:rPr>
          <w:rFonts w:hint="eastAsia" w:ascii="黑体" w:hAnsi="黑体" w:eastAsia="黑体"/>
        </w:rPr>
        <w:t>七、教材、补充教材及参考资料</w:t>
      </w:r>
    </w:p>
    <w:p>
      <w:pPr>
        <w:spacing w:line="360" w:lineRule="auto"/>
        <w:ind w:firstLine="420" w:firstLineChars="200"/>
      </w:pPr>
      <w:r>
        <w:rPr>
          <w:rFonts w:hint="eastAsia" w:cs="宋体"/>
        </w:rPr>
        <w:t>1、陈后金，《信号与系统》，北京高等教育出版社</w:t>
      </w:r>
      <w:r>
        <w:rPr>
          <w:rFonts w:hint="eastAsia"/>
        </w:rPr>
        <w:t>，</w:t>
      </w:r>
      <w:r>
        <w:t xml:space="preserve">2007 </w:t>
      </w:r>
      <w:r>
        <w:rPr>
          <w:rFonts w:hint="eastAsia" w:cs="宋体"/>
        </w:rPr>
        <w:t>年。</w:t>
      </w:r>
    </w:p>
    <w:p>
      <w:pPr>
        <w:adjustRightInd w:val="0"/>
        <w:snapToGrid w:val="0"/>
        <w:spacing w:line="360" w:lineRule="auto"/>
        <w:ind w:firstLine="420" w:firstLineChars="200"/>
      </w:pPr>
      <w:r>
        <w:t>2、HaykinS,Veen B V</w:t>
      </w:r>
      <w:r>
        <w:rPr>
          <w:rFonts w:hint="eastAsia"/>
        </w:rPr>
        <w:t>，《</w:t>
      </w:r>
      <w:r>
        <w:t>Signals and Systems.</w:t>
      </w:r>
      <w:r>
        <w:rPr>
          <w:rFonts w:hint="eastAsia" w:cs="宋体"/>
        </w:rPr>
        <w:t>影印版》，北京电子工业出版社，</w:t>
      </w:r>
      <w:r>
        <w:t xml:space="preserve">2003 </w:t>
      </w:r>
      <w:r>
        <w:rPr>
          <w:rFonts w:hint="eastAsia" w:cs="宋体"/>
        </w:rPr>
        <w:t>年。</w:t>
      </w:r>
    </w:p>
    <w:p>
      <w:pPr>
        <w:adjustRightInd w:val="0"/>
        <w:snapToGrid w:val="0"/>
        <w:spacing w:line="360" w:lineRule="auto"/>
        <w:ind w:firstLine="420" w:firstLineChars="200"/>
      </w:pPr>
      <w:r>
        <w:t>3、</w:t>
      </w:r>
      <w:r>
        <w:rPr>
          <w:lang w:val="de-DE"/>
        </w:rPr>
        <w:t>Edward W. Kamen, Bonnie S. Heck</w:t>
      </w:r>
      <w:r>
        <w:rPr>
          <w:rFonts w:hint="eastAsia"/>
          <w:lang w:val="de-DE"/>
        </w:rPr>
        <w:t>，《</w:t>
      </w:r>
      <w:r>
        <w:t>Fundamentals of Signals and Systems Using MATLAB.Prentice-Hall International</w:t>
      </w:r>
      <w:r>
        <w:rPr>
          <w:rFonts w:hint="eastAsia"/>
        </w:rPr>
        <w:t>》，</w:t>
      </w:r>
      <w:r>
        <w:t>Inc. 1997</w:t>
      </w:r>
      <w:r>
        <w:rPr>
          <w:rFonts w:hint="eastAsia"/>
        </w:rPr>
        <w:t>。</w:t>
      </w:r>
    </w:p>
    <w:p>
      <w:pPr>
        <w:adjustRightInd w:val="0"/>
        <w:snapToGrid w:val="0"/>
        <w:spacing w:line="360" w:lineRule="auto"/>
        <w:ind w:firstLine="420" w:firstLineChars="200"/>
      </w:pPr>
      <w:r>
        <w:t>4、A.V.Oppenheim</w:t>
      </w:r>
      <w:r>
        <w:rPr>
          <w:rFonts w:hint="eastAsia"/>
        </w:rPr>
        <w:t>，《</w:t>
      </w:r>
      <w:r>
        <w:t>Signals and Systems.</w:t>
      </w:r>
      <w:r>
        <w:rPr>
          <w:rFonts w:hint="eastAsia" w:cs="宋体"/>
        </w:rPr>
        <w:t>影印版</w:t>
      </w:r>
      <w:r>
        <w:rPr>
          <w:rFonts w:hint="eastAsia"/>
        </w:rPr>
        <w:t>》，</w:t>
      </w:r>
      <w:r>
        <w:rPr>
          <w:rFonts w:hint="eastAsia" w:cs="宋体"/>
        </w:rPr>
        <w:t>北京：清华大学出版社，中译本，刘树棠译，西安交通大学出版社</w:t>
      </w:r>
      <w:r>
        <w:rPr>
          <w:rFonts w:hint="eastAsia"/>
        </w:rPr>
        <w:t>。</w:t>
      </w:r>
    </w:p>
    <w:p>
      <w:pPr>
        <w:adjustRightInd w:val="0"/>
        <w:snapToGrid w:val="0"/>
        <w:spacing w:line="360" w:lineRule="auto"/>
        <w:ind w:firstLine="420" w:firstLineChars="200"/>
      </w:pPr>
      <w:r>
        <w:rPr>
          <w:rFonts w:cs="宋体"/>
        </w:rPr>
        <w:t>5、</w:t>
      </w:r>
      <w:r>
        <w:t>Simon H.,Barry V.V</w:t>
      </w:r>
      <w:r>
        <w:rPr>
          <w:rFonts w:hint="eastAsia"/>
        </w:rPr>
        <w:t>，《</w:t>
      </w:r>
      <w:r>
        <w:t>Signals and Systems</w:t>
      </w:r>
      <w:r>
        <w:rPr>
          <w:rFonts w:hint="eastAsia"/>
        </w:rPr>
        <w:t>》，</w:t>
      </w:r>
      <w:r>
        <w:t>John Wiley &amp;Sons,Inc</w:t>
      </w:r>
      <w:r>
        <w:rPr>
          <w:rFonts w:hint="eastAsia"/>
        </w:rPr>
        <w:t>，</w:t>
      </w:r>
      <w:r>
        <w:t>1999</w:t>
      </w:r>
      <w:r>
        <w:rPr>
          <w:rFonts w:hint="eastAsia"/>
        </w:rPr>
        <w:t>。</w:t>
      </w:r>
    </w:p>
    <w:p>
      <w:pPr>
        <w:adjustRightInd w:val="0"/>
        <w:snapToGrid w:val="0"/>
        <w:spacing w:line="360" w:lineRule="auto"/>
        <w:ind w:firstLine="420" w:firstLineChars="200"/>
      </w:pPr>
      <w:r>
        <w:rPr>
          <w:rFonts w:hint="eastAsia" w:cs="宋体"/>
        </w:rPr>
        <w:t>6、陈后金等，《信号分析与处理实验》，北京高等教育出版社，</w:t>
      </w:r>
      <w:r>
        <w:t xml:space="preserve">2006 </w:t>
      </w:r>
      <w:r>
        <w:rPr>
          <w:rFonts w:hint="eastAsia" w:cs="宋体"/>
        </w:rPr>
        <w:t>年</w:t>
      </w:r>
      <w:r>
        <w:rPr>
          <w:rFonts w:hint="eastAsia"/>
        </w:rPr>
        <w:t>。</w:t>
      </w:r>
    </w:p>
    <w:p>
      <w:pPr>
        <w:adjustRightInd w:val="0"/>
        <w:snapToGrid w:val="0"/>
        <w:spacing w:line="360" w:lineRule="auto"/>
        <w:ind w:firstLine="420" w:firstLineChars="200"/>
      </w:pPr>
      <w:r>
        <w:rPr>
          <w:rFonts w:cs="宋体"/>
        </w:rPr>
        <w:t>7、</w:t>
      </w:r>
      <w:r>
        <w:rPr>
          <w:rFonts w:hint="eastAsia" w:cs="宋体"/>
        </w:rPr>
        <w:t>郑君里，应启珩等，《信号与系统 . 第</w:t>
      </w:r>
      <w:r>
        <w:t xml:space="preserve"> 2 </w:t>
      </w:r>
      <w:r>
        <w:rPr>
          <w:rFonts w:hint="eastAsia" w:cs="宋体"/>
        </w:rPr>
        <w:t>版》，北京高等教育出版社，</w:t>
      </w:r>
      <w:r>
        <w:t>2000</w:t>
      </w:r>
      <w:r>
        <w:rPr>
          <w:rFonts w:hint="eastAsia"/>
        </w:rPr>
        <w:t>。</w:t>
      </w:r>
    </w:p>
    <w:p>
      <w:pPr>
        <w:adjustRightInd w:val="0"/>
        <w:snapToGrid w:val="0"/>
        <w:spacing w:line="360" w:lineRule="auto"/>
        <w:ind w:firstLine="420" w:firstLineChars="200"/>
      </w:pPr>
      <w:r>
        <w:rPr>
          <w:rFonts w:cs="宋体"/>
        </w:rPr>
        <w:t>8、</w:t>
      </w:r>
      <w:r>
        <w:rPr>
          <w:rFonts w:hint="eastAsia" w:cs="宋体"/>
        </w:rPr>
        <w:t>管致中，孟桥等，《信号与线性系统</w:t>
      </w:r>
      <w:r>
        <w:t xml:space="preserve"> . </w:t>
      </w:r>
      <w:r>
        <w:rPr>
          <w:rFonts w:hint="eastAsia" w:cs="宋体"/>
        </w:rPr>
        <w:t>第</w:t>
      </w:r>
      <w:r>
        <w:t xml:space="preserve"> 4 </w:t>
      </w:r>
      <w:r>
        <w:rPr>
          <w:rFonts w:hint="eastAsia" w:cs="宋体"/>
        </w:rPr>
        <w:t>版》，北京高等教育出版社</w:t>
      </w:r>
      <w:r>
        <w:rPr>
          <w:rFonts w:hint="eastAsia"/>
        </w:rPr>
        <w:t>，</w:t>
      </w:r>
      <w:r>
        <w:t>2004</w:t>
      </w:r>
      <w:r>
        <w:rPr>
          <w:rFonts w:hint="eastAsia"/>
        </w:rPr>
        <w:t>。</w:t>
      </w:r>
    </w:p>
    <w:p>
      <w:pPr>
        <w:adjustRightInd w:val="0"/>
        <w:snapToGrid w:val="0"/>
        <w:spacing w:line="360" w:lineRule="auto"/>
        <w:ind w:firstLine="420" w:firstLineChars="200"/>
      </w:pPr>
      <w:r>
        <w:rPr>
          <w:rFonts w:cs="宋体"/>
        </w:rPr>
        <w:t>9、</w:t>
      </w:r>
      <w:r>
        <w:rPr>
          <w:rFonts w:hint="eastAsia" w:cs="宋体"/>
        </w:rPr>
        <w:t>吴大正等</w:t>
      </w:r>
      <w:r>
        <w:rPr>
          <w:rFonts w:hint="eastAsia"/>
        </w:rPr>
        <w:t>，《</w:t>
      </w:r>
      <w:r>
        <w:rPr>
          <w:rFonts w:hint="eastAsia" w:cs="宋体"/>
        </w:rPr>
        <w:t>信号与线性系统分析</w:t>
      </w:r>
      <w:r>
        <w:t xml:space="preserve"> . </w:t>
      </w:r>
      <w:r>
        <w:rPr>
          <w:rFonts w:hint="eastAsia" w:cs="宋体"/>
        </w:rPr>
        <w:t>第</w:t>
      </w:r>
      <w:r>
        <w:t xml:space="preserve"> 3 </w:t>
      </w:r>
      <w:r>
        <w:rPr>
          <w:rFonts w:hint="eastAsia" w:cs="宋体"/>
        </w:rPr>
        <w:t>版》，北京高等教育出版社，</w:t>
      </w:r>
      <w:r>
        <w:t>2005</w:t>
      </w:r>
      <w:r>
        <w:rPr>
          <w:rFonts w:hint="eastAsia"/>
        </w:rPr>
        <w:t>。</w:t>
      </w:r>
    </w:p>
    <w:p>
      <w:pPr>
        <w:adjustRightInd w:val="0"/>
        <w:snapToGrid w:val="0"/>
        <w:spacing w:line="360" w:lineRule="auto"/>
        <w:ind w:firstLine="420" w:firstLineChars="200"/>
      </w:pPr>
      <w:r>
        <w:rPr>
          <w:rFonts w:cs="宋体"/>
        </w:rPr>
        <w:t>10、</w:t>
      </w:r>
      <w:r>
        <w:rPr>
          <w:rFonts w:hint="eastAsia" w:cs="宋体"/>
        </w:rPr>
        <w:t>吴湘淇等</w:t>
      </w:r>
      <w:r>
        <w:rPr>
          <w:rFonts w:hint="eastAsia"/>
        </w:rPr>
        <w:t>，《</w:t>
      </w:r>
      <w:r>
        <w:rPr>
          <w:rFonts w:hint="eastAsia" w:cs="宋体"/>
        </w:rPr>
        <w:t>信号、系统与信号处理</w:t>
      </w:r>
      <w:r>
        <w:t xml:space="preserve"> ( </w:t>
      </w:r>
      <w:r>
        <w:rPr>
          <w:rFonts w:hint="eastAsia" w:cs="宋体"/>
        </w:rPr>
        <w:t>上</w:t>
      </w:r>
      <w:r>
        <w:t xml:space="preserve"> ). </w:t>
      </w:r>
      <w:r>
        <w:rPr>
          <w:rFonts w:hint="eastAsia" w:cs="宋体"/>
        </w:rPr>
        <w:t>第</w:t>
      </w:r>
      <w:r>
        <w:t xml:space="preserve"> 2 </w:t>
      </w:r>
      <w:r>
        <w:rPr>
          <w:rFonts w:hint="eastAsia" w:cs="宋体"/>
        </w:rPr>
        <w:t>版</w:t>
      </w:r>
      <w:r>
        <w:rPr>
          <w:rFonts w:hint="eastAsia"/>
        </w:rPr>
        <w:t>》，</w:t>
      </w:r>
      <w:r>
        <w:rPr>
          <w:rFonts w:hint="eastAsia" w:cs="宋体"/>
        </w:rPr>
        <w:t>北京电子工业出版社</w:t>
      </w:r>
      <w:r>
        <w:rPr>
          <w:rFonts w:hint="eastAsia"/>
        </w:rPr>
        <w:t>，</w:t>
      </w:r>
      <w:r>
        <w:t>1999</w:t>
      </w:r>
      <w:r>
        <w:rPr>
          <w:rFonts w:hint="eastAsia"/>
        </w:rPr>
        <w:t>。</w:t>
      </w:r>
    </w:p>
    <w:p>
      <w:pPr>
        <w:adjustRightInd w:val="0"/>
        <w:snapToGrid w:val="0"/>
        <w:spacing w:line="360" w:lineRule="auto"/>
        <w:ind w:firstLine="420" w:firstLineChars="200"/>
      </w:pPr>
      <w:r>
        <w:rPr>
          <w:rFonts w:cs="宋体"/>
        </w:rPr>
        <w:t>11、</w:t>
      </w:r>
      <w:r>
        <w:rPr>
          <w:rFonts w:hint="eastAsia" w:cs="宋体"/>
        </w:rPr>
        <w:t>吴湘淇等，《信号、系统与信号处理</w:t>
      </w:r>
      <w:r>
        <w:t>——</w:t>
      </w:r>
      <w:r>
        <w:rPr>
          <w:rFonts w:hint="eastAsia" w:cs="宋体"/>
        </w:rPr>
        <w:t>软硬件实现》，北京电子工业出版社</w:t>
      </w:r>
      <w:r>
        <w:rPr>
          <w:rFonts w:hint="eastAsia"/>
        </w:rPr>
        <w:t>，</w:t>
      </w:r>
      <w:r>
        <w:t>2002</w:t>
      </w:r>
      <w:r>
        <w:rPr>
          <w:rFonts w:hint="eastAsia"/>
        </w:rPr>
        <w:t>。</w:t>
      </w:r>
    </w:p>
    <w:p>
      <w:pPr>
        <w:adjustRightInd w:val="0"/>
        <w:snapToGrid w:val="0"/>
        <w:spacing w:line="360" w:lineRule="auto"/>
        <w:ind w:firstLine="420" w:firstLineChars="200"/>
      </w:pPr>
      <w:r>
        <w:rPr>
          <w:rFonts w:cs="宋体"/>
        </w:rPr>
        <w:t>12、</w:t>
      </w:r>
      <w:r>
        <w:rPr>
          <w:rFonts w:hint="eastAsia" w:cs="宋体"/>
        </w:rPr>
        <w:t>陈后金，胡健等</w:t>
      </w:r>
      <w:r>
        <w:rPr>
          <w:rFonts w:hint="eastAsia"/>
        </w:rPr>
        <w:t>，《</w:t>
      </w:r>
      <w:r>
        <w:rPr>
          <w:rFonts w:hint="eastAsia" w:cs="宋体"/>
        </w:rPr>
        <w:t>信号与系统学习指导及题解</w:t>
      </w:r>
      <w:r>
        <w:rPr>
          <w:rFonts w:hint="eastAsia"/>
        </w:rPr>
        <w:t>》，</w:t>
      </w:r>
      <w:r>
        <w:rPr>
          <w:rFonts w:hint="eastAsia" w:cs="宋体"/>
        </w:rPr>
        <w:t>北京高等教育出版社，</w:t>
      </w:r>
      <w:r>
        <w:t>2008</w:t>
      </w:r>
      <w:r>
        <w:rPr>
          <w:rFonts w:hint="eastAsia"/>
        </w:rPr>
        <w:t>。</w:t>
      </w:r>
    </w:p>
    <w:p>
      <w:pPr>
        <w:adjustRightInd w:val="0"/>
        <w:snapToGrid w:val="0"/>
        <w:spacing w:line="360" w:lineRule="auto"/>
        <w:ind w:firstLine="420" w:firstLineChars="200"/>
        <w:rPr>
          <w:rFonts w:cs="宋体"/>
        </w:rPr>
      </w:pPr>
      <w:r>
        <w:rPr>
          <w:rFonts w:hint="eastAsia" w:cs="宋体"/>
        </w:rPr>
        <w:t>13、视频资源：信号与系统：模拟与数字信号处理，麻省理工学院，资料链接：</w:t>
      </w:r>
      <w:r>
        <w:rPr>
          <w:rFonts w:cs="宋体"/>
        </w:rPr>
        <w:t>http://open.163.com/special/opencourse/signals.html</w:t>
      </w:r>
    </w:p>
    <w:p>
      <w:pPr>
        <w:adjustRightInd w:val="0"/>
        <w:snapToGrid w:val="0"/>
        <w:spacing w:line="360" w:lineRule="auto"/>
        <w:ind w:firstLine="420" w:firstLineChars="200"/>
        <w:rPr>
          <w:rFonts w:cs="宋体"/>
        </w:rPr>
      </w:pPr>
    </w:p>
    <w:p>
      <w:pPr>
        <w:adjustRightInd w:val="0"/>
        <w:snapToGrid w:val="0"/>
        <w:spacing w:line="360" w:lineRule="auto"/>
        <w:rPr>
          <w:rFonts w:eastAsia="黑体"/>
        </w:rPr>
      </w:pPr>
      <w:r>
        <w:rPr>
          <w:rFonts w:hint="eastAsia" w:eastAsia="黑体" w:cs="黑体"/>
        </w:rPr>
        <w:t>八、课程目标达成的途径和措施</w:t>
      </w:r>
    </w:p>
    <w:p>
      <w:pPr>
        <w:spacing w:line="360" w:lineRule="auto"/>
        <w:ind w:firstLine="420" w:firstLineChars="200"/>
      </w:pPr>
      <w:r>
        <w:rPr>
          <w:rFonts w:hint="eastAsia"/>
        </w:rPr>
        <w:t>1</w:t>
      </w:r>
      <w:r>
        <w:rPr>
          <w:rFonts w:hint="eastAsia" w:cs="宋体"/>
        </w:rPr>
        <w:t>、考核目标：在考核学生对信号与系统的基本知识、基本原理和方法的基础上，重点考核学生对信号与系统的时域、频域、复频域分析方法的综合应用能力。</w:t>
      </w:r>
    </w:p>
    <w:p>
      <w:pPr>
        <w:spacing w:line="360" w:lineRule="auto"/>
        <w:ind w:firstLine="420" w:firstLineChars="200"/>
      </w:pPr>
      <w:r>
        <w:rPr>
          <w:rFonts w:hint="eastAsia"/>
        </w:rPr>
        <w:t>2</w:t>
      </w:r>
      <w:r>
        <w:rPr>
          <w:rFonts w:hint="eastAsia" w:cs="宋体"/>
        </w:rPr>
        <w:t>、考核方式：作业、实验、综合报告、期末考试</w:t>
      </w:r>
    </w:p>
    <w:p>
      <w:pPr>
        <w:spacing w:line="360" w:lineRule="auto"/>
        <w:ind w:firstLine="420" w:firstLineChars="200"/>
      </w:pPr>
      <w:r>
        <w:t>3</w:t>
      </w:r>
      <w:r>
        <w:rPr>
          <w:rFonts w:hint="eastAsia" w:cs="宋体"/>
        </w:rPr>
        <w:t>、</w:t>
      </w:r>
      <w:r>
        <w:rPr>
          <w:rFonts w:hint="eastAsia"/>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506"/>
        <w:gridCol w:w="1463"/>
        <w:gridCol w:w="2161"/>
        <w:gridCol w:w="1840"/>
        <w:gridCol w:w="1342"/>
      </w:tblGrid>
      <w:tr>
        <w:tblPrEx>
          <w:tblCellMar>
            <w:top w:w="0" w:type="dxa"/>
            <w:left w:w="108" w:type="dxa"/>
            <w:bottom w:w="0" w:type="dxa"/>
            <w:right w:w="108" w:type="dxa"/>
          </w:tblCellMar>
        </w:tblPrEx>
        <w:trPr>
          <w:trHeight w:val="355" w:hRule="atLeast"/>
          <w:jc w:val="center"/>
        </w:trPr>
        <w:tc>
          <w:tcPr>
            <w:tcW w:w="906" w:type="pct"/>
            <w:tcBorders>
              <w:top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考察环节</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作业</w:t>
            </w:r>
          </w:p>
        </w:tc>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实验</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综合报告</w:t>
            </w:r>
          </w:p>
        </w:tc>
        <w:tc>
          <w:tcPr>
            <w:tcW w:w="807"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期末考试</w:t>
            </w:r>
          </w:p>
        </w:tc>
      </w:tr>
      <w:tr>
        <w:tblPrEx>
          <w:tblCellMar>
            <w:top w:w="0" w:type="dxa"/>
            <w:left w:w="108" w:type="dxa"/>
            <w:bottom w:w="0" w:type="dxa"/>
            <w:right w:w="108" w:type="dxa"/>
          </w:tblCellMar>
        </w:tblPrEx>
        <w:trPr>
          <w:trHeight w:val="90" w:hRule="atLeast"/>
          <w:jc w:val="center"/>
        </w:trPr>
        <w:tc>
          <w:tcPr>
            <w:tcW w:w="906" w:type="pct"/>
            <w:tcBorders>
              <w:top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课程目标达成</w:t>
            </w:r>
          </w:p>
          <w:p>
            <w:pPr>
              <w:widowControl/>
              <w:jc w:val="center"/>
              <w:rPr>
                <w:rFonts w:ascii="宋体" w:hAnsi="宋体" w:cs="宋体"/>
                <w:kern w:val="0"/>
                <w:sz w:val="18"/>
              </w:rPr>
            </w:pPr>
            <w:r>
              <w:rPr>
                <w:rFonts w:hint="eastAsia" w:ascii="宋体" w:hAnsi="宋体" w:cs="宋体"/>
                <w:kern w:val="0"/>
                <w:sz w:val="18"/>
              </w:rPr>
              <w:t>的贡献率</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0.14 </w:t>
            </w:r>
          </w:p>
        </w:tc>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0.15 </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0.25 </w:t>
            </w:r>
          </w:p>
        </w:tc>
        <w:tc>
          <w:tcPr>
            <w:tcW w:w="807" w:type="pct"/>
            <w:tcBorders>
              <w:top w:val="single" w:color="auto" w:sz="4" w:space="0"/>
              <w:left w:val="single" w:color="auto" w:sz="4" w:space="0"/>
              <w:bottom w:val="single" w:color="auto" w:sz="4" w:space="0"/>
            </w:tcBorders>
            <w:shd w:val="clear" w:color="auto" w:fill="auto"/>
            <w:vAlign w:val="center"/>
          </w:tcPr>
          <w:p>
            <w:pPr>
              <w:widowControl/>
              <w:jc w:val="center"/>
              <w:rPr>
                <w:kern w:val="0"/>
                <w:sz w:val="18"/>
                <w:szCs w:val="18"/>
              </w:rPr>
            </w:pPr>
            <w:r>
              <w:rPr>
                <w:kern w:val="0"/>
                <w:sz w:val="18"/>
                <w:szCs w:val="18"/>
              </w:rPr>
              <w:t xml:space="preserve">0.46 </w:t>
            </w:r>
          </w:p>
        </w:tc>
      </w:tr>
      <w:tr>
        <w:tblPrEx>
          <w:tblCellMar>
            <w:top w:w="0" w:type="dxa"/>
            <w:left w:w="108" w:type="dxa"/>
            <w:bottom w:w="0" w:type="dxa"/>
            <w:right w:w="108" w:type="dxa"/>
          </w:tblCellMar>
        </w:tblPrEx>
        <w:trPr>
          <w:trHeight w:val="1043" w:hRule="atLeast"/>
          <w:jc w:val="center"/>
        </w:trPr>
        <w:tc>
          <w:tcPr>
            <w:tcW w:w="906" w:type="pct"/>
            <w:tcBorders>
              <w:top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支撑材料</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ascii="宋体" w:hAnsi="宋体" w:cs="宋体"/>
                <w:kern w:val="0"/>
                <w:sz w:val="18"/>
              </w:rPr>
              <w:t>作业评价标准</w:t>
            </w:r>
            <w:r>
              <w:rPr>
                <w:rFonts w:hint="eastAsia" w:ascii="宋体" w:hAnsi="宋体" w:cs="宋体"/>
                <w:kern w:val="0"/>
                <w:sz w:val="18"/>
              </w:rPr>
              <w:t>、作业评分登记表</w:t>
            </w:r>
          </w:p>
          <w:p>
            <w:pPr>
              <w:widowControl/>
              <w:jc w:val="center"/>
              <w:rPr>
                <w:rFonts w:ascii="宋体" w:hAnsi="宋体" w:cs="宋体"/>
                <w:kern w:val="0"/>
                <w:sz w:val="18"/>
              </w:rPr>
            </w:pPr>
          </w:p>
        </w:tc>
        <w:tc>
          <w:tcPr>
            <w:tcW w:w="1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ascii="宋体" w:hAnsi="宋体" w:cs="宋体"/>
                <w:kern w:val="0"/>
                <w:sz w:val="18"/>
              </w:rPr>
              <w:t>课内实验评价标准，</w:t>
            </w:r>
            <w:r>
              <w:rPr>
                <w:rFonts w:hint="eastAsia" w:ascii="宋体" w:hAnsi="宋体" w:cs="宋体"/>
                <w:kern w:val="0"/>
                <w:sz w:val="18"/>
              </w:rPr>
              <w:t>实验课堂记录记录，典型实验报告（可以提交电子版）</w:t>
            </w:r>
          </w:p>
        </w:tc>
        <w:tc>
          <w:tcPr>
            <w:tcW w:w="11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综合报告</w:t>
            </w:r>
            <w:r>
              <w:rPr>
                <w:rFonts w:ascii="宋体" w:hAnsi="宋体" w:cs="宋体"/>
                <w:kern w:val="0"/>
                <w:sz w:val="18"/>
              </w:rPr>
              <w:t>评价标准</w:t>
            </w:r>
            <w:r>
              <w:rPr>
                <w:rFonts w:hint="eastAsia" w:ascii="宋体" w:hAnsi="宋体" w:cs="宋体"/>
                <w:kern w:val="0"/>
                <w:sz w:val="18"/>
              </w:rPr>
              <w:t>，综合性报告评分登记表</w:t>
            </w:r>
            <w:r>
              <w:rPr>
                <w:rFonts w:ascii="宋体" w:hAnsi="宋体" w:cs="宋体"/>
                <w:kern w:val="0"/>
                <w:sz w:val="18"/>
              </w:rPr>
              <w:t>，</w:t>
            </w:r>
            <w:r>
              <w:rPr>
                <w:rFonts w:hint="eastAsia" w:ascii="宋体" w:hAnsi="宋体" w:cs="宋体"/>
                <w:kern w:val="0"/>
                <w:sz w:val="18"/>
              </w:rPr>
              <w:t>典型综合性报告</w:t>
            </w:r>
          </w:p>
        </w:tc>
        <w:tc>
          <w:tcPr>
            <w:tcW w:w="807"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kern w:val="0"/>
                <w:sz w:val="18"/>
              </w:rPr>
            </w:pPr>
            <w:r>
              <w:rPr>
                <w:rFonts w:hint="eastAsia" w:ascii="宋体" w:hAnsi="宋体" w:cs="宋体"/>
                <w:kern w:val="0"/>
                <w:sz w:val="18"/>
              </w:rPr>
              <w:t>试题评分标准，</w:t>
            </w:r>
            <w:r>
              <w:rPr>
                <w:rFonts w:ascii="宋体" w:hAnsi="宋体" w:cs="宋体"/>
                <w:kern w:val="0"/>
                <w:sz w:val="18"/>
              </w:rPr>
              <w:t>试卷，</w:t>
            </w:r>
          </w:p>
        </w:tc>
      </w:tr>
    </w:tbl>
    <w:p/>
    <w:p>
      <w:pPr>
        <w:adjustRightInd w:val="0"/>
        <w:snapToGrid w:val="0"/>
        <w:spacing w:line="360" w:lineRule="auto"/>
        <w:rPr>
          <w:rFonts w:eastAsia="黑体" w:cs="黑体"/>
        </w:rPr>
      </w:pPr>
      <w:r>
        <w:rPr>
          <w:rFonts w:eastAsia="黑体" w:cs="黑体"/>
        </w:rPr>
        <w:t>九</w:t>
      </w:r>
      <w:r>
        <w:rPr>
          <w:rFonts w:hint="eastAsia" w:eastAsia="黑体" w:cs="黑体"/>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jc w:val="center"/>
              <w:rPr>
                <w:sz w:val="18"/>
                <w:szCs w:val="18"/>
                <w:highlight w:val="yellow"/>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1. 信号与系统的基本概念、分类、描述，信号与系统分析的基本方法及理论</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2. 信号的基本运算、信号的卷积运算、信号的时域分解</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3. 线性时不变系统描述与特点，LTI系统响应的求解方法、分类及工程物理概念，单位冲激响应，卷积法求解系统零状态响应</w:t>
            </w:r>
          </w:p>
        </w:tc>
        <w:tc>
          <w:tcPr>
            <w:tcW w:w="691" w:type="pct"/>
            <w:vAlign w:val="center"/>
          </w:tcPr>
          <w:p>
            <w:pPr>
              <w:jc w:val="center"/>
              <w:rPr>
                <w:sz w:val="18"/>
                <w:szCs w:val="18"/>
              </w:rPr>
            </w:pPr>
            <w:r>
              <w:rPr>
                <w:sz w:val="18"/>
                <w:szCs w:val="18"/>
              </w:rPr>
              <w:t>0.15</w:t>
            </w:r>
          </w:p>
        </w:tc>
        <w:tc>
          <w:tcPr>
            <w:tcW w:w="1048" w:type="pct"/>
            <w:vAlign w:val="center"/>
          </w:tcPr>
          <w:p>
            <w:pPr>
              <w:jc w:val="center"/>
              <w:rPr>
                <w:sz w:val="18"/>
                <w:szCs w:val="18"/>
              </w:rPr>
            </w:pPr>
            <w:r>
              <w:rPr>
                <w:rFonts w:hint="eastAsia"/>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4. 周期信号傅里叶级数和非周期信号傅里叶变换定义、基本性质及物理概念，信号的带宽、频谱基本概念及工程含义</w:t>
            </w:r>
          </w:p>
        </w:tc>
        <w:tc>
          <w:tcPr>
            <w:tcW w:w="691" w:type="pct"/>
            <w:vAlign w:val="center"/>
          </w:tcPr>
          <w:p>
            <w:pPr>
              <w:jc w:val="center"/>
              <w:rPr>
                <w:sz w:val="18"/>
                <w:szCs w:val="18"/>
              </w:rPr>
            </w:pPr>
            <w:r>
              <w:rPr>
                <w:sz w:val="18"/>
                <w:szCs w:val="18"/>
              </w:rPr>
              <w:t>0.15</w:t>
            </w:r>
          </w:p>
        </w:tc>
        <w:tc>
          <w:tcPr>
            <w:tcW w:w="1048" w:type="pct"/>
            <w:vAlign w:val="center"/>
          </w:tcPr>
          <w:p>
            <w:pPr>
              <w:jc w:val="center"/>
              <w:rPr>
                <w:sz w:val="18"/>
                <w:szCs w:val="18"/>
              </w:rPr>
            </w:pPr>
            <w:r>
              <w:rPr>
                <w:rFonts w:hint="eastAsia"/>
                <w:sz w:val="18"/>
                <w:szCs w:val="18"/>
              </w:rPr>
              <w:t>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5. LTI系统的频率响应的概念、物理意义及工程应用，无失真传输系统、理想滤波器、信号抽样等典型系统的频域分析及工程概念</w:t>
            </w:r>
          </w:p>
        </w:tc>
        <w:tc>
          <w:tcPr>
            <w:tcW w:w="691" w:type="pct"/>
            <w:vAlign w:val="center"/>
          </w:tcPr>
          <w:p>
            <w:pPr>
              <w:jc w:val="center"/>
              <w:rPr>
                <w:sz w:val="18"/>
                <w:szCs w:val="18"/>
              </w:rPr>
            </w:pPr>
            <w:r>
              <w:rPr>
                <w:sz w:val="18"/>
                <w:szCs w:val="18"/>
              </w:rPr>
              <w:t>0.20</w:t>
            </w:r>
          </w:p>
        </w:tc>
        <w:tc>
          <w:tcPr>
            <w:tcW w:w="1048" w:type="pct"/>
            <w:vAlign w:val="center"/>
          </w:tcPr>
          <w:p>
            <w:pPr>
              <w:jc w:val="center"/>
              <w:rPr>
                <w:sz w:val="18"/>
                <w:szCs w:val="18"/>
              </w:rPr>
            </w:pPr>
            <w:r>
              <w:rPr>
                <w:rFonts w:hint="eastAsia"/>
                <w:sz w:val="18"/>
                <w:szCs w:val="18"/>
              </w:rPr>
              <w:t>1,2,3,4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6. 信号的拉氏变换定义、收敛域、基本性质，信号拉氏反变换方法</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1" w:type="pct"/>
            <w:vAlign w:val="center"/>
          </w:tcPr>
          <w:p>
            <w:pPr>
              <w:ind w:left="174" w:leftChars="83"/>
              <w:rPr>
                <w:sz w:val="18"/>
                <w:szCs w:val="18"/>
              </w:rPr>
            </w:pPr>
            <w:r>
              <w:rPr>
                <w:rFonts w:hint="eastAsia"/>
                <w:sz w:val="18"/>
                <w:szCs w:val="18"/>
              </w:rPr>
              <w:t>7. LTI系统的系统函数定义、零极点分布图、频率特性分析，系统的联结与模拟框图表示</w:t>
            </w:r>
          </w:p>
        </w:tc>
        <w:tc>
          <w:tcPr>
            <w:tcW w:w="691" w:type="pct"/>
            <w:vAlign w:val="center"/>
          </w:tcPr>
          <w:p>
            <w:pPr>
              <w:jc w:val="center"/>
              <w:rPr>
                <w:sz w:val="18"/>
                <w:szCs w:val="18"/>
              </w:rPr>
            </w:pPr>
            <w:r>
              <w:rPr>
                <w:sz w:val="18"/>
                <w:szCs w:val="18"/>
              </w:rPr>
              <w:t>0.20</w:t>
            </w:r>
          </w:p>
        </w:tc>
        <w:tc>
          <w:tcPr>
            <w:tcW w:w="1048" w:type="pct"/>
            <w:vAlign w:val="center"/>
          </w:tcPr>
          <w:p>
            <w:pPr>
              <w:jc w:val="center"/>
              <w:rPr>
                <w:sz w:val="18"/>
                <w:szCs w:val="18"/>
              </w:rPr>
            </w:pPr>
            <w:r>
              <w:rPr>
                <w:rFonts w:hint="eastAsia"/>
                <w:sz w:val="18"/>
                <w:szCs w:val="18"/>
              </w:rPr>
              <w:t>1,2,4</w:t>
            </w:r>
          </w:p>
        </w:tc>
      </w:tr>
    </w:tbl>
    <w:p>
      <w:pPr>
        <w:spacing w:before="120" w:beforeLines="50" w:line="360" w:lineRule="auto"/>
        <w:ind w:firstLine="420" w:firstLineChars="200"/>
        <w:rPr>
          <w:rFonts w:ascii="宋体" w:hAnsi="宋体" w:cs="宋体"/>
          <w:szCs w:val="21"/>
        </w:rPr>
      </w:pPr>
      <w:r>
        <w:rPr>
          <w:rFonts w:hint="eastAsia" w:ascii="宋体" w:hAnsi="宋体" w:cs="宋体"/>
          <w:szCs w:val="21"/>
        </w:rPr>
        <w:t>本课程不可以申请免修。</w:t>
      </w:r>
    </w:p>
    <w:p>
      <w:pPr>
        <w:spacing w:line="360" w:lineRule="auto"/>
        <w:ind w:firstLine="420" w:firstLineChars="200"/>
        <w:rPr>
          <w:szCs w:val="21"/>
        </w:rPr>
        <w:sectPr>
          <w:headerReference r:id="rId18" w:type="first"/>
          <w:footerReference r:id="rId21" w:type="first"/>
          <w:headerReference r:id="rId16" w:type="default"/>
          <w:footerReference r:id="rId19" w:type="default"/>
          <w:headerReference r:id="rId17" w:type="even"/>
          <w:footerReference r:id="rId20"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tblInd w:w="0" w:type="dxa"/>
        <w:tblLayout w:type="autofit"/>
        <w:tblCellMar>
          <w:top w:w="0" w:type="dxa"/>
          <w:left w:w="108" w:type="dxa"/>
          <w:bottom w:w="0" w:type="dxa"/>
          <w:right w:w="108" w:type="dxa"/>
        </w:tblCellMar>
      </w:tblPr>
      <w:tblGrid>
        <w:gridCol w:w="942"/>
        <w:gridCol w:w="945"/>
        <w:gridCol w:w="946"/>
        <w:gridCol w:w="946"/>
        <w:gridCol w:w="946"/>
        <w:gridCol w:w="951"/>
        <w:gridCol w:w="946"/>
        <w:gridCol w:w="946"/>
        <w:gridCol w:w="946"/>
        <w:gridCol w:w="948"/>
        <w:gridCol w:w="1654"/>
        <w:gridCol w:w="946"/>
        <w:gridCol w:w="946"/>
        <w:gridCol w:w="940"/>
      </w:tblGrid>
      <w:tr>
        <w:tblPrEx>
          <w:tblCellMar>
            <w:top w:w="0" w:type="dxa"/>
            <w:left w:w="108" w:type="dxa"/>
            <w:bottom w:w="0" w:type="dxa"/>
            <w:right w:w="108" w:type="dxa"/>
          </w:tblCellMar>
        </w:tblPrEx>
        <w:trPr>
          <w:trHeight w:val="270" w:hRule="atLeast"/>
        </w:trPr>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3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知识面比例（本列总和为1）</w:t>
            </w:r>
            <w:r>
              <w:rPr>
                <w:kern w:val="0"/>
                <w:sz w:val="18"/>
                <w:szCs w:val="18"/>
              </w:rPr>
              <w:br w:type="textWrapping"/>
            </w:r>
            <w:r>
              <w:rPr>
                <w:kern w:val="0"/>
                <w:sz w:val="18"/>
                <w:szCs w:val="18"/>
              </w:rPr>
              <w:t>P</w:t>
            </w:r>
            <w:r>
              <w:rPr>
                <w:kern w:val="0"/>
                <w:sz w:val="18"/>
                <w:szCs w:val="18"/>
                <w:vertAlign w:val="subscript"/>
              </w:rPr>
              <w:t>i</w:t>
            </w:r>
          </w:p>
        </w:tc>
        <w:tc>
          <w:tcPr>
            <w:tcW w:w="1358"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各环节评价比例分配</w:t>
            </w:r>
            <w:r>
              <w:rPr>
                <w:kern w:val="0"/>
                <w:sz w:val="18"/>
                <w:szCs w:val="18"/>
              </w:rPr>
              <w:br w:type="textWrapping"/>
            </w:r>
            <w:r>
              <w:rPr>
                <w:kern w:val="0"/>
                <w:sz w:val="18"/>
                <w:szCs w:val="18"/>
              </w:rPr>
              <w:t>（每行总和为1）</w:t>
            </w:r>
            <w:r>
              <w:rPr>
                <w:kern w:val="0"/>
                <w:sz w:val="18"/>
                <w:szCs w:val="18"/>
              </w:rPr>
              <w:br w:type="textWrapping"/>
            </w:r>
            <w:r>
              <w:rPr>
                <w:kern w:val="0"/>
                <w:sz w:val="18"/>
                <w:szCs w:val="18"/>
              </w:rPr>
              <w:t>W</w:t>
            </w:r>
            <w:r>
              <w:rPr>
                <w:kern w:val="0"/>
                <w:sz w:val="18"/>
                <w:szCs w:val="18"/>
                <w:vertAlign w:val="subscript"/>
              </w:rPr>
              <w:t>ik</w:t>
            </w:r>
          </w:p>
        </w:tc>
        <w:tc>
          <w:tcPr>
            <w:tcW w:w="1357"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各环节在课程达成中的占比</w:t>
            </w:r>
            <w:r>
              <w:rPr>
                <w:kern w:val="0"/>
                <w:sz w:val="18"/>
                <w:szCs w:val="18"/>
              </w:rPr>
              <w:br w:type="textWrapping"/>
            </w:r>
            <w:r>
              <w:rPr>
                <w:kern w:val="0"/>
                <w:sz w:val="18"/>
                <w:szCs w:val="18"/>
              </w:rPr>
              <w:t>（所有行列总和为1）</w:t>
            </w:r>
            <w:r>
              <w:rPr>
                <w:kern w:val="0"/>
                <w:sz w:val="18"/>
                <w:szCs w:val="18"/>
              </w:rPr>
              <w:br w:type="textWrapping"/>
            </w:r>
            <w:r>
              <w:rPr>
                <w:kern w:val="0"/>
                <w:sz w:val="18"/>
                <w:szCs w:val="18"/>
              </w:rPr>
              <w:t>S</w:t>
            </w:r>
            <w:r>
              <w:rPr>
                <w:kern w:val="0"/>
                <w:sz w:val="18"/>
                <w:szCs w:val="18"/>
                <w:vertAlign w:val="subscript"/>
              </w:rPr>
              <w:t>ik</w:t>
            </w:r>
            <w:r>
              <w:rPr>
                <w:kern w:val="0"/>
                <w:sz w:val="18"/>
                <w:szCs w:val="18"/>
              </w:rPr>
              <w:t>=P</w:t>
            </w:r>
            <w:r>
              <w:rPr>
                <w:kern w:val="0"/>
                <w:sz w:val="18"/>
                <w:szCs w:val="18"/>
                <w:vertAlign w:val="subscript"/>
              </w:rPr>
              <w:t>i</w:t>
            </w:r>
            <w:r>
              <w:rPr>
                <w:kern w:val="0"/>
                <w:sz w:val="18"/>
                <w:szCs w:val="18"/>
              </w:rPr>
              <w:t>*W</w:t>
            </w:r>
            <w:r>
              <w:rPr>
                <w:kern w:val="0"/>
                <w:sz w:val="18"/>
                <w:szCs w:val="18"/>
                <w:vertAlign w:val="subscript"/>
              </w:rPr>
              <w:t>ik</w:t>
            </w:r>
          </w:p>
        </w:tc>
        <w:tc>
          <w:tcPr>
            <w:tcW w:w="1608"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各环节课程目标考核权重分布</w:t>
            </w:r>
            <w:r>
              <w:rPr>
                <w:kern w:val="0"/>
                <w:sz w:val="18"/>
                <w:szCs w:val="18"/>
              </w:rPr>
              <w:br w:type="textWrapping"/>
            </w:r>
            <w:r>
              <w:rPr>
                <w:kern w:val="0"/>
                <w:sz w:val="18"/>
                <w:szCs w:val="18"/>
              </w:rPr>
              <w:t>（每一列总和为1）</w:t>
            </w:r>
            <w:r>
              <w:rPr>
                <w:kern w:val="0"/>
                <w:sz w:val="18"/>
                <w:szCs w:val="18"/>
              </w:rPr>
              <w:br w:type="textWrapping"/>
            </w:r>
            <w:r>
              <w:rPr>
                <w:kern w:val="0"/>
                <w:sz w:val="18"/>
                <w:szCs w:val="18"/>
              </w:rPr>
              <w:t>E</w:t>
            </w:r>
            <w:r>
              <w:rPr>
                <w:kern w:val="0"/>
                <w:sz w:val="18"/>
                <w:szCs w:val="18"/>
                <w:vertAlign w:val="subscript"/>
              </w:rPr>
              <w:t>ik</w:t>
            </w:r>
            <w:r>
              <w:rPr>
                <w:kern w:val="0"/>
                <w:sz w:val="18"/>
                <w:szCs w:val="18"/>
              </w:rPr>
              <w:t>=S</w:t>
            </w:r>
            <w:r>
              <w:rPr>
                <w:kern w:val="0"/>
                <w:sz w:val="18"/>
                <w:szCs w:val="18"/>
                <w:vertAlign w:val="subscript"/>
              </w:rPr>
              <w:t>ik</w:t>
            </w:r>
            <w:r>
              <w:rPr>
                <w:kern w:val="0"/>
                <w:sz w:val="18"/>
                <w:szCs w:val="18"/>
              </w:rPr>
              <w:t>/M</w:t>
            </w:r>
            <w:r>
              <w:rPr>
                <w:kern w:val="0"/>
                <w:sz w:val="18"/>
                <w:szCs w:val="18"/>
                <w:vertAlign w:val="subscript"/>
              </w:rPr>
              <w:t>ik</w:t>
            </w:r>
          </w:p>
        </w:tc>
      </w:tr>
      <w:tr>
        <w:tblPrEx>
          <w:tblCellMar>
            <w:top w:w="0" w:type="dxa"/>
            <w:left w:w="108" w:type="dxa"/>
            <w:bottom w:w="0" w:type="dxa"/>
            <w:right w:w="108" w:type="dxa"/>
          </w:tblCellMar>
        </w:tblPrEx>
        <w:trPr>
          <w:trHeight w:val="270" w:hRule="atLeast"/>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358"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357"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608"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70" w:hRule="atLeast"/>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358"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357"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1608" w:type="pct"/>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r>
      <w:tr>
        <w:tblPrEx>
          <w:tblCellMar>
            <w:top w:w="0" w:type="dxa"/>
            <w:left w:w="108" w:type="dxa"/>
            <w:bottom w:w="0" w:type="dxa"/>
            <w:right w:w="108" w:type="dxa"/>
          </w:tblCellMar>
        </w:tblPrEx>
        <w:trPr>
          <w:trHeight w:val="270" w:hRule="atLeast"/>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综合报告</w:t>
            </w:r>
          </w:p>
        </w:tc>
        <w:tc>
          <w:tcPr>
            <w:tcW w:w="341"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期末考试</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综合报告</w:t>
            </w:r>
          </w:p>
        </w:tc>
        <w:tc>
          <w:tcPr>
            <w:tcW w:w="340"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期末考试</w:t>
            </w:r>
          </w:p>
        </w:tc>
        <w:tc>
          <w:tcPr>
            <w:tcW w:w="593"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339"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综合报告</w:t>
            </w:r>
          </w:p>
        </w:tc>
        <w:tc>
          <w:tcPr>
            <w:tcW w:w="337"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期末考试</w:t>
            </w:r>
          </w:p>
        </w:tc>
      </w:tr>
      <w:tr>
        <w:tblPrEx>
          <w:tblCellMar>
            <w:top w:w="0" w:type="dxa"/>
            <w:left w:w="108" w:type="dxa"/>
            <w:bottom w:w="0" w:type="dxa"/>
            <w:right w:w="108" w:type="dxa"/>
          </w:tblCellMar>
        </w:tblPrEx>
        <w:trPr>
          <w:trHeight w:val="270" w:hRule="atLeast"/>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4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4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593"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7"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r>
      <w:tr>
        <w:tblPrEx>
          <w:tblCellMar>
            <w:top w:w="0" w:type="dxa"/>
            <w:left w:w="108" w:type="dxa"/>
            <w:bottom w:w="0" w:type="dxa"/>
            <w:right w:w="108" w:type="dxa"/>
          </w:tblCellMar>
        </w:tblPrEx>
        <w:trPr>
          <w:trHeight w:val="270" w:hRule="atLeast"/>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41"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4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593"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9"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c>
          <w:tcPr>
            <w:tcW w:w="337" w:type="pct"/>
            <w:vMerge w:val="continue"/>
            <w:tcBorders>
              <w:top w:val="nil"/>
              <w:left w:val="single" w:color="auto" w:sz="4" w:space="0"/>
              <w:bottom w:val="single" w:color="auto" w:sz="4" w:space="0"/>
              <w:right w:val="single" w:color="auto" w:sz="4" w:space="0"/>
            </w:tcBorders>
            <w:vAlign w:val="center"/>
          </w:tcPr>
          <w:p>
            <w:pPr>
              <w:widowControl/>
              <w:jc w:val="left"/>
              <w:rPr>
                <w:kern w:val="0"/>
                <w:sz w:val="18"/>
                <w:szCs w:val="18"/>
              </w:rPr>
            </w:pPr>
          </w:p>
        </w:tc>
      </w:tr>
      <w:tr>
        <w:tblPrEx>
          <w:tblCellMar>
            <w:top w:w="0" w:type="dxa"/>
            <w:left w:w="108" w:type="dxa"/>
            <w:bottom w:w="0" w:type="dxa"/>
            <w:right w:w="108" w:type="dxa"/>
          </w:tblCellMar>
        </w:tblPrEx>
        <w:trPr>
          <w:trHeight w:val="534" w:hRule="atLeast"/>
        </w:trPr>
        <w:tc>
          <w:tcPr>
            <w:tcW w:w="338"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0.5</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0.1</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0.1</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0.6</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0.10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0.05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0.05 </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0.30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0.71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0.33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0.20 </w:t>
            </w:r>
          </w:p>
        </w:tc>
        <w:tc>
          <w:tcPr>
            <w:tcW w:w="337"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0.65 </w:t>
            </w:r>
          </w:p>
        </w:tc>
      </w:tr>
      <w:tr>
        <w:tblPrEx>
          <w:tblCellMar>
            <w:top w:w="0" w:type="dxa"/>
            <w:left w:w="108" w:type="dxa"/>
            <w:bottom w:w="0" w:type="dxa"/>
            <w:right w:w="108" w:type="dxa"/>
          </w:tblCellMar>
        </w:tblPrEx>
        <w:trPr>
          <w:trHeight w:val="546" w:hRule="atLeast"/>
        </w:trPr>
        <w:tc>
          <w:tcPr>
            <w:tcW w:w="338"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0.1</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0.6</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0.02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0.06 </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0.02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0.13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0.24 </w:t>
            </w:r>
          </w:p>
        </w:tc>
        <w:tc>
          <w:tcPr>
            <w:tcW w:w="337"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0.04 </w:t>
            </w:r>
          </w:p>
        </w:tc>
      </w:tr>
      <w:tr>
        <w:tblPrEx>
          <w:tblCellMar>
            <w:top w:w="0" w:type="dxa"/>
            <w:left w:w="108" w:type="dxa"/>
            <w:bottom w:w="0" w:type="dxa"/>
            <w:right w:w="108" w:type="dxa"/>
          </w:tblCellMar>
        </w:tblPrEx>
        <w:trPr>
          <w:trHeight w:val="546" w:hRule="atLeast"/>
        </w:trPr>
        <w:tc>
          <w:tcPr>
            <w:tcW w:w="338"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0.4</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0.04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0.04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0.08 </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0.04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0.29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0.27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0.32 </w:t>
            </w:r>
          </w:p>
        </w:tc>
        <w:tc>
          <w:tcPr>
            <w:tcW w:w="337"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0.09 </w:t>
            </w:r>
          </w:p>
        </w:tc>
      </w:tr>
      <w:tr>
        <w:tblPrEx>
          <w:tblCellMar>
            <w:top w:w="0" w:type="dxa"/>
            <w:left w:w="108" w:type="dxa"/>
            <w:bottom w:w="0" w:type="dxa"/>
            <w:right w:w="108" w:type="dxa"/>
          </w:tblCellMar>
        </w:tblPrEx>
        <w:trPr>
          <w:trHeight w:val="546" w:hRule="atLeast"/>
        </w:trPr>
        <w:tc>
          <w:tcPr>
            <w:tcW w:w="338"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4</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0.2</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0.3</w:t>
            </w:r>
          </w:p>
        </w:tc>
        <w:tc>
          <w:tcPr>
            <w:tcW w:w="341"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0.5</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0.04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0.06 </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0.10 </w:t>
            </w:r>
          </w:p>
        </w:tc>
        <w:tc>
          <w:tcPr>
            <w:tcW w:w="593"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0.27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0.24 </w:t>
            </w:r>
          </w:p>
        </w:tc>
        <w:tc>
          <w:tcPr>
            <w:tcW w:w="337"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0.22 </w:t>
            </w:r>
          </w:p>
        </w:tc>
      </w:tr>
      <w:tr>
        <w:tblPrEx>
          <w:tblCellMar>
            <w:top w:w="0" w:type="dxa"/>
            <w:left w:w="108" w:type="dxa"/>
            <w:bottom w:w="0" w:type="dxa"/>
            <w:right w:w="108" w:type="dxa"/>
          </w:tblCellMar>
        </w:tblPrEx>
        <w:trPr>
          <w:trHeight w:val="555" w:hRule="atLeast"/>
        </w:trPr>
        <w:tc>
          <w:tcPr>
            <w:tcW w:w="2035"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各环节对课程目标达成的贡献率（M</w:t>
            </w:r>
            <w:r>
              <w:rPr>
                <w:kern w:val="0"/>
                <w:sz w:val="18"/>
                <w:szCs w:val="18"/>
                <w:vertAlign w:val="subscript"/>
              </w:rPr>
              <w:t>ik</w:t>
            </w:r>
            <w:r>
              <w:rPr>
                <w:kern w:val="0"/>
                <w:sz w:val="18"/>
                <w:szCs w:val="18"/>
              </w:rPr>
              <w:t>）</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0.14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0.15 </w:t>
            </w:r>
          </w:p>
        </w:tc>
        <w:tc>
          <w:tcPr>
            <w:tcW w:w="339"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0.25 </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0.46 </w:t>
            </w:r>
          </w:p>
        </w:tc>
        <w:tc>
          <w:tcPr>
            <w:tcW w:w="1608" w:type="pct"/>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教师出题或布置作业时</w:t>
            </w:r>
            <w:r>
              <w:rPr>
                <w:rFonts w:hint="eastAsia" w:ascii="宋体" w:hAnsi="宋体" w:cs="宋体"/>
                <w:kern w:val="0"/>
                <w:sz w:val="18"/>
                <w:szCs w:val="18"/>
              </w:rPr>
              <w:br w:type="textWrapping"/>
            </w:r>
            <w:r>
              <w:rPr>
                <w:rFonts w:hint="eastAsia" w:ascii="宋体" w:hAnsi="宋体" w:cs="宋体"/>
                <w:kern w:val="0"/>
                <w:sz w:val="18"/>
                <w:szCs w:val="18"/>
              </w:rPr>
              <w:t>要尽量做到按照以上比例布局</w:t>
            </w:r>
          </w:p>
        </w:tc>
      </w:tr>
    </w:tbl>
    <w:p>
      <w:pPr>
        <w:spacing w:line="360" w:lineRule="auto"/>
        <w:jc w:val="left"/>
      </w:pPr>
    </w:p>
    <w:p>
      <w:pPr>
        <w:spacing w:line="360" w:lineRule="auto"/>
        <w:jc w:val="left"/>
        <w:sectPr>
          <w:footerReference r:id="rId22" w:type="default"/>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66" o:spt="75" type="#_x0000_t75" style="height:36pt;width:166.5pt;" o:ole="t" filled="f" o:preferrelative="t" stroked="f" coordsize="21600,21600">
            <v:path/>
            <v:fill on="f" focussize="0,0"/>
            <v:stroke on="f" joinstyle="miter"/>
            <v:imagedata r:id="rId201" o:title=""/>
            <o:lock v:ext="edit" aspectratio="t"/>
            <w10:wrap type="none"/>
            <w10:anchorlock/>
          </v:shape>
          <o:OLEObject Type="Embed" ProgID="Equation.3" ShapeID="_x0000_i1066" DrawAspect="Content" ObjectID="_1468075766" r:id="rId224">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67"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67" DrawAspect="Content" ObjectID="_1468075767" r:id="rId225">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68" o:spt="75" type="#_x0000_t75" style="height:18pt;width:13.5pt;" o:ole="t" filled="f" o:preferrelative="t" stroked="f" coordsize="21600,21600">
            <v:path/>
            <v:fill on="f" focussize="0,0"/>
            <v:stroke on="f" joinstyle="miter"/>
            <v:imagedata r:id="rId205" o:title=""/>
            <o:lock v:ext="edit" aspectratio="t"/>
            <w10:wrap type="none"/>
            <w10:anchorlock/>
          </v:shape>
          <o:OLEObject Type="Embed" ProgID="Equation.3" ShapeID="_x0000_i1068" DrawAspect="Content" ObjectID="_1468075768" r:id="rId226">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69" o:spt="75" type="#_x0000_t75" style="height:18pt;width:73.55pt;" o:ole="t" filled="f" o:preferrelative="t" stroked="f" coordsize="21600,21600">
            <v:path/>
            <v:fill on="f" focussize="0,0"/>
            <v:stroke on="f" joinstyle="miter"/>
            <v:imagedata r:id="rId207" o:title=""/>
            <o:lock v:ext="edit" aspectratio="t"/>
            <w10:wrap type="none"/>
            <w10:anchorlock/>
          </v:shape>
          <o:OLEObject Type="Embed" ProgID="Equation.3" ShapeID="_x0000_i1069" DrawAspect="Content" ObjectID="_1468075769" r:id="rId227">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070" o:spt="75" type="#_x0000_t75" style="height:18pt;width:18pt;" o:ole="t" filled="f" o:preferrelative="t" stroked="f" coordsize="21600,21600">
            <v:path/>
            <v:fill on="f" focussize="0,0"/>
            <v:stroke on="f" joinstyle="miter"/>
            <v:imagedata r:id="rId209" o:title=""/>
            <o:lock v:ext="edit" aspectratio="t"/>
            <w10:wrap type="none"/>
            <w10:anchorlock/>
          </v:shape>
          <o:OLEObject Type="Embed" ProgID="Equation.3" ShapeID="_x0000_i1070" DrawAspect="Content" ObjectID="_1468075770" r:id="rId228">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071" o:spt="75" type="#_x0000_t75" style="height:18pt;width:13.5pt;" o:ole="t" filled="f" o:preferrelative="t" stroked="f" coordsize="21600,21600">
            <v:path/>
            <v:fill on="f" focussize="0,0"/>
            <v:stroke on="f" joinstyle="miter"/>
            <v:imagedata r:id="rId211" o:title=""/>
            <o:lock v:ext="edit" aspectratio="t"/>
            <w10:wrap type="none"/>
            <w10:anchorlock/>
          </v:shape>
          <o:OLEObject Type="Embed" ProgID="Equation.3" ShapeID="_x0000_i1071" DrawAspect="Content" ObjectID="_1468075771" r:id="rId229">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70" w:name="_Toc46996561"/>
      <w:bookmarkStart w:id="171" w:name="_Toc26829"/>
      <w:r>
        <w:rPr>
          <w:rFonts w:hint="eastAsia"/>
        </w:rPr>
        <w:t>《</w:t>
      </w:r>
      <w:r>
        <w:t>Y02060015-</w:t>
      </w:r>
      <w:r>
        <w:rPr>
          <w:rFonts w:hint="eastAsia"/>
        </w:rPr>
        <w:t>固体物理</w:t>
      </w:r>
      <w:r>
        <w:t>学</w:t>
      </w:r>
      <w:r>
        <w:rPr>
          <w:rFonts w:hint="eastAsia"/>
        </w:rPr>
        <w:t>》教学大纲</w:t>
      </w:r>
      <w:bookmarkEnd w:id="170"/>
      <w:bookmarkEnd w:id="171"/>
    </w:p>
    <w:p>
      <w:pPr>
        <w:adjustRightInd w:val="0"/>
        <w:snapToGrid w:val="0"/>
        <w:spacing w:line="360" w:lineRule="auto"/>
        <w:rPr>
          <w:bCs/>
          <w:kern w:val="0"/>
        </w:rPr>
      </w:pPr>
      <w:r>
        <w:rPr>
          <w:rFonts w:hint="eastAsia" w:eastAsia="黑体"/>
          <w:szCs w:val="21"/>
        </w:rPr>
        <w:t>课程编号：Y</w:t>
      </w:r>
      <w:r>
        <w:rPr>
          <w:bCs/>
          <w:kern w:val="0"/>
        </w:rPr>
        <w:t>02060015</w:t>
      </w:r>
    </w:p>
    <w:p>
      <w:pPr>
        <w:adjustRightInd w:val="0"/>
        <w:snapToGrid w:val="0"/>
        <w:spacing w:line="360" w:lineRule="auto"/>
        <w:rPr>
          <w:snapToGrid w:val="0"/>
          <w:kern w:val="0"/>
          <w:szCs w:val="21"/>
        </w:rPr>
      </w:pPr>
      <w:r>
        <w:rPr>
          <w:rFonts w:hint="eastAsia" w:eastAsia="黑体"/>
          <w:szCs w:val="21"/>
        </w:rPr>
        <w:t>课程名称：</w:t>
      </w:r>
      <w:r>
        <w:t>固体物理</w:t>
      </w:r>
      <w:r>
        <w:rPr>
          <w:rFonts w:hint="eastAsia"/>
        </w:rPr>
        <w:t>学</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p>
    <w:p>
      <w:pPr>
        <w:adjustRightInd w:val="0"/>
        <w:snapToGrid w:val="0"/>
        <w:spacing w:line="360" w:lineRule="auto"/>
        <w:rPr>
          <w:rFonts w:eastAsia="黑体"/>
          <w:szCs w:val="21"/>
        </w:rPr>
      </w:pPr>
      <w:r>
        <w:rPr>
          <w:rFonts w:hint="eastAsia" w:eastAsia="黑体"/>
          <w:szCs w:val="21"/>
        </w:rPr>
        <w:t>总 学 时：</w:t>
      </w:r>
      <w:r>
        <w:rPr>
          <w:szCs w:val="21"/>
        </w:rPr>
        <w:t>48</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3</w:t>
      </w:r>
    </w:p>
    <w:p>
      <w:pPr>
        <w:adjustRightInd w:val="0"/>
        <w:snapToGrid w:val="0"/>
        <w:spacing w:line="360" w:lineRule="auto"/>
        <w:rPr>
          <w:rFonts w:eastAsia="黑体"/>
          <w:szCs w:val="21"/>
        </w:rPr>
      </w:pPr>
      <w:r>
        <w:rPr>
          <w:rFonts w:hint="eastAsia" w:eastAsia="黑体"/>
          <w:szCs w:val="21"/>
        </w:rPr>
        <w:t>适用专业：</w:t>
      </w:r>
      <w:r>
        <w:t>电子科学与技术</w:t>
      </w:r>
      <w:r>
        <w:rPr>
          <w:rFonts w:hint="eastAsia"/>
        </w:rPr>
        <w:t>专业</w:t>
      </w:r>
    </w:p>
    <w:p>
      <w:pPr>
        <w:adjustRightInd w:val="0"/>
        <w:snapToGrid w:val="0"/>
        <w:spacing w:line="360" w:lineRule="auto"/>
        <w:rPr>
          <w:szCs w:val="21"/>
        </w:rPr>
      </w:pPr>
      <w:r>
        <w:rPr>
          <w:rFonts w:hint="eastAsia" w:eastAsia="黑体"/>
          <w:szCs w:val="21"/>
        </w:rPr>
        <w:t>先修课程：</w:t>
      </w:r>
      <w:r>
        <w:t>大学物理</w:t>
      </w:r>
      <w:r>
        <w:rPr>
          <w:rFonts w:hint="eastAsia"/>
        </w:rPr>
        <w:t>、</w:t>
      </w:r>
      <w:r>
        <w:t>理论物理导论</w:t>
      </w:r>
    </w:p>
    <w:p>
      <w:pPr>
        <w:adjustRightInd w:val="0"/>
        <w:snapToGrid w:val="0"/>
        <w:spacing w:line="360" w:lineRule="auto"/>
        <w:rPr>
          <w:szCs w:val="21"/>
        </w:rPr>
      </w:pPr>
      <w:r>
        <w:rPr>
          <w:rFonts w:hint="eastAsia" w:eastAsia="黑体"/>
          <w:szCs w:val="21"/>
        </w:rPr>
        <w:t>大纲撰写人：</w:t>
      </w:r>
      <w:r>
        <w:rPr>
          <w:rFonts w:hint="eastAsia"/>
          <w:szCs w:val="21"/>
        </w:rPr>
        <w:t>杜芳芳</w:t>
      </w:r>
    </w:p>
    <w:p>
      <w:pPr>
        <w:adjustRightInd w:val="0"/>
        <w:snapToGrid w:val="0"/>
        <w:spacing w:line="360" w:lineRule="auto"/>
        <w:rPr>
          <w:rFonts w:asciiTheme="minorEastAsia" w:hAnsiTheme="minorEastAsia" w:eastAsiaTheme="minorEastAsia"/>
          <w:szCs w:val="21"/>
        </w:rPr>
      </w:pPr>
      <w:r>
        <w:rPr>
          <w:rFonts w:hint="eastAsia" w:eastAsia="黑体"/>
          <w:szCs w:val="21"/>
        </w:rPr>
        <w:t>大纲编写（修订）时间：</w:t>
      </w:r>
      <w:r>
        <w:rPr>
          <w:rFonts w:eastAsiaTheme="minorEastAsia"/>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spacing w:line="360" w:lineRule="auto"/>
        <w:ind w:firstLine="420" w:firstLineChars="200"/>
        <w:rPr>
          <w:szCs w:val="21"/>
        </w:rPr>
      </w:pPr>
      <w:r>
        <w:rPr>
          <w:szCs w:val="21"/>
        </w:rPr>
        <w:t>固体物理学是物理学中的一个重要分支，也是一门属于材料与器件类的专业基础课程，是电子科学与技术专业、微电子科学与工程专业的核心课程。它的主要内容是研究固体的结构及组成粒子（原子、离子、电子等）之间的相互作用与运动规律，阐明固体的性能和用途，尤其以固体的能带理论和固态电子论为主要内容。通过本课程的学习使学生理解固体物理学的基本概念、基本模型和基本方法，了解它们在本专业相关技术中的应用，为后续课程《半导体物理与器件》的学习奠定</w:t>
      </w:r>
      <w:r>
        <w:rPr>
          <w:rFonts w:hint="eastAsia"/>
          <w:szCs w:val="21"/>
        </w:rPr>
        <w:t>必要</w:t>
      </w:r>
      <w:r>
        <w:rPr>
          <w:szCs w:val="21"/>
        </w:rPr>
        <w:t>的基础。</w:t>
      </w:r>
    </w:p>
    <w:p>
      <w:pPr>
        <w:spacing w:line="360" w:lineRule="auto"/>
        <w:ind w:firstLine="420" w:firstLineChars="200"/>
        <w:rPr>
          <w:szCs w:val="21"/>
        </w:rPr>
      </w:pPr>
    </w:p>
    <w:p>
      <w:pPr>
        <w:tabs>
          <w:tab w:val="left" w:pos="420"/>
        </w:tabs>
        <w:adjustRightInd w:val="0"/>
        <w:snapToGrid w:val="0"/>
        <w:spacing w:line="360" w:lineRule="auto"/>
        <w:rPr>
          <w:szCs w:val="24"/>
        </w:rPr>
      </w:pPr>
      <w:r>
        <w:rPr>
          <w:rFonts w:eastAsia="黑体"/>
          <w:szCs w:val="21"/>
        </w:rPr>
        <w:t>二、</w:t>
      </w:r>
      <w:r>
        <w:rPr>
          <w:rFonts w:hint="eastAsia" w:eastAsia="黑体"/>
          <w:szCs w:val="21"/>
        </w:rPr>
        <w:t>课程目标</w:t>
      </w:r>
      <w:r>
        <w:rPr>
          <w:szCs w:val="24"/>
        </w:rPr>
        <w:tab/>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832"/>
        <w:gridCol w:w="37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4"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305"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71"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424"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305" w:type="pct"/>
          </w:tcPr>
          <w:p>
            <w:pPr>
              <w:adjustRightInd w:val="0"/>
              <w:snapToGrid w:val="0"/>
              <w:spacing w:line="360" w:lineRule="auto"/>
              <w:rPr>
                <w:rFonts w:ascii="宋体" w:hAnsi="宋体"/>
                <w:sz w:val="18"/>
                <w:szCs w:val="18"/>
              </w:rPr>
            </w:pPr>
            <w:r>
              <w:rPr>
                <w:rFonts w:hint="eastAsia" w:ascii="宋体" w:hAnsi="宋体"/>
                <w:sz w:val="18"/>
                <w:szCs w:val="18"/>
              </w:rPr>
              <w:t>能够</w:t>
            </w:r>
            <w:r>
              <w:rPr>
                <w:rFonts w:ascii="宋体" w:hAnsi="宋体"/>
                <w:sz w:val="18"/>
                <w:szCs w:val="18"/>
              </w:rPr>
              <w:t>掌握固体物理学的基本概念、知识体系和研究方法</w:t>
            </w:r>
            <w:r>
              <w:rPr>
                <w:rFonts w:hint="eastAsia" w:ascii="宋体" w:hAnsi="宋体"/>
                <w:sz w:val="18"/>
                <w:szCs w:val="18"/>
              </w:rPr>
              <w:t>，将课程所学的基本知识运用到半导体物理的</w:t>
            </w:r>
            <w:r>
              <w:rPr>
                <w:rFonts w:ascii="宋体" w:hAnsi="宋体"/>
                <w:sz w:val="18"/>
                <w:szCs w:val="18"/>
              </w:rPr>
              <w:t>重要模型和结论</w:t>
            </w:r>
            <w:r>
              <w:rPr>
                <w:rFonts w:hint="eastAsia" w:ascii="宋体" w:hAnsi="宋体"/>
                <w:sz w:val="18"/>
                <w:szCs w:val="18"/>
              </w:rPr>
              <w:t>等工程问题的适当表述之中。</w:t>
            </w:r>
          </w:p>
        </w:tc>
        <w:tc>
          <w:tcPr>
            <w:tcW w:w="2271" w:type="pct"/>
          </w:tcPr>
          <w:p>
            <w:pPr>
              <w:adjustRightInd w:val="0"/>
              <w:snapToGrid w:val="0"/>
              <w:spacing w:line="360" w:lineRule="auto"/>
              <w:rPr>
                <w:rFonts w:ascii="宋体" w:hAnsi="宋体"/>
                <w:sz w:val="18"/>
                <w:szCs w:val="18"/>
              </w:rPr>
            </w:pPr>
            <w:r>
              <w:rPr>
                <w:rFonts w:hint="eastAsia" w:ascii="宋体" w:hAnsi="宋体"/>
                <w:b/>
                <w:bCs/>
                <w:sz w:val="18"/>
                <w:szCs w:val="18"/>
              </w:rPr>
              <w:t>指标点1-2 知识运用能力</w:t>
            </w:r>
            <w:r>
              <w:rPr>
                <w:rFonts w:hint="eastAsia" w:ascii="宋体" w:hAnsi="宋体"/>
                <w:sz w:val="18"/>
                <w:szCs w:val="18"/>
              </w:rPr>
              <w:t>：</w:t>
            </w:r>
            <w:r>
              <w:rPr>
                <w:rFonts w:hint="eastAsia" w:ascii="宋体" w:hAnsi="宋体"/>
                <w:kern w:val="0"/>
                <w:sz w:val="18"/>
                <w:szCs w:val="18"/>
              </w:rPr>
              <w:t>能将基础知识恰当地运用到电子科学与技术专业</w:t>
            </w:r>
            <w:r>
              <w:rPr>
                <w:rFonts w:hint="eastAsia" w:ascii="宋体" w:hAnsi="宋体"/>
                <w:sz w:val="18"/>
                <w:szCs w:val="18"/>
              </w:rPr>
              <w:t>电路系统、物联网及现场总线等</w:t>
            </w:r>
            <w:r>
              <w:rPr>
                <w:rFonts w:hint="eastAsia" w:ascii="宋体" w:hAnsi="宋体"/>
                <w:kern w:val="0"/>
                <w:sz w:val="18"/>
                <w:szCs w:val="18"/>
              </w:rPr>
              <w:t>复杂工程问题的解决中。</w:t>
            </w:r>
          </w:p>
          <w:p>
            <w:pPr>
              <w:adjustRightInd w:val="0"/>
              <w:snapToGrid w:val="0"/>
              <w:spacing w:line="360" w:lineRule="auto"/>
              <w:textAlignment w:val="center"/>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4" w:type="pct"/>
            <w:vAlign w:val="center"/>
          </w:tcPr>
          <w:p>
            <w:pPr>
              <w:adjustRightInd w:val="0"/>
              <w:snapToGrid w:val="0"/>
              <w:spacing w:line="360" w:lineRule="auto"/>
              <w:jc w:val="center"/>
              <w:rPr>
                <w:rFonts w:ascii="宋体" w:hAnsi="宋体"/>
                <w:sz w:val="18"/>
                <w:szCs w:val="18"/>
              </w:rPr>
            </w:pPr>
            <w:r>
              <w:rPr>
                <w:rFonts w:ascii="宋体" w:hAnsi="宋体"/>
                <w:sz w:val="18"/>
                <w:szCs w:val="18"/>
              </w:rPr>
              <w:t>2</w:t>
            </w:r>
          </w:p>
        </w:tc>
        <w:tc>
          <w:tcPr>
            <w:tcW w:w="2305" w:type="pct"/>
          </w:tcPr>
          <w:p>
            <w:pPr>
              <w:adjustRightInd w:val="0"/>
              <w:snapToGrid w:val="0"/>
              <w:spacing w:line="360" w:lineRule="auto"/>
              <w:rPr>
                <w:rFonts w:ascii="宋体" w:hAnsi="宋体"/>
                <w:sz w:val="18"/>
                <w:szCs w:val="18"/>
              </w:rPr>
            </w:pPr>
            <w:r>
              <w:rPr>
                <w:rFonts w:hint="eastAsia" w:ascii="宋体" w:hAnsi="宋体"/>
                <w:sz w:val="18"/>
                <w:szCs w:val="18"/>
              </w:rPr>
              <w:t>能够运用</w:t>
            </w:r>
            <w:r>
              <w:rPr>
                <w:rFonts w:ascii="宋体" w:hAnsi="宋体"/>
                <w:sz w:val="18"/>
                <w:szCs w:val="18"/>
              </w:rPr>
              <w:t>数学与物理学的基本理论</w:t>
            </w:r>
            <w:r>
              <w:rPr>
                <w:rFonts w:hint="eastAsia" w:ascii="宋体" w:hAnsi="宋体"/>
                <w:sz w:val="18"/>
                <w:szCs w:val="18"/>
              </w:rPr>
              <w:t>处理</w:t>
            </w:r>
            <w:r>
              <w:rPr>
                <w:rFonts w:ascii="宋体" w:hAnsi="宋体"/>
                <w:sz w:val="18"/>
                <w:szCs w:val="18"/>
              </w:rPr>
              <w:t>固体物理学的简单问题</w:t>
            </w:r>
            <w:r>
              <w:rPr>
                <w:rFonts w:hint="eastAsia" w:ascii="宋体" w:hAnsi="宋体"/>
                <w:sz w:val="18"/>
                <w:szCs w:val="18"/>
              </w:rPr>
              <w:t>，对</w:t>
            </w:r>
            <w:r>
              <w:rPr>
                <w:rFonts w:ascii="宋体" w:hAnsi="宋体"/>
                <w:sz w:val="18"/>
                <w:szCs w:val="18"/>
              </w:rPr>
              <w:t>后续课程</w:t>
            </w:r>
            <w:r>
              <w:rPr>
                <w:rFonts w:hint="eastAsia" w:ascii="宋体" w:hAnsi="宋体"/>
                <w:sz w:val="18"/>
                <w:szCs w:val="18"/>
              </w:rPr>
              <w:t>的模型设计提出微观层面的建议。</w:t>
            </w:r>
          </w:p>
        </w:tc>
        <w:tc>
          <w:tcPr>
            <w:tcW w:w="2271" w:type="pct"/>
          </w:tcPr>
          <w:p>
            <w:pPr>
              <w:adjustRightInd w:val="0"/>
              <w:snapToGrid w:val="0"/>
              <w:spacing w:line="360" w:lineRule="auto"/>
              <w:rPr>
                <w:rFonts w:ascii="宋体" w:hAnsi="宋体"/>
                <w:b/>
                <w:sz w:val="18"/>
                <w:szCs w:val="18"/>
              </w:rPr>
            </w:pPr>
            <w:r>
              <w:rPr>
                <w:rFonts w:hint="eastAsia" w:ascii="宋体" w:hAnsi="宋体"/>
                <w:b/>
                <w:bCs/>
                <w:sz w:val="18"/>
                <w:szCs w:val="18"/>
              </w:rPr>
              <w:t>指标点2-2 问题表达</w:t>
            </w:r>
            <w:r>
              <w:rPr>
                <w:rFonts w:hint="eastAsia" w:ascii="宋体" w:hAnsi="宋体"/>
                <w:sz w:val="18"/>
                <w:szCs w:val="18"/>
              </w:rPr>
              <w:t>：能够应用科学原理对本专业复杂工程问题的识别结果进行有效表达，将工程问题转化为技术问题。</w:t>
            </w:r>
          </w:p>
        </w:tc>
      </w:tr>
    </w:tbl>
    <w:p>
      <w:pPr>
        <w:tabs>
          <w:tab w:val="left" w:pos="420"/>
        </w:tabs>
        <w:adjustRightInd w:val="0"/>
        <w:snapToGrid w:val="0"/>
        <w:spacing w:line="360" w:lineRule="auto"/>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adjustRightInd w:val="0"/>
        <w:snapToGrid w:val="0"/>
        <w:spacing w:line="360" w:lineRule="auto"/>
        <w:ind w:firstLine="420" w:firstLineChars="200"/>
        <w:rPr>
          <w:szCs w:val="21"/>
        </w:rPr>
      </w:pPr>
      <w:r>
        <w:rPr>
          <w:szCs w:val="21"/>
        </w:rPr>
        <w:t>1、本课程为专业基础课，要求先修大学物理、理论物理导论等课程，在教学中应注重基本知识和基本方法的传授，使学生</w:t>
      </w:r>
      <w:r>
        <w:rPr>
          <w:rFonts w:hint="eastAsia"/>
          <w:szCs w:val="21"/>
        </w:rPr>
        <w:t>掌握</w:t>
      </w:r>
      <w:r>
        <w:rPr>
          <w:szCs w:val="21"/>
        </w:rPr>
        <w:t>固体理论中的能带概念</w:t>
      </w:r>
      <w:r>
        <w:rPr>
          <w:rFonts w:hint="eastAsia"/>
          <w:szCs w:val="21"/>
        </w:rPr>
        <w:t>，</w:t>
      </w:r>
      <w:r>
        <w:rPr>
          <w:szCs w:val="21"/>
        </w:rPr>
        <w:t>建立利用电子论来处理固体相关问题的意识，以便为后续相关课程的学习打下基础</w:t>
      </w:r>
      <w:r>
        <w:rPr>
          <w:rFonts w:hint="eastAsia"/>
          <w:szCs w:val="21"/>
        </w:rPr>
        <w:t>。</w:t>
      </w:r>
    </w:p>
    <w:p>
      <w:pPr>
        <w:adjustRightInd w:val="0"/>
        <w:snapToGrid w:val="0"/>
        <w:spacing w:line="360" w:lineRule="auto"/>
        <w:ind w:firstLine="420" w:firstLineChars="200"/>
        <w:rPr>
          <w:szCs w:val="21"/>
        </w:rPr>
      </w:pPr>
      <w:r>
        <w:rPr>
          <w:szCs w:val="21"/>
        </w:rPr>
        <w:t>2、学生</w:t>
      </w:r>
      <w:r>
        <w:rPr>
          <w:rFonts w:hint="eastAsia"/>
          <w:szCs w:val="21"/>
        </w:rPr>
        <w:t>通过学习</w:t>
      </w:r>
      <w:r>
        <w:rPr>
          <w:szCs w:val="21"/>
        </w:rPr>
        <w:t>这门课程，掌握晶体结构、</w:t>
      </w:r>
      <w:r>
        <w:rPr>
          <w:rFonts w:hint="eastAsia"/>
          <w:szCs w:val="21"/>
        </w:rPr>
        <w:t>晶体</w:t>
      </w:r>
      <w:r>
        <w:rPr>
          <w:szCs w:val="21"/>
        </w:rPr>
        <w:t>的结合、晶格动力学与晶体的热学性质、能带理论、晶体中电子</w:t>
      </w:r>
      <w:r>
        <w:rPr>
          <w:rFonts w:hint="eastAsia"/>
          <w:szCs w:val="21"/>
        </w:rPr>
        <w:t>的准经典运动</w:t>
      </w:r>
      <w:r>
        <w:rPr>
          <w:szCs w:val="21"/>
        </w:rPr>
        <w:t>、金属电子论等相关知识</w:t>
      </w:r>
      <w:r>
        <w:rPr>
          <w:rFonts w:hint="eastAsia"/>
          <w:szCs w:val="21"/>
        </w:rPr>
        <w:t>。</w:t>
      </w:r>
    </w:p>
    <w:p>
      <w:pPr>
        <w:adjustRightInd w:val="0"/>
        <w:snapToGrid w:val="0"/>
        <w:spacing w:line="360" w:lineRule="auto"/>
        <w:ind w:firstLine="420" w:firstLineChars="200"/>
        <w:rPr>
          <w:szCs w:val="21"/>
        </w:rPr>
      </w:pPr>
      <w:r>
        <w:rPr>
          <w:szCs w:val="21"/>
        </w:rPr>
        <w:t>3、</w:t>
      </w:r>
      <w:r>
        <w:rPr>
          <w:rFonts w:hint="eastAsia"/>
          <w:szCs w:val="21"/>
        </w:rPr>
        <w:t>教师</w:t>
      </w:r>
      <w:r>
        <w:rPr>
          <w:szCs w:val="21"/>
        </w:rPr>
        <w:t>通过讲授使学生掌握固体的基本结构和固体宏观性质的微观本质</w:t>
      </w:r>
      <w:r>
        <w:rPr>
          <w:rFonts w:hint="eastAsia"/>
          <w:szCs w:val="21"/>
        </w:rPr>
        <w:t>，</w:t>
      </w:r>
      <w:r>
        <w:rPr>
          <w:szCs w:val="21"/>
        </w:rPr>
        <w:t>掌握处理固体中微观粒子运动的理论方法，掌握运用能带理论分析晶体中电子性质的处理方法，掌握固体电子论的相关模型</w:t>
      </w:r>
      <w:r>
        <w:rPr>
          <w:rFonts w:hint="eastAsia"/>
          <w:szCs w:val="21"/>
        </w:rPr>
        <w:t>。</w:t>
      </w:r>
    </w:p>
    <w:p>
      <w:pPr>
        <w:adjustRightInd w:val="0"/>
        <w:snapToGrid w:val="0"/>
        <w:spacing w:line="360" w:lineRule="auto"/>
        <w:ind w:firstLine="420" w:firstLineChars="200"/>
        <w:rPr>
          <w:szCs w:val="21"/>
        </w:rPr>
      </w:pPr>
      <w:r>
        <w:rPr>
          <w:szCs w:val="21"/>
        </w:rPr>
        <w:t>4、本课程是一门理论性和基础性很强的课程，它与半导体中的许多知识都密切相关，因此应重点要求学生理解固体物理的基本理论和基本知识，同时要求学生通过学习了解使用数学和物理的基本理论进行分析、建模和解决问题的方法</w:t>
      </w:r>
      <w:r>
        <w:rPr>
          <w:rFonts w:hint="eastAsia"/>
          <w:szCs w:val="21"/>
        </w:rPr>
        <w:t>。</w:t>
      </w:r>
    </w:p>
    <w:p>
      <w:pPr>
        <w:adjustRightInd w:val="0"/>
        <w:snapToGrid w:val="0"/>
        <w:spacing w:line="360" w:lineRule="auto"/>
        <w:ind w:firstLine="420" w:firstLineChars="200"/>
        <w:rPr>
          <w:szCs w:val="21"/>
        </w:rPr>
      </w:pPr>
      <w:r>
        <w:rPr>
          <w:szCs w:val="21"/>
        </w:rPr>
        <w:t>5、</w:t>
      </w:r>
      <w:r>
        <w:rPr>
          <w:rFonts w:hint="eastAsia"/>
          <w:szCs w:val="21"/>
        </w:rPr>
        <w:t>本课程</w:t>
      </w:r>
      <w:r>
        <w:rPr>
          <w:szCs w:val="21"/>
        </w:rPr>
        <w:t>在教学中可采用多媒体辅助教学，</w:t>
      </w:r>
      <w:r>
        <w:rPr>
          <w:rFonts w:hint="eastAsia"/>
          <w:szCs w:val="21"/>
        </w:rPr>
        <w:t>从而</w:t>
      </w:r>
      <w:r>
        <w:rPr>
          <w:szCs w:val="21"/>
        </w:rPr>
        <w:t>丰富教学资源，增加课程教学信息量，提高教学效率。</w:t>
      </w:r>
    </w:p>
    <w:p>
      <w:pPr>
        <w:adjustRightInd w:val="0"/>
        <w:snapToGrid w:val="0"/>
        <w:spacing w:line="360" w:lineRule="auto"/>
        <w:ind w:firstLine="420" w:firstLineChars="200"/>
        <w:rPr>
          <w:szCs w:val="21"/>
        </w:rPr>
      </w:pPr>
      <w:r>
        <w:rPr>
          <w:rFonts w:hint="eastAsia"/>
          <w:szCs w:val="21"/>
        </w:rPr>
        <w:t>6、</w:t>
      </w:r>
      <w:r>
        <w:rPr>
          <w:szCs w:val="21"/>
        </w:rPr>
        <w:t>深度和广度说明：对晶格结构、能带理论和金属</w:t>
      </w:r>
      <w:r>
        <w:rPr>
          <w:rFonts w:hint="eastAsia"/>
          <w:szCs w:val="21"/>
        </w:rPr>
        <w:t>的</w:t>
      </w:r>
      <w:r>
        <w:rPr>
          <w:szCs w:val="21"/>
        </w:rPr>
        <w:t>自由电子理论要做深入讲解，对晶体结合、晶格振动和晶体中电子的</w:t>
      </w:r>
      <w:r>
        <w:rPr>
          <w:rFonts w:hint="eastAsia"/>
          <w:szCs w:val="21"/>
        </w:rPr>
        <w:t>准经典</w:t>
      </w:r>
      <w:r>
        <w:rPr>
          <w:szCs w:val="21"/>
        </w:rPr>
        <w:t>运动</w:t>
      </w:r>
      <w:r>
        <w:rPr>
          <w:rFonts w:hint="eastAsia"/>
          <w:szCs w:val="21"/>
        </w:rPr>
        <w:t>只</w:t>
      </w:r>
      <w:r>
        <w:rPr>
          <w:szCs w:val="21"/>
        </w:rPr>
        <w:t>做一般讲解</w:t>
      </w:r>
      <w:r>
        <w:rPr>
          <w:rFonts w:hint="eastAsia"/>
          <w:szCs w:val="21"/>
        </w:rPr>
        <w:t>；对</w:t>
      </w:r>
      <w:r>
        <w:rPr>
          <w:szCs w:val="21"/>
        </w:rPr>
        <w:t>组成固体的微观粒子之间的相互作用和运动规律</w:t>
      </w:r>
      <w:r>
        <w:rPr>
          <w:rFonts w:hint="eastAsia"/>
          <w:szCs w:val="21"/>
        </w:rPr>
        <w:t>的</w:t>
      </w:r>
      <w:r>
        <w:rPr>
          <w:szCs w:val="21"/>
        </w:rPr>
        <w:t>掌握是重点。</w:t>
      </w:r>
    </w:p>
    <w:p>
      <w:pPr>
        <w:spacing w:line="360" w:lineRule="auto"/>
        <w:ind w:firstLine="420" w:firstLineChars="200"/>
        <w:rPr>
          <w:szCs w:val="21"/>
        </w:rPr>
      </w:pPr>
      <w:r>
        <w:rPr>
          <w:szCs w:val="21"/>
        </w:rPr>
        <w:t>7、偏差说明：为了鼓励教师引入个人授课风格或者适应技术发展的紧迫性，本课程允许教师授课内容做适当调整，最大正偏差为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adjustRightInd w:val="0"/>
        <w:snapToGrid w:val="0"/>
        <w:spacing w:line="360" w:lineRule="auto"/>
        <w:ind w:firstLine="420" w:firstLineChars="200"/>
        <w:rPr>
          <w:szCs w:val="21"/>
        </w:rPr>
      </w:pPr>
      <w:r>
        <w:rPr>
          <w:szCs w:val="21"/>
        </w:rPr>
        <w:t>固体物理基本内容有两大部分：一是晶格理论，二是固体电子理论。晶格理论包括：晶体的基本结构、晶体中原子间的结合力和晶体的结合类型、晶格的热振动及热学性质。固体电子论包括：固体中电子的能带理论、晶体中电子的</w:t>
      </w:r>
      <w:r>
        <w:rPr>
          <w:rFonts w:hint="eastAsia"/>
          <w:szCs w:val="21"/>
        </w:rPr>
        <w:t>准经典</w:t>
      </w:r>
      <w:r>
        <w:rPr>
          <w:szCs w:val="21"/>
        </w:rPr>
        <w:t>运动、金属</w:t>
      </w:r>
      <w:r>
        <w:rPr>
          <w:rFonts w:hint="eastAsia"/>
          <w:szCs w:val="21"/>
        </w:rPr>
        <w:t>的</w:t>
      </w:r>
      <w:r>
        <w:rPr>
          <w:szCs w:val="21"/>
        </w:rPr>
        <w:t>自由电子理论。</w:t>
      </w:r>
    </w:p>
    <w:p>
      <w:pPr>
        <w:adjustRightInd w:val="0"/>
        <w:snapToGrid w:val="0"/>
        <w:spacing w:line="360" w:lineRule="auto"/>
        <w:ind w:firstLine="420" w:firstLineChars="200"/>
        <w:rPr>
          <w:szCs w:val="21"/>
        </w:rPr>
      </w:pPr>
      <w:r>
        <w:rPr>
          <w:szCs w:val="21"/>
        </w:rPr>
        <w:t>本课程重点讲授的内容包括：晶体结构、能带理论和金属</w:t>
      </w:r>
      <w:r>
        <w:rPr>
          <w:rFonts w:hint="eastAsia"/>
          <w:szCs w:val="21"/>
        </w:rPr>
        <w:t>的</w:t>
      </w:r>
      <w:r>
        <w:rPr>
          <w:szCs w:val="21"/>
        </w:rPr>
        <w:t>自由电子理论。</w:t>
      </w:r>
    </w:p>
    <w:p>
      <w:pPr>
        <w:adjustRightInd w:val="0"/>
        <w:snapToGrid w:val="0"/>
        <w:spacing w:line="360" w:lineRule="auto"/>
        <w:ind w:firstLine="420" w:firstLineChars="200"/>
        <w:rPr>
          <w:szCs w:val="21"/>
        </w:rPr>
      </w:pPr>
      <w:r>
        <w:rPr>
          <w:szCs w:val="21"/>
        </w:rPr>
        <w:t>固体物理学通过研究组成固体的微观粒子之间的相互作用和运动规律，研究固体结构和宏观性质；它是一门开放性的课程，随着半导体、超导体、准晶、超晶格等科学技术的发展，固体物理学的知识不断丰富。它是大学物理学、理论物理导论的后续课程，也是半导体物理与器件等专</w:t>
      </w:r>
      <w:r>
        <w:rPr>
          <w:rFonts w:hint="eastAsia"/>
          <w:szCs w:val="21"/>
        </w:rPr>
        <w:t>业</w:t>
      </w:r>
      <w:r>
        <w:rPr>
          <w:szCs w:val="21"/>
        </w:rPr>
        <w:t>课程的理论基础，因此教师需重点讲授，使得学生容易理解和掌握。</w:t>
      </w:r>
      <w:r>
        <w:rPr>
          <w:rFonts w:hint="eastAsia"/>
          <w:szCs w:val="21"/>
        </w:rPr>
        <w:t>为了提高学生的学习兴趣，并取得良好的教学效果，教师在知识讲解的过程中要充分利用问题引导、案例分析等多种教学方法，以进一步提高教学质量。</w:t>
      </w:r>
    </w:p>
    <w:p>
      <w:pPr>
        <w:adjustRightInd w:val="0"/>
        <w:snapToGrid w:val="0"/>
        <w:spacing w:line="360" w:lineRule="auto"/>
        <w:ind w:firstLine="420" w:firstLineChars="200"/>
        <w:rPr>
          <w:szCs w:val="21"/>
        </w:rPr>
      </w:pP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1  绪论（1学时）</w:t>
      </w:r>
    </w:p>
    <w:p>
      <w:pPr>
        <w:adjustRightInd w:val="0"/>
        <w:snapToGrid w:val="0"/>
        <w:spacing w:line="360" w:lineRule="auto"/>
        <w:ind w:firstLine="420" w:firstLineChars="200"/>
        <w:rPr>
          <w:szCs w:val="21"/>
        </w:rPr>
      </w:pPr>
      <w:r>
        <w:rPr>
          <w:snapToGrid w:val="0"/>
          <w:kern w:val="0"/>
          <w:szCs w:val="21"/>
        </w:rPr>
        <w:t>1.1、</w:t>
      </w:r>
      <w:r>
        <w:rPr>
          <w:szCs w:val="21"/>
        </w:rPr>
        <w:t>本课程在专业课程体系中的地位和作用介绍；</w:t>
      </w:r>
    </w:p>
    <w:p>
      <w:pPr>
        <w:adjustRightInd w:val="0"/>
        <w:snapToGrid w:val="0"/>
        <w:spacing w:line="360" w:lineRule="auto"/>
        <w:ind w:firstLine="420" w:firstLineChars="200"/>
        <w:rPr>
          <w:snapToGrid w:val="0"/>
          <w:kern w:val="0"/>
          <w:szCs w:val="21"/>
        </w:rPr>
      </w:pPr>
      <w:r>
        <w:rPr>
          <w:snapToGrid w:val="0"/>
          <w:kern w:val="0"/>
          <w:szCs w:val="21"/>
        </w:rPr>
        <w:t>1.2、课程内容、学习方法、讲授方式、评价方式介绍；</w:t>
      </w:r>
    </w:p>
    <w:p>
      <w:pPr>
        <w:adjustRightInd w:val="0"/>
        <w:snapToGrid w:val="0"/>
        <w:spacing w:line="360" w:lineRule="auto"/>
        <w:ind w:firstLine="420" w:firstLineChars="200"/>
        <w:rPr>
          <w:szCs w:val="21"/>
        </w:rPr>
      </w:pPr>
      <w:r>
        <w:rPr>
          <w:snapToGrid w:val="0"/>
          <w:kern w:val="0"/>
          <w:szCs w:val="21"/>
        </w:rPr>
        <w:t>1.3、</w:t>
      </w:r>
      <w:r>
        <w:rPr>
          <w:szCs w:val="21"/>
        </w:rPr>
        <w:t>了解固体物理的发展历程和研究内容。</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2  晶体结构（10学时）</w:t>
      </w:r>
    </w:p>
    <w:p>
      <w:pPr>
        <w:adjustRightInd w:val="0"/>
        <w:snapToGrid w:val="0"/>
        <w:spacing w:line="360" w:lineRule="auto"/>
        <w:ind w:firstLine="420" w:firstLineChars="200"/>
        <w:rPr>
          <w:szCs w:val="21"/>
        </w:rPr>
      </w:pPr>
      <w:r>
        <w:rPr>
          <w:snapToGrid w:val="0"/>
          <w:kern w:val="0"/>
          <w:szCs w:val="21"/>
        </w:rPr>
        <w:t>2.1、</w:t>
      </w:r>
      <w:r>
        <w:rPr>
          <w:rFonts w:hint="eastAsia"/>
          <w:snapToGrid w:val="0"/>
          <w:kern w:val="0"/>
          <w:szCs w:val="21"/>
        </w:rPr>
        <w:t>熟练</w:t>
      </w:r>
      <w:r>
        <w:rPr>
          <w:snapToGrid w:val="0"/>
          <w:kern w:val="0"/>
          <w:szCs w:val="21"/>
        </w:rPr>
        <w:t>掌握</w:t>
      </w:r>
      <w:r>
        <w:rPr>
          <w:szCs w:val="21"/>
        </w:rPr>
        <w:t>简单立方、体心立方、面心立方结构；</w:t>
      </w:r>
    </w:p>
    <w:p>
      <w:pPr>
        <w:adjustRightInd w:val="0"/>
        <w:snapToGrid w:val="0"/>
        <w:spacing w:line="360" w:lineRule="auto"/>
        <w:ind w:firstLine="420" w:firstLineChars="200"/>
        <w:rPr>
          <w:szCs w:val="21"/>
        </w:rPr>
      </w:pPr>
      <w:r>
        <w:rPr>
          <w:snapToGrid w:val="0"/>
          <w:kern w:val="0"/>
          <w:szCs w:val="21"/>
        </w:rPr>
        <w:t>2.2、</w:t>
      </w:r>
      <w:r>
        <w:rPr>
          <w:rFonts w:hint="eastAsia"/>
          <w:snapToGrid w:val="0"/>
          <w:kern w:val="0"/>
          <w:szCs w:val="21"/>
        </w:rPr>
        <w:t>掌握</w:t>
      </w:r>
      <w:r>
        <w:rPr>
          <w:szCs w:val="21"/>
        </w:rPr>
        <w:t>原胞、基矢的概念，晶面和晶向</w:t>
      </w:r>
      <w:r>
        <w:rPr>
          <w:rFonts w:hint="eastAsia"/>
          <w:szCs w:val="21"/>
        </w:rPr>
        <w:t>的表示</w:t>
      </w:r>
      <w:r>
        <w:rPr>
          <w:szCs w:val="21"/>
        </w:rPr>
        <w:t>；（重点）</w:t>
      </w:r>
    </w:p>
    <w:p>
      <w:pPr>
        <w:adjustRightInd w:val="0"/>
        <w:snapToGrid w:val="0"/>
        <w:spacing w:line="360" w:lineRule="auto"/>
        <w:ind w:firstLine="420" w:firstLineChars="200"/>
        <w:rPr>
          <w:szCs w:val="21"/>
        </w:rPr>
      </w:pPr>
      <w:r>
        <w:rPr>
          <w:snapToGrid w:val="0"/>
          <w:kern w:val="0"/>
          <w:szCs w:val="21"/>
        </w:rPr>
        <w:t>2.3、</w:t>
      </w:r>
      <w:r>
        <w:rPr>
          <w:rFonts w:hint="eastAsia"/>
          <w:snapToGrid w:val="0"/>
          <w:kern w:val="0"/>
          <w:szCs w:val="21"/>
        </w:rPr>
        <w:t>熟练</w:t>
      </w:r>
      <w:r>
        <w:rPr>
          <w:snapToGrid w:val="0"/>
          <w:kern w:val="0"/>
          <w:szCs w:val="21"/>
        </w:rPr>
        <w:t>掌握</w:t>
      </w:r>
      <w:r>
        <w:rPr>
          <w:szCs w:val="21"/>
        </w:rPr>
        <w:t>倒易点阵和布里渊区的概念，倒格子矢量和布里渊区；（重点、难点）</w:t>
      </w:r>
    </w:p>
    <w:p>
      <w:pPr>
        <w:adjustRightInd w:val="0"/>
        <w:snapToGrid w:val="0"/>
        <w:spacing w:line="360" w:lineRule="auto"/>
        <w:ind w:firstLine="420" w:firstLineChars="200"/>
        <w:rPr>
          <w:szCs w:val="21"/>
        </w:rPr>
      </w:pPr>
      <w:r>
        <w:rPr>
          <w:snapToGrid w:val="0"/>
          <w:kern w:val="0"/>
          <w:szCs w:val="21"/>
        </w:rPr>
        <w:t>2.4、</w:t>
      </w:r>
      <w:r>
        <w:rPr>
          <w:rFonts w:hint="eastAsia"/>
          <w:snapToGrid w:val="0"/>
          <w:kern w:val="0"/>
          <w:szCs w:val="21"/>
        </w:rPr>
        <w:t>了解</w:t>
      </w:r>
      <w:r>
        <w:rPr>
          <w:szCs w:val="21"/>
        </w:rPr>
        <w:t>六角密排结构，氯化铯、氯化钠的结构、立方闪锌矿结构，金刚石结构；</w:t>
      </w:r>
    </w:p>
    <w:p>
      <w:pPr>
        <w:adjustRightInd w:val="0"/>
        <w:snapToGrid w:val="0"/>
        <w:spacing w:line="360" w:lineRule="auto"/>
        <w:ind w:firstLine="420" w:firstLineChars="200"/>
        <w:rPr>
          <w:szCs w:val="21"/>
        </w:rPr>
      </w:pPr>
      <w:r>
        <w:rPr>
          <w:snapToGrid w:val="0"/>
          <w:kern w:val="0"/>
          <w:szCs w:val="21"/>
        </w:rPr>
        <w:t>2.5、</w:t>
      </w:r>
      <w:r>
        <w:rPr>
          <w:rFonts w:hint="eastAsia"/>
          <w:snapToGrid w:val="0"/>
          <w:kern w:val="0"/>
          <w:szCs w:val="21"/>
        </w:rPr>
        <w:t>了解</w:t>
      </w:r>
      <w:r>
        <w:rPr>
          <w:szCs w:val="21"/>
        </w:rPr>
        <w:t>晶体的对称性和点阵的基本类型；</w:t>
      </w:r>
    </w:p>
    <w:p>
      <w:pPr>
        <w:adjustRightInd w:val="0"/>
        <w:snapToGrid w:val="0"/>
        <w:spacing w:line="360" w:lineRule="auto"/>
        <w:ind w:firstLine="420" w:firstLineChars="200"/>
        <w:rPr>
          <w:szCs w:val="21"/>
        </w:rPr>
      </w:pPr>
      <w:r>
        <w:rPr>
          <w:snapToGrid w:val="0"/>
          <w:kern w:val="0"/>
          <w:szCs w:val="21"/>
        </w:rPr>
        <w:t>2.6、</w:t>
      </w:r>
      <w:r>
        <w:rPr>
          <w:rFonts w:hint="eastAsia"/>
          <w:snapToGrid w:val="0"/>
          <w:kern w:val="0"/>
          <w:szCs w:val="21"/>
        </w:rPr>
        <w:t>了解</w:t>
      </w:r>
      <w:r>
        <w:rPr>
          <w:szCs w:val="21"/>
        </w:rPr>
        <w:t>晶系和空间群。</w:t>
      </w:r>
    </w:p>
    <w:p>
      <w:pPr>
        <w:adjustRightInd w:val="0"/>
        <w:snapToGrid w:val="0"/>
        <w:spacing w:line="360" w:lineRule="auto"/>
        <w:ind w:firstLine="420" w:firstLineChars="200"/>
        <w:rPr>
          <w:szCs w:val="21"/>
        </w:rPr>
      </w:pPr>
      <w:r>
        <w:rPr>
          <w:rFonts w:cs="宋体"/>
          <w:bCs/>
          <w:snapToGrid w:val="0"/>
          <w:kern w:val="0"/>
          <w:szCs w:val="21"/>
        </w:rPr>
        <w:t>本章内容支撑课程目标1</w:t>
      </w:r>
      <w:r>
        <w:rPr>
          <w:rFonts w:hint="eastAsia" w:cs="宋体"/>
          <w:bCs/>
          <w:snapToGrid w:val="0"/>
          <w:kern w:val="0"/>
          <w:szCs w:val="21"/>
        </w:rPr>
        <w:t>。</w:t>
      </w:r>
    </w:p>
    <w:p>
      <w:pPr>
        <w:widowControl/>
        <w:adjustRightInd w:val="0"/>
        <w:snapToGrid w:val="0"/>
        <w:spacing w:line="360" w:lineRule="auto"/>
        <w:jc w:val="left"/>
        <w:rPr>
          <w:rFonts w:eastAsia="黑体"/>
          <w:snapToGrid w:val="0"/>
          <w:kern w:val="0"/>
          <w:szCs w:val="21"/>
        </w:rPr>
      </w:pPr>
      <w:r>
        <w:rPr>
          <w:rFonts w:eastAsia="黑体"/>
          <w:snapToGrid w:val="0"/>
          <w:kern w:val="0"/>
          <w:szCs w:val="21"/>
        </w:rPr>
        <w:t xml:space="preserve">    3  固体的结合（6学时）</w:t>
      </w:r>
    </w:p>
    <w:p>
      <w:pPr>
        <w:adjustRightInd w:val="0"/>
        <w:snapToGrid w:val="0"/>
        <w:spacing w:line="360" w:lineRule="auto"/>
        <w:ind w:firstLine="420" w:firstLineChars="200"/>
        <w:rPr>
          <w:szCs w:val="21"/>
        </w:rPr>
      </w:pPr>
      <w:r>
        <w:rPr>
          <w:snapToGrid w:val="0"/>
          <w:kern w:val="0"/>
          <w:szCs w:val="21"/>
        </w:rPr>
        <w:t>3.1、</w:t>
      </w:r>
      <w:r>
        <w:rPr>
          <w:rFonts w:hint="eastAsia"/>
          <w:snapToGrid w:val="0"/>
          <w:kern w:val="0"/>
          <w:szCs w:val="21"/>
        </w:rPr>
        <w:t>掌握</w:t>
      </w:r>
      <w:r>
        <w:rPr>
          <w:szCs w:val="21"/>
        </w:rPr>
        <w:t>固体结合的类型及特点；</w:t>
      </w:r>
    </w:p>
    <w:p>
      <w:pPr>
        <w:adjustRightInd w:val="0"/>
        <w:snapToGrid w:val="0"/>
        <w:spacing w:line="360" w:lineRule="auto"/>
        <w:ind w:firstLine="420" w:firstLineChars="200"/>
        <w:rPr>
          <w:szCs w:val="21"/>
        </w:rPr>
      </w:pPr>
      <w:r>
        <w:rPr>
          <w:snapToGrid w:val="0"/>
          <w:kern w:val="0"/>
          <w:szCs w:val="21"/>
        </w:rPr>
        <w:t>3.2、</w:t>
      </w:r>
      <w:r>
        <w:rPr>
          <w:rFonts w:hint="eastAsia"/>
          <w:snapToGrid w:val="0"/>
          <w:kern w:val="0"/>
          <w:szCs w:val="21"/>
        </w:rPr>
        <w:t>熟练</w:t>
      </w:r>
      <w:r>
        <w:rPr>
          <w:snapToGrid w:val="0"/>
          <w:kern w:val="0"/>
          <w:szCs w:val="21"/>
        </w:rPr>
        <w:t>掌握</w:t>
      </w:r>
      <w:r>
        <w:rPr>
          <w:szCs w:val="21"/>
        </w:rPr>
        <w:t>共价晶体：共价结合的特点，轨道杂化，电离度和原子的负电性；（重点、难点）</w:t>
      </w:r>
    </w:p>
    <w:p>
      <w:pPr>
        <w:adjustRightInd w:val="0"/>
        <w:snapToGrid w:val="0"/>
        <w:spacing w:line="360" w:lineRule="auto"/>
        <w:ind w:firstLine="420" w:firstLineChars="200"/>
        <w:rPr>
          <w:szCs w:val="21"/>
        </w:rPr>
      </w:pPr>
      <w:r>
        <w:rPr>
          <w:snapToGrid w:val="0"/>
          <w:kern w:val="0"/>
          <w:szCs w:val="21"/>
        </w:rPr>
        <w:t>3.3、</w:t>
      </w:r>
      <w:r>
        <w:rPr>
          <w:rFonts w:hint="eastAsia"/>
          <w:snapToGrid w:val="0"/>
          <w:kern w:val="0"/>
          <w:szCs w:val="21"/>
        </w:rPr>
        <w:t>了解</w:t>
      </w:r>
      <w:r>
        <w:rPr>
          <w:szCs w:val="21"/>
        </w:rPr>
        <w:t>离子晶体：马德隆常数，相互作用能，离子半径；</w:t>
      </w:r>
    </w:p>
    <w:p>
      <w:pPr>
        <w:adjustRightInd w:val="0"/>
        <w:snapToGrid w:val="0"/>
        <w:spacing w:line="360" w:lineRule="auto"/>
        <w:ind w:firstLine="420" w:firstLineChars="200"/>
        <w:rPr>
          <w:szCs w:val="21"/>
        </w:rPr>
      </w:pPr>
      <w:r>
        <w:rPr>
          <w:snapToGrid w:val="0"/>
          <w:kern w:val="0"/>
          <w:szCs w:val="21"/>
        </w:rPr>
        <w:t>3.4、</w:t>
      </w:r>
      <w:r>
        <w:rPr>
          <w:rFonts w:hint="eastAsia"/>
          <w:snapToGrid w:val="0"/>
          <w:kern w:val="0"/>
          <w:szCs w:val="21"/>
        </w:rPr>
        <w:t>了解</w:t>
      </w:r>
      <w:r>
        <w:rPr>
          <w:szCs w:val="21"/>
        </w:rPr>
        <w:t>晶体的弹性模量。</w:t>
      </w:r>
    </w:p>
    <w:p>
      <w:pPr>
        <w:adjustRightInd w:val="0"/>
        <w:snapToGrid w:val="0"/>
        <w:spacing w:line="360" w:lineRule="auto"/>
        <w:ind w:firstLine="420" w:firstLineChars="200"/>
        <w:rPr>
          <w:szCs w:val="21"/>
        </w:rPr>
      </w:pPr>
      <w:r>
        <w:rPr>
          <w:rFonts w:cs="宋体"/>
          <w:bCs/>
          <w:snapToGrid w:val="0"/>
          <w:kern w:val="0"/>
          <w:szCs w:val="21"/>
        </w:rPr>
        <w:t>本章内容支撑课程目标1</w:t>
      </w:r>
      <w:r>
        <w:rPr>
          <w:rFonts w:hint="eastAsia" w:cs="宋体"/>
          <w:bCs/>
          <w:snapToGrid w:val="0"/>
          <w:kern w:val="0"/>
          <w:szCs w:val="21"/>
        </w:rPr>
        <w:t>。</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4  晶格振动与晶体的热学性质（10学时）</w:t>
      </w:r>
    </w:p>
    <w:p>
      <w:pPr>
        <w:adjustRightInd w:val="0"/>
        <w:snapToGrid w:val="0"/>
        <w:spacing w:line="360" w:lineRule="auto"/>
        <w:ind w:firstLine="420" w:firstLineChars="200"/>
        <w:rPr>
          <w:szCs w:val="21"/>
        </w:rPr>
      </w:pPr>
      <w:r>
        <w:rPr>
          <w:bCs/>
          <w:snapToGrid w:val="0"/>
          <w:kern w:val="0"/>
          <w:szCs w:val="21"/>
        </w:rPr>
        <w:t>4.1、</w:t>
      </w:r>
      <w:r>
        <w:rPr>
          <w:rFonts w:hint="eastAsia"/>
          <w:bCs/>
          <w:snapToGrid w:val="0"/>
          <w:kern w:val="0"/>
          <w:szCs w:val="21"/>
        </w:rPr>
        <w:t>熟练</w:t>
      </w:r>
      <w:r>
        <w:rPr>
          <w:bCs/>
          <w:snapToGrid w:val="0"/>
          <w:kern w:val="0"/>
          <w:szCs w:val="21"/>
        </w:rPr>
        <w:t>掌握</w:t>
      </w:r>
      <w:r>
        <w:rPr>
          <w:szCs w:val="21"/>
        </w:rPr>
        <w:t>一维单原子链的振动及色散关系；（重点）</w:t>
      </w:r>
    </w:p>
    <w:p>
      <w:pPr>
        <w:adjustRightInd w:val="0"/>
        <w:snapToGrid w:val="0"/>
        <w:spacing w:line="360" w:lineRule="auto"/>
        <w:ind w:firstLine="420" w:firstLineChars="200"/>
        <w:rPr>
          <w:szCs w:val="21"/>
        </w:rPr>
      </w:pPr>
      <w:r>
        <w:rPr>
          <w:bCs/>
          <w:snapToGrid w:val="0"/>
          <w:kern w:val="0"/>
          <w:szCs w:val="21"/>
        </w:rPr>
        <w:t>4.2、</w:t>
      </w:r>
      <w:r>
        <w:rPr>
          <w:rFonts w:hint="eastAsia"/>
          <w:bCs/>
          <w:snapToGrid w:val="0"/>
          <w:kern w:val="0"/>
          <w:szCs w:val="21"/>
        </w:rPr>
        <w:t>掌握</w:t>
      </w:r>
      <w:r>
        <w:rPr>
          <w:szCs w:val="21"/>
        </w:rPr>
        <w:t>一维双原子链的振动、声学支、光学支、色散关系和简正坐标；</w:t>
      </w:r>
    </w:p>
    <w:p>
      <w:pPr>
        <w:adjustRightInd w:val="0"/>
        <w:snapToGrid w:val="0"/>
        <w:spacing w:line="360" w:lineRule="auto"/>
        <w:ind w:firstLine="420" w:firstLineChars="200"/>
        <w:rPr>
          <w:szCs w:val="21"/>
        </w:rPr>
      </w:pPr>
      <w:r>
        <w:rPr>
          <w:bCs/>
          <w:snapToGrid w:val="0"/>
          <w:kern w:val="0"/>
          <w:szCs w:val="21"/>
        </w:rPr>
        <w:t>4.3、</w:t>
      </w:r>
      <w:r>
        <w:rPr>
          <w:rFonts w:hint="eastAsia"/>
          <w:bCs/>
          <w:snapToGrid w:val="0"/>
          <w:kern w:val="0"/>
          <w:szCs w:val="21"/>
        </w:rPr>
        <w:t>熟练</w:t>
      </w:r>
      <w:r>
        <w:rPr>
          <w:bCs/>
          <w:snapToGrid w:val="0"/>
          <w:kern w:val="0"/>
          <w:szCs w:val="21"/>
        </w:rPr>
        <w:t>掌握</w:t>
      </w:r>
      <w:r>
        <w:rPr>
          <w:szCs w:val="21"/>
        </w:rPr>
        <w:t>格波、声子、声子振动态密度等概念；（重点、难点）</w:t>
      </w:r>
    </w:p>
    <w:p>
      <w:pPr>
        <w:adjustRightInd w:val="0"/>
        <w:snapToGrid w:val="0"/>
        <w:spacing w:line="360" w:lineRule="auto"/>
        <w:ind w:firstLine="420" w:firstLineChars="200"/>
        <w:rPr>
          <w:szCs w:val="21"/>
        </w:rPr>
      </w:pPr>
      <w:r>
        <w:rPr>
          <w:bCs/>
          <w:snapToGrid w:val="0"/>
          <w:kern w:val="0"/>
          <w:szCs w:val="21"/>
        </w:rPr>
        <w:t>4.4、</w:t>
      </w:r>
      <w:r>
        <w:rPr>
          <w:rFonts w:hint="eastAsia"/>
          <w:bCs/>
          <w:snapToGrid w:val="0"/>
          <w:kern w:val="0"/>
          <w:szCs w:val="21"/>
        </w:rPr>
        <w:t>掌握</w:t>
      </w:r>
      <w:r>
        <w:rPr>
          <w:szCs w:val="21"/>
        </w:rPr>
        <w:t>固体热容的爱因斯坦模型、德拜模型；</w:t>
      </w:r>
    </w:p>
    <w:p>
      <w:pPr>
        <w:adjustRightInd w:val="0"/>
        <w:snapToGrid w:val="0"/>
        <w:spacing w:line="360" w:lineRule="auto"/>
        <w:ind w:firstLine="420" w:firstLineChars="200"/>
        <w:rPr>
          <w:szCs w:val="21"/>
        </w:rPr>
      </w:pPr>
      <w:r>
        <w:rPr>
          <w:bCs/>
          <w:snapToGrid w:val="0"/>
          <w:kern w:val="0"/>
          <w:szCs w:val="21"/>
        </w:rPr>
        <w:t>4.5、</w:t>
      </w:r>
      <w:r>
        <w:rPr>
          <w:rFonts w:hint="eastAsia"/>
          <w:bCs/>
          <w:snapToGrid w:val="0"/>
          <w:kern w:val="0"/>
          <w:szCs w:val="21"/>
        </w:rPr>
        <w:t>了解</w:t>
      </w:r>
      <w:r>
        <w:rPr>
          <w:szCs w:val="21"/>
        </w:rPr>
        <w:t>非简谐效应：热膨胀、热传导</w:t>
      </w:r>
      <w:r>
        <w:rPr>
          <w:rFonts w:hint="eastAsia"/>
          <w:szCs w:val="21"/>
        </w:rPr>
        <w:t>。</w:t>
      </w:r>
    </w:p>
    <w:p>
      <w:pPr>
        <w:adjustRightInd w:val="0"/>
        <w:snapToGrid w:val="0"/>
        <w:spacing w:line="360" w:lineRule="auto"/>
        <w:ind w:firstLine="420" w:firstLineChars="200"/>
        <w:rPr>
          <w:szCs w:val="21"/>
        </w:rPr>
      </w:pPr>
      <w:r>
        <w:rPr>
          <w:rFonts w:cs="宋体"/>
          <w:bCs/>
          <w:snapToGrid w:val="0"/>
          <w:kern w:val="0"/>
          <w:szCs w:val="21"/>
        </w:rPr>
        <w:t>本章内容支撑课程目标1</w:t>
      </w:r>
      <w:r>
        <w:rPr>
          <w:rFonts w:hint="eastAsia" w:cs="宋体"/>
          <w:bCs/>
          <w:snapToGrid w:val="0"/>
          <w:kern w:val="0"/>
          <w:szCs w:val="21"/>
        </w:rPr>
        <w:t>、</w:t>
      </w:r>
      <w:r>
        <w:rPr>
          <w:rFonts w:cs="宋体"/>
          <w:bCs/>
          <w:snapToGrid w:val="0"/>
          <w:kern w:val="0"/>
          <w:szCs w:val="21"/>
        </w:rPr>
        <w:t>2</w:t>
      </w:r>
      <w:r>
        <w:rPr>
          <w:rFonts w:hint="eastAsia" w:cs="宋体"/>
          <w:bCs/>
          <w:snapToGrid w:val="0"/>
          <w:kern w:val="0"/>
          <w:szCs w:val="21"/>
        </w:rPr>
        <w:t>。</w:t>
      </w:r>
    </w:p>
    <w:p>
      <w:pPr>
        <w:adjustRightInd w:val="0"/>
        <w:snapToGrid w:val="0"/>
        <w:spacing w:line="360" w:lineRule="auto"/>
        <w:ind w:firstLine="420" w:firstLineChars="200"/>
        <w:jc w:val="left"/>
        <w:rPr>
          <w:rFonts w:eastAsia="黑体"/>
          <w:szCs w:val="21"/>
        </w:rPr>
      </w:pPr>
      <w:r>
        <w:rPr>
          <w:rFonts w:eastAsia="黑体"/>
          <w:snapToGrid w:val="0"/>
          <w:kern w:val="0"/>
          <w:szCs w:val="21"/>
        </w:rPr>
        <w:t>5  金属电子论（4学时）</w:t>
      </w:r>
    </w:p>
    <w:p>
      <w:pPr>
        <w:adjustRightInd w:val="0"/>
        <w:snapToGrid w:val="0"/>
        <w:spacing w:line="360" w:lineRule="auto"/>
        <w:ind w:firstLine="420" w:firstLineChars="200"/>
        <w:jc w:val="left"/>
        <w:rPr>
          <w:szCs w:val="21"/>
        </w:rPr>
      </w:pPr>
      <w:r>
        <w:rPr>
          <w:bCs/>
          <w:snapToGrid w:val="0"/>
          <w:kern w:val="0"/>
          <w:szCs w:val="21"/>
        </w:rPr>
        <w:t>5.1、</w:t>
      </w:r>
      <w:r>
        <w:rPr>
          <w:rFonts w:hint="eastAsia"/>
          <w:bCs/>
          <w:snapToGrid w:val="0"/>
          <w:kern w:val="0"/>
          <w:szCs w:val="21"/>
        </w:rPr>
        <w:t>熟练</w:t>
      </w:r>
      <w:r>
        <w:rPr>
          <w:bCs/>
          <w:snapToGrid w:val="0"/>
          <w:kern w:val="0"/>
          <w:szCs w:val="21"/>
        </w:rPr>
        <w:t>掌握</w:t>
      </w:r>
      <w:r>
        <w:rPr>
          <w:szCs w:val="21"/>
        </w:rPr>
        <w:t>金属自由电子的模型和基态性质；（重点）</w:t>
      </w:r>
    </w:p>
    <w:p>
      <w:pPr>
        <w:adjustRightInd w:val="0"/>
        <w:snapToGrid w:val="0"/>
        <w:spacing w:line="360" w:lineRule="auto"/>
        <w:ind w:firstLine="420" w:firstLineChars="200"/>
        <w:jc w:val="left"/>
        <w:rPr>
          <w:szCs w:val="21"/>
        </w:rPr>
      </w:pPr>
      <w:r>
        <w:rPr>
          <w:bCs/>
          <w:snapToGrid w:val="0"/>
          <w:kern w:val="0"/>
          <w:szCs w:val="21"/>
        </w:rPr>
        <w:t>5.2、</w:t>
      </w:r>
      <w:r>
        <w:rPr>
          <w:rFonts w:hint="eastAsia"/>
          <w:bCs/>
          <w:snapToGrid w:val="0"/>
          <w:kern w:val="0"/>
          <w:szCs w:val="21"/>
        </w:rPr>
        <w:t>掌握</w:t>
      </w:r>
      <w:r>
        <w:rPr>
          <w:rFonts w:hint="eastAsia"/>
          <w:szCs w:val="21"/>
        </w:rPr>
        <w:t>电子气的费米能量</w:t>
      </w:r>
      <w:r>
        <w:rPr>
          <w:szCs w:val="21"/>
        </w:rPr>
        <w:t>；（重点）</w:t>
      </w:r>
    </w:p>
    <w:p>
      <w:pPr>
        <w:adjustRightInd w:val="0"/>
        <w:snapToGrid w:val="0"/>
        <w:spacing w:line="360" w:lineRule="auto"/>
        <w:ind w:firstLine="420" w:firstLineChars="200"/>
        <w:jc w:val="left"/>
        <w:rPr>
          <w:szCs w:val="21"/>
        </w:rPr>
      </w:pPr>
      <w:r>
        <w:rPr>
          <w:bCs/>
          <w:snapToGrid w:val="0"/>
          <w:kern w:val="0"/>
          <w:szCs w:val="21"/>
        </w:rPr>
        <w:t>5.3、</w:t>
      </w:r>
      <w:r>
        <w:rPr>
          <w:rFonts w:hint="eastAsia"/>
          <w:bCs/>
          <w:snapToGrid w:val="0"/>
          <w:kern w:val="0"/>
          <w:szCs w:val="21"/>
        </w:rPr>
        <w:t>了解</w:t>
      </w:r>
      <w:r>
        <w:rPr>
          <w:rFonts w:hint="eastAsia"/>
          <w:szCs w:val="21"/>
        </w:rPr>
        <w:t>电子气的热容量</w:t>
      </w:r>
      <w:r>
        <w:rPr>
          <w:szCs w:val="21"/>
        </w:rPr>
        <w:t>；</w:t>
      </w:r>
    </w:p>
    <w:p>
      <w:pPr>
        <w:widowControl/>
        <w:adjustRightInd w:val="0"/>
        <w:snapToGrid w:val="0"/>
        <w:spacing w:line="360" w:lineRule="auto"/>
        <w:ind w:left="426"/>
        <w:jc w:val="left"/>
        <w:rPr>
          <w:rFonts w:eastAsia="黑体"/>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6  能带理论（10学时）</w:t>
      </w:r>
    </w:p>
    <w:p>
      <w:pPr>
        <w:adjustRightInd w:val="0"/>
        <w:snapToGrid w:val="0"/>
        <w:spacing w:line="360" w:lineRule="auto"/>
        <w:ind w:firstLine="420" w:firstLineChars="200"/>
        <w:rPr>
          <w:szCs w:val="21"/>
        </w:rPr>
      </w:pPr>
      <w:r>
        <w:rPr>
          <w:bCs/>
          <w:snapToGrid w:val="0"/>
          <w:kern w:val="0"/>
          <w:szCs w:val="21"/>
        </w:rPr>
        <w:t>6.</w:t>
      </w:r>
      <w:r>
        <w:rPr>
          <w:rFonts w:hint="eastAsia"/>
          <w:bCs/>
          <w:snapToGrid w:val="0"/>
          <w:kern w:val="0"/>
          <w:szCs w:val="21"/>
        </w:rPr>
        <w:t>1</w:t>
      </w:r>
      <w:r>
        <w:rPr>
          <w:bCs/>
          <w:snapToGrid w:val="0"/>
          <w:kern w:val="0"/>
          <w:szCs w:val="21"/>
        </w:rPr>
        <w:t>、</w:t>
      </w:r>
      <w:r>
        <w:rPr>
          <w:rFonts w:hint="eastAsia"/>
          <w:bCs/>
          <w:snapToGrid w:val="0"/>
          <w:kern w:val="0"/>
          <w:szCs w:val="21"/>
        </w:rPr>
        <w:t>掌握</w:t>
      </w:r>
      <w:r>
        <w:rPr>
          <w:szCs w:val="21"/>
        </w:rPr>
        <w:t>布洛赫定理，周期性边界条件，布洛赫定理的含义及应用；（重点、难点）</w:t>
      </w:r>
    </w:p>
    <w:p>
      <w:pPr>
        <w:adjustRightInd w:val="0"/>
        <w:snapToGrid w:val="0"/>
        <w:spacing w:line="360" w:lineRule="auto"/>
        <w:ind w:firstLine="420" w:firstLineChars="200"/>
        <w:rPr>
          <w:szCs w:val="21"/>
        </w:rPr>
      </w:pPr>
      <w:r>
        <w:rPr>
          <w:bCs/>
          <w:snapToGrid w:val="0"/>
          <w:kern w:val="0"/>
          <w:szCs w:val="21"/>
        </w:rPr>
        <w:t>6.2、</w:t>
      </w:r>
      <w:r>
        <w:rPr>
          <w:rFonts w:hint="eastAsia"/>
          <w:bCs/>
          <w:snapToGrid w:val="0"/>
          <w:kern w:val="0"/>
          <w:szCs w:val="21"/>
        </w:rPr>
        <w:t>熟练</w:t>
      </w:r>
      <w:r>
        <w:rPr>
          <w:bCs/>
          <w:snapToGrid w:val="0"/>
          <w:kern w:val="0"/>
          <w:szCs w:val="21"/>
        </w:rPr>
        <w:t>掌握</w:t>
      </w:r>
      <w:r>
        <w:rPr>
          <w:szCs w:val="21"/>
        </w:rPr>
        <w:t>一维周期场中电子运动的近自由电子近似方法、能隙的计算；（难点）</w:t>
      </w:r>
    </w:p>
    <w:p>
      <w:pPr>
        <w:adjustRightInd w:val="0"/>
        <w:snapToGrid w:val="0"/>
        <w:spacing w:line="360" w:lineRule="auto"/>
        <w:ind w:firstLine="420" w:firstLineChars="200"/>
        <w:rPr>
          <w:szCs w:val="21"/>
        </w:rPr>
      </w:pPr>
      <w:r>
        <w:rPr>
          <w:bCs/>
          <w:snapToGrid w:val="0"/>
          <w:kern w:val="0"/>
          <w:szCs w:val="21"/>
        </w:rPr>
        <w:t>6.3、</w:t>
      </w:r>
      <w:r>
        <w:rPr>
          <w:rFonts w:hint="eastAsia"/>
          <w:bCs/>
          <w:snapToGrid w:val="0"/>
          <w:kern w:val="0"/>
          <w:szCs w:val="21"/>
        </w:rPr>
        <w:t>掌握</w:t>
      </w:r>
      <w:r>
        <w:rPr>
          <w:rFonts w:hint="eastAsia"/>
          <w:szCs w:val="21"/>
        </w:rPr>
        <w:t>紧</w:t>
      </w:r>
      <w:r>
        <w:rPr>
          <w:szCs w:val="21"/>
        </w:rPr>
        <w:t>束缚近似——原子轨道线性组合法的近似方法、能带的计算</w:t>
      </w:r>
      <w:r>
        <w:rPr>
          <w:rFonts w:hint="eastAsia"/>
          <w:szCs w:val="21"/>
        </w:rPr>
        <w:t>；</w:t>
      </w:r>
      <w:r>
        <w:rPr>
          <w:szCs w:val="21"/>
        </w:rPr>
        <w:t>（难点）</w:t>
      </w:r>
    </w:p>
    <w:p>
      <w:pPr>
        <w:adjustRightInd w:val="0"/>
        <w:snapToGrid w:val="0"/>
        <w:spacing w:line="360" w:lineRule="auto"/>
        <w:ind w:firstLine="420" w:firstLineChars="200"/>
        <w:rPr>
          <w:szCs w:val="21"/>
        </w:rPr>
      </w:pPr>
      <w:r>
        <w:rPr>
          <w:bCs/>
          <w:snapToGrid w:val="0"/>
          <w:kern w:val="0"/>
          <w:szCs w:val="21"/>
        </w:rPr>
        <w:t>6.4、</w:t>
      </w:r>
      <w:r>
        <w:rPr>
          <w:rFonts w:hint="eastAsia"/>
          <w:bCs/>
          <w:snapToGrid w:val="0"/>
          <w:kern w:val="0"/>
          <w:szCs w:val="21"/>
        </w:rPr>
        <w:t>了解</w:t>
      </w:r>
      <w:r>
        <w:rPr>
          <w:szCs w:val="21"/>
        </w:rPr>
        <w:t>一维的态密度、能态密度，费米面的计算</w:t>
      </w:r>
      <w:r>
        <w:rPr>
          <w:rFonts w:hint="eastAsia"/>
          <w:szCs w:val="21"/>
        </w:rPr>
        <w:t>。</w:t>
      </w:r>
    </w:p>
    <w:p>
      <w:pPr>
        <w:adjustRightInd w:val="0"/>
        <w:snapToGrid w:val="0"/>
        <w:spacing w:line="360" w:lineRule="auto"/>
        <w:rPr>
          <w:szCs w:val="21"/>
        </w:rPr>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7  晶体中电子的</w:t>
      </w:r>
      <w:r>
        <w:rPr>
          <w:rFonts w:hint="eastAsia" w:eastAsia="黑体"/>
          <w:snapToGrid w:val="0"/>
          <w:kern w:val="0"/>
          <w:szCs w:val="21"/>
        </w:rPr>
        <w:t>准经典</w:t>
      </w:r>
      <w:r>
        <w:rPr>
          <w:rFonts w:eastAsia="黑体"/>
          <w:snapToGrid w:val="0"/>
          <w:kern w:val="0"/>
          <w:szCs w:val="21"/>
        </w:rPr>
        <w:t>运动（4学时）</w:t>
      </w:r>
    </w:p>
    <w:p>
      <w:pPr>
        <w:adjustRightInd w:val="0"/>
        <w:snapToGrid w:val="0"/>
        <w:spacing w:line="360" w:lineRule="auto"/>
        <w:ind w:firstLine="420" w:firstLineChars="200"/>
        <w:rPr>
          <w:szCs w:val="21"/>
        </w:rPr>
      </w:pPr>
      <w:r>
        <w:rPr>
          <w:bCs/>
          <w:snapToGrid w:val="0"/>
          <w:kern w:val="0"/>
          <w:szCs w:val="21"/>
        </w:rPr>
        <w:t>7.1、</w:t>
      </w:r>
      <w:r>
        <w:rPr>
          <w:rFonts w:hint="eastAsia"/>
          <w:bCs/>
          <w:snapToGrid w:val="0"/>
          <w:kern w:val="0"/>
          <w:szCs w:val="21"/>
        </w:rPr>
        <w:t>掌握</w:t>
      </w:r>
      <w:r>
        <w:rPr>
          <w:szCs w:val="21"/>
        </w:rPr>
        <w:t>有效质量的物理意义，掌握Bloch电子运动的速度和加速度；（重点）</w:t>
      </w:r>
    </w:p>
    <w:p>
      <w:pPr>
        <w:adjustRightInd w:val="0"/>
        <w:snapToGrid w:val="0"/>
        <w:spacing w:line="360" w:lineRule="auto"/>
        <w:ind w:firstLine="420" w:firstLineChars="200"/>
        <w:rPr>
          <w:szCs w:val="21"/>
        </w:rPr>
      </w:pPr>
      <w:r>
        <w:rPr>
          <w:bCs/>
          <w:snapToGrid w:val="0"/>
          <w:kern w:val="0"/>
          <w:szCs w:val="21"/>
        </w:rPr>
        <w:t>7.2、</w:t>
      </w:r>
      <w:r>
        <w:rPr>
          <w:rFonts w:hint="eastAsia"/>
          <w:bCs/>
          <w:snapToGrid w:val="0"/>
          <w:kern w:val="0"/>
          <w:szCs w:val="21"/>
        </w:rPr>
        <w:t>了解</w:t>
      </w:r>
      <w:r>
        <w:rPr>
          <w:szCs w:val="21"/>
        </w:rPr>
        <w:t>恒定电场、恒定磁场作用下电子的运动；</w:t>
      </w:r>
    </w:p>
    <w:p>
      <w:pPr>
        <w:adjustRightInd w:val="0"/>
        <w:snapToGrid w:val="0"/>
        <w:spacing w:line="360" w:lineRule="auto"/>
        <w:ind w:firstLine="420" w:firstLineChars="200"/>
        <w:rPr>
          <w:szCs w:val="21"/>
        </w:rPr>
      </w:pPr>
      <w:r>
        <w:rPr>
          <w:bCs/>
          <w:snapToGrid w:val="0"/>
          <w:kern w:val="0"/>
          <w:szCs w:val="21"/>
        </w:rPr>
        <w:t>7.3、</w:t>
      </w:r>
      <w:r>
        <w:rPr>
          <w:rFonts w:hint="eastAsia"/>
          <w:szCs w:val="21"/>
        </w:rPr>
        <w:t>熟练掌握</w:t>
      </w:r>
      <w:r>
        <w:rPr>
          <w:szCs w:val="21"/>
        </w:rPr>
        <w:t>能带论解释金属、半导体和绝缘体</w:t>
      </w:r>
      <w:r>
        <w:rPr>
          <w:rFonts w:hint="eastAsia"/>
          <w:szCs w:val="21"/>
        </w:rPr>
        <w:t>。</w:t>
      </w:r>
      <w:r>
        <w:rPr>
          <w:szCs w:val="21"/>
        </w:rPr>
        <w:t>（重点）</w:t>
      </w:r>
    </w:p>
    <w:p>
      <w:pPr>
        <w:adjustRightInd w:val="0"/>
        <w:snapToGrid w:val="0"/>
        <w:spacing w:line="360" w:lineRule="auto"/>
        <w:ind w:firstLine="420" w:firstLineChars="200"/>
        <w:rPr>
          <w:szCs w:val="21"/>
        </w:rPr>
      </w:pPr>
      <w:r>
        <w:rPr>
          <w:rFonts w:cs="宋体"/>
          <w:bCs/>
          <w:snapToGrid w:val="0"/>
          <w:kern w:val="0"/>
          <w:szCs w:val="21"/>
        </w:rPr>
        <w:t>本章内容支撑课程目标2</w:t>
      </w:r>
      <w:r>
        <w:rPr>
          <w:rFonts w:hint="eastAsia" w:cs="宋体"/>
          <w:bCs/>
          <w:snapToGrid w:val="0"/>
          <w:kern w:val="0"/>
          <w:szCs w:val="21"/>
        </w:rPr>
        <w:t>。</w:t>
      </w:r>
    </w:p>
    <w:p>
      <w:pPr>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8  总结（1学时）</w:t>
      </w:r>
    </w:p>
    <w:p>
      <w:pPr>
        <w:adjustRightInd w:val="0"/>
        <w:snapToGrid w:val="0"/>
        <w:spacing w:line="360" w:lineRule="auto"/>
        <w:ind w:firstLine="420" w:firstLineChars="200"/>
        <w:rPr>
          <w:szCs w:val="21"/>
        </w:rPr>
      </w:pPr>
      <w:r>
        <w:rPr>
          <w:bCs/>
          <w:snapToGrid w:val="0"/>
          <w:kern w:val="0"/>
          <w:szCs w:val="21"/>
        </w:rPr>
        <w:t>8.1、</w:t>
      </w:r>
      <w:r>
        <w:rPr>
          <w:szCs w:val="21"/>
        </w:rPr>
        <w:t>总结课程的主要内容，强调重点内容；</w:t>
      </w:r>
    </w:p>
    <w:p>
      <w:pPr>
        <w:adjustRightInd w:val="0"/>
        <w:snapToGrid w:val="0"/>
        <w:spacing w:line="360" w:lineRule="auto"/>
        <w:ind w:firstLine="420" w:firstLineChars="200"/>
        <w:rPr>
          <w:szCs w:val="21"/>
        </w:rPr>
      </w:pPr>
      <w:r>
        <w:rPr>
          <w:bCs/>
          <w:snapToGrid w:val="0"/>
          <w:kern w:val="0"/>
          <w:szCs w:val="21"/>
        </w:rPr>
        <w:t>8.2、</w:t>
      </w:r>
      <w:r>
        <w:rPr>
          <w:szCs w:val="21"/>
        </w:rPr>
        <w:t>说明固体物理的基本知识在后续课程中的应用情况。</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spacing w:line="360" w:lineRule="auto"/>
        <w:ind w:firstLine="420" w:firstLineChars="200"/>
        <w:rPr>
          <w:rFonts w:cs="宋体"/>
          <w:kern w:val="0"/>
          <w:szCs w:val="21"/>
        </w:rPr>
      </w:pPr>
      <w:r>
        <w:rPr>
          <w:rFonts w:hint="eastAsia" w:cs="宋体"/>
          <w:kern w:val="0"/>
          <w:szCs w:val="21"/>
        </w:rPr>
        <w:t>无</w:t>
      </w:r>
    </w:p>
    <w:p>
      <w:pPr>
        <w:spacing w:line="360" w:lineRule="auto"/>
        <w:ind w:left="422" w:leftChars="201" w:firstLine="420" w:firstLineChars="200"/>
        <w:rPr>
          <w:szCs w:val="21"/>
        </w:rPr>
      </w:pPr>
    </w:p>
    <w:p>
      <w:pPr>
        <w:widowControl/>
        <w:spacing w:line="360" w:lineRule="auto"/>
        <w:jc w:val="left"/>
        <w:rPr>
          <w:rFonts w:ascii="黑体" w:hAnsi="黑体" w:eastAsia="黑体"/>
          <w:szCs w:val="21"/>
        </w:rPr>
      </w:pPr>
      <w:r>
        <w:rPr>
          <w:rFonts w:hint="eastAsia" w:ascii="黑体" w:hAnsi="宋体" w:eastAsia="黑体" w:cs="宋体"/>
          <w:kern w:val="0"/>
          <w:szCs w:val="21"/>
        </w:rPr>
        <w:t>六、学时分配</w:t>
      </w:r>
      <w:r>
        <w:rPr>
          <w:rFonts w:hint="eastAsia" w:ascii="黑体" w:hAnsi="黑体" w:eastAsia="黑体"/>
          <w:szCs w:val="21"/>
        </w:rPr>
        <w:t>（表中数字横向纵向计算要正确）</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25"/>
        <w:gridCol w:w="1554"/>
        <w:gridCol w:w="1712"/>
        <w:gridCol w:w="15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讲授的知识点及内容</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讲授（学时）</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实验（学时）</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1 绪论</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1</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2 晶体结构</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3 固体的结合</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6</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4 晶格振动与晶体的热学性质</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5 金属电子论</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6</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6 能带理论</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7 晶体中电子的</w:t>
            </w:r>
            <w:r>
              <w:rPr>
                <w:rFonts w:hint="eastAsia"/>
                <w:sz w:val="18"/>
                <w:szCs w:val="18"/>
              </w:rPr>
              <w:t>准经典</w:t>
            </w:r>
            <w:r>
              <w:rPr>
                <w:sz w:val="18"/>
                <w:szCs w:val="18"/>
              </w:rPr>
              <w:t>运动</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4</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8 总结</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1</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20" w:type="pct"/>
            <w:tcMar>
              <w:top w:w="0" w:type="dxa"/>
              <w:left w:w="108" w:type="dxa"/>
              <w:bottom w:w="0" w:type="dxa"/>
              <w:right w:w="108" w:type="dxa"/>
            </w:tcMar>
            <w:vAlign w:val="center"/>
          </w:tcPr>
          <w:p>
            <w:pPr>
              <w:adjustRightInd w:val="0"/>
              <w:snapToGrid w:val="0"/>
              <w:jc w:val="center"/>
              <w:rPr>
                <w:sz w:val="18"/>
                <w:szCs w:val="18"/>
              </w:rPr>
            </w:pPr>
            <w:r>
              <w:rPr>
                <w:sz w:val="18"/>
                <w:szCs w:val="18"/>
              </w:rPr>
              <w:t>小计</w:t>
            </w:r>
          </w:p>
        </w:tc>
        <w:tc>
          <w:tcPr>
            <w:tcW w:w="935" w:type="pct"/>
            <w:tcMar>
              <w:top w:w="0" w:type="dxa"/>
              <w:left w:w="108" w:type="dxa"/>
              <w:bottom w:w="0" w:type="dxa"/>
              <w:right w:w="108" w:type="dxa"/>
            </w:tcMar>
            <w:vAlign w:val="center"/>
          </w:tcPr>
          <w:p>
            <w:pPr>
              <w:adjustRightInd w:val="0"/>
              <w:snapToGrid w:val="0"/>
              <w:jc w:val="center"/>
              <w:rPr>
                <w:sz w:val="18"/>
                <w:szCs w:val="18"/>
              </w:rPr>
            </w:pPr>
            <w:r>
              <w:rPr>
                <w:sz w:val="18"/>
                <w:szCs w:val="18"/>
              </w:rPr>
              <w:t>48</w:t>
            </w:r>
          </w:p>
        </w:tc>
        <w:tc>
          <w:tcPr>
            <w:tcW w:w="1030" w:type="pct"/>
            <w:tcMar>
              <w:top w:w="0" w:type="dxa"/>
              <w:left w:w="108" w:type="dxa"/>
              <w:bottom w:w="0" w:type="dxa"/>
              <w:right w:w="108" w:type="dxa"/>
            </w:tcMar>
            <w:vAlign w:val="center"/>
          </w:tcPr>
          <w:p>
            <w:pPr>
              <w:adjustRightInd w:val="0"/>
              <w:snapToGrid w:val="0"/>
              <w:jc w:val="center"/>
              <w:rPr>
                <w:sz w:val="18"/>
                <w:szCs w:val="18"/>
              </w:rPr>
            </w:pPr>
            <w:r>
              <w:rPr>
                <w:sz w:val="18"/>
                <w:szCs w:val="18"/>
              </w:rPr>
              <w:t>0</w:t>
            </w:r>
          </w:p>
        </w:tc>
        <w:tc>
          <w:tcPr>
            <w:tcW w:w="915" w:type="pct"/>
            <w:tcMar>
              <w:top w:w="0" w:type="dxa"/>
              <w:left w:w="108" w:type="dxa"/>
              <w:bottom w:w="0" w:type="dxa"/>
              <w:right w:w="108" w:type="dxa"/>
            </w:tcMar>
            <w:vAlign w:val="center"/>
          </w:tcPr>
          <w:p>
            <w:pPr>
              <w:adjustRightInd w:val="0"/>
              <w:snapToGrid w:val="0"/>
              <w:jc w:val="center"/>
              <w:rPr>
                <w:sz w:val="18"/>
                <w:szCs w:val="18"/>
              </w:rPr>
            </w:pPr>
            <w:r>
              <w:rPr>
                <w:sz w:val="18"/>
                <w:szCs w:val="18"/>
              </w:rPr>
              <w:t>48</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numPr>
          <w:ilvl w:val="0"/>
          <w:numId w:val="23"/>
        </w:numPr>
        <w:adjustRightInd w:val="0"/>
        <w:snapToGrid w:val="0"/>
        <w:spacing w:line="360" w:lineRule="auto"/>
        <w:ind w:firstLine="420" w:firstLineChars="200"/>
        <w:rPr>
          <w:szCs w:val="21"/>
        </w:rPr>
      </w:pPr>
      <w:r>
        <w:rPr>
          <w:szCs w:val="21"/>
        </w:rPr>
        <w:t>王矜奉，《固体物理教程》，ISBN 9787560716657，山东大学出版社。</w:t>
      </w:r>
    </w:p>
    <w:p>
      <w:pPr>
        <w:numPr>
          <w:ilvl w:val="0"/>
          <w:numId w:val="23"/>
        </w:numPr>
        <w:adjustRightInd w:val="0"/>
        <w:snapToGrid w:val="0"/>
        <w:spacing w:line="360" w:lineRule="auto"/>
        <w:ind w:firstLine="420" w:firstLineChars="200"/>
        <w:rPr>
          <w:szCs w:val="21"/>
        </w:rPr>
      </w:pPr>
      <w:r>
        <w:rPr>
          <w:szCs w:val="21"/>
        </w:rPr>
        <w:t>黄昆</w:t>
      </w:r>
      <w:r>
        <w:rPr>
          <w:rFonts w:hint="eastAsia"/>
          <w:szCs w:val="21"/>
        </w:rPr>
        <w:t>等编著</w:t>
      </w:r>
      <w:r>
        <w:rPr>
          <w:szCs w:val="21"/>
        </w:rPr>
        <w:t>，《固体物理学》，ISBN 9787040010251，高等教育出版社。</w:t>
      </w:r>
    </w:p>
    <w:p>
      <w:pPr>
        <w:numPr>
          <w:ilvl w:val="0"/>
          <w:numId w:val="23"/>
        </w:numPr>
        <w:adjustRightInd w:val="0"/>
        <w:snapToGrid w:val="0"/>
        <w:spacing w:line="360" w:lineRule="auto"/>
        <w:ind w:firstLine="420" w:firstLineChars="200"/>
        <w:rPr>
          <w:szCs w:val="21"/>
        </w:rPr>
      </w:pPr>
      <w:r>
        <w:rPr>
          <w:szCs w:val="21"/>
        </w:rPr>
        <w:t>方俊鑫</w:t>
      </w:r>
      <w:r>
        <w:rPr>
          <w:rFonts w:hint="eastAsia"/>
          <w:szCs w:val="21"/>
        </w:rPr>
        <w:t>等编著</w:t>
      </w:r>
      <w:r>
        <w:rPr>
          <w:szCs w:val="21"/>
        </w:rPr>
        <w:t>，《固体物理学（上册）》，统一</w:t>
      </w:r>
      <w:r>
        <w:rPr>
          <w:rFonts w:hint="eastAsia"/>
          <w:szCs w:val="21"/>
        </w:rPr>
        <w:t>书</w:t>
      </w:r>
      <w:r>
        <w:rPr>
          <w:szCs w:val="21"/>
        </w:rPr>
        <w:t>号 13119819，上海科学技术出版社。</w:t>
      </w:r>
    </w:p>
    <w:p>
      <w:pPr>
        <w:numPr>
          <w:ilvl w:val="0"/>
          <w:numId w:val="23"/>
        </w:numPr>
        <w:adjustRightInd w:val="0"/>
        <w:snapToGrid w:val="0"/>
        <w:spacing w:line="360" w:lineRule="auto"/>
        <w:ind w:firstLine="420" w:firstLineChars="200"/>
        <w:rPr>
          <w:szCs w:val="21"/>
        </w:rPr>
      </w:pPr>
      <w:r>
        <w:rPr>
          <w:szCs w:val="21"/>
        </w:rPr>
        <w:t>胡安</w:t>
      </w:r>
      <w:r>
        <w:rPr>
          <w:rFonts w:hint="eastAsia"/>
          <w:szCs w:val="21"/>
        </w:rPr>
        <w:t>等编著</w:t>
      </w:r>
      <w:r>
        <w:rPr>
          <w:szCs w:val="21"/>
        </w:rPr>
        <w:t>，《固体物理学》，ISBN 9787040170276，高等教育出版社。</w:t>
      </w:r>
    </w:p>
    <w:p>
      <w:pPr>
        <w:numPr>
          <w:ilvl w:val="0"/>
          <w:numId w:val="23"/>
        </w:numPr>
        <w:adjustRightInd w:val="0"/>
        <w:snapToGrid w:val="0"/>
        <w:spacing w:line="360" w:lineRule="auto"/>
        <w:ind w:firstLine="420" w:firstLineChars="200"/>
        <w:rPr>
          <w:szCs w:val="21"/>
        </w:rPr>
      </w:pPr>
      <w:r>
        <w:rPr>
          <w:rFonts w:hint="eastAsia"/>
          <w:szCs w:val="21"/>
        </w:rPr>
        <w:t>韦丹</w:t>
      </w:r>
      <w:r>
        <w:rPr>
          <w:szCs w:val="21"/>
        </w:rPr>
        <w:t>，《固体物理》，ISBN 978730</w:t>
      </w:r>
      <w:r>
        <w:rPr>
          <w:rFonts w:hint="eastAsia"/>
          <w:szCs w:val="21"/>
        </w:rPr>
        <w:t>2159964</w:t>
      </w:r>
      <w:r>
        <w:rPr>
          <w:szCs w:val="21"/>
        </w:rPr>
        <w:t>，</w:t>
      </w:r>
      <w:r>
        <w:rPr>
          <w:rFonts w:hint="eastAsia"/>
          <w:szCs w:val="21"/>
        </w:rPr>
        <w:t>清华</w:t>
      </w:r>
      <w:r>
        <w:rPr>
          <w:szCs w:val="21"/>
        </w:rPr>
        <w:t>大学出版社。</w:t>
      </w:r>
    </w:p>
    <w:p>
      <w:pPr>
        <w:numPr>
          <w:ilvl w:val="0"/>
          <w:numId w:val="23"/>
        </w:numPr>
        <w:adjustRightInd w:val="0"/>
        <w:snapToGrid w:val="0"/>
        <w:spacing w:line="360" w:lineRule="auto"/>
        <w:ind w:firstLine="420" w:firstLineChars="200"/>
        <w:rPr>
          <w:szCs w:val="21"/>
        </w:rPr>
      </w:pPr>
      <w:r>
        <w:rPr>
          <w:szCs w:val="21"/>
        </w:rPr>
        <w:t>视频资料：吴代鸣，《固体物理学》，吉林大学，</w:t>
      </w:r>
    </w:p>
    <w:p>
      <w:pPr>
        <w:adjustRightInd w:val="0"/>
        <w:snapToGrid w:val="0"/>
        <w:spacing w:line="360" w:lineRule="auto"/>
        <w:ind w:firstLine="840" w:firstLineChars="400"/>
        <w:rPr>
          <w:szCs w:val="21"/>
        </w:rPr>
      </w:pPr>
      <w:r>
        <w:rPr>
          <w:rFonts w:hint="eastAsia"/>
          <w:szCs w:val="21"/>
        </w:rPr>
        <w:t>资料链接：</w:t>
      </w:r>
      <w:r>
        <w:fldChar w:fldCharType="begin"/>
      </w:r>
      <w:r>
        <w:instrText xml:space="preserve"> HYPERLINK "http://v.youku.com/v_show/id_XNDgwMjIyOTI=.html?from=s1.8-1-1.2" </w:instrText>
      </w:r>
      <w:r>
        <w:fldChar w:fldCharType="separate"/>
      </w:r>
      <w:r>
        <w:rPr>
          <w:rStyle w:val="27"/>
          <w:rFonts w:hint="eastAsia"/>
          <w:szCs w:val="21"/>
        </w:rPr>
        <w:t>http://v.youku.com/v_show/id_XNDgwMjIyOTI=.html?from=s1.8-1-1.2</w:t>
      </w:r>
      <w:r>
        <w:rPr>
          <w:rStyle w:val="27"/>
          <w:rFonts w:hint="eastAsia"/>
          <w:szCs w:val="21"/>
        </w:rPr>
        <w:fldChar w:fldCharType="end"/>
      </w:r>
      <w:r>
        <w:rPr>
          <w:szCs w:val="21"/>
        </w:rPr>
        <w:t>。</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adjustRightInd w:val="0"/>
        <w:snapToGrid w:val="0"/>
        <w:spacing w:line="360" w:lineRule="auto"/>
        <w:ind w:firstLine="435"/>
        <w:rPr>
          <w:szCs w:val="21"/>
        </w:rPr>
      </w:pPr>
      <w:r>
        <w:rPr>
          <w:szCs w:val="21"/>
        </w:rPr>
        <w:t>1、考核目标：在考核学生对固体物理基本知识、基本原理和方法的基础上，重点考核学生对晶体结构、能带理论和金属电子论的掌握程度</w:t>
      </w:r>
      <w:r>
        <w:rPr>
          <w:rFonts w:hint="eastAsia"/>
          <w:szCs w:val="21"/>
        </w:rPr>
        <w:t>。</w:t>
      </w:r>
    </w:p>
    <w:p>
      <w:pPr>
        <w:adjustRightInd w:val="0"/>
        <w:snapToGrid w:val="0"/>
        <w:spacing w:line="360" w:lineRule="auto"/>
        <w:ind w:firstLine="420" w:firstLineChars="200"/>
        <w:rPr>
          <w:szCs w:val="21"/>
        </w:rPr>
      </w:pPr>
      <w:r>
        <w:rPr>
          <w:szCs w:val="21"/>
        </w:rPr>
        <w:t>2、考核方式：作业、课堂</w:t>
      </w:r>
      <w:r>
        <w:rPr>
          <w:rFonts w:hint="eastAsia"/>
          <w:szCs w:val="21"/>
        </w:rPr>
        <w:t>情况</w:t>
      </w:r>
      <w:r>
        <w:rPr>
          <w:szCs w:val="21"/>
        </w:rPr>
        <w:t>、期末考试（闭卷）</w:t>
      </w:r>
      <w:r>
        <w:rPr>
          <w:rFonts w:hint="eastAsia"/>
          <w:szCs w:val="21"/>
        </w:rPr>
        <w:t>。</w:t>
      </w:r>
    </w:p>
    <w:p>
      <w:pPr>
        <w:adjustRightInd w:val="0"/>
        <w:snapToGrid w:val="0"/>
        <w:spacing w:line="360" w:lineRule="auto"/>
        <w:ind w:firstLine="420" w:firstLineChars="200"/>
        <w:rPr>
          <w:szCs w:val="21"/>
        </w:rPr>
      </w:pPr>
      <w:r>
        <w:rPr>
          <w:szCs w:val="21"/>
        </w:rPr>
        <w:t>3、</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797"/>
        <w:gridCol w:w="2612"/>
        <w:gridCol w:w="2369"/>
        <w:gridCol w:w="1534"/>
      </w:tblGrid>
      <w:tr>
        <w:tblPrEx>
          <w:tblCellMar>
            <w:top w:w="0" w:type="dxa"/>
            <w:left w:w="108" w:type="dxa"/>
            <w:bottom w:w="0" w:type="dxa"/>
            <w:right w:w="108" w:type="dxa"/>
          </w:tblCellMar>
        </w:tblPrEx>
        <w:trPr>
          <w:trHeight w:val="319" w:hRule="atLeast"/>
          <w:jc w:val="center"/>
        </w:trPr>
        <w:tc>
          <w:tcPr>
            <w:tcW w:w="1081"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考察环节</w:t>
            </w:r>
          </w:p>
        </w:tc>
        <w:tc>
          <w:tcPr>
            <w:tcW w:w="1571"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课堂情况</w:t>
            </w:r>
          </w:p>
        </w:tc>
        <w:tc>
          <w:tcPr>
            <w:tcW w:w="1425"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作业</w:t>
            </w:r>
          </w:p>
        </w:tc>
        <w:tc>
          <w:tcPr>
            <w:tcW w:w="923" w:type="pct"/>
            <w:tcBorders>
              <w:top w:val="single" w:color="auto" w:sz="4" w:space="0"/>
              <w:left w:val="single" w:color="auto" w:sz="4" w:space="0"/>
              <w:bottom w:val="single" w:color="auto" w:sz="4" w:space="0"/>
            </w:tcBorders>
            <w:vAlign w:val="center"/>
          </w:tcPr>
          <w:p>
            <w:pPr>
              <w:widowControl/>
              <w:jc w:val="center"/>
              <w:rPr>
                <w:color w:val="000000"/>
                <w:kern w:val="0"/>
                <w:sz w:val="18"/>
              </w:rPr>
            </w:pPr>
            <w:r>
              <w:rPr>
                <w:color w:val="000000"/>
                <w:kern w:val="0"/>
                <w:sz w:val="18"/>
              </w:rPr>
              <w:t>期末考试</w:t>
            </w:r>
          </w:p>
        </w:tc>
      </w:tr>
      <w:tr>
        <w:tblPrEx>
          <w:tblCellMar>
            <w:top w:w="0" w:type="dxa"/>
            <w:left w:w="108" w:type="dxa"/>
            <w:bottom w:w="0" w:type="dxa"/>
            <w:right w:w="108" w:type="dxa"/>
          </w:tblCellMar>
        </w:tblPrEx>
        <w:trPr>
          <w:trHeight w:val="484" w:hRule="atLeast"/>
          <w:jc w:val="center"/>
        </w:trPr>
        <w:tc>
          <w:tcPr>
            <w:tcW w:w="1081"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课程目标达成</w:t>
            </w:r>
          </w:p>
          <w:p>
            <w:pPr>
              <w:widowControl/>
              <w:jc w:val="center"/>
              <w:rPr>
                <w:color w:val="000000"/>
                <w:kern w:val="0"/>
                <w:sz w:val="18"/>
              </w:rPr>
            </w:pPr>
            <w:r>
              <w:rPr>
                <w:color w:val="000000"/>
                <w:kern w:val="0"/>
                <w:sz w:val="18"/>
              </w:rPr>
              <w:t>的贡献率</w:t>
            </w:r>
          </w:p>
        </w:tc>
        <w:tc>
          <w:tcPr>
            <w:tcW w:w="1571"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0.14</w:t>
            </w:r>
          </w:p>
        </w:tc>
        <w:tc>
          <w:tcPr>
            <w:tcW w:w="1425"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0.16</w:t>
            </w:r>
          </w:p>
        </w:tc>
        <w:tc>
          <w:tcPr>
            <w:tcW w:w="923" w:type="pct"/>
            <w:tcBorders>
              <w:top w:val="single" w:color="auto" w:sz="4" w:space="0"/>
              <w:left w:val="single" w:color="auto" w:sz="4" w:space="0"/>
              <w:bottom w:val="single" w:color="auto" w:sz="4" w:space="0"/>
            </w:tcBorders>
            <w:vAlign w:val="center"/>
          </w:tcPr>
          <w:p>
            <w:pPr>
              <w:widowControl/>
              <w:jc w:val="center"/>
              <w:rPr>
                <w:color w:val="000000"/>
                <w:kern w:val="0"/>
                <w:sz w:val="18"/>
              </w:rPr>
            </w:pPr>
            <w:r>
              <w:rPr>
                <w:color w:val="000000"/>
                <w:kern w:val="0"/>
                <w:sz w:val="18"/>
              </w:rPr>
              <w:t>0.70</w:t>
            </w:r>
          </w:p>
        </w:tc>
      </w:tr>
      <w:tr>
        <w:tblPrEx>
          <w:tblCellMar>
            <w:top w:w="0" w:type="dxa"/>
            <w:left w:w="108" w:type="dxa"/>
            <w:bottom w:w="0" w:type="dxa"/>
            <w:right w:w="108" w:type="dxa"/>
          </w:tblCellMar>
        </w:tblPrEx>
        <w:trPr>
          <w:trHeight w:val="538" w:hRule="atLeast"/>
          <w:jc w:val="center"/>
        </w:trPr>
        <w:tc>
          <w:tcPr>
            <w:tcW w:w="1081"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支撑材料</w:t>
            </w:r>
          </w:p>
        </w:tc>
        <w:tc>
          <w:tcPr>
            <w:tcW w:w="1571"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课堂评价标准，课堂提问记录，结合出勤率等</w:t>
            </w:r>
          </w:p>
        </w:tc>
        <w:tc>
          <w:tcPr>
            <w:tcW w:w="1425"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作业评价标准，典型作业拍照，或电子版</w:t>
            </w:r>
          </w:p>
        </w:tc>
        <w:tc>
          <w:tcPr>
            <w:tcW w:w="923" w:type="pct"/>
            <w:tcBorders>
              <w:top w:val="single" w:color="auto" w:sz="4" w:space="0"/>
              <w:left w:val="single" w:color="auto" w:sz="4" w:space="0"/>
              <w:bottom w:val="single" w:color="auto" w:sz="4" w:space="0"/>
            </w:tcBorders>
            <w:vAlign w:val="center"/>
          </w:tcPr>
          <w:p>
            <w:pPr>
              <w:widowControl/>
              <w:jc w:val="center"/>
              <w:rPr>
                <w:color w:val="000000"/>
                <w:kern w:val="0"/>
                <w:sz w:val="18"/>
              </w:rPr>
            </w:pPr>
            <w:r>
              <w:rPr>
                <w:color w:val="000000"/>
                <w:kern w:val="0"/>
                <w:sz w:val="18"/>
              </w:rPr>
              <w:t>试题评分标准，试卷</w:t>
            </w:r>
          </w:p>
        </w:tc>
      </w:tr>
    </w:tbl>
    <w:p>
      <w:pPr>
        <w:tabs>
          <w:tab w:val="left" w:pos="420"/>
        </w:tabs>
        <w:spacing w:line="360" w:lineRule="auto"/>
        <w:ind w:left="420" w:hanging="420"/>
        <w:rPr>
          <w:color w:val="000000"/>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86"/>
        <w:gridCol w:w="1418"/>
        <w:gridCol w:w="1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jc w:val="center"/>
              <w:rPr>
                <w:sz w:val="18"/>
                <w:szCs w:val="18"/>
              </w:rPr>
            </w:pPr>
            <w:r>
              <w:rPr>
                <w:sz w:val="18"/>
                <w:szCs w:val="18"/>
              </w:rPr>
              <w:t>知识点</w:t>
            </w:r>
          </w:p>
        </w:tc>
        <w:tc>
          <w:tcPr>
            <w:tcW w:w="853" w:type="pct"/>
            <w:vAlign w:val="center"/>
          </w:tcPr>
          <w:p>
            <w:pPr>
              <w:jc w:val="center"/>
              <w:rPr>
                <w:sz w:val="18"/>
                <w:szCs w:val="18"/>
              </w:rPr>
            </w:pPr>
            <w:r>
              <w:rPr>
                <w:sz w:val="18"/>
                <w:szCs w:val="18"/>
              </w:rPr>
              <w:t>权重</w:t>
            </w:r>
          </w:p>
        </w:tc>
        <w:tc>
          <w:tcPr>
            <w:tcW w:w="907"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widowControl/>
              <w:adjustRightInd w:val="0"/>
              <w:snapToGrid w:val="0"/>
              <w:ind w:left="406" w:leftChars="65" w:hanging="270" w:hangingChars="150"/>
              <w:rPr>
                <w:sz w:val="18"/>
                <w:szCs w:val="18"/>
              </w:rPr>
            </w:pPr>
            <w:r>
              <w:rPr>
                <w:sz w:val="18"/>
                <w:szCs w:val="18"/>
              </w:rPr>
              <w:t>1、</w:t>
            </w:r>
            <w:r>
              <w:rPr>
                <w:snapToGrid w:val="0"/>
                <w:kern w:val="0"/>
                <w:sz w:val="18"/>
                <w:szCs w:val="18"/>
              </w:rPr>
              <w:t>晶体结构的分类，</w:t>
            </w:r>
            <w:r>
              <w:rPr>
                <w:sz w:val="18"/>
                <w:szCs w:val="18"/>
              </w:rPr>
              <w:t>原胞、基矢的概念，晶面和晶向的表示，倒易点阵和布里渊区的概念；</w:t>
            </w:r>
          </w:p>
        </w:tc>
        <w:tc>
          <w:tcPr>
            <w:tcW w:w="853" w:type="pct"/>
            <w:vAlign w:val="center"/>
          </w:tcPr>
          <w:p>
            <w:pPr>
              <w:jc w:val="center"/>
              <w:rPr>
                <w:rFonts w:eastAsiaTheme="minorEastAsia"/>
                <w:sz w:val="18"/>
                <w:szCs w:val="18"/>
              </w:rPr>
            </w:pPr>
            <w:r>
              <w:rPr>
                <w:rFonts w:eastAsiaTheme="minorEastAsia"/>
                <w:sz w:val="18"/>
                <w:szCs w:val="18"/>
              </w:rPr>
              <w:t>0.30</w:t>
            </w:r>
          </w:p>
        </w:tc>
        <w:tc>
          <w:tcPr>
            <w:tcW w:w="907" w:type="pct"/>
            <w:vAlign w:val="center"/>
          </w:tcPr>
          <w:p>
            <w:pPr>
              <w:jc w:val="center"/>
              <w:rPr>
                <w:rFonts w:eastAsiaTheme="minorEastAsia"/>
                <w:b/>
                <w:sz w:val="18"/>
                <w:szCs w:val="18"/>
              </w:rPr>
            </w:pPr>
            <w:r>
              <w:rPr>
                <w:rFonts w:eastAsiaTheme="minorEastAsia"/>
                <w:b/>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widowControl/>
              <w:adjustRightInd w:val="0"/>
              <w:snapToGrid w:val="0"/>
              <w:ind w:left="406" w:leftChars="65" w:hanging="270" w:hangingChars="150"/>
              <w:rPr>
                <w:sz w:val="18"/>
                <w:szCs w:val="18"/>
              </w:rPr>
            </w:pPr>
            <w:r>
              <w:rPr>
                <w:sz w:val="18"/>
                <w:szCs w:val="18"/>
              </w:rPr>
              <w:t>2、固体结合的类型与特点；</w:t>
            </w:r>
          </w:p>
        </w:tc>
        <w:tc>
          <w:tcPr>
            <w:tcW w:w="853" w:type="pct"/>
            <w:vAlign w:val="center"/>
          </w:tcPr>
          <w:p>
            <w:pPr>
              <w:jc w:val="center"/>
              <w:rPr>
                <w:rFonts w:eastAsiaTheme="minorEastAsia"/>
                <w:sz w:val="18"/>
                <w:szCs w:val="18"/>
              </w:rPr>
            </w:pPr>
            <w:r>
              <w:rPr>
                <w:rFonts w:eastAsiaTheme="minorEastAsia"/>
                <w:sz w:val="18"/>
                <w:szCs w:val="18"/>
              </w:rPr>
              <w:t>0.10</w:t>
            </w:r>
          </w:p>
        </w:tc>
        <w:tc>
          <w:tcPr>
            <w:tcW w:w="907" w:type="pct"/>
            <w:vAlign w:val="center"/>
          </w:tcPr>
          <w:p>
            <w:pPr>
              <w:jc w:val="center"/>
              <w:rPr>
                <w:rFonts w:eastAsiaTheme="minorEastAsia"/>
                <w:b/>
                <w:sz w:val="18"/>
                <w:szCs w:val="18"/>
              </w:rPr>
            </w:pPr>
            <w:r>
              <w:rPr>
                <w:rFonts w:eastAsiaTheme="minorEastAsia"/>
                <w:b/>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widowControl/>
              <w:adjustRightInd w:val="0"/>
              <w:snapToGrid w:val="0"/>
              <w:ind w:left="406" w:leftChars="65" w:hanging="270" w:hangingChars="150"/>
              <w:rPr>
                <w:sz w:val="18"/>
                <w:szCs w:val="18"/>
              </w:rPr>
            </w:pPr>
            <w:r>
              <w:rPr>
                <w:sz w:val="18"/>
                <w:szCs w:val="18"/>
              </w:rPr>
              <w:t>3、一维单、双原子链的振动及色散关系，格波、声子、声子振动态密度概念，固体热容的爱因斯坦模型和德拜模型；</w:t>
            </w:r>
          </w:p>
        </w:tc>
        <w:tc>
          <w:tcPr>
            <w:tcW w:w="853" w:type="pct"/>
            <w:vAlign w:val="center"/>
          </w:tcPr>
          <w:p>
            <w:pPr>
              <w:jc w:val="center"/>
              <w:rPr>
                <w:rFonts w:eastAsiaTheme="minorEastAsia"/>
                <w:sz w:val="18"/>
                <w:szCs w:val="18"/>
              </w:rPr>
            </w:pPr>
            <w:r>
              <w:rPr>
                <w:rFonts w:eastAsiaTheme="minorEastAsia"/>
                <w:sz w:val="18"/>
                <w:szCs w:val="18"/>
              </w:rPr>
              <w:t>0.25</w:t>
            </w:r>
          </w:p>
        </w:tc>
        <w:tc>
          <w:tcPr>
            <w:tcW w:w="907" w:type="pct"/>
            <w:vAlign w:val="center"/>
          </w:tcPr>
          <w:p>
            <w:pPr>
              <w:jc w:val="center"/>
              <w:rPr>
                <w:rFonts w:eastAsiaTheme="minorEastAsia"/>
                <w:b/>
                <w:sz w:val="18"/>
                <w:szCs w:val="18"/>
              </w:rPr>
            </w:pPr>
            <w:r>
              <w:rPr>
                <w:rFonts w:eastAsiaTheme="minorEastAsia"/>
                <w:b/>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adjustRightInd w:val="0"/>
              <w:snapToGrid w:val="0"/>
              <w:ind w:left="406" w:leftChars="65" w:hanging="270" w:hangingChars="150"/>
              <w:rPr>
                <w:sz w:val="18"/>
                <w:szCs w:val="18"/>
              </w:rPr>
            </w:pPr>
            <w:r>
              <w:rPr>
                <w:sz w:val="18"/>
                <w:szCs w:val="18"/>
              </w:rPr>
              <w:t>4、金属自由电子的模型和基态性质，电子气的热容量；</w:t>
            </w:r>
          </w:p>
        </w:tc>
        <w:tc>
          <w:tcPr>
            <w:tcW w:w="853" w:type="pct"/>
            <w:vAlign w:val="center"/>
          </w:tcPr>
          <w:p>
            <w:pPr>
              <w:jc w:val="center"/>
              <w:rPr>
                <w:rFonts w:eastAsiaTheme="minorEastAsia"/>
                <w:sz w:val="18"/>
                <w:szCs w:val="18"/>
              </w:rPr>
            </w:pPr>
            <w:r>
              <w:rPr>
                <w:rFonts w:eastAsiaTheme="minorEastAsia"/>
                <w:sz w:val="18"/>
                <w:szCs w:val="18"/>
              </w:rPr>
              <w:t>0.10</w:t>
            </w:r>
          </w:p>
        </w:tc>
        <w:tc>
          <w:tcPr>
            <w:tcW w:w="907" w:type="pct"/>
            <w:vAlign w:val="center"/>
          </w:tcPr>
          <w:p>
            <w:pPr>
              <w:jc w:val="center"/>
              <w:rPr>
                <w:rFonts w:eastAsiaTheme="minorEastAsia"/>
                <w:b/>
                <w:sz w:val="18"/>
                <w:szCs w:val="18"/>
              </w:rPr>
            </w:pPr>
            <w:r>
              <w:rPr>
                <w:rFonts w:eastAsiaTheme="minorEastAsia"/>
                <w:b/>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adjustRightInd w:val="0"/>
              <w:snapToGrid w:val="0"/>
              <w:ind w:left="406" w:leftChars="65" w:hanging="270" w:hangingChars="150"/>
              <w:rPr>
                <w:sz w:val="18"/>
                <w:szCs w:val="18"/>
              </w:rPr>
            </w:pPr>
            <w:r>
              <w:rPr>
                <w:sz w:val="18"/>
                <w:szCs w:val="18"/>
              </w:rPr>
              <w:t>5、</w:t>
            </w:r>
            <w:r>
              <w:rPr>
                <w:snapToGrid w:val="0"/>
                <w:kern w:val="0"/>
                <w:sz w:val="18"/>
                <w:szCs w:val="18"/>
              </w:rPr>
              <w:t>能带理论—</w:t>
            </w:r>
            <w:r>
              <w:rPr>
                <w:sz w:val="18"/>
                <w:szCs w:val="18"/>
              </w:rPr>
              <w:t>周期势场中电子运动的近自由电子近似方法</w:t>
            </w:r>
            <w:r>
              <w:rPr>
                <w:bCs/>
                <w:snapToGrid w:val="0"/>
                <w:kern w:val="0"/>
                <w:sz w:val="18"/>
                <w:szCs w:val="18"/>
              </w:rPr>
              <w:t>；</w:t>
            </w:r>
          </w:p>
        </w:tc>
        <w:tc>
          <w:tcPr>
            <w:tcW w:w="853" w:type="pct"/>
            <w:vAlign w:val="center"/>
          </w:tcPr>
          <w:p>
            <w:pPr>
              <w:jc w:val="center"/>
              <w:rPr>
                <w:rFonts w:eastAsiaTheme="minorEastAsia"/>
                <w:sz w:val="18"/>
                <w:szCs w:val="18"/>
              </w:rPr>
            </w:pPr>
            <w:r>
              <w:rPr>
                <w:rFonts w:eastAsiaTheme="minorEastAsia"/>
                <w:sz w:val="18"/>
                <w:szCs w:val="18"/>
              </w:rPr>
              <w:t>0.15</w:t>
            </w:r>
          </w:p>
        </w:tc>
        <w:tc>
          <w:tcPr>
            <w:tcW w:w="907" w:type="pct"/>
            <w:vAlign w:val="center"/>
          </w:tcPr>
          <w:p>
            <w:pPr>
              <w:jc w:val="center"/>
              <w:rPr>
                <w:rFonts w:eastAsiaTheme="minorEastAsia"/>
                <w:b/>
                <w:sz w:val="18"/>
                <w:szCs w:val="18"/>
              </w:rPr>
            </w:pPr>
            <w:r>
              <w:rPr>
                <w:rFonts w:eastAsiaTheme="minorEastAsia"/>
                <w:b/>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40" w:type="pct"/>
            <w:vAlign w:val="center"/>
          </w:tcPr>
          <w:p>
            <w:pPr>
              <w:adjustRightInd w:val="0"/>
              <w:snapToGrid w:val="0"/>
              <w:ind w:left="406" w:leftChars="65" w:hanging="270" w:hangingChars="150"/>
              <w:rPr>
                <w:sz w:val="18"/>
                <w:szCs w:val="18"/>
              </w:rPr>
            </w:pPr>
            <w:r>
              <w:rPr>
                <w:sz w:val="18"/>
                <w:szCs w:val="18"/>
              </w:rPr>
              <w:t>6、</w:t>
            </w:r>
            <w:r>
              <w:rPr>
                <w:bCs/>
                <w:snapToGrid w:val="0"/>
                <w:kern w:val="0"/>
                <w:sz w:val="18"/>
                <w:szCs w:val="18"/>
              </w:rPr>
              <w:t>有</w:t>
            </w:r>
            <w:r>
              <w:rPr>
                <w:sz w:val="18"/>
                <w:szCs w:val="18"/>
              </w:rPr>
              <w:t>效质量的物理意义，能带论解释金属、半导体和绝缘体。</w:t>
            </w:r>
          </w:p>
        </w:tc>
        <w:tc>
          <w:tcPr>
            <w:tcW w:w="853" w:type="pct"/>
            <w:vAlign w:val="center"/>
          </w:tcPr>
          <w:p>
            <w:pPr>
              <w:jc w:val="center"/>
              <w:rPr>
                <w:rFonts w:eastAsiaTheme="minorEastAsia"/>
                <w:sz w:val="18"/>
                <w:szCs w:val="18"/>
              </w:rPr>
            </w:pPr>
            <w:r>
              <w:rPr>
                <w:rFonts w:eastAsiaTheme="minorEastAsia"/>
                <w:sz w:val="18"/>
                <w:szCs w:val="18"/>
              </w:rPr>
              <w:t>0.10</w:t>
            </w:r>
          </w:p>
        </w:tc>
        <w:tc>
          <w:tcPr>
            <w:tcW w:w="907" w:type="pct"/>
            <w:vAlign w:val="center"/>
          </w:tcPr>
          <w:p>
            <w:pPr>
              <w:jc w:val="center"/>
              <w:rPr>
                <w:rFonts w:eastAsiaTheme="minorEastAsia"/>
                <w:b/>
                <w:sz w:val="18"/>
                <w:szCs w:val="18"/>
              </w:rPr>
            </w:pPr>
            <w:r>
              <w:rPr>
                <w:rFonts w:eastAsiaTheme="minorEastAsia"/>
                <w:b/>
                <w:sz w:val="18"/>
                <w:szCs w:val="18"/>
              </w:rPr>
              <w:t>2</w:t>
            </w:r>
          </w:p>
        </w:tc>
      </w:tr>
    </w:tbl>
    <w:p>
      <w:pPr>
        <w:spacing w:before="120" w:beforeLines="50" w:line="360" w:lineRule="auto"/>
        <w:ind w:firstLine="420" w:firstLineChars="200"/>
        <w:rPr>
          <w:b/>
          <w:color w:val="000000"/>
          <w:sz w:val="24"/>
          <w:szCs w:val="24"/>
        </w:rPr>
      </w:pPr>
      <w:r>
        <w:rPr>
          <w:rFonts w:hint="eastAsia" w:ascii="宋体" w:hAnsi="宋体" w:cs="宋体"/>
          <w:szCs w:val="21"/>
        </w:rPr>
        <w:t>本课程不可以申请免修。</w:t>
      </w:r>
    </w:p>
    <w:p>
      <w:pPr>
        <w:spacing w:line="360" w:lineRule="auto"/>
        <w:ind w:firstLine="420" w:firstLineChars="200"/>
        <w:rPr>
          <w:szCs w:val="21"/>
        </w:rPr>
        <w:sectPr>
          <w:footerReference r:id="rId23" w:type="default"/>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822"/>
        <w:gridCol w:w="1314"/>
        <w:gridCol w:w="1308"/>
        <w:gridCol w:w="1314"/>
        <w:gridCol w:w="1314"/>
        <w:gridCol w:w="1314"/>
        <w:gridCol w:w="1314"/>
        <w:gridCol w:w="1314"/>
        <w:gridCol w:w="1314"/>
        <w:gridCol w:w="1314"/>
        <w:gridCol w:w="1306"/>
      </w:tblGrid>
      <w:tr>
        <w:tblPrEx>
          <w:tblCellMar>
            <w:top w:w="0" w:type="dxa"/>
            <w:left w:w="108" w:type="dxa"/>
            <w:bottom w:w="0" w:type="dxa"/>
            <w:right w:w="108" w:type="dxa"/>
          </w:tblCellMar>
        </w:tblPrEx>
        <w:trPr>
          <w:trHeight w:val="1015" w:hRule="atLeast"/>
          <w:jc w:val="center"/>
        </w:trPr>
        <w:tc>
          <w:tcPr>
            <w:tcW w:w="295"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课程目标</w:t>
            </w:r>
          </w:p>
        </w:tc>
        <w:tc>
          <w:tcPr>
            <w:tcW w:w="471"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知识面比例</w:t>
            </w:r>
          </w:p>
          <w:p>
            <w:pPr>
              <w:widowControl/>
              <w:adjustRightInd w:val="0"/>
              <w:snapToGrid w:val="0"/>
              <w:jc w:val="center"/>
              <w:rPr>
                <w:kern w:val="0"/>
                <w:sz w:val="18"/>
                <w:szCs w:val="18"/>
              </w:rPr>
            </w:pPr>
            <w:r>
              <w:rPr>
                <w:kern w:val="0"/>
                <w:sz w:val="18"/>
                <w:szCs w:val="18"/>
              </w:rPr>
              <w:t>（本列总和为1）</w:t>
            </w:r>
          </w:p>
          <w:p>
            <w:pPr>
              <w:widowControl/>
              <w:adjustRightInd w:val="0"/>
              <w:snapToGrid w:val="0"/>
              <w:jc w:val="center"/>
              <w:rPr>
                <w:i/>
                <w:kern w:val="0"/>
                <w:sz w:val="18"/>
                <w:szCs w:val="18"/>
              </w:rPr>
            </w:pPr>
            <w:r>
              <w:rPr>
                <w:i/>
                <w:kern w:val="0"/>
                <w:sz w:val="18"/>
                <w:szCs w:val="18"/>
              </w:rPr>
              <w:t>P</w:t>
            </w:r>
            <w:r>
              <w:rPr>
                <w:i/>
                <w:kern w:val="0"/>
                <w:sz w:val="18"/>
                <w:szCs w:val="18"/>
                <w:vertAlign w:val="subscript"/>
              </w:rPr>
              <w:t>i</w:t>
            </w:r>
          </w:p>
        </w:tc>
        <w:tc>
          <w:tcPr>
            <w:tcW w:w="1410" w:type="pct"/>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412" w:type="pct"/>
            <w:gridSpan w:val="3"/>
            <w:tcBorders>
              <w:top w:val="single" w:color="auto" w:sz="4" w:space="0"/>
              <w:left w:val="nil"/>
              <w:bottom w:val="single" w:color="auto" w:sz="4" w:space="0"/>
              <w:right w:val="single" w:color="auto" w:sz="4" w:space="0"/>
            </w:tcBorders>
            <w:vAlign w:val="center"/>
          </w:tcPr>
          <w:p>
            <w:pPr>
              <w:adjustRightInd w:val="0"/>
              <w:snapToGrid w:val="0"/>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12" w:type="pct"/>
            <w:gridSpan w:val="3"/>
            <w:tcBorders>
              <w:top w:val="single" w:color="auto" w:sz="4" w:space="0"/>
              <w:left w:val="nil"/>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各环节课程目标考核权重分布</w:t>
            </w:r>
          </w:p>
          <w:p>
            <w:pPr>
              <w:jc w:val="center"/>
              <w:rPr>
                <w:rFonts w:eastAsiaTheme="minorEastAsia"/>
                <w:sz w:val="18"/>
                <w:szCs w:val="18"/>
              </w:rPr>
            </w:pPr>
            <w:r>
              <w:rPr>
                <w:rFonts w:eastAsiaTheme="minorEastAsia"/>
                <w:sz w:val="18"/>
                <w:szCs w:val="18"/>
              </w:rPr>
              <w:t>（每一列总和为1）</w:t>
            </w:r>
          </w:p>
          <w:p>
            <w:pPr>
              <w:adjustRightInd w:val="0"/>
              <w:snapToGrid w:val="0"/>
              <w:jc w:val="center"/>
              <w:rPr>
                <w:sz w:val="18"/>
                <w:szCs w:val="18"/>
              </w:rPr>
            </w:pPr>
            <w:r>
              <w:rPr>
                <w:rFonts w:eastAsiaTheme="minorEastAsia"/>
                <w:i/>
                <w:sz w:val="18"/>
                <w:szCs w:val="18"/>
              </w:rPr>
              <w:t>E</w:t>
            </w:r>
            <w:r>
              <w:rPr>
                <w:rFonts w:eastAsiaTheme="minorEastAsia"/>
                <w:i/>
                <w:sz w:val="18"/>
                <w:szCs w:val="18"/>
                <w:vertAlign w:val="subscript"/>
              </w:rPr>
              <w:t>ik</w:t>
            </w:r>
            <w:r>
              <w:rPr>
                <w:rFonts w:eastAsiaTheme="minorEastAsia"/>
                <w:i/>
                <w:sz w:val="18"/>
                <w:szCs w:val="18"/>
              </w:rPr>
              <w:t>=S</w:t>
            </w:r>
            <w:r>
              <w:rPr>
                <w:rFonts w:eastAsiaTheme="minorEastAsia"/>
                <w:i/>
                <w:sz w:val="18"/>
                <w:szCs w:val="18"/>
                <w:vertAlign w:val="subscript"/>
              </w:rPr>
              <w:t>ik</w:t>
            </w:r>
            <w:r>
              <w:rPr>
                <w:rFonts w:eastAsiaTheme="minorEastAsia"/>
                <w:i/>
                <w:sz w:val="18"/>
                <w:szCs w:val="18"/>
              </w:rPr>
              <w:t>/M</w:t>
            </w:r>
            <w:r>
              <w:rPr>
                <w:rFonts w:eastAsiaTheme="minorEastAsia"/>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95"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p>
        </w:tc>
        <w:tc>
          <w:tcPr>
            <w:tcW w:w="471"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p>
        </w:tc>
        <w:tc>
          <w:tcPr>
            <w:tcW w:w="469"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课堂</w:t>
            </w:r>
          </w:p>
          <w:p>
            <w:pPr>
              <w:widowControl/>
              <w:adjustRightInd w:val="0"/>
              <w:snapToGrid w:val="0"/>
              <w:jc w:val="center"/>
              <w:rPr>
                <w:kern w:val="0"/>
                <w:sz w:val="18"/>
                <w:szCs w:val="18"/>
              </w:rPr>
            </w:pPr>
            <w:r>
              <w:rPr>
                <w:kern w:val="0"/>
                <w:sz w:val="18"/>
                <w:szCs w:val="18"/>
              </w:rPr>
              <w:t>情况</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作业</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期末</w:t>
            </w:r>
          </w:p>
          <w:p>
            <w:pPr>
              <w:widowControl/>
              <w:adjustRightInd w:val="0"/>
              <w:snapToGrid w:val="0"/>
              <w:jc w:val="center"/>
              <w:rPr>
                <w:kern w:val="0"/>
                <w:sz w:val="18"/>
                <w:szCs w:val="18"/>
              </w:rPr>
            </w:pPr>
            <w:r>
              <w:rPr>
                <w:kern w:val="0"/>
                <w:sz w:val="18"/>
                <w:szCs w:val="18"/>
              </w:rPr>
              <w:t>考试</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课堂</w:t>
            </w:r>
          </w:p>
          <w:p>
            <w:pPr>
              <w:widowControl/>
              <w:adjustRightInd w:val="0"/>
              <w:snapToGrid w:val="0"/>
              <w:jc w:val="center"/>
              <w:rPr>
                <w:kern w:val="0"/>
                <w:sz w:val="18"/>
                <w:szCs w:val="18"/>
              </w:rPr>
            </w:pPr>
            <w:r>
              <w:rPr>
                <w:kern w:val="0"/>
                <w:sz w:val="18"/>
                <w:szCs w:val="18"/>
              </w:rPr>
              <w:t>情况</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作业</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期末</w:t>
            </w:r>
          </w:p>
          <w:p>
            <w:pPr>
              <w:widowControl/>
              <w:adjustRightInd w:val="0"/>
              <w:snapToGrid w:val="0"/>
              <w:jc w:val="center"/>
              <w:rPr>
                <w:kern w:val="0"/>
                <w:sz w:val="18"/>
                <w:szCs w:val="18"/>
              </w:rPr>
            </w:pPr>
            <w:r>
              <w:rPr>
                <w:kern w:val="0"/>
                <w:sz w:val="18"/>
                <w:szCs w:val="18"/>
              </w:rPr>
              <w:t>考试</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课堂</w:t>
            </w:r>
          </w:p>
          <w:p>
            <w:pPr>
              <w:widowControl/>
              <w:adjustRightInd w:val="0"/>
              <w:snapToGrid w:val="0"/>
              <w:jc w:val="center"/>
              <w:rPr>
                <w:kern w:val="0"/>
                <w:sz w:val="18"/>
                <w:szCs w:val="18"/>
              </w:rPr>
            </w:pPr>
            <w:r>
              <w:rPr>
                <w:kern w:val="0"/>
                <w:sz w:val="18"/>
                <w:szCs w:val="18"/>
              </w:rPr>
              <w:t>情况</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作业</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期末</w:t>
            </w:r>
          </w:p>
          <w:p>
            <w:pPr>
              <w:widowControl/>
              <w:adjustRightInd w:val="0"/>
              <w:snapToGrid w:val="0"/>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716" w:hRule="atLeast"/>
          <w:jc w:val="center"/>
        </w:trPr>
        <w:tc>
          <w:tcPr>
            <w:tcW w:w="295" w:type="pct"/>
            <w:tcBorders>
              <w:top w:val="nil"/>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sz w:val="18"/>
                <w:szCs w:val="18"/>
              </w:rPr>
              <w:t>1</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0.6</w:t>
            </w:r>
          </w:p>
        </w:tc>
        <w:tc>
          <w:tcPr>
            <w:tcW w:w="469"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0.1</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0.2</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0.7</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0.06</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0.12</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0.42</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6</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6</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6</w:t>
            </w:r>
          </w:p>
        </w:tc>
      </w:tr>
      <w:tr>
        <w:tblPrEx>
          <w:tblCellMar>
            <w:top w:w="0" w:type="dxa"/>
            <w:left w:w="108" w:type="dxa"/>
            <w:bottom w:w="0" w:type="dxa"/>
            <w:right w:w="108" w:type="dxa"/>
          </w:tblCellMar>
        </w:tblPrEx>
        <w:trPr>
          <w:trHeight w:val="694" w:hRule="atLeast"/>
          <w:jc w:val="center"/>
        </w:trPr>
        <w:tc>
          <w:tcPr>
            <w:tcW w:w="295" w:type="pct"/>
            <w:tcBorders>
              <w:top w:val="nil"/>
              <w:left w:val="single" w:color="auto" w:sz="4" w:space="0"/>
              <w:bottom w:val="single" w:color="auto" w:sz="4" w:space="0"/>
              <w:right w:val="single" w:color="auto" w:sz="4" w:space="0"/>
            </w:tcBorders>
            <w:vAlign w:val="center"/>
          </w:tcPr>
          <w:p>
            <w:pPr>
              <w:adjustRightInd w:val="0"/>
              <w:snapToGrid w:val="0"/>
              <w:jc w:val="center"/>
              <w:rPr>
                <w:kern w:val="0"/>
                <w:sz w:val="18"/>
                <w:szCs w:val="18"/>
              </w:rPr>
            </w:pPr>
            <w:r>
              <w:rPr>
                <w:kern w:val="0"/>
                <w:sz w:val="18"/>
                <w:szCs w:val="18"/>
              </w:rPr>
              <w:t>2</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0.4</w:t>
            </w:r>
          </w:p>
        </w:tc>
        <w:tc>
          <w:tcPr>
            <w:tcW w:w="469"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0.2</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0.1</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0.7</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 xml:space="preserve">0.08 </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0.04</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0.28</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4</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4</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rFonts w:hint="eastAsia"/>
                <w:kern w:val="0"/>
                <w:sz w:val="18"/>
                <w:szCs w:val="18"/>
              </w:rPr>
              <w:t>0.</w:t>
            </w:r>
            <w:r>
              <w:rPr>
                <w:kern w:val="0"/>
                <w:sz w:val="18"/>
                <w:szCs w:val="18"/>
              </w:rPr>
              <w:t>4</w:t>
            </w:r>
          </w:p>
        </w:tc>
      </w:tr>
      <w:tr>
        <w:tblPrEx>
          <w:tblCellMar>
            <w:top w:w="0" w:type="dxa"/>
            <w:left w:w="108" w:type="dxa"/>
            <w:bottom w:w="0" w:type="dxa"/>
            <w:right w:w="108" w:type="dxa"/>
          </w:tblCellMar>
        </w:tblPrEx>
        <w:trPr>
          <w:trHeight w:val="851" w:hRule="atLeast"/>
          <w:jc w:val="center"/>
        </w:trPr>
        <w:tc>
          <w:tcPr>
            <w:tcW w:w="2176" w:type="pct"/>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0.14</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0.16</w:t>
            </w:r>
          </w:p>
        </w:tc>
        <w:tc>
          <w:tcPr>
            <w:tcW w:w="471" w:type="pct"/>
            <w:tcBorders>
              <w:top w:val="nil"/>
              <w:left w:val="nil"/>
              <w:bottom w:val="single" w:color="auto" w:sz="4" w:space="0"/>
              <w:right w:val="single" w:color="auto" w:sz="4" w:space="0"/>
            </w:tcBorders>
            <w:vAlign w:val="center"/>
          </w:tcPr>
          <w:p>
            <w:pPr>
              <w:widowControl/>
              <w:adjustRightInd w:val="0"/>
              <w:snapToGrid w:val="0"/>
              <w:jc w:val="center"/>
              <w:rPr>
                <w:kern w:val="0"/>
                <w:sz w:val="18"/>
                <w:szCs w:val="18"/>
              </w:rPr>
            </w:pPr>
            <w:r>
              <w:rPr>
                <w:kern w:val="0"/>
                <w:sz w:val="18"/>
                <w:szCs w:val="18"/>
              </w:rPr>
              <w:t>0.70</w:t>
            </w:r>
          </w:p>
        </w:tc>
        <w:tc>
          <w:tcPr>
            <w:tcW w:w="1412" w:type="pct"/>
            <w:gridSpan w:val="3"/>
            <w:tcBorders>
              <w:top w:val="nil"/>
              <w:left w:val="nil"/>
              <w:bottom w:val="single" w:color="auto" w:sz="4" w:space="0"/>
              <w:right w:val="single" w:color="auto" w:sz="4" w:space="0"/>
            </w:tcBorders>
            <w:vAlign w:val="center"/>
          </w:tcPr>
          <w:p>
            <w:pPr>
              <w:jc w:val="center"/>
              <w:rPr>
                <w:sz w:val="18"/>
                <w:szCs w:val="18"/>
              </w:rPr>
            </w:pPr>
            <w:r>
              <w:rPr>
                <w:sz w:val="18"/>
                <w:szCs w:val="18"/>
              </w:rPr>
              <w:t>教师出题或布置作业时</w:t>
            </w:r>
          </w:p>
          <w:p>
            <w:pPr>
              <w:widowControl/>
              <w:adjustRightInd w:val="0"/>
              <w:snapToGrid w:val="0"/>
              <w:jc w:val="center"/>
              <w:rPr>
                <w:kern w:val="0"/>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r>
        <w:rPr>
          <w:rFonts w:hint="eastAsia"/>
          <w:szCs w:val="21"/>
        </w:rPr>
        <w:t>采用达成值计算法，辅以对学生的问卷调查法。</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下表进行计算。大于0.60为达成。</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072" o:spt="75" type="#_x0000_t75" style="height:36pt;width:166.5pt;" o:ole="t" filled="f" o:preferrelative="t" stroked="f" coordsize="21600,21600">
            <v:path/>
            <v:fill on="f" focussize="0,0"/>
            <v:stroke on="f" joinstyle="miter"/>
            <v:imagedata r:id="rId201" o:title=""/>
            <o:lock v:ext="edit" aspectratio="t"/>
            <w10:wrap type="none"/>
            <w10:anchorlock/>
          </v:shape>
          <o:OLEObject Type="Embed" ProgID="Equation.3" ShapeID="_x0000_i1072" DrawAspect="Content" ObjectID="_1468075772" r:id="rId230">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073"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73" DrawAspect="Content" ObjectID="_1468075773" r:id="rId231">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074" o:spt="75" type="#_x0000_t75" style="height:18pt;width:13.5pt;" o:ole="t" filled="f" o:preferrelative="t" stroked="f" coordsize="21600,21600">
            <v:path/>
            <v:fill on="f" focussize="0,0"/>
            <v:stroke on="f" joinstyle="miter"/>
            <v:imagedata r:id="rId205" o:title=""/>
            <o:lock v:ext="edit" aspectratio="t"/>
            <w10:wrap type="none"/>
            <w10:anchorlock/>
          </v:shape>
          <o:OLEObject Type="Embed" ProgID="Equation.3" ShapeID="_x0000_i1074" DrawAspect="Content" ObjectID="_1468075774" r:id="rId232">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075" o:spt="75" type="#_x0000_t75" style="height:18pt;width:73.55pt;" o:ole="t" filled="f" o:preferrelative="t" stroked="f" coordsize="21600,21600">
            <v:path/>
            <v:fill on="f" focussize="0,0"/>
            <v:stroke on="f" joinstyle="miter"/>
            <v:imagedata r:id="rId207" o:title=""/>
            <o:lock v:ext="edit" aspectratio="t"/>
            <w10:wrap type="none"/>
            <w10:anchorlock/>
          </v:shape>
          <o:OLEObject Type="Embed" ProgID="Equation.3" ShapeID="_x0000_i1075" DrawAspect="Content" ObjectID="_1468075775" r:id="rId233">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076" o:spt="75" type="#_x0000_t75" style="height:18pt;width:17.25pt;" o:ole="t" filled="f" o:preferrelative="t" stroked="f" coordsize="21600,21600">
            <v:path/>
            <v:fill on="f" focussize="0,0"/>
            <v:stroke on="f" joinstyle="miter"/>
            <v:imagedata r:id="rId209" o:title=""/>
            <o:lock v:ext="edit" aspectratio="t"/>
            <w10:wrap type="none"/>
            <w10:anchorlock/>
          </v:shape>
          <o:OLEObject Type="Embed" ProgID="Equation.3" ShapeID="_x0000_i1076" DrawAspect="Content" ObjectID="_1468075776" r:id="rId234">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077" o:spt="75" type="#_x0000_t75" style="height:18pt;width:12pt;" o:ole="t" filled="f" o:preferrelative="t" stroked="f" coordsize="21600,21600">
            <v:path/>
            <v:fill on="f" focussize="0,0"/>
            <v:stroke on="f" joinstyle="miter"/>
            <v:imagedata r:id="rId211" o:title=""/>
            <o:lock v:ext="edit" aspectratio="t"/>
            <w10:wrap type="none"/>
            <w10:anchorlock/>
          </v:shape>
          <o:OLEObject Type="Embed" ProgID="Equation.3" ShapeID="_x0000_i1077" DrawAspect="Content" ObjectID="_1468075777" r:id="rId235">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spacing w:line="360" w:lineRule="auto"/>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本课程允许教师在各评价环节根据具体情况采取多样化、个性化的考核手段，其评价标准应当在《授课计划》中明确并向学生公布，教学过程中的考核评价应当严格按照标准完成。</w:t>
      </w:r>
    </w:p>
    <w:p>
      <w:pPr>
        <w:tabs>
          <w:tab w:val="left" w:pos="420"/>
        </w:tabs>
        <w:adjustRightInd w:val="0"/>
        <w:snapToGrid w:val="0"/>
        <w:spacing w:line="360" w:lineRule="auto"/>
        <w:ind w:left="420" w:hanging="420"/>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pPr>
      <w:r>
        <w:rPr>
          <w:rFonts w:hint="eastAsia"/>
          <w:szCs w:val="21"/>
        </w:rPr>
        <w:t>针对课程目标达成评价中发现的问题与不足，在本次授课总结中应由授课教师分析具体原因，并给出改进建议。后续任课教师应当针对以前的问题和建议，在授课计划中做好落实改进计划，并在授课过程中予以落实。</w:t>
      </w:r>
    </w:p>
    <w:p>
      <w:pPr>
        <w:widowControl/>
        <w:jc w:val="left"/>
        <w:rPr>
          <w:szCs w:val="21"/>
        </w:rPr>
      </w:pPr>
      <w:r>
        <w:rPr>
          <w:szCs w:val="21"/>
        </w:rPr>
        <w:br w:type="page"/>
      </w:r>
    </w:p>
    <w:p>
      <w:pPr>
        <w:pStyle w:val="20"/>
        <w:spacing w:before="240" w:after="360"/>
      </w:pPr>
      <w:bookmarkStart w:id="172" w:name="_Toc5626"/>
      <w:bookmarkStart w:id="173" w:name="_Toc46996562"/>
      <w:r>
        <w:rPr>
          <w:rFonts w:hint="eastAsia"/>
        </w:rPr>
        <w:t>《</w:t>
      </w:r>
      <w:r>
        <w:t>Y03060003-</w:t>
      </w:r>
      <w:r>
        <w:rPr>
          <w:rFonts w:hint="eastAsia"/>
        </w:rPr>
        <w:t>微机原理及接口技术》教学大纲</w:t>
      </w:r>
      <w:bookmarkEnd w:id="172"/>
      <w:bookmarkEnd w:id="173"/>
    </w:p>
    <w:p>
      <w:pPr>
        <w:adjustRightInd w:val="0"/>
        <w:snapToGrid w:val="0"/>
        <w:spacing w:line="360" w:lineRule="auto"/>
        <w:rPr>
          <w:bCs/>
          <w:kern w:val="0"/>
        </w:rPr>
      </w:pPr>
      <w:r>
        <w:rPr>
          <w:rFonts w:hint="eastAsia" w:eastAsia="黑体"/>
          <w:szCs w:val="21"/>
        </w:rPr>
        <w:t>课程编号：</w:t>
      </w:r>
      <w:r>
        <w:rPr>
          <w:bCs/>
          <w:kern w:val="0"/>
        </w:rPr>
        <w:t>Y03060003</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微机原理及接口技术</w:t>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56 (</w:t>
      </w:r>
      <w:r>
        <w:rPr>
          <w:rFonts w:hint="eastAsia"/>
          <w:szCs w:val="21"/>
        </w:rPr>
        <w:t>实验</w:t>
      </w:r>
      <w:r>
        <w:rPr>
          <w:szCs w:val="21"/>
        </w:rPr>
        <w:t>10</w:t>
      </w:r>
      <w:r>
        <w:rPr>
          <w:rFonts w:hint="eastAsia"/>
          <w:szCs w:val="21"/>
        </w:rPr>
        <w:t>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3.5</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电路原理、模拟电子技术、数字电子技术</w:t>
      </w:r>
    </w:p>
    <w:p>
      <w:pPr>
        <w:adjustRightInd w:val="0"/>
        <w:snapToGrid w:val="0"/>
        <w:spacing w:line="360" w:lineRule="auto"/>
        <w:rPr>
          <w:szCs w:val="21"/>
        </w:rPr>
      </w:pPr>
      <w:r>
        <w:rPr>
          <w:rFonts w:hint="eastAsia" w:eastAsia="黑体"/>
          <w:szCs w:val="21"/>
        </w:rPr>
        <w:t>大纲撰写人：</w:t>
      </w:r>
      <w:r>
        <w:rPr>
          <w:rFonts w:hint="eastAsia"/>
          <w:szCs w:val="21"/>
        </w:rPr>
        <w:t>赵冬青</w:t>
      </w:r>
    </w:p>
    <w:p>
      <w:pPr>
        <w:adjustRightInd w:val="0"/>
        <w:snapToGrid w:val="0"/>
        <w:spacing w:line="360" w:lineRule="auto"/>
        <w:rPr>
          <w:szCs w:val="21"/>
        </w:rPr>
      </w:pPr>
      <w:r>
        <w:rPr>
          <w:rFonts w:hint="eastAsia" w:eastAsia="黑体"/>
          <w:szCs w:val="21"/>
        </w:rPr>
        <w:t>大纲编写（修订）时间：</w:t>
      </w:r>
      <w:r>
        <w:rPr>
          <w:rFonts w:eastAsiaTheme="minorEastAsia"/>
          <w:szCs w:val="21"/>
        </w:rPr>
        <w:t>2019年5月</w:t>
      </w:r>
    </w:p>
    <w:p>
      <w:pPr>
        <w:rPr>
          <w:b/>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spacing w:line="360" w:lineRule="auto"/>
        <w:ind w:firstLine="420" w:firstLineChars="200"/>
        <w:rPr>
          <w:szCs w:val="21"/>
        </w:rPr>
      </w:pPr>
      <w:r>
        <w:rPr>
          <w:rFonts w:hint="eastAsia"/>
          <w:szCs w:val="21"/>
        </w:rPr>
        <w:t>《微机原理与接口技术》是工科专业中非常重要的一门专业技术基础课程，也是学生学习计算机硬件结构、工作原理和汇编语言程序设计的入门课程。通过本门课程的学习使学生从应用的角度了解计算机的基本原理、基本组成、接口技术及硬件连接和汇编语言编程方法，培养学生具有进行微机系统软件和硬件设计、开发的基本能力，同时为后续计算机相关课程的学习奠定扎实的基础。</w:t>
      </w:r>
    </w:p>
    <w:p>
      <w:pPr>
        <w:spacing w:line="360" w:lineRule="auto"/>
        <w:ind w:firstLine="420" w:firstLineChars="200"/>
        <w:rPr>
          <w:szCs w:val="21"/>
        </w:rPr>
      </w:pPr>
    </w:p>
    <w:p>
      <w:pPr>
        <w:tabs>
          <w:tab w:val="left" w:pos="420"/>
        </w:tabs>
        <w:adjustRightInd w:val="0"/>
        <w:snapToGrid w:val="0"/>
        <w:spacing w:line="360" w:lineRule="auto"/>
        <w:ind w:left="420" w:hanging="420"/>
        <w:rPr>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785"/>
        <w:gridCol w:w="3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277"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356"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277" w:type="pct"/>
          </w:tcPr>
          <w:p>
            <w:pPr>
              <w:adjustRightInd w:val="0"/>
              <w:snapToGrid w:val="0"/>
              <w:spacing w:line="360" w:lineRule="auto"/>
              <w:rPr>
                <w:rFonts w:ascii="宋体" w:hAnsi="宋体"/>
                <w:sz w:val="18"/>
                <w:szCs w:val="18"/>
              </w:rPr>
            </w:pPr>
            <w:r>
              <w:rPr>
                <w:rFonts w:hint="eastAsia" w:ascii="宋体" w:hAnsi="宋体"/>
                <w:sz w:val="18"/>
                <w:szCs w:val="18"/>
              </w:rPr>
              <w:t>掌握微型计算机的硬件结构、工作原理、汇编语言程序结构、编程方法及相关专业术语。</w:t>
            </w:r>
          </w:p>
          <w:p>
            <w:pPr>
              <w:adjustRightInd w:val="0"/>
              <w:snapToGrid w:val="0"/>
              <w:spacing w:line="360" w:lineRule="auto"/>
              <w:jc w:val="right"/>
              <w:rPr>
                <w:rFonts w:ascii="宋体" w:hAnsi="宋体"/>
                <w:sz w:val="18"/>
                <w:szCs w:val="18"/>
              </w:rPr>
            </w:pPr>
          </w:p>
        </w:tc>
        <w:tc>
          <w:tcPr>
            <w:tcW w:w="2356" w:type="pct"/>
          </w:tcPr>
          <w:p>
            <w:pPr>
              <w:adjustRightInd w:val="0"/>
              <w:snapToGrid w:val="0"/>
              <w:spacing w:line="360" w:lineRule="auto"/>
              <w:rPr>
                <w:rFonts w:ascii="宋体" w:hAnsi="宋体"/>
                <w:sz w:val="18"/>
                <w:szCs w:val="18"/>
              </w:rPr>
            </w:pPr>
            <w:r>
              <w:rPr>
                <w:rFonts w:hint="eastAsia" w:ascii="宋体" w:hAnsi="宋体"/>
                <w:b/>
                <w:bCs/>
                <w:sz w:val="18"/>
                <w:szCs w:val="18"/>
              </w:rPr>
              <w:t>指标点1-1 知识体系</w:t>
            </w:r>
            <w:r>
              <w:rPr>
                <w:rFonts w:hint="eastAsia" w:ascii="宋体" w:hAnsi="宋体"/>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277" w:type="pct"/>
          </w:tcPr>
          <w:p>
            <w:pPr>
              <w:adjustRightInd w:val="0"/>
              <w:snapToGrid w:val="0"/>
              <w:spacing w:line="360" w:lineRule="auto"/>
              <w:rPr>
                <w:rFonts w:ascii="宋体" w:hAnsi="宋体"/>
                <w:sz w:val="18"/>
                <w:szCs w:val="18"/>
              </w:rPr>
            </w:pPr>
            <w:r>
              <w:rPr>
                <w:rFonts w:hint="eastAsia" w:ascii="宋体" w:hAnsi="宋体"/>
                <w:sz w:val="18"/>
                <w:szCs w:val="18"/>
              </w:rPr>
              <w:t>通过学习微机系统的一般设计方法，能够针对特定工程问题设计解决方案，具有将微机系统用于解决工程问题的能力。</w:t>
            </w:r>
          </w:p>
        </w:tc>
        <w:tc>
          <w:tcPr>
            <w:tcW w:w="2356" w:type="pct"/>
          </w:tcPr>
          <w:p>
            <w:pPr>
              <w:adjustRightInd w:val="0"/>
              <w:snapToGrid w:val="0"/>
              <w:spacing w:line="360" w:lineRule="auto"/>
              <w:rPr>
                <w:rFonts w:ascii="宋体" w:hAnsi="宋体"/>
                <w:sz w:val="18"/>
                <w:szCs w:val="18"/>
              </w:rPr>
            </w:pPr>
            <w:r>
              <w:rPr>
                <w:rFonts w:hint="eastAsia" w:ascii="宋体" w:hAnsi="宋体"/>
                <w:b/>
                <w:bCs/>
                <w:sz w:val="18"/>
                <w:szCs w:val="18"/>
              </w:rPr>
              <w:t>指标点1-2 知识运用能力</w:t>
            </w:r>
            <w:r>
              <w:rPr>
                <w:rFonts w:hint="eastAsia" w:ascii="宋体" w:hAnsi="宋体"/>
                <w:sz w:val="18"/>
                <w:szCs w:val="18"/>
              </w:rPr>
              <w:t>：</w:t>
            </w:r>
            <w:r>
              <w:rPr>
                <w:rFonts w:hint="eastAsia" w:ascii="宋体" w:hAnsi="宋体"/>
                <w:kern w:val="0"/>
                <w:sz w:val="18"/>
                <w:szCs w:val="18"/>
              </w:rPr>
              <w:t>能将基础知识恰当地运用到电子科学与技术专业</w:t>
            </w:r>
            <w:r>
              <w:rPr>
                <w:rFonts w:hint="eastAsia" w:ascii="宋体" w:hAnsi="宋体"/>
                <w:sz w:val="18"/>
                <w:szCs w:val="18"/>
              </w:rPr>
              <w:t>电路系统、物联网及现场总线等</w:t>
            </w:r>
            <w:r>
              <w:rPr>
                <w:rFonts w:hint="eastAsia" w:ascii="宋体" w:hAnsi="宋体"/>
                <w:kern w:val="0"/>
                <w:sz w:val="18"/>
                <w:szCs w:val="18"/>
              </w:rPr>
              <w:t>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3</w:t>
            </w:r>
          </w:p>
        </w:tc>
        <w:tc>
          <w:tcPr>
            <w:tcW w:w="2277" w:type="pct"/>
          </w:tcPr>
          <w:p>
            <w:pPr>
              <w:adjustRightInd w:val="0"/>
              <w:snapToGrid w:val="0"/>
              <w:spacing w:line="360" w:lineRule="auto"/>
              <w:rPr>
                <w:rFonts w:ascii="宋体" w:hAnsi="宋体"/>
                <w:sz w:val="18"/>
                <w:szCs w:val="18"/>
              </w:rPr>
            </w:pPr>
            <w:r>
              <w:rPr>
                <w:rFonts w:hint="eastAsia" w:ascii="宋体" w:hAnsi="宋体"/>
                <w:sz w:val="18"/>
                <w:szCs w:val="18"/>
              </w:rPr>
              <w:t>能够理解以微型计算机系统为核心的现代化仪器、设备的工作原理；针对复杂工程问题，设计以微机系统为核心的系统解决方案，并对具体工程实践应用进行优化。</w:t>
            </w:r>
          </w:p>
        </w:tc>
        <w:tc>
          <w:tcPr>
            <w:tcW w:w="2356" w:type="pct"/>
          </w:tcPr>
          <w:p>
            <w:pPr>
              <w:adjustRightInd w:val="0"/>
              <w:snapToGrid w:val="0"/>
              <w:spacing w:line="360" w:lineRule="auto"/>
              <w:rPr>
                <w:rFonts w:ascii="宋体" w:hAnsi="宋体"/>
                <w:sz w:val="18"/>
                <w:szCs w:val="18"/>
              </w:rPr>
            </w:pPr>
            <w:r>
              <w:rPr>
                <w:rFonts w:hint="eastAsia" w:ascii="宋体" w:hAnsi="宋体"/>
                <w:b/>
                <w:bCs/>
                <w:sz w:val="18"/>
                <w:szCs w:val="18"/>
              </w:rPr>
              <w:t>指标点3-1 按需设计</w:t>
            </w:r>
            <w:r>
              <w:rPr>
                <w:rFonts w:hint="eastAsia" w:ascii="宋体" w:hAnsi="宋体"/>
                <w:sz w:val="18"/>
                <w:szCs w:val="18"/>
              </w:rPr>
              <w:t>：</w:t>
            </w:r>
            <w:r>
              <w:rPr>
                <w:rFonts w:hint="eastAsia" w:ascii="宋体" w:hAnsi="宋体"/>
                <w:kern w:val="0"/>
                <w:sz w:val="18"/>
                <w:szCs w:val="18"/>
              </w:rPr>
              <w:t>能够根据用户特定需求设计复杂工程问题的解决方案，设计相关的电路系统</w:t>
            </w:r>
            <w:r>
              <w:rPr>
                <w:rFonts w:hint="eastAsia" w:ascii="宋体" w:hAnsi="宋体"/>
                <w:sz w:val="18"/>
                <w:szCs w:val="18"/>
              </w:rPr>
              <w:t>及</w:t>
            </w:r>
            <w:r>
              <w:rPr>
                <w:rFonts w:hint="eastAsia" w:ascii="宋体" w:hAnsi="宋体"/>
                <w:kern w:val="0"/>
                <w:sz w:val="18"/>
                <w:szCs w:val="18"/>
              </w:rPr>
              <w:t>工艺流程，并能够针对方案进行优化选择。</w:t>
            </w:r>
          </w:p>
        </w:tc>
      </w:tr>
    </w:tbl>
    <w:p>
      <w:pPr>
        <w:spacing w:line="360" w:lineRule="auto"/>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通过本课程，学生能够了解中国微处理器技术的发展历程以及和国外的差距，重点培养学生社会主义核心价值观中的爱国情怀和责任意识。</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1、本课程为专业技术基础课，要求先修电路原理、模拟电子技术、数字电子技术课程。</w:t>
      </w:r>
    </w:p>
    <w:p>
      <w:pPr>
        <w:spacing w:line="360" w:lineRule="auto"/>
        <w:ind w:firstLine="420" w:firstLineChars="200"/>
        <w:rPr>
          <w:szCs w:val="21"/>
        </w:rPr>
      </w:pPr>
      <w:r>
        <w:rPr>
          <w:rFonts w:hint="eastAsia"/>
          <w:szCs w:val="21"/>
        </w:rPr>
        <w:t>2、针对本门课程内容繁杂、知识点多的特点，在教学中应注重基础知识、基本概念和系统设计思维方法的传授。</w:t>
      </w:r>
    </w:p>
    <w:p>
      <w:pPr>
        <w:spacing w:line="360" w:lineRule="auto"/>
        <w:ind w:firstLine="420" w:firstLineChars="200"/>
        <w:rPr>
          <w:szCs w:val="21"/>
        </w:rPr>
      </w:pPr>
      <w:r>
        <w:rPr>
          <w:rFonts w:hint="eastAsia"/>
          <w:szCs w:val="21"/>
        </w:rPr>
        <w:t>3、要求在每次课上对上次课所讲的知识点进行概括和总结，加深学生对知识点的学习和巩固；本课程是一门实践性很强的课程，要求教学和实验环节交替进行，通过实验环节把所学的内容巩固和学习。</w:t>
      </w:r>
    </w:p>
    <w:p>
      <w:pPr>
        <w:spacing w:line="360" w:lineRule="auto"/>
        <w:ind w:firstLine="420" w:firstLineChars="200"/>
        <w:rPr>
          <w:szCs w:val="21"/>
        </w:rPr>
      </w:pPr>
      <w:r>
        <w:rPr>
          <w:rFonts w:hint="eastAsia"/>
          <w:szCs w:val="21"/>
        </w:rPr>
        <w:t>4、深度和广度说明：以8086/8088微处理器为主，对微处理器的内部编程结构、外部引脚等硬件相关内容进行详细讲解，结合计算机操作系统启动过程及应用程序启动执行过程，充分说明微型计算机的工作原理与工作过程；综合外部接口设计、中断管理、指令系统进行讲解，建立系统设计的整体概念。为了提高学生的学习兴趣，并取得良好的教学效果，教师在知识讲解的过程中要充分利用问题引导、案例分析等多种教学方法，以进一步提高教学质量。</w:t>
      </w:r>
    </w:p>
    <w:p>
      <w:pPr>
        <w:spacing w:line="360" w:lineRule="auto"/>
        <w:ind w:firstLine="420" w:firstLineChars="200"/>
        <w:rPr>
          <w:color w:val="FF0000"/>
          <w:szCs w:val="21"/>
        </w:rPr>
      </w:pPr>
      <w:r>
        <w:rPr>
          <w:rFonts w:hint="eastAsia"/>
          <w:szCs w:val="21"/>
        </w:rPr>
        <w:t>5、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rFonts w:hint="eastAsia"/>
          <w:szCs w:val="21"/>
        </w:rPr>
        <w:t>本课程重点讲授的内容包括：现代EDA技术及其设计方法、可编程器件的基本原理及其分类与选用原则、相关电路设计方法、集成开发环境使用方法、至少1种硬件描述语言的语法规则及编程方法、时序仿真方法；典型逻辑电路的设计包括：组合逻辑电路、时序逻辑电路、等间隔状态控制、状态机以及较为复杂的时序逻辑控制设计等。</w:t>
      </w:r>
    </w:p>
    <w:p>
      <w:pPr>
        <w:spacing w:line="360" w:lineRule="auto"/>
        <w:ind w:firstLine="420" w:firstLineChars="200"/>
        <w:rPr>
          <w:szCs w:val="21"/>
        </w:rPr>
      </w:pPr>
      <w:r>
        <w:rPr>
          <w:szCs w:val="21"/>
        </w:rPr>
        <w:t>（此处详细列举本课程用到的手段，注意一定要与课程匹配！）</w:t>
      </w:r>
    </w:p>
    <w:p>
      <w:pPr>
        <w:spacing w:line="360" w:lineRule="auto"/>
        <w:ind w:firstLine="420" w:firstLineChars="200"/>
        <w:rPr>
          <w:szCs w:val="21"/>
        </w:rPr>
      </w:pPr>
      <w:r>
        <w:rPr>
          <w:szCs w:val="21"/>
        </w:rPr>
        <w:t>本课程在教学方法上，充分利用各种媒体教学手段，采取课堂教学、多媒体课件、验证性实验、课外分组实验方式有机结合，提高教学效率。（要根据实际需要适当修改，可以具体到采用什么MOOC，如何置换成绩，等等。）</w:t>
      </w:r>
    </w:p>
    <w:p>
      <w:pPr>
        <w:spacing w:line="360" w:lineRule="auto"/>
        <w:ind w:firstLine="420" w:firstLineChars="200"/>
        <w:rPr>
          <w:szCs w:val="21"/>
        </w:rPr>
      </w:pPr>
      <w:r>
        <w:rPr>
          <w:szCs w:val="21"/>
        </w:rPr>
        <w:t>硬件描述语言（VHDL）在数字逻辑系统设计、集成电路设计中占有非常重要的地位，因此教师要重点讲授以使学生完全掌握。</w:t>
      </w:r>
    </w:p>
    <w:p>
      <w:pPr>
        <w:spacing w:line="360" w:lineRule="auto"/>
        <w:ind w:firstLine="420" w:firstLineChars="200"/>
        <w:rPr>
          <w:szCs w:val="21"/>
        </w:rPr>
      </w:pPr>
      <w:r>
        <w:rPr>
          <w:szCs w:val="21"/>
        </w:rPr>
        <w:t>为了提高学生的学习兴趣，并取得良好的教学效果，教师在知识讲解的过程中要充分利用问题引导、案例分析等多种教学方法，以进一步提高教学质量。</w:t>
      </w:r>
    </w:p>
    <w:p>
      <w:pPr>
        <w:spacing w:line="360" w:lineRule="auto"/>
        <w:ind w:firstLine="420" w:firstLineChars="200"/>
        <w:rPr>
          <w:szCs w:val="21"/>
        </w:rPr>
      </w:pPr>
      <w:r>
        <w:rPr>
          <w:szCs w:val="21"/>
        </w:rPr>
        <w:t>本课程重点讲授的内容包括：</w:t>
      </w:r>
      <w:r>
        <w:rPr>
          <w:rFonts w:hint="eastAsia"/>
          <w:szCs w:val="21"/>
        </w:rPr>
        <w:t>微处理器</w:t>
      </w:r>
      <w:r>
        <w:rPr>
          <w:szCs w:val="21"/>
        </w:rPr>
        <w:t>的内部</w:t>
      </w:r>
      <w:r>
        <w:rPr>
          <w:rFonts w:hint="eastAsia"/>
          <w:szCs w:val="21"/>
        </w:rPr>
        <w:t>编程</w:t>
      </w:r>
      <w:r>
        <w:rPr>
          <w:szCs w:val="21"/>
        </w:rPr>
        <w:t>结构、外部引脚、指令系统、中断系统、汇编语言程序设计、接口设计等。</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1</w:t>
      </w:r>
      <w:r>
        <w:rPr>
          <w:rFonts w:hint="eastAsia" w:eastAsia="黑体" w:cs="宋体"/>
          <w:snapToGrid w:val="0"/>
          <w:kern w:val="0"/>
          <w:szCs w:val="21"/>
        </w:rPr>
        <w:t>计算机系统概述（</w:t>
      </w:r>
      <w:r>
        <w:rPr>
          <w:rFonts w:eastAsia="黑体" w:cs="宋体"/>
          <w:snapToGrid w:val="0"/>
          <w:kern w:val="0"/>
          <w:szCs w:val="21"/>
        </w:rPr>
        <w:t>2</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1.1</w:t>
      </w:r>
      <w:r>
        <w:rPr>
          <w:rFonts w:hint="eastAsia" w:cs="宋体"/>
          <w:snapToGrid w:val="0"/>
          <w:kern w:val="0"/>
          <w:szCs w:val="21"/>
        </w:rPr>
        <w:t>、计算机及微型机的发展、分类、性能指标；</w:t>
      </w:r>
    </w:p>
    <w:p>
      <w:pPr>
        <w:widowControl/>
        <w:adjustRightInd w:val="0"/>
        <w:snapToGrid w:val="0"/>
        <w:spacing w:line="360" w:lineRule="auto"/>
        <w:ind w:left="426"/>
        <w:jc w:val="left"/>
        <w:rPr>
          <w:rFonts w:cs="宋体"/>
          <w:b/>
          <w:bCs/>
          <w:snapToGrid w:val="0"/>
          <w:kern w:val="0"/>
          <w:szCs w:val="21"/>
        </w:rPr>
      </w:pPr>
      <w:r>
        <w:rPr>
          <w:rFonts w:hint="eastAsia" w:cs="宋体"/>
          <w:b/>
          <w:bCs/>
          <w:snapToGrid w:val="0"/>
          <w:kern w:val="0"/>
          <w:szCs w:val="21"/>
        </w:rPr>
        <w:t>思政要素：中国处理器技术的发展与现状，优势与差距。培养学生责任意识，激发学生爱国情怀。</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1.2</w:t>
      </w:r>
      <w:r>
        <w:rPr>
          <w:rFonts w:hint="eastAsia" w:cs="宋体"/>
          <w:snapToGrid w:val="0"/>
          <w:kern w:val="0"/>
          <w:szCs w:val="21"/>
        </w:rPr>
        <w:t>、计算机的构成体系和计算机的层次结构。</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28086/8088</w:t>
      </w:r>
      <w:r>
        <w:rPr>
          <w:rFonts w:hint="eastAsia" w:eastAsia="黑体" w:cs="宋体"/>
          <w:snapToGrid w:val="0"/>
          <w:kern w:val="0"/>
          <w:szCs w:val="21"/>
        </w:rPr>
        <w:t>微处理器结构（</w:t>
      </w:r>
      <w:r>
        <w:rPr>
          <w:rFonts w:eastAsia="黑体" w:cs="宋体"/>
          <w:snapToGrid w:val="0"/>
          <w:kern w:val="0"/>
          <w:szCs w:val="21"/>
        </w:rPr>
        <w:t>4</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2.1</w:t>
      </w:r>
      <w:r>
        <w:rPr>
          <w:rFonts w:hint="eastAsia" w:cs="宋体"/>
          <w:snapToGrid w:val="0"/>
          <w:kern w:val="0"/>
          <w:szCs w:val="21"/>
        </w:rPr>
        <w:t>、</w:t>
      </w:r>
      <w:r>
        <w:rPr>
          <w:rFonts w:cs="宋体"/>
          <w:snapToGrid w:val="0"/>
          <w:kern w:val="0"/>
          <w:szCs w:val="21"/>
        </w:rPr>
        <w:t>8086/8088CPU</w:t>
      </w:r>
      <w:r>
        <w:rPr>
          <w:rFonts w:hint="eastAsia" w:cs="宋体"/>
          <w:snapToGrid w:val="0"/>
          <w:kern w:val="0"/>
          <w:szCs w:val="21"/>
        </w:rPr>
        <w:t>的内部结构；（难点）</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2.2</w:t>
      </w:r>
      <w:r>
        <w:rPr>
          <w:rFonts w:hint="eastAsia" w:cs="宋体"/>
          <w:snapToGrid w:val="0"/>
          <w:kern w:val="0"/>
          <w:szCs w:val="21"/>
        </w:rPr>
        <w:t>、</w:t>
      </w:r>
      <w:r>
        <w:rPr>
          <w:rFonts w:cs="宋体"/>
          <w:snapToGrid w:val="0"/>
          <w:kern w:val="0"/>
          <w:szCs w:val="21"/>
        </w:rPr>
        <w:t>8086/8088CPU</w:t>
      </w:r>
      <w:r>
        <w:rPr>
          <w:rFonts w:hint="eastAsia" w:cs="宋体"/>
          <w:snapToGrid w:val="0"/>
          <w:kern w:val="0"/>
          <w:szCs w:val="21"/>
        </w:rPr>
        <w:t>的工作方式及外部引脚；（重点）</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2.3</w:t>
      </w:r>
      <w:r>
        <w:rPr>
          <w:rFonts w:hint="eastAsia" w:cs="宋体"/>
          <w:snapToGrid w:val="0"/>
          <w:kern w:val="0"/>
          <w:szCs w:val="21"/>
        </w:rPr>
        <w:t>、</w:t>
      </w:r>
      <w:r>
        <w:rPr>
          <w:rFonts w:cs="宋体"/>
          <w:snapToGrid w:val="0"/>
          <w:kern w:val="0"/>
          <w:szCs w:val="21"/>
        </w:rPr>
        <w:t>8086/8088CPU</w:t>
      </w:r>
      <w:r>
        <w:rPr>
          <w:rFonts w:hint="eastAsia" w:cs="宋体"/>
          <w:snapToGrid w:val="0"/>
          <w:kern w:val="0"/>
          <w:szCs w:val="21"/>
        </w:rPr>
        <w:t>的时序及总线操作。</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38086/8088</w:t>
      </w:r>
      <w:r>
        <w:rPr>
          <w:rFonts w:hint="eastAsia" w:eastAsia="黑体" w:cs="宋体"/>
          <w:snapToGrid w:val="0"/>
          <w:kern w:val="0"/>
          <w:szCs w:val="21"/>
        </w:rPr>
        <w:t>指令系统（</w:t>
      </w:r>
      <w:r>
        <w:rPr>
          <w:rFonts w:eastAsia="黑体" w:cs="宋体"/>
          <w:snapToGrid w:val="0"/>
          <w:kern w:val="0"/>
          <w:szCs w:val="21"/>
        </w:rPr>
        <w:t>12</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3.</w:t>
      </w:r>
      <w:r>
        <w:rPr>
          <w:rFonts w:hint="eastAsia" w:cs="宋体"/>
          <w:snapToGrid w:val="0"/>
          <w:kern w:val="0"/>
          <w:szCs w:val="21"/>
        </w:rPr>
        <w:t>1、</w:t>
      </w:r>
      <w:r>
        <w:rPr>
          <w:rFonts w:cs="宋体"/>
          <w:snapToGrid w:val="0"/>
          <w:kern w:val="0"/>
          <w:szCs w:val="21"/>
        </w:rPr>
        <w:t>8086/8088</w:t>
      </w:r>
      <w:r>
        <w:rPr>
          <w:rFonts w:hint="eastAsia" w:cs="宋体"/>
          <w:snapToGrid w:val="0"/>
          <w:kern w:val="0"/>
          <w:szCs w:val="21"/>
        </w:rPr>
        <w:t>指令寻址方式；</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3.2、</w:t>
      </w:r>
      <w:r>
        <w:rPr>
          <w:rFonts w:cs="宋体"/>
          <w:snapToGrid w:val="0"/>
          <w:kern w:val="0"/>
          <w:szCs w:val="21"/>
        </w:rPr>
        <w:t>8086/8088</w:t>
      </w:r>
      <w:r>
        <w:rPr>
          <w:rFonts w:hint="eastAsia" w:cs="宋体"/>
          <w:snapToGrid w:val="0"/>
          <w:kern w:val="0"/>
          <w:szCs w:val="21"/>
        </w:rPr>
        <w:t>指令功能；</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3.3、伪指令功能。</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4</w:t>
      </w:r>
      <w:r>
        <w:rPr>
          <w:rFonts w:hint="eastAsia" w:eastAsia="黑体" w:cs="宋体"/>
          <w:snapToGrid w:val="0"/>
          <w:kern w:val="0"/>
          <w:szCs w:val="21"/>
        </w:rPr>
        <w:t>汇编语言程序设计基础（</w:t>
      </w:r>
      <w:r>
        <w:rPr>
          <w:rFonts w:eastAsia="黑体" w:cs="宋体"/>
          <w:snapToGrid w:val="0"/>
          <w:kern w:val="0"/>
          <w:szCs w:val="21"/>
        </w:rPr>
        <w:t>6</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4.1</w:t>
      </w:r>
      <w:r>
        <w:rPr>
          <w:rFonts w:hint="eastAsia" w:cs="宋体"/>
          <w:snapToGrid w:val="0"/>
          <w:kern w:val="0"/>
          <w:szCs w:val="21"/>
        </w:rPr>
        <w:t>、汇编语言程序结构：编语言程序的程序框架及顺序结构、分支结构、循环结构、主子程序结构；（重点）</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4.2</w:t>
      </w:r>
      <w:r>
        <w:rPr>
          <w:rFonts w:hint="eastAsia" w:cs="宋体"/>
          <w:snapToGrid w:val="0"/>
          <w:kern w:val="0"/>
          <w:szCs w:val="21"/>
        </w:rPr>
        <w:t>、汇编语言程序设计举例。</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5</w:t>
      </w:r>
      <w:r>
        <w:rPr>
          <w:rFonts w:hint="eastAsia" w:eastAsia="黑体" w:cs="宋体"/>
          <w:snapToGrid w:val="0"/>
          <w:kern w:val="0"/>
          <w:szCs w:val="21"/>
        </w:rPr>
        <w:t>微机存储系统（</w:t>
      </w:r>
      <w:r>
        <w:rPr>
          <w:rFonts w:eastAsia="黑体" w:cs="宋体"/>
          <w:snapToGrid w:val="0"/>
          <w:kern w:val="0"/>
          <w:szCs w:val="21"/>
        </w:rPr>
        <w:t>4</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5.1</w:t>
      </w:r>
      <w:r>
        <w:rPr>
          <w:rFonts w:hint="eastAsia" w:cs="宋体"/>
          <w:snapToGrid w:val="0"/>
          <w:kern w:val="0"/>
          <w:szCs w:val="21"/>
        </w:rPr>
        <w:t>、存储器系统概述；</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5.2</w:t>
      </w:r>
      <w:r>
        <w:rPr>
          <w:rFonts w:hint="eastAsia" w:cs="宋体"/>
          <w:snapToGrid w:val="0"/>
          <w:kern w:val="0"/>
          <w:szCs w:val="21"/>
        </w:rPr>
        <w:t>、半导体存储器；</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5.3</w:t>
      </w:r>
      <w:r>
        <w:rPr>
          <w:rFonts w:hint="eastAsia" w:cs="宋体"/>
          <w:snapToGrid w:val="0"/>
          <w:kern w:val="0"/>
          <w:szCs w:val="21"/>
        </w:rPr>
        <w:t>、存储器与</w:t>
      </w:r>
      <w:r>
        <w:rPr>
          <w:rFonts w:cs="宋体"/>
          <w:snapToGrid w:val="0"/>
          <w:kern w:val="0"/>
          <w:szCs w:val="21"/>
        </w:rPr>
        <w:t>CPU</w:t>
      </w:r>
      <w:r>
        <w:rPr>
          <w:rFonts w:hint="eastAsia" w:cs="宋体"/>
          <w:snapToGrid w:val="0"/>
          <w:kern w:val="0"/>
          <w:szCs w:val="21"/>
        </w:rPr>
        <w:t>的连接。（难点、重点）</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6</w:t>
      </w:r>
      <w:r>
        <w:rPr>
          <w:rFonts w:hint="eastAsia" w:eastAsia="黑体" w:cs="宋体"/>
          <w:snapToGrid w:val="0"/>
          <w:kern w:val="0"/>
          <w:szCs w:val="21"/>
        </w:rPr>
        <w:t>输入</w:t>
      </w:r>
      <w:r>
        <w:rPr>
          <w:rFonts w:eastAsia="黑体" w:cs="宋体"/>
          <w:snapToGrid w:val="0"/>
          <w:kern w:val="0"/>
          <w:szCs w:val="21"/>
        </w:rPr>
        <w:t>/</w:t>
      </w:r>
      <w:r>
        <w:rPr>
          <w:rFonts w:hint="eastAsia" w:eastAsia="黑体" w:cs="宋体"/>
          <w:snapToGrid w:val="0"/>
          <w:kern w:val="0"/>
          <w:szCs w:val="21"/>
        </w:rPr>
        <w:t>输出及中断技术（</w:t>
      </w:r>
      <w:r>
        <w:rPr>
          <w:rFonts w:eastAsia="黑体" w:cs="宋体"/>
          <w:snapToGrid w:val="0"/>
          <w:kern w:val="0"/>
          <w:szCs w:val="21"/>
        </w:rPr>
        <w:t>4</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6.1</w:t>
      </w:r>
      <w:r>
        <w:rPr>
          <w:rFonts w:hint="eastAsia" w:cs="宋体"/>
          <w:snapToGrid w:val="0"/>
          <w:kern w:val="0"/>
          <w:szCs w:val="21"/>
        </w:rPr>
        <w:t>、接口电路的功能及内部结构；</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6.</w:t>
      </w:r>
      <w:r>
        <w:rPr>
          <w:rFonts w:hint="eastAsia" w:cs="宋体"/>
          <w:snapToGrid w:val="0"/>
          <w:kern w:val="0"/>
          <w:szCs w:val="21"/>
        </w:rPr>
        <w:t>2、</w:t>
      </w:r>
      <w:r>
        <w:rPr>
          <w:rFonts w:cs="宋体"/>
          <w:snapToGrid w:val="0"/>
          <w:kern w:val="0"/>
          <w:szCs w:val="21"/>
        </w:rPr>
        <w:t>CPU</w:t>
      </w:r>
      <w:r>
        <w:rPr>
          <w:rFonts w:hint="eastAsia" w:cs="宋体"/>
          <w:snapToGrid w:val="0"/>
          <w:kern w:val="0"/>
          <w:szCs w:val="21"/>
        </w:rPr>
        <w:t>与外设的数据传送方式；</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6.</w:t>
      </w:r>
      <w:r>
        <w:rPr>
          <w:rFonts w:hint="eastAsia" w:cs="宋体"/>
          <w:snapToGrid w:val="0"/>
          <w:kern w:val="0"/>
          <w:szCs w:val="21"/>
        </w:rPr>
        <w:t>3、中断系统及中断处理</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w:t>
      </w:r>
      <w:r>
        <w:rPr>
          <w:rFonts w:cs="宋体"/>
          <w:snapToGrid w:val="0"/>
          <w:kern w:val="0"/>
          <w:szCs w:val="21"/>
        </w:rPr>
        <w:t>1</w:t>
      </w:r>
      <w:r>
        <w:rPr>
          <w:rFonts w:hint="eastAsia" w:cs="宋体"/>
          <w:snapToGrid w:val="0"/>
          <w:kern w:val="0"/>
          <w:szCs w:val="21"/>
        </w:rPr>
        <w:t>）中断的基本概念；</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w:t>
      </w:r>
      <w:r>
        <w:rPr>
          <w:rFonts w:cs="宋体"/>
          <w:snapToGrid w:val="0"/>
          <w:kern w:val="0"/>
          <w:szCs w:val="21"/>
        </w:rPr>
        <w:t>2</w:t>
      </w:r>
      <w:r>
        <w:rPr>
          <w:rFonts w:hint="eastAsia" w:cs="宋体"/>
          <w:snapToGrid w:val="0"/>
          <w:kern w:val="0"/>
          <w:szCs w:val="21"/>
        </w:rPr>
        <w:t>）8</w:t>
      </w:r>
      <w:r>
        <w:rPr>
          <w:rFonts w:cs="宋体"/>
          <w:snapToGrid w:val="0"/>
          <w:kern w:val="0"/>
          <w:szCs w:val="21"/>
        </w:rPr>
        <w:t>086/808</w:t>
      </w:r>
      <w:r>
        <w:rPr>
          <w:rFonts w:hint="eastAsia" w:cs="宋体"/>
          <w:snapToGrid w:val="0"/>
          <w:kern w:val="0"/>
          <w:szCs w:val="21"/>
        </w:rPr>
        <w:t>8中断系统的结构和和矢量中断的原理。（重点）</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本章内容支撑课程目标1</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7</w:t>
      </w:r>
      <w:r>
        <w:rPr>
          <w:rFonts w:hint="eastAsia" w:eastAsia="黑体" w:cs="宋体"/>
          <w:snapToGrid w:val="0"/>
          <w:kern w:val="0"/>
          <w:szCs w:val="21"/>
        </w:rPr>
        <w:t>串、并行通信及接口电路（</w:t>
      </w:r>
      <w:r>
        <w:rPr>
          <w:rFonts w:eastAsia="黑体" w:cs="宋体"/>
          <w:snapToGrid w:val="0"/>
          <w:kern w:val="0"/>
          <w:szCs w:val="21"/>
        </w:rPr>
        <w:t>6</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7.1</w:t>
      </w:r>
      <w:r>
        <w:rPr>
          <w:rFonts w:hint="eastAsia" w:cs="宋体"/>
          <w:snapToGrid w:val="0"/>
          <w:kern w:val="0"/>
          <w:szCs w:val="21"/>
        </w:rPr>
        <w:t>、可编程并行通信接口</w:t>
      </w:r>
      <w:r>
        <w:rPr>
          <w:rFonts w:cs="宋体"/>
          <w:snapToGrid w:val="0"/>
          <w:kern w:val="0"/>
          <w:szCs w:val="21"/>
        </w:rPr>
        <w:t>8255A</w:t>
      </w:r>
      <w:r>
        <w:rPr>
          <w:rFonts w:hint="eastAsia" w:cs="宋体"/>
          <w:snapToGrid w:val="0"/>
          <w:kern w:val="0"/>
          <w:szCs w:val="21"/>
        </w:rPr>
        <w:t>；（重点）</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7.2</w:t>
      </w:r>
      <w:r>
        <w:rPr>
          <w:rFonts w:hint="eastAsia" w:cs="宋体"/>
          <w:snapToGrid w:val="0"/>
          <w:kern w:val="0"/>
          <w:szCs w:val="21"/>
        </w:rPr>
        <w:t>、</w:t>
      </w:r>
      <w:r>
        <w:rPr>
          <w:rFonts w:cs="宋体"/>
          <w:snapToGrid w:val="0"/>
          <w:kern w:val="0"/>
          <w:szCs w:val="21"/>
        </w:rPr>
        <w:t>8255</w:t>
      </w:r>
      <w:r>
        <w:rPr>
          <w:rFonts w:hint="eastAsia" w:cs="宋体"/>
          <w:snapToGrid w:val="0"/>
          <w:kern w:val="0"/>
          <w:szCs w:val="21"/>
        </w:rPr>
        <w:t>应用举例；</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7.</w:t>
      </w:r>
      <w:r>
        <w:rPr>
          <w:rFonts w:hint="eastAsia" w:cs="宋体"/>
          <w:snapToGrid w:val="0"/>
          <w:kern w:val="0"/>
          <w:szCs w:val="21"/>
        </w:rPr>
        <w:t>3、串行通信及串行接口</w:t>
      </w:r>
      <w:r>
        <w:rPr>
          <w:rFonts w:cs="宋体"/>
          <w:snapToGrid w:val="0"/>
          <w:kern w:val="0"/>
          <w:szCs w:val="21"/>
        </w:rPr>
        <w:t>8250</w:t>
      </w:r>
      <w:r>
        <w:rPr>
          <w:rFonts w:hint="eastAsia" w:cs="宋体"/>
          <w:snapToGrid w:val="0"/>
          <w:kern w:val="0"/>
          <w:szCs w:val="21"/>
        </w:rPr>
        <w:t>。</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w:t>
      </w:r>
      <w:r>
        <w:rPr>
          <w:rFonts w:cs="宋体"/>
          <w:snapToGrid w:val="0"/>
          <w:kern w:val="0"/>
          <w:szCs w:val="21"/>
        </w:rPr>
        <w:t>2</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8</w:t>
      </w:r>
      <w:r>
        <w:rPr>
          <w:rFonts w:hint="eastAsia" w:eastAsia="黑体" w:cs="宋体"/>
          <w:snapToGrid w:val="0"/>
          <w:kern w:val="0"/>
          <w:szCs w:val="21"/>
        </w:rPr>
        <w:t>微机系统中的定时器</w:t>
      </w:r>
      <w:r>
        <w:rPr>
          <w:rFonts w:eastAsia="黑体" w:cs="宋体"/>
          <w:snapToGrid w:val="0"/>
          <w:kern w:val="0"/>
          <w:szCs w:val="21"/>
        </w:rPr>
        <w:t>/</w:t>
      </w:r>
      <w:r>
        <w:rPr>
          <w:rFonts w:hint="eastAsia" w:eastAsia="黑体" w:cs="宋体"/>
          <w:snapToGrid w:val="0"/>
          <w:kern w:val="0"/>
          <w:szCs w:val="21"/>
        </w:rPr>
        <w:t>计数器（</w:t>
      </w:r>
      <w:r>
        <w:rPr>
          <w:rFonts w:eastAsia="黑体" w:cs="宋体"/>
          <w:snapToGrid w:val="0"/>
          <w:kern w:val="0"/>
          <w:szCs w:val="21"/>
        </w:rPr>
        <w:t>4</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8.1</w:t>
      </w:r>
      <w:r>
        <w:rPr>
          <w:rFonts w:hint="eastAsia" w:cs="宋体"/>
          <w:snapToGrid w:val="0"/>
          <w:kern w:val="0"/>
          <w:szCs w:val="21"/>
        </w:rPr>
        <w:t>、定时器</w:t>
      </w:r>
      <w:r>
        <w:rPr>
          <w:rFonts w:cs="宋体"/>
          <w:snapToGrid w:val="0"/>
          <w:kern w:val="0"/>
          <w:szCs w:val="21"/>
        </w:rPr>
        <w:t>/</w:t>
      </w:r>
      <w:r>
        <w:rPr>
          <w:rFonts w:hint="eastAsia" w:cs="宋体"/>
          <w:snapToGrid w:val="0"/>
          <w:kern w:val="0"/>
          <w:szCs w:val="21"/>
        </w:rPr>
        <w:t>计数器概述；</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8.2</w:t>
      </w:r>
      <w:r>
        <w:rPr>
          <w:rFonts w:hint="eastAsia" w:cs="宋体"/>
          <w:snapToGrid w:val="0"/>
          <w:kern w:val="0"/>
          <w:szCs w:val="21"/>
        </w:rPr>
        <w:t>、可编程定时器</w:t>
      </w:r>
      <w:r>
        <w:rPr>
          <w:rFonts w:cs="宋体"/>
          <w:snapToGrid w:val="0"/>
          <w:kern w:val="0"/>
          <w:szCs w:val="21"/>
        </w:rPr>
        <w:t>/</w:t>
      </w:r>
      <w:r>
        <w:rPr>
          <w:rFonts w:hint="eastAsia" w:cs="宋体"/>
          <w:snapToGrid w:val="0"/>
          <w:kern w:val="0"/>
          <w:szCs w:val="21"/>
        </w:rPr>
        <w:t>计数器</w:t>
      </w:r>
      <w:r>
        <w:rPr>
          <w:rFonts w:cs="宋体"/>
          <w:snapToGrid w:val="0"/>
          <w:kern w:val="0"/>
          <w:szCs w:val="21"/>
        </w:rPr>
        <w:t>8253</w:t>
      </w:r>
      <w:r>
        <w:rPr>
          <w:rFonts w:hint="eastAsia" w:cs="宋体"/>
          <w:snapToGrid w:val="0"/>
          <w:kern w:val="0"/>
          <w:szCs w:val="21"/>
        </w:rPr>
        <w:t>；（重点）</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8.3</w:t>
      </w:r>
      <w:r>
        <w:rPr>
          <w:rFonts w:hint="eastAsia" w:cs="宋体"/>
          <w:snapToGrid w:val="0"/>
          <w:kern w:val="0"/>
          <w:szCs w:val="21"/>
        </w:rPr>
        <w:t>、</w:t>
      </w:r>
      <w:r>
        <w:rPr>
          <w:rFonts w:cs="宋体"/>
          <w:snapToGrid w:val="0"/>
          <w:kern w:val="0"/>
          <w:szCs w:val="21"/>
        </w:rPr>
        <w:t>8253</w:t>
      </w:r>
      <w:r>
        <w:rPr>
          <w:rFonts w:hint="eastAsia" w:cs="宋体"/>
          <w:snapToGrid w:val="0"/>
          <w:kern w:val="0"/>
          <w:szCs w:val="21"/>
        </w:rPr>
        <w:t>应用举例。</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w:t>
      </w:r>
      <w:r>
        <w:rPr>
          <w:rFonts w:cs="宋体"/>
          <w:snapToGrid w:val="0"/>
          <w:kern w:val="0"/>
          <w:szCs w:val="21"/>
        </w:rPr>
        <w:t>2</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9.</w:t>
      </w:r>
      <w:r>
        <w:rPr>
          <w:rFonts w:hint="eastAsia" w:eastAsia="黑体" w:cs="宋体"/>
          <w:snapToGrid w:val="0"/>
          <w:kern w:val="0"/>
          <w:szCs w:val="21"/>
        </w:rPr>
        <w:t>微机系统中的</w:t>
      </w:r>
      <w:r>
        <w:rPr>
          <w:rFonts w:eastAsia="黑体" w:cs="宋体"/>
          <w:snapToGrid w:val="0"/>
          <w:kern w:val="0"/>
          <w:szCs w:val="21"/>
        </w:rPr>
        <w:t>A/D</w:t>
      </w:r>
      <w:r>
        <w:rPr>
          <w:rFonts w:hint="eastAsia" w:eastAsia="黑体" w:cs="宋体"/>
          <w:snapToGrid w:val="0"/>
          <w:kern w:val="0"/>
          <w:szCs w:val="21"/>
        </w:rPr>
        <w:t>、</w:t>
      </w:r>
      <w:r>
        <w:rPr>
          <w:rFonts w:eastAsia="黑体" w:cs="宋体"/>
          <w:snapToGrid w:val="0"/>
          <w:kern w:val="0"/>
          <w:szCs w:val="21"/>
        </w:rPr>
        <w:t>D/A</w:t>
      </w:r>
      <w:r>
        <w:rPr>
          <w:rFonts w:hint="eastAsia" w:eastAsia="黑体" w:cs="宋体"/>
          <w:snapToGrid w:val="0"/>
          <w:kern w:val="0"/>
          <w:szCs w:val="21"/>
        </w:rPr>
        <w:t>转换器接口（</w:t>
      </w:r>
      <w:r>
        <w:rPr>
          <w:rFonts w:eastAsia="黑体" w:cs="宋体"/>
          <w:snapToGrid w:val="0"/>
          <w:kern w:val="0"/>
          <w:szCs w:val="21"/>
        </w:rPr>
        <w:t>2</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9.1</w:t>
      </w:r>
      <w:r>
        <w:rPr>
          <w:rFonts w:hint="eastAsia" w:cs="宋体"/>
          <w:snapToGrid w:val="0"/>
          <w:kern w:val="0"/>
          <w:szCs w:val="21"/>
        </w:rPr>
        <w:t>、</w:t>
      </w:r>
      <w:r>
        <w:rPr>
          <w:rFonts w:cs="宋体"/>
          <w:snapToGrid w:val="0"/>
          <w:kern w:val="0"/>
          <w:szCs w:val="21"/>
        </w:rPr>
        <w:t>A/D</w:t>
      </w:r>
      <w:r>
        <w:rPr>
          <w:rFonts w:hint="eastAsia" w:cs="宋体"/>
          <w:snapToGrid w:val="0"/>
          <w:kern w:val="0"/>
          <w:szCs w:val="21"/>
        </w:rPr>
        <w:t>转换器接口原理及</w:t>
      </w:r>
      <w:r>
        <w:rPr>
          <w:rFonts w:cs="宋体"/>
          <w:snapToGrid w:val="0"/>
          <w:kern w:val="0"/>
          <w:szCs w:val="21"/>
        </w:rPr>
        <w:t>应用</w:t>
      </w:r>
      <w:r>
        <w:rPr>
          <w:rFonts w:hint="eastAsia" w:cs="宋体"/>
          <w:snapToGrid w:val="0"/>
          <w:kern w:val="0"/>
          <w:szCs w:val="21"/>
        </w:rPr>
        <w:t>；</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9.2</w:t>
      </w:r>
      <w:r>
        <w:rPr>
          <w:rFonts w:hint="eastAsia" w:cs="宋体"/>
          <w:snapToGrid w:val="0"/>
          <w:kern w:val="0"/>
          <w:szCs w:val="21"/>
        </w:rPr>
        <w:t>、</w:t>
      </w:r>
      <w:r>
        <w:rPr>
          <w:rFonts w:cs="宋体"/>
          <w:snapToGrid w:val="0"/>
          <w:kern w:val="0"/>
          <w:szCs w:val="21"/>
        </w:rPr>
        <w:t>D/A</w:t>
      </w:r>
      <w:r>
        <w:rPr>
          <w:rFonts w:hint="eastAsia" w:cs="宋体"/>
          <w:snapToGrid w:val="0"/>
          <w:kern w:val="0"/>
          <w:szCs w:val="21"/>
        </w:rPr>
        <w:t>转换器接口原理及</w:t>
      </w:r>
      <w:r>
        <w:rPr>
          <w:rFonts w:cs="宋体"/>
          <w:snapToGrid w:val="0"/>
          <w:kern w:val="0"/>
          <w:szCs w:val="21"/>
        </w:rPr>
        <w:t>应用</w:t>
      </w:r>
      <w:r>
        <w:rPr>
          <w:rFonts w:hint="eastAsia" w:cs="宋体"/>
          <w:snapToGrid w:val="0"/>
          <w:kern w:val="0"/>
          <w:szCs w:val="21"/>
        </w:rPr>
        <w:t>。</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w:t>
      </w:r>
      <w:r>
        <w:rPr>
          <w:rFonts w:cs="宋体"/>
          <w:snapToGrid w:val="0"/>
          <w:kern w:val="0"/>
          <w:szCs w:val="21"/>
        </w:rPr>
        <w:t>2</w:t>
      </w:r>
    </w:p>
    <w:p>
      <w:pPr>
        <w:widowControl/>
        <w:adjustRightInd w:val="0"/>
        <w:snapToGrid w:val="0"/>
        <w:spacing w:line="360" w:lineRule="auto"/>
        <w:ind w:left="426"/>
        <w:jc w:val="left"/>
        <w:rPr>
          <w:rFonts w:eastAsia="黑体" w:cs="宋体"/>
          <w:snapToGrid w:val="0"/>
          <w:kern w:val="0"/>
          <w:szCs w:val="21"/>
        </w:rPr>
      </w:pPr>
      <w:r>
        <w:rPr>
          <w:rFonts w:eastAsia="黑体" w:cs="宋体"/>
          <w:snapToGrid w:val="0"/>
          <w:kern w:val="0"/>
          <w:szCs w:val="21"/>
        </w:rPr>
        <w:t>10</w:t>
      </w:r>
      <w:r>
        <w:rPr>
          <w:rFonts w:hint="eastAsia" w:eastAsia="黑体" w:cs="宋体"/>
          <w:snapToGrid w:val="0"/>
          <w:kern w:val="0"/>
          <w:szCs w:val="21"/>
        </w:rPr>
        <w:t>键盘、显示器接口设计（</w:t>
      </w:r>
      <w:r>
        <w:rPr>
          <w:rFonts w:eastAsia="黑体" w:cs="宋体"/>
          <w:snapToGrid w:val="0"/>
          <w:kern w:val="0"/>
          <w:szCs w:val="21"/>
        </w:rPr>
        <w:t>2</w:t>
      </w:r>
      <w:r>
        <w:rPr>
          <w:rFonts w:hint="eastAsia" w:eastAsia="黑体" w:cs="宋体"/>
          <w:snapToGrid w:val="0"/>
          <w:kern w:val="0"/>
          <w:szCs w:val="21"/>
        </w:rPr>
        <w:t>学时）</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10.1</w:t>
      </w:r>
      <w:r>
        <w:rPr>
          <w:rFonts w:hint="eastAsia" w:cs="宋体"/>
          <w:snapToGrid w:val="0"/>
          <w:kern w:val="0"/>
          <w:szCs w:val="21"/>
        </w:rPr>
        <w:t>、键盘接口设计；</w:t>
      </w:r>
    </w:p>
    <w:p>
      <w:pPr>
        <w:widowControl/>
        <w:adjustRightInd w:val="0"/>
        <w:snapToGrid w:val="0"/>
        <w:spacing w:line="360" w:lineRule="auto"/>
        <w:ind w:left="426"/>
        <w:jc w:val="left"/>
        <w:rPr>
          <w:rFonts w:cs="宋体"/>
          <w:snapToGrid w:val="0"/>
          <w:kern w:val="0"/>
          <w:szCs w:val="21"/>
        </w:rPr>
      </w:pPr>
      <w:r>
        <w:rPr>
          <w:rFonts w:cs="宋体"/>
          <w:snapToGrid w:val="0"/>
          <w:kern w:val="0"/>
          <w:szCs w:val="21"/>
        </w:rPr>
        <w:t>10.2</w:t>
      </w:r>
      <w:r>
        <w:rPr>
          <w:rFonts w:hint="eastAsia" w:cs="宋体"/>
          <w:snapToGrid w:val="0"/>
          <w:kern w:val="0"/>
          <w:szCs w:val="21"/>
        </w:rPr>
        <w:t>、显示器接口设计。</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本章内容支撑课程目标</w:t>
      </w:r>
      <w:r>
        <w:rPr>
          <w:rFonts w:cs="宋体"/>
          <w:snapToGrid w:val="0"/>
          <w:kern w:val="0"/>
          <w:szCs w:val="21"/>
        </w:rPr>
        <w:t>3</w:t>
      </w:r>
    </w:p>
    <w:p>
      <w:pPr>
        <w:widowControl/>
        <w:adjustRightInd w:val="0"/>
        <w:snapToGrid w:val="0"/>
        <w:spacing w:line="360" w:lineRule="auto"/>
        <w:ind w:left="426"/>
        <w:jc w:val="left"/>
        <w:rPr>
          <w:rFonts w:cs="宋体"/>
          <w:snapToGrid w:val="0"/>
          <w:kern w:val="0"/>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r>
        <w:rPr>
          <w:rFonts w:hint="eastAsia" w:ascii="黑体" w:hAnsi="宋体" w:eastAsia="黑体" w:cs="宋体"/>
          <w:snapToGrid w:val="0"/>
          <w:kern w:val="0"/>
          <w:szCs w:val="21"/>
        </w:rPr>
        <w:t>（没有实验的课也要保留本章节，内容写“无”）</w:t>
      </w:r>
    </w:p>
    <w:p>
      <w:pPr>
        <w:adjustRightInd w:val="0"/>
        <w:snapToGrid w:val="0"/>
        <w:spacing w:line="360" w:lineRule="auto"/>
        <w:ind w:firstLine="420" w:firstLineChars="200"/>
        <w:rPr>
          <w:rFonts w:cs="宋体"/>
          <w:kern w:val="0"/>
          <w:szCs w:val="21"/>
        </w:rPr>
      </w:pPr>
      <w:r>
        <w:rPr>
          <w:rFonts w:hint="eastAsia" w:cs="宋体"/>
          <w:kern w:val="0"/>
          <w:szCs w:val="21"/>
        </w:rPr>
        <w:t>实验环节主要是上机操作与运用实验箱运行、验证程序，要求保证上机条件及实验箱正常；掌握在汇编集成开发环境下程序设计方法；掌握使用实验箱验证程序功能的方法。</w:t>
      </w:r>
    </w:p>
    <w:p>
      <w:pPr>
        <w:adjustRightInd w:val="0"/>
        <w:snapToGrid w:val="0"/>
        <w:spacing w:line="360" w:lineRule="auto"/>
        <w:ind w:firstLine="420" w:firstLineChars="200"/>
        <w:rPr>
          <w:rFonts w:cs="宋体"/>
          <w:kern w:val="0"/>
          <w:szCs w:val="21"/>
        </w:rPr>
      </w:pPr>
      <w:r>
        <w:rPr>
          <w:rFonts w:hint="eastAsia" w:cs="宋体"/>
          <w:kern w:val="0"/>
          <w:szCs w:val="21"/>
        </w:rPr>
        <w:t>10个学时共完成5个实验，均为正常课内实验。实验前讲解实验要求和指导。</w:t>
      </w:r>
    </w:p>
    <w:p>
      <w:pPr>
        <w:widowControl/>
        <w:adjustRightInd w:val="0"/>
        <w:snapToGrid w:val="0"/>
        <w:spacing w:line="360" w:lineRule="auto"/>
        <w:ind w:left="426"/>
        <w:jc w:val="left"/>
        <w:rPr>
          <w:rFonts w:eastAsia="黑体" w:cs="宋体"/>
          <w:snapToGrid w:val="0"/>
          <w:kern w:val="0"/>
          <w:szCs w:val="21"/>
        </w:rPr>
      </w:pPr>
      <w:r>
        <w:rPr>
          <w:rFonts w:hint="eastAsia" w:eastAsia="黑体" w:cs="宋体"/>
          <w:snapToGrid w:val="0"/>
          <w:kern w:val="0"/>
          <w:szCs w:val="21"/>
        </w:rPr>
        <w:t>实验一汇编语言程序设计与调试环境 (2学时)</w:t>
      </w:r>
    </w:p>
    <w:p>
      <w:pPr>
        <w:adjustRightInd w:val="0"/>
        <w:snapToGrid w:val="0"/>
        <w:spacing w:line="360" w:lineRule="auto"/>
        <w:ind w:firstLine="420" w:firstLineChars="200"/>
        <w:rPr>
          <w:rFonts w:cs="宋体"/>
          <w:kern w:val="0"/>
          <w:szCs w:val="21"/>
        </w:rPr>
      </w:pPr>
      <w:r>
        <w:rPr>
          <w:rFonts w:hint="eastAsia"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1、在教师的带领下，完成一个简单汇编程序的录入、汇编、调试、运行；</w:t>
      </w:r>
    </w:p>
    <w:p>
      <w:pPr>
        <w:adjustRightInd w:val="0"/>
        <w:snapToGrid w:val="0"/>
        <w:spacing w:line="360" w:lineRule="auto"/>
        <w:ind w:firstLine="420" w:firstLineChars="200"/>
        <w:rPr>
          <w:rFonts w:cs="宋体"/>
          <w:kern w:val="0"/>
          <w:szCs w:val="21"/>
        </w:rPr>
      </w:pPr>
      <w:r>
        <w:rPr>
          <w:rFonts w:hint="eastAsia" w:cs="宋体"/>
          <w:kern w:val="0"/>
          <w:szCs w:val="21"/>
        </w:rPr>
        <w:t>2、由学生独立完成一个排序程序的录入、汇编、调试、运行；</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1、使学生熟悉实验系统；</w:t>
      </w:r>
    </w:p>
    <w:p>
      <w:pPr>
        <w:adjustRightInd w:val="0"/>
        <w:snapToGrid w:val="0"/>
        <w:spacing w:line="360" w:lineRule="auto"/>
        <w:ind w:firstLine="420" w:firstLineChars="200"/>
        <w:rPr>
          <w:rFonts w:cs="宋体"/>
          <w:kern w:val="0"/>
          <w:szCs w:val="21"/>
        </w:rPr>
      </w:pPr>
      <w:r>
        <w:rPr>
          <w:rFonts w:hint="eastAsia" w:cs="宋体"/>
          <w:kern w:val="0"/>
          <w:szCs w:val="21"/>
        </w:rPr>
        <w:t>2、学习汇编语言程序设计中工具软件（Edit、masm、link、DEBUG）的使用；</w:t>
      </w:r>
    </w:p>
    <w:p>
      <w:pPr>
        <w:adjustRightInd w:val="0"/>
        <w:snapToGrid w:val="0"/>
        <w:spacing w:line="360" w:lineRule="auto"/>
        <w:ind w:firstLine="420" w:firstLineChars="200"/>
        <w:rPr>
          <w:rFonts w:cs="宋体"/>
          <w:kern w:val="0"/>
          <w:szCs w:val="21"/>
        </w:rPr>
      </w:pPr>
      <w:r>
        <w:rPr>
          <w:rFonts w:hint="eastAsia" w:cs="宋体"/>
          <w:kern w:val="0"/>
          <w:szCs w:val="21"/>
        </w:rPr>
        <w:t>3、学习分支、循环程序的结构及编程方法。</w:t>
      </w:r>
    </w:p>
    <w:p>
      <w:pPr>
        <w:adjustRightInd w:val="0"/>
        <w:snapToGrid w:val="0"/>
        <w:spacing w:line="360" w:lineRule="auto"/>
        <w:ind w:firstLine="420" w:firstLineChars="200"/>
        <w:rPr>
          <w:rFonts w:cs="宋体"/>
          <w:kern w:val="0"/>
          <w:szCs w:val="21"/>
        </w:rPr>
      </w:pPr>
      <w:r>
        <w:rPr>
          <w:rFonts w:hint="eastAsia" w:cs="宋体"/>
          <w:kern w:val="0"/>
          <w:szCs w:val="21"/>
        </w:rPr>
        <w:t>本实验支撑课程目标1。</w:t>
      </w:r>
    </w:p>
    <w:p>
      <w:pPr>
        <w:widowControl/>
        <w:adjustRightInd w:val="0"/>
        <w:snapToGrid w:val="0"/>
        <w:spacing w:line="360" w:lineRule="auto"/>
        <w:ind w:left="426"/>
        <w:jc w:val="left"/>
        <w:rPr>
          <w:rFonts w:eastAsia="黑体" w:cs="宋体"/>
          <w:snapToGrid w:val="0"/>
          <w:kern w:val="0"/>
          <w:szCs w:val="21"/>
        </w:rPr>
      </w:pPr>
      <w:r>
        <w:rPr>
          <w:rFonts w:hint="eastAsia" w:eastAsia="黑体" w:cs="宋体"/>
          <w:snapToGrid w:val="0"/>
          <w:kern w:val="0"/>
          <w:szCs w:val="21"/>
        </w:rPr>
        <w:t>实验二主-子程序、循环程序设计（2学时）</w:t>
      </w:r>
    </w:p>
    <w:p>
      <w:pPr>
        <w:adjustRightInd w:val="0"/>
        <w:snapToGrid w:val="0"/>
        <w:spacing w:line="360" w:lineRule="auto"/>
        <w:ind w:firstLine="420" w:firstLineChars="200"/>
        <w:rPr>
          <w:rFonts w:cs="宋体"/>
          <w:kern w:val="0"/>
          <w:szCs w:val="21"/>
        </w:rPr>
      </w:pPr>
      <w:r>
        <w:rPr>
          <w:rFonts w:hint="eastAsia"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1、编写一个主-子程序将内存中以BCD形式存放的10个两位十进制数转换成二进制数；</w:t>
      </w:r>
    </w:p>
    <w:p>
      <w:pPr>
        <w:adjustRightInd w:val="0"/>
        <w:snapToGrid w:val="0"/>
        <w:spacing w:line="360" w:lineRule="auto"/>
        <w:ind w:firstLine="420" w:firstLineChars="200"/>
        <w:rPr>
          <w:rFonts w:cs="宋体"/>
          <w:kern w:val="0"/>
          <w:szCs w:val="21"/>
        </w:rPr>
      </w:pPr>
      <w:r>
        <w:rPr>
          <w:rFonts w:hint="eastAsia" w:cs="宋体"/>
          <w:kern w:val="0"/>
          <w:szCs w:val="21"/>
        </w:rPr>
        <w:t>2、编写一个排序程序，将内存中的字节型无符号整数，从小到大排序。</w:t>
      </w:r>
    </w:p>
    <w:p>
      <w:pPr>
        <w:adjustRightInd w:val="0"/>
        <w:snapToGrid w:val="0"/>
        <w:spacing w:line="360" w:lineRule="auto"/>
        <w:ind w:firstLine="420" w:firstLineChars="200"/>
        <w:rPr>
          <w:rFonts w:cs="宋体"/>
          <w:kern w:val="0"/>
          <w:szCs w:val="21"/>
        </w:rPr>
      </w:pPr>
      <w:r>
        <w:rPr>
          <w:rFonts w:hint="eastAsia" w:cs="宋体"/>
          <w:kern w:val="0"/>
          <w:szCs w:val="21"/>
        </w:rPr>
        <w:t>3、完成程序的上机调试。</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1、学习主子结构程序、循环程序的编程方法；</w:t>
      </w:r>
    </w:p>
    <w:p>
      <w:pPr>
        <w:adjustRightInd w:val="0"/>
        <w:snapToGrid w:val="0"/>
        <w:spacing w:line="360" w:lineRule="auto"/>
        <w:ind w:firstLine="420" w:firstLineChars="200"/>
        <w:rPr>
          <w:rFonts w:cs="宋体"/>
          <w:kern w:val="0"/>
          <w:szCs w:val="21"/>
        </w:rPr>
      </w:pPr>
      <w:r>
        <w:rPr>
          <w:rFonts w:hint="eastAsia" w:cs="宋体"/>
          <w:kern w:val="0"/>
          <w:szCs w:val="21"/>
        </w:rPr>
        <w:t>2、学习单步运行、断点运行等程序调试方法。</w:t>
      </w:r>
    </w:p>
    <w:p>
      <w:pPr>
        <w:adjustRightInd w:val="0"/>
        <w:snapToGrid w:val="0"/>
        <w:spacing w:line="360" w:lineRule="auto"/>
        <w:ind w:firstLine="420" w:firstLineChars="200"/>
        <w:rPr>
          <w:rFonts w:cs="宋体"/>
          <w:kern w:val="0"/>
          <w:szCs w:val="21"/>
        </w:rPr>
      </w:pPr>
      <w:r>
        <w:rPr>
          <w:rFonts w:hint="eastAsia" w:cs="宋体"/>
          <w:kern w:val="0"/>
          <w:szCs w:val="21"/>
        </w:rPr>
        <w:t>本实验支撑课程目标1、2。</w:t>
      </w:r>
    </w:p>
    <w:p>
      <w:pPr>
        <w:widowControl/>
        <w:adjustRightInd w:val="0"/>
        <w:snapToGrid w:val="0"/>
        <w:spacing w:line="360" w:lineRule="auto"/>
        <w:ind w:left="426"/>
        <w:jc w:val="left"/>
        <w:rPr>
          <w:rFonts w:eastAsia="黑体" w:cs="宋体"/>
          <w:snapToGrid w:val="0"/>
          <w:kern w:val="0"/>
          <w:szCs w:val="21"/>
        </w:rPr>
      </w:pPr>
      <w:r>
        <w:rPr>
          <w:rFonts w:hint="eastAsia" w:eastAsia="黑体" w:cs="宋体"/>
          <w:snapToGrid w:val="0"/>
          <w:kern w:val="0"/>
          <w:szCs w:val="21"/>
        </w:rPr>
        <w:t>实验三 8255并行接口实验（2学时）</w:t>
      </w:r>
    </w:p>
    <w:p>
      <w:pPr>
        <w:adjustRightInd w:val="0"/>
        <w:snapToGrid w:val="0"/>
        <w:spacing w:line="360" w:lineRule="auto"/>
        <w:ind w:firstLine="420" w:firstLineChars="200"/>
        <w:rPr>
          <w:rFonts w:cs="宋体"/>
          <w:kern w:val="0"/>
          <w:szCs w:val="21"/>
        </w:rPr>
      </w:pPr>
      <w:r>
        <w:rPr>
          <w:rFonts w:hint="eastAsia"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1、利用实验箱上的8255、开关和LED模块搭建一个实验系统；</w:t>
      </w:r>
    </w:p>
    <w:p>
      <w:pPr>
        <w:adjustRightInd w:val="0"/>
        <w:snapToGrid w:val="0"/>
        <w:spacing w:line="360" w:lineRule="auto"/>
        <w:ind w:firstLine="420" w:firstLineChars="200"/>
        <w:rPr>
          <w:rFonts w:cs="宋体"/>
          <w:kern w:val="0"/>
          <w:szCs w:val="21"/>
        </w:rPr>
      </w:pPr>
      <w:r>
        <w:rPr>
          <w:rFonts w:hint="eastAsia" w:cs="宋体"/>
          <w:kern w:val="0"/>
          <w:szCs w:val="21"/>
        </w:rPr>
        <w:t>2、编程实现利用8个开关控制8个发光二极管发光；</w:t>
      </w:r>
    </w:p>
    <w:p>
      <w:pPr>
        <w:adjustRightInd w:val="0"/>
        <w:snapToGrid w:val="0"/>
        <w:spacing w:line="360" w:lineRule="auto"/>
        <w:ind w:firstLine="420" w:firstLineChars="200"/>
        <w:rPr>
          <w:rFonts w:cs="宋体"/>
          <w:kern w:val="0"/>
          <w:szCs w:val="21"/>
        </w:rPr>
      </w:pPr>
      <w:r>
        <w:rPr>
          <w:rFonts w:hint="eastAsia" w:cs="宋体"/>
          <w:kern w:val="0"/>
          <w:szCs w:val="21"/>
        </w:rPr>
        <w:t>3、实验系统调试。</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1、学习可编程并行接口芯片工作原理及初始化方法；</w:t>
      </w:r>
    </w:p>
    <w:p>
      <w:pPr>
        <w:adjustRightInd w:val="0"/>
        <w:snapToGrid w:val="0"/>
        <w:spacing w:line="360" w:lineRule="auto"/>
        <w:ind w:firstLine="420" w:firstLineChars="200"/>
        <w:rPr>
          <w:rFonts w:cs="宋体"/>
          <w:kern w:val="0"/>
          <w:szCs w:val="21"/>
        </w:rPr>
      </w:pPr>
      <w:r>
        <w:rPr>
          <w:rFonts w:hint="eastAsia" w:cs="宋体"/>
          <w:kern w:val="0"/>
          <w:szCs w:val="21"/>
        </w:rPr>
        <w:t>2、学习微机系统中简单IO口的设计方法。</w:t>
      </w:r>
    </w:p>
    <w:p>
      <w:pPr>
        <w:adjustRightInd w:val="0"/>
        <w:snapToGrid w:val="0"/>
        <w:spacing w:line="360" w:lineRule="auto"/>
        <w:ind w:firstLine="420" w:firstLineChars="200"/>
        <w:rPr>
          <w:rFonts w:cs="宋体"/>
          <w:kern w:val="0"/>
          <w:szCs w:val="21"/>
        </w:rPr>
      </w:pPr>
      <w:r>
        <w:rPr>
          <w:rFonts w:hint="eastAsia" w:cs="宋体"/>
          <w:kern w:val="0"/>
          <w:szCs w:val="21"/>
        </w:rPr>
        <w:t>本实验支撑课程目标2、3。</w:t>
      </w:r>
    </w:p>
    <w:p>
      <w:pPr>
        <w:widowControl/>
        <w:adjustRightInd w:val="0"/>
        <w:snapToGrid w:val="0"/>
        <w:spacing w:line="360" w:lineRule="auto"/>
        <w:ind w:left="426"/>
        <w:jc w:val="left"/>
        <w:rPr>
          <w:rFonts w:eastAsia="黑体" w:cs="宋体"/>
          <w:snapToGrid w:val="0"/>
          <w:kern w:val="0"/>
          <w:szCs w:val="21"/>
        </w:rPr>
      </w:pPr>
      <w:r>
        <w:rPr>
          <w:rFonts w:hint="eastAsia" w:eastAsia="黑体" w:cs="宋体"/>
          <w:snapToGrid w:val="0"/>
          <w:kern w:val="0"/>
          <w:szCs w:val="21"/>
        </w:rPr>
        <w:t>实验四 8253定时器/计数器接口实验（2学时）</w:t>
      </w:r>
    </w:p>
    <w:p>
      <w:pPr>
        <w:adjustRightInd w:val="0"/>
        <w:snapToGrid w:val="0"/>
        <w:spacing w:line="360" w:lineRule="auto"/>
        <w:ind w:firstLine="420" w:firstLineChars="200"/>
        <w:rPr>
          <w:rFonts w:cs="宋体"/>
          <w:kern w:val="0"/>
          <w:szCs w:val="21"/>
        </w:rPr>
      </w:pPr>
      <w:r>
        <w:rPr>
          <w:rFonts w:hint="eastAsia"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1、利用实验箱上的8255、8253、LED模块搭建一个实验系统；</w:t>
      </w:r>
    </w:p>
    <w:p>
      <w:pPr>
        <w:adjustRightInd w:val="0"/>
        <w:snapToGrid w:val="0"/>
        <w:spacing w:line="360" w:lineRule="auto"/>
        <w:ind w:firstLine="420" w:firstLineChars="200"/>
        <w:rPr>
          <w:rFonts w:cs="宋体"/>
          <w:kern w:val="0"/>
          <w:szCs w:val="21"/>
        </w:rPr>
      </w:pPr>
      <w:r>
        <w:rPr>
          <w:rFonts w:hint="eastAsia" w:cs="宋体"/>
          <w:kern w:val="0"/>
          <w:szCs w:val="21"/>
        </w:rPr>
        <w:t>2、编程实现控制一个发光二极管以0.5秒闪烁；</w:t>
      </w:r>
    </w:p>
    <w:p>
      <w:pPr>
        <w:adjustRightInd w:val="0"/>
        <w:snapToGrid w:val="0"/>
        <w:spacing w:line="360" w:lineRule="auto"/>
        <w:ind w:firstLine="420" w:firstLineChars="200"/>
        <w:rPr>
          <w:rFonts w:cs="宋体"/>
          <w:kern w:val="0"/>
          <w:szCs w:val="21"/>
        </w:rPr>
      </w:pPr>
      <w:r>
        <w:rPr>
          <w:rFonts w:hint="eastAsia" w:cs="宋体"/>
          <w:kern w:val="0"/>
          <w:szCs w:val="21"/>
        </w:rPr>
        <w:t>3、实验系统调试。</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1、学习8253定时器/计数器的工作原理及初始化方法；</w:t>
      </w:r>
    </w:p>
    <w:p>
      <w:pPr>
        <w:adjustRightInd w:val="0"/>
        <w:snapToGrid w:val="0"/>
        <w:spacing w:line="360" w:lineRule="auto"/>
        <w:ind w:firstLine="420" w:firstLineChars="200"/>
        <w:rPr>
          <w:rFonts w:cs="宋体"/>
          <w:kern w:val="0"/>
          <w:szCs w:val="21"/>
        </w:rPr>
      </w:pPr>
      <w:r>
        <w:rPr>
          <w:rFonts w:hint="eastAsia" w:cs="宋体"/>
          <w:kern w:val="0"/>
          <w:szCs w:val="21"/>
        </w:rPr>
        <w:t>2、学习微机系统中定时器/计数器的设计方法。</w:t>
      </w:r>
    </w:p>
    <w:p>
      <w:pPr>
        <w:adjustRightInd w:val="0"/>
        <w:snapToGrid w:val="0"/>
        <w:spacing w:line="360" w:lineRule="auto"/>
        <w:ind w:firstLine="420" w:firstLineChars="200"/>
        <w:rPr>
          <w:rFonts w:cs="宋体"/>
          <w:kern w:val="0"/>
          <w:szCs w:val="21"/>
        </w:rPr>
      </w:pPr>
      <w:r>
        <w:rPr>
          <w:rFonts w:hint="eastAsia" w:cs="宋体"/>
          <w:kern w:val="0"/>
          <w:szCs w:val="21"/>
        </w:rPr>
        <w:t>本实验支撑课程目标2、3。</w:t>
      </w:r>
    </w:p>
    <w:p>
      <w:pPr>
        <w:widowControl/>
        <w:adjustRightInd w:val="0"/>
        <w:snapToGrid w:val="0"/>
        <w:spacing w:line="360" w:lineRule="auto"/>
        <w:ind w:left="426"/>
        <w:jc w:val="left"/>
        <w:rPr>
          <w:rFonts w:eastAsia="黑体" w:cs="宋体"/>
          <w:snapToGrid w:val="0"/>
          <w:kern w:val="0"/>
          <w:szCs w:val="21"/>
        </w:rPr>
      </w:pPr>
      <w:r>
        <w:rPr>
          <w:rFonts w:hint="eastAsia" w:eastAsia="黑体" w:cs="宋体"/>
          <w:snapToGrid w:val="0"/>
          <w:kern w:val="0"/>
          <w:szCs w:val="21"/>
        </w:rPr>
        <w:t>实验五 A/D、D/A转换接口实验（2学时）</w:t>
      </w:r>
    </w:p>
    <w:p>
      <w:pPr>
        <w:adjustRightInd w:val="0"/>
        <w:snapToGrid w:val="0"/>
        <w:spacing w:line="360" w:lineRule="auto"/>
        <w:ind w:firstLine="420" w:firstLineChars="200"/>
        <w:rPr>
          <w:rFonts w:cs="宋体"/>
          <w:kern w:val="0"/>
          <w:szCs w:val="21"/>
        </w:rPr>
      </w:pPr>
      <w:r>
        <w:rPr>
          <w:rFonts w:hint="eastAsia" w:cs="宋体"/>
          <w:kern w:val="0"/>
          <w:szCs w:val="21"/>
        </w:rPr>
        <w:t>A/D实验内容：</w:t>
      </w:r>
    </w:p>
    <w:p>
      <w:pPr>
        <w:adjustRightInd w:val="0"/>
        <w:snapToGrid w:val="0"/>
        <w:spacing w:line="360" w:lineRule="auto"/>
        <w:ind w:firstLine="420" w:firstLineChars="200"/>
        <w:rPr>
          <w:rFonts w:cs="宋体"/>
          <w:kern w:val="0"/>
          <w:szCs w:val="21"/>
        </w:rPr>
      </w:pPr>
      <w:r>
        <w:rPr>
          <w:rFonts w:hint="eastAsia" w:cs="宋体"/>
          <w:kern w:val="0"/>
          <w:szCs w:val="21"/>
        </w:rPr>
        <w:t>1、利用实验箱上的A/D转换器模块和可调电位器构建一个实验系统；</w:t>
      </w:r>
    </w:p>
    <w:p>
      <w:pPr>
        <w:adjustRightInd w:val="0"/>
        <w:snapToGrid w:val="0"/>
        <w:spacing w:line="360" w:lineRule="auto"/>
        <w:ind w:firstLine="420" w:firstLineChars="200"/>
        <w:rPr>
          <w:rFonts w:cs="宋体"/>
          <w:kern w:val="0"/>
          <w:szCs w:val="21"/>
        </w:rPr>
      </w:pPr>
      <w:r>
        <w:rPr>
          <w:rFonts w:hint="eastAsia" w:cs="宋体"/>
          <w:kern w:val="0"/>
          <w:szCs w:val="21"/>
        </w:rPr>
        <w:t>2、编程实现采集100个数并保存在内存单元中；</w:t>
      </w:r>
    </w:p>
    <w:p>
      <w:pPr>
        <w:adjustRightInd w:val="0"/>
        <w:snapToGrid w:val="0"/>
        <w:spacing w:line="360" w:lineRule="auto"/>
        <w:ind w:firstLine="420" w:firstLineChars="200"/>
        <w:rPr>
          <w:rFonts w:cs="宋体"/>
          <w:kern w:val="0"/>
          <w:szCs w:val="21"/>
        </w:rPr>
      </w:pPr>
      <w:r>
        <w:rPr>
          <w:rFonts w:hint="eastAsia" w:cs="宋体"/>
          <w:kern w:val="0"/>
          <w:szCs w:val="21"/>
        </w:rPr>
        <w:t>3、实验系统调试。</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1、学习A/D转换器的工作原理；</w:t>
      </w:r>
    </w:p>
    <w:p>
      <w:pPr>
        <w:adjustRightInd w:val="0"/>
        <w:snapToGrid w:val="0"/>
        <w:spacing w:line="360" w:lineRule="auto"/>
        <w:ind w:firstLine="420" w:firstLineChars="200"/>
        <w:rPr>
          <w:rFonts w:cs="宋体"/>
          <w:kern w:val="0"/>
          <w:szCs w:val="21"/>
        </w:rPr>
      </w:pPr>
      <w:r>
        <w:rPr>
          <w:rFonts w:hint="eastAsia" w:cs="宋体"/>
          <w:kern w:val="0"/>
          <w:szCs w:val="21"/>
        </w:rPr>
        <w:t>2、学习基于微机系统中的数据采集系统的设计方法。</w:t>
      </w:r>
    </w:p>
    <w:p>
      <w:pPr>
        <w:adjustRightInd w:val="0"/>
        <w:snapToGrid w:val="0"/>
        <w:spacing w:line="360" w:lineRule="auto"/>
        <w:ind w:firstLine="420" w:firstLineChars="200"/>
        <w:rPr>
          <w:rFonts w:cs="宋体"/>
          <w:kern w:val="0"/>
          <w:szCs w:val="21"/>
        </w:rPr>
      </w:pPr>
      <w:r>
        <w:rPr>
          <w:rFonts w:hint="eastAsia" w:cs="宋体"/>
          <w:kern w:val="0"/>
          <w:szCs w:val="21"/>
        </w:rPr>
        <w:t>D/A实验内容</w:t>
      </w:r>
    </w:p>
    <w:p>
      <w:pPr>
        <w:adjustRightInd w:val="0"/>
        <w:snapToGrid w:val="0"/>
        <w:spacing w:line="360" w:lineRule="auto"/>
        <w:ind w:firstLine="420" w:firstLineChars="200"/>
        <w:rPr>
          <w:rFonts w:cs="宋体"/>
          <w:kern w:val="0"/>
          <w:szCs w:val="21"/>
        </w:rPr>
      </w:pPr>
      <w:r>
        <w:rPr>
          <w:rFonts w:hint="eastAsia" w:cs="宋体"/>
          <w:kern w:val="0"/>
          <w:szCs w:val="21"/>
        </w:rPr>
        <w:t>1、利用实验箱上的D/A转换器模块构成一个实验系统；</w:t>
      </w:r>
    </w:p>
    <w:p>
      <w:pPr>
        <w:adjustRightInd w:val="0"/>
        <w:snapToGrid w:val="0"/>
        <w:spacing w:line="360" w:lineRule="auto"/>
        <w:ind w:firstLine="420" w:firstLineChars="200"/>
        <w:rPr>
          <w:rFonts w:cs="宋体"/>
          <w:kern w:val="0"/>
          <w:szCs w:val="21"/>
        </w:rPr>
      </w:pPr>
      <w:r>
        <w:rPr>
          <w:rFonts w:hint="eastAsia" w:cs="宋体"/>
          <w:kern w:val="0"/>
          <w:szCs w:val="21"/>
        </w:rPr>
        <w:t>2、编程实现一种或者几种波形输出；</w:t>
      </w:r>
    </w:p>
    <w:p>
      <w:pPr>
        <w:adjustRightInd w:val="0"/>
        <w:snapToGrid w:val="0"/>
        <w:spacing w:line="360" w:lineRule="auto"/>
        <w:ind w:firstLine="420" w:firstLineChars="200"/>
        <w:rPr>
          <w:rFonts w:cs="宋体"/>
          <w:kern w:val="0"/>
          <w:szCs w:val="21"/>
        </w:rPr>
      </w:pPr>
      <w:r>
        <w:rPr>
          <w:rFonts w:hint="eastAsia" w:cs="宋体"/>
          <w:kern w:val="0"/>
          <w:szCs w:val="21"/>
        </w:rPr>
        <w:t>3、实验系统调试。</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1、学习D/A转换器的工作原理；</w:t>
      </w:r>
    </w:p>
    <w:p>
      <w:pPr>
        <w:adjustRightInd w:val="0"/>
        <w:snapToGrid w:val="0"/>
        <w:spacing w:line="360" w:lineRule="auto"/>
        <w:ind w:firstLine="420" w:firstLineChars="200"/>
        <w:rPr>
          <w:rFonts w:cs="宋体"/>
          <w:kern w:val="0"/>
          <w:szCs w:val="21"/>
        </w:rPr>
      </w:pPr>
      <w:r>
        <w:rPr>
          <w:rFonts w:hint="eastAsia" w:cs="宋体"/>
          <w:kern w:val="0"/>
          <w:szCs w:val="21"/>
        </w:rPr>
        <w:t>2、学习基于微机系统中的信号发生器的设计方法。</w:t>
      </w:r>
    </w:p>
    <w:p>
      <w:pPr>
        <w:adjustRightInd w:val="0"/>
        <w:snapToGrid w:val="0"/>
        <w:spacing w:line="360" w:lineRule="auto"/>
        <w:ind w:firstLine="420" w:firstLineChars="200"/>
        <w:rPr>
          <w:rFonts w:cs="宋体"/>
          <w:kern w:val="0"/>
          <w:szCs w:val="21"/>
        </w:rPr>
      </w:pPr>
      <w:r>
        <w:rPr>
          <w:rFonts w:hint="eastAsia" w:cs="宋体"/>
          <w:kern w:val="0"/>
          <w:szCs w:val="21"/>
        </w:rPr>
        <w:t>本实验支撑课程目标2、3。</w:t>
      </w:r>
    </w:p>
    <w:p>
      <w:pPr>
        <w:adjustRightInd w:val="0"/>
        <w:snapToGrid w:val="0"/>
        <w:spacing w:line="360" w:lineRule="auto"/>
        <w:ind w:firstLine="420" w:firstLineChars="200"/>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8"/>
        <w:gridCol w:w="1563"/>
        <w:gridCol w:w="1702"/>
        <w:gridCol w:w="10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adjustRightInd w:val="0"/>
              <w:snapToGrid w:val="0"/>
              <w:jc w:val="center"/>
              <w:rPr>
                <w:sz w:val="18"/>
                <w:szCs w:val="18"/>
              </w:rPr>
            </w:pPr>
            <w:r>
              <w:rPr>
                <w:rFonts w:hint="eastAsia"/>
                <w:sz w:val="18"/>
                <w:szCs w:val="18"/>
              </w:rPr>
              <w:t>讲授的知识点及内容</w:t>
            </w:r>
          </w:p>
        </w:tc>
        <w:tc>
          <w:tcPr>
            <w:tcW w:w="940" w:type="pct"/>
            <w:vAlign w:val="center"/>
          </w:tcPr>
          <w:p>
            <w:pPr>
              <w:adjustRightInd w:val="0"/>
              <w:snapToGrid w:val="0"/>
              <w:jc w:val="center"/>
              <w:rPr>
                <w:sz w:val="18"/>
                <w:szCs w:val="18"/>
              </w:rPr>
            </w:pPr>
            <w:r>
              <w:rPr>
                <w:rFonts w:hint="eastAsia"/>
                <w:sz w:val="18"/>
                <w:szCs w:val="18"/>
              </w:rPr>
              <w:t>讲授（学时）</w:t>
            </w:r>
          </w:p>
        </w:tc>
        <w:tc>
          <w:tcPr>
            <w:tcW w:w="1024" w:type="pct"/>
            <w:vAlign w:val="center"/>
          </w:tcPr>
          <w:p>
            <w:pPr>
              <w:adjustRightInd w:val="0"/>
              <w:snapToGrid w:val="0"/>
              <w:jc w:val="center"/>
              <w:rPr>
                <w:sz w:val="18"/>
                <w:szCs w:val="18"/>
              </w:rPr>
            </w:pPr>
            <w:r>
              <w:rPr>
                <w:rFonts w:hint="eastAsia"/>
                <w:sz w:val="18"/>
                <w:szCs w:val="18"/>
              </w:rPr>
              <w:t>实验（学时）</w:t>
            </w:r>
          </w:p>
        </w:tc>
        <w:tc>
          <w:tcPr>
            <w:tcW w:w="649"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snapToGrid w:val="0"/>
                <w:kern w:val="0"/>
                <w:sz w:val="18"/>
                <w:szCs w:val="18"/>
              </w:rPr>
            </w:pPr>
            <w:r>
              <w:rPr>
                <w:rFonts w:hint="eastAsia" w:cs="宋体"/>
                <w:bCs/>
                <w:snapToGrid w:val="0"/>
                <w:kern w:val="0"/>
                <w:sz w:val="18"/>
                <w:szCs w:val="18"/>
              </w:rPr>
              <w:t>1计算机系统概述</w:t>
            </w:r>
          </w:p>
        </w:tc>
        <w:tc>
          <w:tcPr>
            <w:tcW w:w="940" w:type="pct"/>
            <w:vAlign w:val="center"/>
          </w:tcPr>
          <w:p>
            <w:pPr>
              <w:widowControl/>
              <w:adjustRightInd w:val="0"/>
              <w:snapToGrid w:val="0"/>
              <w:jc w:val="center"/>
              <w:rPr>
                <w:rFonts w:cs="宋体"/>
                <w:kern w:val="0"/>
                <w:sz w:val="18"/>
                <w:szCs w:val="18"/>
              </w:rPr>
            </w:pPr>
            <w:r>
              <w:rPr>
                <w:rFonts w:cs="宋体"/>
                <w:kern w:val="0"/>
                <w:sz w:val="18"/>
                <w:szCs w:val="18"/>
              </w:rPr>
              <w:t>2</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649" w:type="pct"/>
            <w:vAlign w:val="center"/>
          </w:tcPr>
          <w:p>
            <w:pPr>
              <w:widowControl/>
              <w:adjustRightInd w:val="0"/>
              <w:snapToGrid w:val="0"/>
              <w:jc w:val="center"/>
              <w:rPr>
                <w:rFonts w:cs="宋体"/>
                <w:kern w:val="0"/>
                <w:sz w:val="18"/>
                <w:szCs w:val="18"/>
              </w:rPr>
            </w:pPr>
            <w:r>
              <w:rPr>
                <w:rFonts w:cs="宋体"/>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snapToGrid w:val="0"/>
                <w:kern w:val="0"/>
                <w:sz w:val="18"/>
                <w:szCs w:val="18"/>
              </w:rPr>
            </w:pPr>
            <w:r>
              <w:rPr>
                <w:rFonts w:hint="eastAsia" w:cs="宋体"/>
                <w:bCs/>
                <w:snapToGrid w:val="0"/>
                <w:kern w:val="0"/>
                <w:sz w:val="18"/>
                <w:szCs w:val="18"/>
              </w:rPr>
              <w:t>2 8086／8088微处理器结构</w:t>
            </w:r>
          </w:p>
        </w:tc>
        <w:tc>
          <w:tcPr>
            <w:tcW w:w="940" w:type="pct"/>
            <w:vAlign w:val="center"/>
          </w:tcPr>
          <w:p>
            <w:pPr>
              <w:widowControl/>
              <w:adjustRightInd w:val="0"/>
              <w:snapToGrid w:val="0"/>
              <w:jc w:val="center"/>
              <w:rPr>
                <w:rFonts w:cs="宋体"/>
                <w:kern w:val="0"/>
                <w:sz w:val="18"/>
                <w:szCs w:val="18"/>
              </w:rPr>
            </w:pPr>
            <w:r>
              <w:rPr>
                <w:rFonts w:cs="宋体"/>
                <w:kern w:val="0"/>
                <w:sz w:val="18"/>
                <w:szCs w:val="18"/>
              </w:rPr>
              <w:t>4</w:t>
            </w:r>
          </w:p>
        </w:tc>
        <w:tc>
          <w:tcPr>
            <w:tcW w:w="1024" w:type="pct"/>
            <w:vAlign w:val="center"/>
          </w:tcPr>
          <w:p>
            <w:pPr>
              <w:widowControl/>
              <w:adjustRightInd w:val="0"/>
              <w:snapToGrid w:val="0"/>
              <w:jc w:val="center"/>
              <w:rPr>
                <w:rFonts w:cs="宋体"/>
                <w:kern w:val="0"/>
                <w:sz w:val="18"/>
                <w:szCs w:val="18"/>
              </w:rPr>
            </w:pPr>
            <w:r>
              <w:rPr>
                <w:rFonts w:cs="宋体"/>
                <w:kern w:val="0"/>
                <w:sz w:val="18"/>
                <w:szCs w:val="18"/>
              </w:rPr>
              <w:t>0</w:t>
            </w:r>
          </w:p>
        </w:tc>
        <w:tc>
          <w:tcPr>
            <w:tcW w:w="649" w:type="pct"/>
            <w:vAlign w:val="center"/>
          </w:tcPr>
          <w:p>
            <w:pPr>
              <w:widowControl/>
              <w:adjustRightInd w:val="0"/>
              <w:snapToGrid w:val="0"/>
              <w:jc w:val="center"/>
              <w:rPr>
                <w:rFonts w:cs="宋体"/>
                <w:kern w:val="0"/>
                <w:sz w:val="18"/>
                <w:szCs w:val="18"/>
              </w:rPr>
            </w:pPr>
            <w:r>
              <w:rPr>
                <w:rFonts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snapToGrid w:val="0"/>
                <w:kern w:val="0"/>
                <w:sz w:val="18"/>
                <w:szCs w:val="18"/>
              </w:rPr>
              <w:t>3 8086／8088指令系统</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1</w:t>
            </w:r>
            <w:r>
              <w:rPr>
                <w:rFonts w:cs="宋体"/>
                <w:kern w:val="0"/>
                <w:sz w:val="18"/>
                <w:szCs w:val="18"/>
              </w:rPr>
              <w:t>2</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1</w:t>
            </w:r>
            <w:r>
              <w:rPr>
                <w:rFonts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4汇编语言程序设计基础</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5微机存储系统</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6输入/输出及中断技术</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7串、并行通信及接口电路</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8微机系统中的定时器/计数器</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9微机系统中的A/D、D/A转换器接口</w:t>
            </w:r>
          </w:p>
        </w:tc>
        <w:tc>
          <w:tcPr>
            <w:tcW w:w="940"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10键盘、显示器接口设计</w:t>
            </w:r>
          </w:p>
        </w:tc>
        <w:tc>
          <w:tcPr>
            <w:tcW w:w="940" w:type="pct"/>
            <w:vAlign w:val="center"/>
          </w:tcPr>
          <w:p>
            <w:pPr>
              <w:widowControl/>
              <w:adjustRightInd w:val="0"/>
              <w:snapToGrid w:val="0"/>
              <w:jc w:val="center"/>
              <w:rPr>
                <w:rFonts w:cs="宋体"/>
                <w:kern w:val="0"/>
                <w:sz w:val="18"/>
                <w:szCs w:val="18"/>
              </w:rPr>
            </w:pPr>
            <w:r>
              <w:rPr>
                <w:rFonts w:cs="宋体"/>
                <w:kern w:val="0"/>
                <w:sz w:val="18"/>
                <w:szCs w:val="18"/>
              </w:rPr>
              <w:t>2</w:t>
            </w:r>
          </w:p>
        </w:tc>
        <w:tc>
          <w:tcPr>
            <w:tcW w:w="1024"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649" w:type="pct"/>
            <w:vAlign w:val="center"/>
          </w:tcPr>
          <w:p>
            <w:pPr>
              <w:widowControl/>
              <w:adjustRightInd w:val="0"/>
              <w:snapToGrid w:val="0"/>
              <w:jc w:val="center"/>
              <w:rPr>
                <w:rFonts w:cs="宋体"/>
                <w:kern w:val="0"/>
                <w:sz w:val="18"/>
                <w:szCs w:val="18"/>
              </w:rPr>
            </w:pPr>
            <w:r>
              <w:rPr>
                <w:rFonts w:cs="宋体"/>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387" w:type="pct"/>
            <w:vAlign w:val="center"/>
          </w:tcPr>
          <w:p>
            <w:pPr>
              <w:widowControl/>
              <w:adjustRightInd w:val="0"/>
              <w:snapToGrid w:val="0"/>
              <w:jc w:val="center"/>
              <w:rPr>
                <w:rFonts w:cs="宋体"/>
                <w:kern w:val="0"/>
                <w:sz w:val="18"/>
                <w:szCs w:val="18"/>
              </w:rPr>
            </w:pPr>
            <w:r>
              <w:rPr>
                <w:rFonts w:hint="eastAsia" w:cs="宋体"/>
                <w:kern w:val="0"/>
                <w:sz w:val="18"/>
                <w:szCs w:val="18"/>
              </w:rPr>
              <w:t>合计</w:t>
            </w:r>
          </w:p>
        </w:tc>
        <w:tc>
          <w:tcPr>
            <w:tcW w:w="940" w:type="pct"/>
            <w:vAlign w:val="center"/>
          </w:tcPr>
          <w:p>
            <w:pPr>
              <w:widowControl/>
              <w:adjustRightInd w:val="0"/>
              <w:snapToGrid w:val="0"/>
              <w:jc w:val="center"/>
              <w:rPr>
                <w:rFonts w:cs="宋体"/>
                <w:kern w:val="0"/>
                <w:sz w:val="18"/>
                <w:szCs w:val="18"/>
              </w:rPr>
            </w:pPr>
            <w:r>
              <w:rPr>
                <w:rFonts w:cs="宋体"/>
                <w:kern w:val="0"/>
                <w:sz w:val="18"/>
                <w:szCs w:val="18"/>
              </w:rPr>
              <w:t>46</w:t>
            </w:r>
          </w:p>
        </w:tc>
        <w:tc>
          <w:tcPr>
            <w:tcW w:w="1024" w:type="pct"/>
            <w:vAlign w:val="center"/>
          </w:tcPr>
          <w:p>
            <w:pPr>
              <w:widowControl/>
              <w:adjustRightInd w:val="0"/>
              <w:snapToGrid w:val="0"/>
              <w:jc w:val="center"/>
              <w:rPr>
                <w:rFonts w:cs="宋体"/>
                <w:kern w:val="0"/>
                <w:sz w:val="18"/>
                <w:szCs w:val="18"/>
              </w:rPr>
            </w:pPr>
            <w:r>
              <w:rPr>
                <w:rFonts w:cs="宋体"/>
                <w:kern w:val="0"/>
                <w:sz w:val="18"/>
                <w:szCs w:val="18"/>
              </w:rPr>
              <w:t>10</w:t>
            </w:r>
          </w:p>
        </w:tc>
        <w:tc>
          <w:tcPr>
            <w:tcW w:w="649" w:type="pct"/>
            <w:vAlign w:val="center"/>
          </w:tcPr>
          <w:p>
            <w:pPr>
              <w:widowControl/>
              <w:adjustRightInd w:val="0"/>
              <w:snapToGrid w:val="0"/>
              <w:jc w:val="center"/>
              <w:rPr>
                <w:rFonts w:cs="宋体"/>
                <w:kern w:val="0"/>
                <w:sz w:val="18"/>
                <w:szCs w:val="18"/>
              </w:rPr>
            </w:pPr>
            <w:r>
              <w:rPr>
                <w:rFonts w:hint="eastAsia" w:cs="宋体"/>
                <w:kern w:val="0"/>
                <w:sz w:val="18"/>
                <w:szCs w:val="18"/>
              </w:rPr>
              <w:t>56</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szCs w:val="21"/>
        </w:rPr>
      </w:pPr>
      <w:r>
        <w:rPr>
          <w:szCs w:val="21"/>
        </w:rPr>
        <w:t>1</w:t>
      </w:r>
      <w:r>
        <w:rPr>
          <w:rFonts w:hint="eastAsia"/>
          <w:szCs w:val="21"/>
        </w:rPr>
        <w:t>、姚燕南、薛钧义，《微型计算机原理》，</w:t>
      </w:r>
      <w:r>
        <w:rPr>
          <w:szCs w:val="21"/>
        </w:rPr>
        <w:t>ISBN 9787560607733</w:t>
      </w:r>
      <w:r>
        <w:rPr>
          <w:rFonts w:hint="eastAsia"/>
          <w:szCs w:val="21"/>
        </w:rPr>
        <w:t>，西安电子科技大学出版社。</w:t>
      </w:r>
    </w:p>
    <w:p>
      <w:pPr>
        <w:spacing w:line="360" w:lineRule="auto"/>
        <w:ind w:firstLine="420" w:firstLineChars="200"/>
        <w:rPr>
          <w:szCs w:val="21"/>
        </w:rPr>
      </w:pPr>
      <w:r>
        <w:rPr>
          <w:szCs w:val="21"/>
        </w:rPr>
        <w:t>2</w:t>
      </w:r>
      <w:r>
        <w:rPr>
          <w:rFonts w:hint="eastAsia"/>
          <w:szCs w:val="21"/>
        </w:rPr>
        <w:t>、王永山、杨宏五、杨掸娟,《微型原理与应用》，</w:t>
      </w:r>
      <w:r>
        <w:rPr>
          <w:szCs w:val="21"/>
        </w:rPr>
        <w:t>ISBN 9787115146427</w:t>
      </w:r>
      <w:r>
        <w:rPr>
          <w:rFonts w:hint="eastAsia"/>
          <w:szCs w:val="21"/>
        </w:rPr>
        <w:t>，西安电子科技大学出版社。</w:t>
      </w:r>
    </w:p>
    <w:p>
      <w:pPr>
        <w:spacing w:line="360" w:lineRule="auto"/>
        <w:ind w:firstLine="420" w:firstLineChars="200"/>
        <w:rPr>
          <w:szCs w:val="21"/>
        </w:rPr>
      </w:pPr>
      <w:r>
        <w:rPr>
          <w:szCs w:val="21"/>
        </w:rPr>
        <w:t>3</w:t>
      </w:r>
      <w:r>
        <w:rPr>
          <w:rFonts w:hint="eastAsia"/>
          <w:szCs w:val="21"/>
        </w:rPr>
        <w:t>、沈美明、温冬蝉，《</w:t>
      </w:r>
      <w:r>
        <w:rPr>
          <w:szCs w:val="21"/>
        </w:rPr>
        <w:t>IBM—PC</w:t>
      </w:r>
      <w:r>
        <w:rPr>
          <w:rFonts w:hint="eastAsia"/>
          <w:szCs w:val="21"/>
        </w:rPr>
        <w:t>汇编语言程序设计》，</w:t>
      </w:r>
      <w:r>
        <w:rPr>
          <w:szCs w:val="21"/>
        </w:rPr>
        <w:t>ISBN 9787302128816</w:t>
      </w:r>
      <w:r>
        <w:rPr>
          <w:rFonts w:hint="eastAsia"/>
          <w:szCs w:val="21"/>
        </w:rPr>
        <w:t>，清华大学出版社。</w:t>
      </w:r>
    </w:p>
    <w:p>
      <w:pPr>
        <w:spacing w:line="360" w:lineRule="auto"/>
        <w:ind w:firstLine="420" w:firstLineChars="200"/>
        <w:rPr>
          <w:szCs w:val="21"/>
        </w:rPr>
      </w:pPr>
      <w:r>
        <w:rPr>
          <w:szCs w:val="21"/>
        </w:rPr>
        <w:t>4</w:t>
      </w:r>
      <w:r>
        <w:rPr>
          <w:rFonts w:hint="eastAsia"/>
          <w:szCs w:val="21"/>
        </w:rPr>
        <w:t>、谢其中，《微型计算机常用外部设备》，</w:t>
      </w:r>
      <w:r>
        <w:rPr>
          <w:szCs w:val="21"/>
        </w:rPr>
        <w:t>ISBN 9787560925219</w:t>
      </w:r>
      <w:r>
        <w:rPr>
          <w:rFonts w:hint="eastAsia"/>
          <w:szCs w:val="21"/>
        </w:rPr>
        <w:t>，华中理工大学出版杜。</w:t>
      </w:r>
    </w:p>
    <w:p>
      <w:pPr>
        <w:spacing w:line="360" w:lineRule="auto"/>
        <w:ind w:firstLine="420" w:firstLineChars="200"/>
        <w:rPr>
          <w:szCs w:val="21"/>
        </w:rPr>
      </w:pPr>
      <w:r>
        <w:rPr>
          <w:szCs w:val="21"/>
        </w:rPr>
        <w:t>5</w:t>
      </w:r>
      <w:r>
        <w:rPr>
          <w:rFonts w:hint="eastAsia"/>
          <w:szCs w:val="21"/>
        </w:rPr>
        <w:t>、吴宁、乔亚男、冯博琴，《微型计算机原理与接口技术》，</w:t>
      </w:r>
      <w:r>
        <w:rPr>
          <w:szCs w:val="21"/>
        </w:rPr>
        <w:t>ISBN 9787302446453</w:t>
      </w:r>
      <w:r>
        <w:rPr>
          <w:rFonts w:hint="eastAsia"/>
          <w:szCs w:val="21"/>
        </w:rPr>
        <w:t>，清华大学出版社。</w:t>
      </w:r>
    </w:p>
    <w:p>
      <w:pPr>
        <w:spacing w:line="360" w:lineRule="auto"/>
        <w:ind w:firstLine="420" w:firstLineChars="200"/>
        <w:rPr>
          <w:szCs w:val="21"/>
        </w:rPr>
      </w:pPr>
      <w:r>
        <w:rPr>
          <w:rFonts w:hint="eastAsia"/>
          <w:szCs w:val="21"/>
        </w:rPr>
        <w:t>实验指导书：微机原理实验指导书。</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rFonts w:hint="eastAsia"/>
          <w:szCs w:val="21"/>
        </w:rPr>
        <w:t>1、考核方式：课堂情况、作业、实验、考试</w:t>
      </w:r>
    </w:p>
    <w:p>
      <w:pPr>
        <w:spacing w:line="360" w:lineRule="auto"/>
        <w:ind w:firstLine="420" w:firstLineChars="200"/>
        <w:rPr>
          <w:szCs w:val="21"/>
        </w:rPr>
      </w:pPr>
      <w:r>
        <w:rPr>
          <w:rFonts w:hint="eastAsia"/>
          <w:szCs w:val="21"/>
        </w:rPr>
        <w:t>2、考核目标：在考核学生对基本知识、基本原理和方法学习基础上，重点考核学生微机系统的基本构成、汇编语言程序设计、常用接口芯片和工具使用方法的学习程度。</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444"/>
        <w:gridCol w:w="1290"/>
        <w:gridCol w:w="1366"/>
        <w:gridCol w:w="2376"/>
        <w:gridCol w:w="1836"/>
      </w:tblGrid>
      <w:tr>
        <w:tblPrEx>
          <w:tblCellMar>
            <w:top w:w="0" w:type="dxa"/>
            <w:left w:w="108" w:type="dxa"/>
            <w:bottom w:w="0" w:type="dxa"/>
            <w:right w:w="108" w:type="dxa"/>
          </w:tblCellMar>
        </w:tblPrEx>
        <w:trPr>
          <w:trHeight w:val="410"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考察环节</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课堂情况</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w:t>
            </w:r>
          </w:p>
        </w:tc>
        <w:tc>
          <w:tcPr>
            <w:tcW w:w="10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实验</w:t>
            </w:r>
          </w:p>
        </w:tc>
        <w:tc>
          <w:tcPr>
            <w:tcW w:w="909"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期末考试</w:t>
            </w:r>
          </w:p>
        </w:tc>
      </w:tr>
      <w:tr>
        <w:tblPrEx>
          <w:tblCellMar>
            <w:top w:w="0" w:type="dxa"/>
            <w:left w:w="108" w:type="dxa"/>
            <w:bottom w:w="0" w:type="dxa"/>
            <w:right w:w="108" w:type="dxa"/>
          </w:tblCellMar>
        </w:tblPrEx>
        <w:trPr>
          <w:trHeight w:val="71"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课程目标达成</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的贡献率</w:t>
            </w:r>
          </w:p>
        </w:tc>
        <w:tc>
          <w:tcPr>
            <w:tcW w:w="97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909" w:type="pct"/>
            <w:tcBorders>
              <w:top w:val="single" w:color="auto" w:sz="4" w:space="0"/>
              <w:left w:val="single" w:color="auto" w:sz="4" w:space="0"/>
              <w:bottom w:val="single" w:color="auto" w:sz="4" w:space="0"/>
            </w:tcBorders>
            <w:shd w:val="clear" w:color="auto" w:fill="auto"/>
            <w:noWrap/>
            <w:vAlign w:val="center"/>
          </w:tcPr>
          <w:p>
            <w:pPr>
              <w:jc w:val="center"/>
              <w:rPr>
                <w:sz w:val="18"/>
                <w:szCs w:val="18"/>
              </w:rPr>
            </w:pPr>
            <w:r>
              <w:rPr>
                <w:sz w:val="18"/>
                <w:szCs w:val="18"/>
              </w:rPr>
              <w:t>0.6</w:t>
            </w:r>
          </w:p>
        </w:tc>
      </w:tr>
      <w:tr>
        <w:tblPrEx>
          <w:tblCellMar>
            <w:top w:w="0" w:type="dxa"/>
            <w:left w:w="108" w:type="dxa"/>
            <w:bottom w:w="0" w:type="dxa"/>
            <w:right w:w="108" w:type="dxa"/>
          </w:tblCellMar>
        </w:tblPrEx>
        <w:trPr>
          <w:trHeight w:val="557"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支撑材料</w:t>
            </w:r>
          </w:p>
        </w:tc>
        <w:tc>
          <w:tcPr>
            <w:tcW w:w="97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课堂提问</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点名记录</w:t>
            </w:r>
          </w:p>
        </w:tc>
        <w:tc>
          <w:tcPr>
            <w:tcW w:w="102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作业计分表</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实验过程评分表、实验报告</w:t>
            </w:r>
          </w:p>
        </w:tc>
        <w:tc>
          <w:tcPr>
            <w:tcW w:w="909" w:type="pct"/>
            <w:tcBorders>
              <w:top w:val="single" w:color="auto" w:sz="4" w:space="0"/>
              <w:left w:val="single" w:color="auto" w:sz="4" w:space="0"/>
              <w:bottom w:val="single" w:color="auto" w:sz="4"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试题评分标准，</w:t>
            </w:r>
            <w:r>
              <w:rPr>
                <w:rFonts w:ascii="宋体" w:hAnsi="宋体" w:cs="宋体"/>
                <w:color w:val="000000"/>
                <w:kern w:val="0"/>
                <w:sz w:val="18"/>
                <w:szCs w:val="18"/>
              </w:rPr>
              <w:t>试卷</w:t>
            </w:r>
          </w:p>
        </w:tc>
      </w:tr>
    </w:tbl>
    <w:p>
      <w:pPr>
        <w:pStyle w:val="31"/>
        <w:widowControl/>
        <w:spacing w:line="360" w:lineRule="auto"/>
        <w:ind w:left="360" w:firstLine="0" w:firstLineChars="0"/>
        <w:jc w:val="left"/>
        <w:rPr>
          <w:rFonts w:eastAsia="黑体"/>
          <w:szCs w:val="24"/>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1"/>
        <w:gridCol w:w="2206"/>
        <w:gridCol w:w="2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25" w:type="pct"/>
            <w:vAlign w:val="center"/>
          </w:tcPr>
          <w:p>
            <w:pPr>
              <w:jc w:val="center"/>
              <w:rPr>
                <w:rFonts w:ascii="宋体" w:hAnsi="宋体"/>
                <w:sz w:val="18"/>
                <w:szCs w:val="18"/>
              </w:rPr>
            </w:pPr>
            <w:r>
              <w:rPr>
                <w:rFonts w:ascii="宋体" w:hAnsi="宋体"/>
                <w:sz w:val="18"/>
                <w:szCs w:val="18"/>
              </w:rPr>
              <w:t>知识点</w:t>
            </w:r>
          </w:p>
        </w:tc>
        <w:tc>
          <w:tcPr>
            <w:tcW w:w="1327" w:type="pct"/>
            <w:vAlign w:val="center"/>
          </w:tcPr>
          <w:p>
            <w:pPr>
              <w:jc w:val="center"/>
              <w:rPr>
                <w:rFonts w:ascii="宋体" w:hAnsi="宋体"/>
                <w:sz w:val="18"/>
                <w:szCs w:val="18"/>
              </w:rPr>
            </w:pPr>
            <w:r>
              <w:rPr>
                <w:rFonts w:ascii="宋体" w:hAnsi="宋体"/>
                <w:sz w:val="18"/>
                <w:szCs w:val="18"/>
              </w:rPr>
              <w:t>权重</w:t>
            </w:r>
          </w:p>
        </w:tc>
        <w:tc>
          <w:tcPr>
            <w:tcW w:w="1248" w:type="pct"/>
            <w:vAlign w:val="center"/>
          </w:tcPr>
          <w:p>
            <w:pPr>
              <w:jc w:val="center"/>
              <w:rPr>
                <w:rFonts w:ascii="宋体" w:hAnsi="宋体"/>
                <w:sz w:val="18"/>
                <w:szCs w:val="18"/>
              </w:rPr>
            </w:pPr>
            <w:r>
              <w:rPr>
                <w:rFonts w:ascii="宋体" w:hAnsi="宋体"/>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1、计算机的构成体系和计算机的层次结构</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2、8086/8088CPU的内部结构、工作方式、外部引脚、时序及总线操作</w:t>
            </w:r>
          </w:p>
        </w:tc>
        <w:tc>
          <w:tcPr>
            <w:tcW w:w="1327" w:type="pct"/>
            <w:vAlign w:val="center"/>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3、指令寻址方式、指令功能</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4、汇编语言程序设计</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5、微机存储系统</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6、输入/输出及中断技术</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7、并行通信接口</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8、定时器/计数器</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9、A/D、D/A转换器接口</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5" w:type="pct"/>
            <w:vAlign w:val="center"/>
          </w:tcPr>
          <w:p>
            <w:pPr>
              <w:widowControl/>
              <w:ind w:left="444" w:leftChars="83" w:hanging="270" w:hangingChars="150"/>
              <w:jc w:val="left"/>
              <w:rPr>
                <w:bCs/>
                <w:snapToGrid w:val="0"/>
                <w:kern w:val="0"/>
                <w:sz w:val="18"/>
                <w:szCs w:val="18"/>
              </w:rPr>
            </w:pPr>
            <w:r>
              <w:rPr>
                <w:bCs/>
                <w:snapToGrid w:val="0"/>
                <w:kern w:val="0"/>
                <w:sz w:val="18"/>
                <w:szCs w:val="18"/>
              </w:rPr>
              <w:t>10、键盘、显示器接口</w:t>
            </w:r>
          </w:p>
        </w:tc>
        <w:tc>
          <w:tcPr>
            <w:tcW w:w="1327" w:type="pct"/>
          </w:tcPr>
          <w:p>
            <w:pPr>
              <w:widowControl/>
              <w:jc w:val="center"/>
              <w:rPr>
                <w:bCs/>
                <w:snapToGrid w:val="0"/>
                <w:kern w:val="0"/>
                <w:sz w:val="18"/>
                <w:szCs w:val="18"/>
              </w:rPr>
            </w:pPr>
            <w:r>
              <w:rPr>
                <w:sz w:val="18"/>
                <w:szCs w:val="18"/>
              </w:rPr>
              <w:t>0.1</w:t>
            </w:r>
          </w:p>
        </w:tc>
        <w:tc>
          <w:tcPr>
            <w:tcW w:w="1248" w:type="pct"/>
            <w:vAlign w:val="center"/>
          </w:tcPr>
          <w:p>
            <w:pPr>
              <w:widowControl/>
              <w:jc w:val="center"/>
              <w:rPr>
                <w:bCs/>
                <w:snapToGrid w:val="0"/>
                <w:kern w:val="0"/>
                <w:sz w:val="18"/>
                <w:szCs w:val="18"/>
              </w:rPr>
            </w:pPr>
            <w:r>
              <w:rPr>
                <w:bCs/>
                <w:snapToGrid w:val="0"/>
                <w:kern w:val="0"/>
                <w:sz w:val="18"/>
                <w:szCs w:val="18"/>
              </w:rPr>
              <w:t>3</w:t>
            </w:r>
          </w:p>
        </w:tc>
      </w:tr>
    </w:tbl>
    <w:p>
      <w:pPr>
        <w:spacing w:before="120" w:beforeLines="50" w:line="360" w:lineRule="auto"/>
        <w:ind w:firstLine="420" w:firstLineChars="200"/>
        <w:rPr>
          <w:color w:val="000000" w:themeColor="text1"/>
          <w:szCs w:val="21"/>
          <w14:textFill>
            <w14:solidFill>
              <w14:schemeClr w14:val="tx1"/>
            </w14:solidFill>
          </w14:textFill>
        </w:rPr>
        <w:sectPr>
          <w:footerReference r:id="rId24" w:type="default"/>
          <w:pgSz w:w="11906" w:h="16838"/>
          <w:pgMar w:top="1440" w:right="1797" w:bottom="1440" w:left="1797" w:header="851" w:footer="992" w:gutter="0"/>
          <w:cols w:space="425" w:num="1"/>
          <w:docGrid w:linePitch="312" w:charSpace="0"/>
        </w:sectPr>
      </w:pPr>
      <w:r>
        <w:rPr>
          <w:rFonts w:hint="eastAsia"/>
          <w:color w:val="000000" w:themeColor="text1"/>
          <w:szCs w:val="21"/>
          <w14:textFill>
            <w14:solidFill>
              <w14:schemeClr w14:val="tx1"/>
            </w14:solidFill>
          </w14:textFill>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rPr>
          <w:highlight w:val="yellow"/>
        </w:rPr>
      </w:pPr>
      <w:r>
        <w:rPr>
          <w:rFonts w:hint="eastAsia"/>
        </w:rPr>
        <w:t>各环节对课程目标达成评价所使用到的权重占比分配及考核权重分配</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962"/>
        <w:gridCol w:w="996"/>
        <w:gridCol w:w="999"/>
        <w:gridCol w:w="996"/>
        <w:gridCol w:w="1001"/>
        <w:gridCol w:w="996"/>
        <w:gridCol w:w="999"/>
        <w:gridCol w:w="996"/>
        <w:gridCol w:w="1001"/>
        <w:gridCol w:w="1091"/>
        <w:gridCol w:w="1091"/>
        <w:gridCol w:w="1091"/>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Merge w:val="restart"/>
            <w:vAlign w:val="center"/>
          </w:tcPr>
          <w:p>
            <w:pPr>
              <w:jc w:val="center"/>
              <w:rPr>
                <w:sz w:val="18"/>
                <w:szCs w:val="18"/>
                <w:highlight w:val="yellow"/>
              </w:rPr>
            </w:pPr>
            <w:r>
              <w:rPr>
                <w:kern w:val="0"/>
                <w:sz w:val="18"/>
                <w:szCs w:val="18"/>
              </w:rPr>
              <w:t>课程目标</w:t>
            </w:r>
          </w:p>
        </w:tc>
        <w:tc>
          <w:tcPr>
            <w:tcW w:w="345" w:type="pct"/>
            <w:vMerge w:val="restart"/>
            <w:vAlign w:val="center"/>
          </w:tcPr>
          <w:p>
            <w:pPr>
              <w:widowControl/>
              <w:jc w:val="center"/>
              <w:rPr>
                <w:kern w:val="0"/>
                <w:sz w:val="18"/>
                <w:szCs w:val="18"/>
              </w:rPr>
            </w:pPr>
            <w:r>
              <w:rPr>
                <w:kern w:val="0"/>
                <w:sz w:val="18"/>
                <w:szCs w:val="18"/>
              </w:rPr>
              <w:t>知识面比例</w:t>
            </w:r>
          </w:p>
          <w:p>
            <w:pPr>
              <w:jc w:val="center"/>
              <w:rPr>
                <w:kern w:val="0"/>
                <w:sz w:val="18"/>
                <w:szCs w:val="18"/>
              </w:rPr>
            </w:pPr>
            <w:r>
              <w:rPr>
                <w:kern w:val="0"/>
                <w:sz w:val="18"/>
                <w:szCs w:val="18"/>
              </w:rPr>
              <w:t>（本列总和为1）</w:t>
            </w:r>
          </w:p>
          <w:p>
            <w:pPr>
              <w:jc w:val="center"/>
              <w:rPr>
                <w:sz w:val="18"/>
                <w:szCs w:val="18"/>
                <w:highlight w:val="yellow"/>
              </w:rPr>
            </w:pPr>
            <w:r>
              <w:rPr>
                <w:i/>
                <w:kern w:val="0"/>
                <w:sz w:val="18"/>
                <w:szCs w:val="18"/>
              </w:rPr>
              <w:t>P</w:t>
            </w:r>
            <w:r>
              <w:rPr>
                <w:i/>
                <w:kern w:val="0"/>
                <w:sz w:val="18"/>
                <w:szCs w:val="18"/>
                <w:vertAlign w:val="subscript"/>
              </w:rPr>
              <w:t>i</w:t>
            </w:r>
          </w:p>
        </w:tc>
        <w:tc>
          <w:tcPr>
            <w:tcW w:w="1431" w:type="pct"/>
            <w:gridSpan w:val="4"/>
            <w:vAlign w:val="center"/>
          </w:tcPr>
          <w:p>
            <w:pPr>
              <w:jc w:val="center"/>
              <w:rPr>
                <w:sz w:val="18"/>
                <w:szCs w:val="18"/>
                <w:highlight w:val="yellow"/>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431" w:type="pct"/>
            <w:gridSpan w:val="4"/>
            <w:vAlign w:val="center"/>
          </w:tcPr>
          <w:p>
            <w:pPr>
              <w:jc w:val="center"/>
              <w:rPr>
                <w:sz w:val="18"/>
                <w:szCs w:val="18"/>
                <w:highlight w:val="yellow"/>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566" w:type="pct"/>
            <w:gridSpan w:val="4"/>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sz w:val="18"/>
                <w:szCs w:val="18"/>
                <w:highlight w:val="yellow"/>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Merge w:val="continue"/>
          </w:tcPr>
          <w:p>
            <w:pPr>
              <w:jc w:val="center"/>
              <w:rPr>
                <w:sz w:val="18"/>
                <w:szCs w:val="18"/>
                <w:highlight w:val="yellow"/>
              </w:rPr>
            </w:pPr>
          </w:p>
        </w:tc>
        <w:tc>
          <w:tcPr>
            <w:tcW w:w="345" w:type="pct"/>
            <w:vMerge w:val="continue"/>
          </w:tcPr>
          <w:p>
            <w:pPr>
              <w:jc w:val="center"/>
              <w:rPr>
                <w:sz w:val="18"/>
                <w:szCs w:val="18"/>
                <w:highlight w:val="yellow"/>
              </w:rPr>
            </w:pPr>
          </w:p>
        </w:tc>
        <w:tc>
          <w:tcPr>
            <w:tcW w:w="357" w:type="pct"/>
            <w:vAlign w:val="center"/>
          </w:tcPr>
          <w:p>
            <w:pPr>
              <w:jc w:val="center"/>
              <w:rPr>
                <w:kern w:val="0"/>
                <w:sz w:val="18"/>
                <w:szCs w:val="18"/>
              </w:rPr>
            </w:pPr>
            <w:r>
              <w:rPr>
                <w:kern w:val="0"/>
                <w:sz w:val="18"/>
                <w:szCs w:val="18"/>
              </w:rPr>
              <w:t>课堂情况</w:t>
            </w:r>
          </w:p>
        </w:tc>
        <w:tc>
          <w:tcPr>
            <w:tcW w:w="358" w:type="pct"/>
            <w:vAlign w:val="center"/>
          </w:tcPr>
          <w:p>
            <w:pPr>
              <w:jc w:val="center"/>
              <w:rPr>
                <w:kern w:val="0"/>
                <w:sz w:val="18"/>
                <w:szCs w:val="18"/>
              </w:rPr>
            </w:pPr>
            <w:r>
              <w:rPr>
                <w:kern w:val="0"/>
                <w:sz w:val="18"/>
                <w:szCs w:val="18"/>
              </w:rPr>
              <w:t>作业</w:t>
            </w:r>
          </w:p>
        </w:tc>
        <w:tc>
          <w:tcPr>
            <w:tcW w:w="357" w:type="pct"/>
            <w:vAlign w:val="center"/>
          </w:tcPr>
          <w:p>
            <w:pPr>
              <w:jc w:val="center"/>
              <w:rPr>
                <w:kern w:val="0"/>
                <w:sz w:val="18"/>
                <w:szCs w:val="18"/>
              </w:rPr>
            </w:pPr>
            <w:r>
              <w:rPr>
                <w:kern w:val="0"/>
                <w:sz w:val="18"/>
                <w:szCs w:val="18"/>
              </w:rPr>
              <w:t>实验</w:t>
            </w:r>
          </w:p>
        </w:tc>
        <w:tc>
          <w:tcPr>
            <w:tcW w:w="358" w:type="pct"/>
            <w:vAlign w:val="center"/>
          </w:tcPr>
          <w:p>
            <w:pPr>
              <w:jc w:val="center"/>
              <w:rPr>
                <w:kern w:val="0"/>
                <w:sz w:val="18"/>
                <w:szCs w:val="18"/>
              </w:rPr>
            </w:pPr>
            <w:r>
              <w:rPr>
                <w:kern w:val="0"/>
                <w:sz w:val="18"/>
                <w:szCs w:val="18"/>
              </w:rPr>
              <w:t>期末考试</w:t>
            </w:r>
          </w:p>
        </w:tc>
        <w:tc>
          <w:tcPr>
            <w:tcW w:w="357" w:type="pct"/>
            <w:vAlign w:val="center"/>
          </w:tcPr>
          <w:p>
            <w:pPr>
              <w:jc w:val="center"/>
              <w:rPr>
                <w:sz w:val="18"/>
                <w:szCs w:val="18"/>
                <w:highlight w:val="yellow"/>
              </w:rPr>
            </w:pPr>
            <w:r>
              <w:rPr>
                <w:kern w:val="0"/>
                <w:sz w:val="18"/>
                <w:szCs w:val="18"/>
              </w:rPr>
              <w:t>课堂情况</w:t>
            </w:r>
          </w:p>
        </w:tc>
        <w:tc>
          <w:tcPr>
            <w:tcW w:w="358" w:type="pct"/>
            <w:vAlign w:val="center"/>
          </w:tcPr>
          <w:p>
            <w:pPr>
              <w:jc w:val="center"/>
              <w:rPr>
                <w:sz w:val="18"/>
                <w:szCs w:val="18"/>
                <w:highlight w:val="yellow"/>
              </w:rPr>
            </w:pPr>
            <w:r>
              <w:rPr>
                <w:kern w:val="0"/>
                <w:sz w:val="18"/>
                <w:szCs w:val="18"/>
              </w:rPr>
              <w:t>作业</w:t>
            </w:r>
          </w:p>
        </w:tc>
        <w:tc>
          <w:tcPr>
            <w:tcW w:w="357" w:type="pct"/>
            <w:vAlign w:val="center"/>
          </w:tcPr>
          <w:p>
            <w:pPr>
              <w:jc w:val="center"/>
              <w:rPr>
                <w:sz w:val="18"/>
                <w:szCs w:val="18"/>
                <w:highlight w:val="yellow"/>
              </w:rPr>
            </w:pPr>
            <w:r>
              <w:rPr>
                <w:kern w:val="0"/>
                <w:sz w:val="18"/>
                <w:szCs w:val="18"/>
              </w:rPr>
              <w:t>实验</w:t>
            </w:r>
          </w:p>
        </w:tc>
        <w:tc>
          <w:tcPr>
            <w:tcW w:w="358" w:type="pct"/>
            <w:vAlign w:val="center"/>
          </w:tcPr>
          <w:p>
            <w:pPr>
              <w:jc w:val="center"/>
              <w:rPr>
                <w:sz w:val="18"/>
                <w:szCs w:val="18"/>
                <w:highlight w:val="yellow"/>
              </w:rPr>
            </w:pPr>
            <w:r>
              <w:rPr>
                <w:kern w:val="0"/>
                <w:sz w:val="18"/>
                <w:szCs w:val="18"/>
              </w:rPr>
              <w:t>期末考试</w:t>
            </w:r>
          </w:p>
        </w:tc>
        <w:tc>
          <w:tcPr>
            <w:tcW w:w="391" w:type="pct"/>
            <w:vAlign w:val="center"/>
          </w:tcPr>
          <w:p>
            <w:pPr>
              <w:jc w:val="center"/>
              <w:rPr>
                <w:sz w:val="18"/>
                <w:szCs w:val="18"/>
                <w:highlight w:val="yellow"/>
              </w:rPr>
            </w:pPr>
            <w:r>
              <w:rPr>
                <w:kern w:val="0"/>
                <w:sz w:val="18"/>
                <w:szCs w:val="18"/>
              </w:rPr>
              <w:t>课堂情况</w:t>
            </w:r>
          </w:p>
        </w:tc>
        <w:tc>
          <w:tcPr>
            <w:tcW w:w="391" w:type="pct"/>
            <w:vAlign w:val="center"/>
          </w:tcPr>
          <w:p>
            <w:pPr>
              <w:jc w:val="center"/>
              <w:rPr>
                <w:sz w:val="18"/>
                <w:szCs w:val="18"/>
                <w:highlight w:val="yellow"/>
              </w:rPr>
            </w:pPr>
            <w:r>
              <w:rPr>
                <w:kern w:val="0"/>
                <w:sz w:val="18"/>
                <w:szCs w:val="18"/>
              </w:rPr>
              <w:t>作业</w:t>
            </w:r>
          </w:p>
        </w:tc>
        <w:tc>
          <w:tcPr>
            <w:tcW w:w="391" w:type="pct"/>
            <w:vAlign w:val="center"/>
          </w:tcPr>
          <w:p>
            <w:pPr>
              <w:jc w:val="center"/>
              <w:rPr>
                <w:sz w:val="18"/>
                <w:szCs w:val="18"/>
                <w:highlight w:val="yellow"/>
              </w:rPr>
            </w:pPr>
            <w:r>
              <w:rPr>
                <w:kern w:val="0"/>
                <w:sz w:val="18"/>
                <w:szCs w:val="18"/>
              </w:rPr>
              <w:t>实验</w:t>
            </w:r>
          </w:p>
        </w:tc>
        <w:tc>
          <w:tcPr>
            <w:tcW w:w="392" w:type="pct"/>
            <w:vAlign w:val="center"/>
          </w:tcPr>
          <w:p>
            <w:pPr>
              <w:jc w:val="center"/>
              <w:rPr>
                <w:sz w:val="18"/>
                <w:szCs w:val="18"/>
                <w:highlight w:val="yellow"/>
              </w:rPr>
            </w:pPr>
            <w:r>
              <w:rPr>
                <w:kern w:val="0"/>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28" w:type="pct"/>
            <w:vAlign w:val="center"/>
          </w:tcPr>
          <w:p>
            <w:pPr>
              <w:jc w:val="center"/>
              <w:rPr>
                <w:b/>
                <w:bCs/>
                <w:sz w:val="18"/>
                <w:szCs w:val="18"/>
              </w:rPr>
            </w:pPr>
            <w:r>
              <w:rPr>
                <w:b/>
                <w:bCs/>
                <w:sz w:val="18"/>
                <w:szCs w:val="18"/>
              </w:rPr>
              <w:t>1</w:t>
            </w:r>
          </w:p>
        </w:tc>
        <w:tc>
          <w:tcPr>
            <w:tcW w:w="962" w:type="dxa"/>
            <w:vAlign w:val="center"/>
          </w:tcPr>
          <w:p>
            <w:pPr>
              <w:jc w:val="center"/>
              <w:rPr>
                <w:color w:val="FF0000"/>
                <w:sz w:val="18"/>
                <w:szCs w:val="18"/>
              </w:rPr>
            </w:pPr>
            <w:r>
              <w:rPr>
                <w:color w:val="FF0000"/>
                <w:kern w:val="0"/>
                <w:sz w:val="18"/>
                <w:szCs w:val="18"/>
              </w:rPr>
              <w:t>0.4</w:t>
            </w:r>
          </w:p>
        </w:tc>
        <w:tc>
          <w:tcPr>
            <w:tcW w:w="996" w:type="dxa"/>
            <w:vAlign w:val="center"/>
          </w:tcPr>
          <w:p>
            <w:pPr>
              <w:jc w:val="center"/>
              <w:rPr>
                <w:color w:val="FF0000"/>
                <w:sz w:val="18"/>
                <w:szCs w:val="18"/>
              </w:rPr>
            </w:pPr>
            <w:r>
              <w:rPr>
                <w:color w:val="FF0000"/>
                <w:kern w:val="0"/>
                <w:sz w:val="18"/>
                <w:szCs w:val="18"/>
              </w:rPr>
              <w:t>0.1</w:t>
            </w:r>
          </w:p>
        </w:tc>
        <w:tc>
          <w:tcPr>
            <w:tcW w:w="999" w:type="dxa"/>
            <w:vAlign w:val="center"/>
          </w:tcPr>
          <w:p>
            <w:pPr>
              <w:jc w:val="center"/>
              <w:rPr>
                <w:color w:val="FF0000"/>
                <w:sz w:val="18"/>
                <w:szCs w:val="18"/>
              </w:rPr>
            </w:pPr>
            <w:r>
              <w:rPr>
                <w:color w:val="FF0000"/>
                <w:kern w:val="0"/>
                <w:sz w:val="18"/>
                <w:szCs w:val="18"/>
              </w:rPr>
              <w:t>0.2</w:t>
            </w:r>
          </w:p>
        </w:tc>
        <w:tc>
          <w:tcPr>
            <w:tcW w:w="996" w:type="dxa"/>
            <w:vAlign w:val="center"/>
          </w:tcPr>
          <w:p>
            <w:pPr>
              <w:jc w:val="center"/>
              <w:rPr>
                <w:color w:val="FF0000"/>
                <w:sz w:val="18"/>
                <w:szCs w:val="18"/>
              </w:rPr>
            </w:pPr>
            <w:r>
              <w:rPr>
                <w:color w:val="FF0000"/>
                <w:kern w:val="0"/>
                <w:sz w:val="18"/>
                <w:szCs w:val="18"/>
              </w:rPr>
              <w:t>0.04</w:t>
            </w:r>
          </w:p>
        </w:tc>
        <w:tc>
          <w:tcPr>
            <w:tcW w:w="1001" w:type="dxa"/>
            <w:vAlign w:val="center"/>
          </w:tcPr>
          <w:p>
            <w:pPr>
              <w:jc w:val="center"/>
              <w:rPr>
                <w:color w:val="FF0000"/>
                <w:sz w:val="18"/>
                <w:szCs w:val="18"/>
              </w:rPr>
            </w:pPr>
            <w:r>
              <w:rPr>
                <w:color w:val="FF0000"/>
                <w:kern w:val="0"/>
                <w:sz w:val="18"/>
                <w:szCs w:val="18"/>
              </w:rPr>
              <w:t>0.66</w:t>
            </w:r>
          </w:p>
        </w:tc>
        <w:tc>
          <w:tcPr>
            <w:tcW w:w="996" w:type="dxa"/>
            <w:vAlign w:val="center"/>
          </w:tcPr>
          <w:p>
            <w:pPr>
              <w:jc w:val="center"/>
              <w:rPr>
                <w:color w:val="FF0000"/>
                <w:sz w:val="18"/>
                <w:szCs w:val="18"/>
              </w:rPr>
            </w:pPr>
            <w:r>
              <w:rPr>
                <w:color w:val="FF0000"/>
                <w:kern w:val="0"/>
                <w:sz w:val="18"/>
                <w:szCs w:val="18"/>
              </w:rPr>
              <w:t>0.04</w:t>
            </w:r>
          </w:p>
        </w:tc>
        <w:tc>
          <w:tcPr>
            <w:tcW w:w="999" w:type="dxa"/>
            <w:vAlign w:val="center"/>
          </w:tcPr>
          <w:p>
            <w:pPr>
              <w:jc w:val="center"/>
              <w:rPr>
                <w:color w:val="FF0000"/>
                <w:sz w:val="18"/>
                <w:szCs w:val="18"/>
              </w:rPr>
            </w:pPr>
            <w:r>
              <w:rPr>
                <w:color w:val="FF0000"/>
                <w:kern w:val="0"/>
                <w:sz w:val="18"/>
                <w:szCs w:val="18"/>
              </w:rPr>
              <w:t>0.08</w:t>
            </w:r>
          </w:p>
        </w:tc>
        <w:tc>
          <w:tcPr>
            <w:tcW w:w="996" w:type="dxa"/>
            <w:vAlign w:val="center"/>
          </w:tcPr>
          <w:p>
            <w:pPr>
              <w:jc w:val="center"/>
              <w:rPr>
                <w:color w:val="FF0000"/>
                <w:sz w:val="18"/>
                <w:szCs w:val="18"/>
              </w:rPr>
            </w:pPr>
            <w:r>
              <w:rPr>
                <w:color w:val="FF0000"/>
                <w:kern w:val="0"/>
                <w:sz w:val="18"/>
                <w:szCs w:val="18"/>
              </w:rPr>
              <w:t>0.016</w:t>
            </w:r>
          </w:p>
        </w:tc>
        <w:tc>
          <w:tcPr>
            <w:tcW w:w="1001" w:type="dxa"/>
            <w:vAlign w:val="center"/>
          </w:tcPr>
          <w:p>
            <w:pPr>
              <w:jc w:val="center"/>
              <w:rPr>
                <w:color w:val="FF0000"/>
                <w:sz w:val="18"/>
                <w:szCs w:val="18"/>
              </w:rPr>
            </w:pPr>
            <w:r>
              <w:rPr>
                <w:color w:val="FF0000"/>
                <w:kern w:val="0"/>
                <w:sz w:val="18"/>
                <w:szCs w:val="18"/>
              </w:rPr>
              <w:t>0.264</w:t>
            </w:r>
          </w:p>
        </w:tc>
        <w:tc>
          <w:tcPr>
            <w:tcW w:w="1091" w:type="dxa"/>
            <w:vAlign w:val="center"/>
          </w:tcPr>
          <w:p>
            <w:pPr>
              <w:jc w:val="center"/>
              <w:rPr>
                <w:color w:val="FF0000"/>
                <w:sz w:val="18"/>
                <w:szCs w:val="18"/>
              </w:rPr>
            </w:pPr>
            <w:r>
              <w:rPr>
                <w:color w:val="FF0000"/>
                <w:kern w:val="0"/>
                <w:sz w:val="18"/>
                <w:szCs w:val="18"/>
              </w:rPr>
              <w:t>0.4</w:t>
            </w:r>
          </w:p>
        </w:tc>
        <w:tc>
          <w:tcPr>
            <w:tcW w:w="1091" w:type="dxa"/>
            <w:vAlign w:val="center"/>
          </w:tcPr>
          <w:p>
            <w:pPr>
              <w:jc w:val="center"/>
              <w:rPr>
                <w:color w:val="FF0000"/>
                <w:sz w:val="18"/>
                <w:szCs w:val="18"/>
              </w:rPr>
            </w:pPr>
            <w:r>
              <w:rPr>
                <w:color w:val="FF0000"/>
                <w:kern w:val="0"/>
                <w:sz w:val="18"/>
                <w:szCs w:val="18"/>
              </w:rPr>
              <w:t>0.4</w:t>
            </w:r>
          </w:p>
        </w:tc>
        <w:tc>
          <w:tcPr>
            <w:tcW w:w="1091" w:type="dxa"/>
            <w:vAlign w:val="center"/>
          </w:tcPr>
          <w:p>
            <w:pPr>
              <w:jc w:val="center"/>
              <w:rPr>
                <w:color w:val="FF0000"/>
                <w:sz w:val="18"/>
                <w:szCs w:val="18"/>
              </w:rPr>
            </w:pPr>
            <w:r>
              <w:rPr>
                <w:color w:val="FF0000"/>
                <w:kern w:val="0"/>
                <w:sz w:val="18"/>
                <w:szCs w:val="18"/>
              </w:rPr>
              <w:t>0.16</w:t>
            </w:r>
          </w:p>
        </w:tc>
        <w:tc>
          <w:tcPr>
            <w:tcW w:w="1094" w:type="dxa"/>
            <w:vAlign w:val="center"/>
          </w:tcPr>
          <w:p>
            <w:pPr>
              <w:jc w:val="center"/>
              <w:rPr>
                <w:color w:val="FF0000"/>
                <w:sz w:val="18"/>
                <w:szCs w:val="18"/>
              </w:rPr>
            </w:pPr>
            <w:r>
              <w:rPr>
                <w:color w:val="FF0000"/>
                <w:kern w:val="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28" w:type="pct"/>
            <w:vAlign w:val="center"/>
          </w:tcPr>
          <w:p>
            <w:pPr>
              <w:jc w:val="center"/>
              <w:rPr>
                <w:b/>
                <w:bCs/>
                <w:sz w:val="18"/>
                <w:szCs w:val="18"/>
              </w:rPr>
            </w:pPr>
            <w:r>
              <w:rPr>
                <w:b/>
                <w:bCs/>
                <w:sz w:val="18"/>
                <w:szCs w:val="18"/>
              </w:rPr>
              <w:t>2</w:t>
            </w:r>
          </w:p>
        </w:tc>
        <w:tc>
          <w:tcPr>
            <w:tcW w:w="962" w:type="dxa"/>
            <w:vAlign w:val="center"/>
          </w:tcPr>
          <w:p>
            <w:pPr>
              <w:jc w:val="center"/>
              <w:rPr>
                <w:color w:val="FF0000"/>
                <w:sz w:val="18"/>
                <w:szCs w:val="18"/>
              </w:rPr>
            </w:pPr>
            <w:r>
              <w:rPr>
                <w:color w:val="FF0000"/>
                <w:kern w:val="0"/>
                <w:sz w:val="18"/>
                <w:szCs w:val="18"/>
              </w:rPr>
              <w:t>0.3</w:t>
            </w:r>
          </w:p>
        </w:tc>
        <w:tc>
          <w:tcPr>
            <w:tcW w:w="996" w:type="dxa"/>
            <w:vAlign w:val="center"/>
          </w:tcPr>
          <w:p>
            <w:pPr>
              <w:jc w:val="center"/>
              <w:rPr>
                <w:color w:val="FF0000"/>
                <w:sz w:val="18"/>
                <w:szCs w:val="18"/>
              </w:rPr>
            </w:pPr>
            <w:r>
              <w:rPr>
                <w:color w:val="FF0000"/>
                <w:kern w:val="0"/>
                <w:sz w:val="18"/>
                <w:szCs w:val="18"/>
              </w:rPr>
              <w:t>0.1</w:t>
            </w:r>
          </w:p>
        </w:tc>
        <w:tc>
          <w:tcPr>
            <w:tcW w:w="999" w:type="dxa"/>
            <w:vAlign w:val="center"/>
          </w:tcPr>
          <w:p>
            <w:pPr>
              <w:jc w:val="center"/>
              <w:rPr>
                <w:color w:val="FF0000"/>
                <w:sz w:val="18"/>
                <w:szCs w:val="18"/>
              </w:rPr>
            </w:pPr>
            <w:r>
              <w:rPr>
                <w:color w:val="FF0000"/>
                <w:kern w:val="0"/>
                <w:sz w:val="18"/>
                <w:szCs w:val="18"/>
              </w:rPr>
              <w:t>0.24</w:t>
            </w:r>
          </w:p>
        </w:tc>
        <w:tc>
          <w:tcPr>
            <w:tcW w:w="996" w:type="dxa"/>
            <w:vAlign w:val="center"/>
          </w:tcPr>
          <w:p>
            <w:pPr>
              <w:jc w:val="center"/>
              <w:rPr>
                <w:color w:val="FF0000"/>
                <w:sz w:val="18"/>
                <w:szCs w:val="18"/>
              </w:rPr>
            </w:pPr>
            <w:r>
              <w:rPr>
                <w:color w:val="FF0000"/>
                <w:kern w:val="0"/>
                <w:sz w:val="18"/>
                <w:szCs w:val="18"/>
              </w:rPr>
              <w:t>0.14</w:t>
            </w:r>
          </w:p>
        </w:tc>
        <w:tc>
          <w:tcPr>
            <w:tcW w:w="1001" w:type="dxa"/>
            <w:vAlign w:val="center"/>
          </w:tcPr>
          <w:p>
            <w:pPr>
              <w:jc w:val="center"/>
              <w:rPr>
                <w:color w:val="FF0000"/>
                <w:sz w:val="18"/>
                <w:szCs w:val="18"/>
              </w:rPr>
            </w:pPr>
            <w:r>
              <w:rPr>
                <w:color w:val="FF0000"/>
                <w:kern w:val="0"/>
                <w:sz w:val="18"/>
                <w:szCs w:val="18"/>
              </w:rPr>
              <w:t>0.52</w:t>
            </w:r>
          </w:p>
        </w:tc>
        <w:tc>
          <w:tcPr>
            <w:tcW w:w="996" w:type="dxa"/>
            <w:vAlign w:val="center"/>
          </w:tcPr>
          <w:p>
            <w:pPr>
              <w:jc w:val="center"/>
              <w:rPr>
                <w:color w:val="FF0000"/>
                <w:sz w:val="18"/>
                <w:szCs w:val="18"/>
              </w:rPr>
            </w:pPr>
            <w:r>
              <w:rPr>
                <w:color w:val="FF0000"/>
                <w:kern w:val="0"/>
                <w:sz w:val="18"/>
                <w:szCs w:val="18"/>
              </w:rPr>
              <w:t>0.03</w:t>
            </w:r>
          </w:p>
        </w:tc>
        <w:tc>
          <w:tcPr>
            <w:tcW w:w="999" w:type="dxa"/>
            <w:vAlign w:val="center"/>
          </w:tcPr>
          <w:p>
            <w:pPr>
              <w:jc w:val="center"/>
              <w:rPr>
                <w:color w:val="FF0000"/>
                <w:sz w:val="18"/>
                <w:szCs w:val="18"/>
              </w:rPr>
            </w:pPr>
            <w:r>
              <w:rPr>
                <w:color w:val="FF0000"/>
                <w:kern w:val="0"/>
                <w:sz w:val="18"/>
                <w:szCs w:val="18"/>
              </w:rPr>
              <w:t>0.072</w:t>
            </w:r>
          </w:p>
        </w:tc>
        <w:tc>
          <w:tcPr>
            <w:tcW w:w="996" w:type="dxa"/>
            <w:vAlign w:val="center"/>
          </w:tcPr>
          <w:p>
            <w:pPr>
              <w:jc w:val="center"/>
              <w:rPr>
                <w:color w:val="FF0000"/>
                <w:sz w:val="18"/>
                <w:szCs w:val="18"/>
              </w:rPr>
            </w:pPr>
            <w:r>
              <w:rPr>
                <w:color w:val="FF0000"/>
                <w:kern w:val="0"/>
                <w:sz w:val="18"/>
                <w:szCs w:val="18"/>
              </w:rPr>
              <w:t>0.042</w:t>
            </w:r>
          </w:p>
        </w:tc>
        <w:tc>
          <w:tcPr>
            <w:tcW w:w="1001" w:type="dxa"/>
            <w:vAlign w:val="center"/>
          </w:tcPr>
          <w:p>
            <w:pPr>
              <w:jc w:val="center"/>
              <w:rPr>
                <w:color w:val="FF0000"/>
                <w:sz w:val="18"/>
                <w:szCs w:val="18"/>
              </w:rPr>
            </w:pPr>
            <w:r>
              <w:rPr>
                <w:color w:val="FF0000"/>
                <w:kern w:val="0"/>
                <w:sz w:val="18"/>
                <w:szCs w:val="18"/>
              </w:rPr>
              <w:t>0.156</w:t>
            </w:r>
          </w:p>
        </w:tc>
        <w:tc>
          <w:tcPr>
            <w:tcW w:w="1091" w:type="dxa"/>
            <w:vAlign w:val="center"/>
          </w:tcPr>
          <w:p>
            <w:pPr>
              <w:jc w:val="center"/>
              <w:rPr>
                <w:color w:val="FF0000"/>
                <w:sz w:val="18"/>
                <w:szCs w:val="18"/>
              </w:rPr>
            </w:pPr>
            <w:r>
              <w:rPr>
                <w:color w:val="FF0000"/>
                <w:kern w:val="0"/>
                <w:sz w:val="18"/>
                <w:szCs w:val="18"/>
              </w:rPr>
              <w:t>0.3</w:t>
            </w:r>
          </w:p>
        </w:tc>
        <w:tc>
          <w:tcPr>
            <w:tcW w:w="1091" w:type="dxa"/>
            <w:vAlign w:val="center"/>
          </w:tcPr>
          <w:p>
            <w:pPr>
              <w:jc w:val="center"/>
              <w:rPr>
                <w:color w:val="FF0000"/>
                <w:sz w:val="18"/>
                <w:szCs w:val="18"/>
              </w:rPr>
            </w:pPr>
            <w:r>
              <w:rPr>
                <w:color w:val="FF0000"/>
                <w:kern w:val="0"/>
                <w:sz w:val="18"/>
                <w:szCs w:val="18"/>
              </w:rPr>
              <w:t>0.36</w:t>
            </w:r>
          </w:p>
        </w:tc>
        <w:tc>
          <w:tcPr>
            <w:tcW w:w="1091" w:type="dxa"/>
            <w:vAlign w:val="center"/>
          </w:tcPr>
          <w:p>
            <w:pPr>
              <w:jc w:val="center"/>
              <w:rPr>
                <w:color w:val="FF0000"/>
                <w:sz w:val="18"/>
                <w:szCs w:val="18"/>
              </w:rPr>
            </w:pPr>
            <w:r>
              <w:rPr>
                <w:color w:val="FF0000"/>
                <w:kern w:val="0"/>
                <w:sz w:val="18"/>
                <w:szCs w:val="18"/>
              </w:rPr>
              <w:t>0.42</w:t>
            </w:r>
          </w:p>
        </w:tc>
        <w:tc>
          <w:tcPr>
            <w:tcW w:w="1094" w:type="dxa"/>
            <w:vAlign w:val="center"/>
          </w:tcPr>
          <w:p>
            <w:pPr>
              <w:jc w:val="center"/>
              <w:rPr>
                <w:color w:val="FF0000"/>
                <w:sz w:val="18"/>
                <w:szCs w:val="18"/>
              </w:rPr>
            </w:pPr>
            <w:r>
              <w:rPr>
                <w:color w:val="FF0000"/>
                <w:kern w:val="0"/>
                <w:sz w:val="18"/>
                <w:szCs w:val="18"/>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28" w:type="pct"/>
            <w:vAlign w:val="center"/>
          </w:tcPr>
          <w:p>
            <w:pPr>
              <w:jc w:val="center"/>
              <w:rPr>
                <w:b/>
                <w:bCs/>
                <w:sz w:val="18"/>
                <w:szCs w:val="18"/>
              </w:rPr>
            </w:pPr>
            <w:r>
              <w:rPr>
                <w:b/>
                <w:bCs/>
                <w:sz w:val="18"/>
                <w:szCs w:val="18"/>
              </w:rPr>
              <w:t>3</w:t>
            </w:r>
          </w:p>
        </w:tc>
        <w:tc>
          <w:tcPr>
            <w:tcW w:w="962" w:type="dxa"/>
            <w:vAlign w:val="center"/>
          </w:tcPr>
          <w:p>
            <w:pPr>
              <w:jc w:val="center"/>
              <w:rPr>
                <w:color w:val="FF0000"/>
                <w:sz w:val="18"/>
                <w:szCs w:val="18"/>
              </w:rPr>
            </w:pPr>
            <w:r>
              <w:rPr>
                <w:color w:val="FF0000"/>
                <w:kern w:val="0"/>
                <w:sz w:val="18"/>
                <w:szCs w:val="18"/>
              </w:rPr>
              <w:t>0.3</w:t>
            </w:r>
          </w:p>
        </w:tc>
        <w:tc>
          <w:tcPr>
            <w:tcW w:w="996" w:type="dxa"/>
            <w:vAlign w:val="center"/>
          </w:tcPr>
          <w:p>
            <w:pPr>
              <w:jc w:val="center"/>
              <w:rPr>
                <w:color w:val="FF0000"/>
                <w:sz w:val="18"/>
                <w:szCs w:val="18"/>
              </w:rPr>
            </w:pPr>
            <w:r>
              <w:rPr>
                <w:color w:val="FF0000"/>
                <w:kern w:val="0"/>
                <w:sz w:val="18"/>
                <w:szCs w:val="18"/>
              </w:rPr>
              <w:t>0.1</w:t>
            </w:r>
          </w:p>
        </w:tc>
        <w:tc>
          <w:tcPr>
            <w:tcW w:w="999" w:type="dxa"/>
            <w:vAlign w:val="center"/>
          </w:tcPr>
          <w:p>
            <w:pPr>
              <w:jc w:val="center"/>
              <w:rPr>
                <w:color w:val="FF0000"/>
                <w:sz w:val="18"/>
                <w:szCs w:val="18"/>
              </w:rPr>
            </w:pPr>
            <w:r>
              <w:rPr>
                <w:color w:val="FF0000"/>
                <w:kern w:val="0"/>
                <w:sz w:val="18"/>
                <w:szCs w:val="18"/>
              </w:rPr>
              <w:t>0.16</w:t>
            </w:r>
          </w:p>
        </w:tc>
        <w:tc>
          <w:tcPr>
            <w:tcW w:w="996" w:type="dxa"/>
            <w:vAlign w:val="center"/>
          </w:tcPr>
          <w:p>
            <w:pPr>
              <w:jc w:val="center"/>
              <w:rPr>
                <w:color w:val="FF0000"/>
                <w:sz w:val="18"/>
                <w:szCs w:val="18"/>
              </w:rPr>
            </w:pPr>
            <w:r>
              <w:rPr>
                <w:color w:val="FF0000"/>
                <w:kern w:val="0"/>
                <w:sz w:val="18"/>
                <w:szCs w:val="18"/>
              </w:rPr>
              <w:t>0.14</w:t>
            </w:r>
          </w:p>
        </w:tc>
        <w:tc>
          <w:tcPr>
            <w:tcW w:w="1001" w:type="dxa"/>
            <w:vAlign w:val="center"/>
          </w:tcPr>
          <w:p>
            <w:pPr>
              <w:jc w:val="center"/>
              <w:rPr>
                <w:color w:val="FF0000"/>
                <w:sz w:val="18"/>
                <w:szCs w:val="18"/>
              </w:rPr>
            </w:pPr>
            <w:r>
              <w:rPr>
                <w:color w:val="FF0000"/>
                <w:kern w:val="0"/>
                <w:sz w:val="18"/>
                <w:szCs w:val="18"/>
              </w:rPr>
              <w:t>0.6</w:t>
            </w:r>
          </w:p>
        </w:tc>
        <w:tc>
          <w:tcPr>
            <w:tcW w:w="996" w:type="dxa"/>
            <w:vAlign w:val="center"/>
          </w:tcPr>
          <w:p>
            <w:pPr>
              <w:jc w:val="center"/>
              <w:rPr>
                <w:color w:val="FF0000"/>
                <w:sz w:val="18"/>
                <w:szCs w:val="18"/>
              </w:rPr>
            </w:pPr>
            <w:r>
              <w:rPr>
                <w:color w:val="FF0000"/>
                <w:kern w:val="0"/>
                <w:sz w:val="18"/>
                <w:szCs w:val="18"/>
              </w:rPr>
              <w:t>0.03</w:t>
            </w:r>
          </w:p>
        </w:tc>
        <w:tc>
          <w:tcPr>
            <w:tcW w:w="999" w:type="dxa"/>
            <w:vAlign w:val="center"/>
          </w:tcPr>
          <w:p>
            <w:pPr>
              <w:jc w:val="center"/>
              <w:rPr>
                <w:color w:val="FF0000"/>
                <w:sz w:val="18"/>
                <w:szCs w:val="18"/>
              </w:rPr>
            </w:pPr>
            <w:r>
              <w:rPr>
                <w:color w:val="FF0000"/>
                <w:kern w:val="0"/>
                <w:sz w:val="18"/>
                <w:szCs w:val="18"/>
              </w:rPr>
              <w:t>0.048</w:t>
            </w:r>
          </w:p>
        </w:tc>
        <w:tc>
          <w:tcPr>
            <w:tcW w:w="996" w:type="dxa"/>
            <w:vAlign w:val="center"/>
          </w:tcPr>
          <w:p>
            <w:pPr>
              <w:jc w:val="center"/>
              <w:rPr>
                <w:color w:val="FF0000"/>
                <w:sz w:val="18"/>
                <w:szCs w:val="18"/>
              </w:rPr>
            </w:pPr>
            <w:r>
              <w:rPr>
                <w:color w:val="FF0000"/>
                <w:kern w:val="0"/>
                <w:sz w:val="18"/>
                <w:szCs w:val="18"/>
              </w:rPr>
              <w:t>0.042</w:t>
            </w:r>
          </w:p>
        </w:tc>
        <w:tc>
          <w:tcPr>
            <w:tcW w:w="1001" w:type="dxa"/>
            <w:vAlign w:val="center"/>
          </w:tcPr>
          <w:p>
            <w:pPr>
              <w:jc w:val="center"/>
              <w:rPr>
                <w:color w:val="FF0000"/>
                <w:sz w:val="18"/>
                <w:szCs w:val="18"/>
              </w:rPr>
            </w:pPr>
            <w:r>
              <w:rPr>
                <w:color w:val="FF0000"/>
                <w:kern w:val="0"/>
                <w:sz w:val="18"/>
                <w:szCs w:val="18"/>
              </w:rPr>
              <w:t>0.18</w:t>
            </w:r>
          </w:p>
        </w:tc>
        <w:tc>
          <w:tcPr>
            <w:tcW w:w="1091" w:type="dxa"/>
            <w:vAlign w:val="center"/>
          </w:tcPr>
          <w:p>
            <w:pPr>
              <w:jc w:val="center"/>
              <w:rPr>
                <w:color w:val="FF0000"/>
                <w:sz w:val="18"/>
                <w:szCs w:val="18"/>
              </w:rPr>
            </w:pPr>
            <w:r>
              <w:rPr>
                <w:color w:val="FF0000"/>
                <w:kern w:val="0"/>
                <w:sz w:val="18"/>
                <w:szCs w:val="18"/>
              </w:rPr>
              <w:t>0.3</w:t>
            </w:r>
          </w:p>
        </w:tc>
        <w:tc>
          <w:tcPr>
            <w:tcW w:w="1091" w:type="dxa"/>
            <w:vAlign w:val="center"/>
          </w:tcPr>
          <w:p>
            <w:pPr>
              <w:jc w:val="center"/>
              <w:rPr>
                <w:color w:val="FF0000"/>
                <w:sz w:val="18"/>
                <w:szCs w:val="18"/>
              </w:rPr>
            </w:pPr>
            <w:r>
              <w:rPr>
                <w:color w:val="FF0000"/>
                <w:kern w:val="0"/>
                <w:sz w:val="18"/>
                <w:szCs w:val="18"/>
              </w:rPr>
              <w:t>0.24</w:t>
            </w:r>
          </w:p>
        </w:tc>
        <w:tc>
          <w:tcPr>
            <w:tcW w:w="1091" w:type="dxa"/>
            <w:vAlign w:val="center"/>
          </w:tcPr>
          <w:p>
            <w:pPr>
              <w:jc w:val="center"/>
              <w:rPr>
                <w:color w:val="FF0000"/>
                <w:sz w:val="18"/>
                <w:szCs w:val="18"/>
              </w:rPr>
            </w:pPr>
            <w:r>
              <w:rPr>
                <w:color w:val="FF0000"/>
                <w:kern w:val="0"/>
                <w:sz w:val="18"/>
                <w:szCs w:val="18"/>
              </w:rPr>
              <w:t>0.42</w:t>
            </w:r>
          </w:p>
        </w:tc>
        <w:tc>
          <w:tcPr>
            <w:tcW w:w="1094" w:type="dxa"/>
            <w:vAlign w:val="center"/>
          </w:tcPr>
          <w:p>
            <w:pPr>
              <w:jc w:val="center"/>
              <w:rPr>
                <w:color w:val="FF0000"/>
                <w:sz w:val="18"/>
                <w:szCs w:val="18"/>
              </w:rPr>
            </w:pPr>
            <w:r>
              <w:rPr>
                <w:color w:val="FF0000"/>
                <w:kern w:val="0"/>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003" w:type="pct"/>
            <w:gridSpan w:val="6"/>
            <w:vAlign w:val="center"/>
          </w:tcPr>
          <w:p>
            <w:pPr>
              <w:jc w:val="center"/>
              <w:rPr>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57" w:type="pct"/>
            <w:vAlign w:val="center"/>
          </w:tcPr>
          <w:p>
            <w:pPr>
              <w:jc w:val="center"/>
              <w:rPr>
                <w:sz w:val="18"/>
                <w:szCs w:val="18"/>
              </w:rPr>
            </w:pPr>
            <w:r>
              <w:rPr>
                <w:sz w:val="18"/>
                <w:szCs w:val="18"/>
              </w:rPr>
              <w:t>0.1</w:t>
            </w:r>
          </w:p>
        </w:tc>
        <w:tc>
          <w:tcPr>
            <w:tcW w:w="358" w:type="pct"/>
            <w:vAlign w:val="center"/>
          </w:tcPr>
          <w:p>
            <w:pPr>
              <w:jc w:val="center"/>
              <w:rPr>
                <w:sz w:val="18"/>
                <w:szCs w:val="18"/>
              </w:rPr>
            </w:pPr>
            <w:r>
              <w:rPr>
                <w:sz w:val="18"/>
                <w:szCs w:val="18"/>
              </w:rPr>
              <w:t>0.2</w:t>
            </w:r>
          </w:p>
        </w:tc>
        <w:tc>
          <w:tcPr>
            <w:tcW w:w="357" w:type="pct"/>
            <w:vAlign w:val="center"/>
          </w:tcPr>
          <w:p>
            <w:pPr>
              <w:jc w:val="center"/>
              <w:rPr>
                <w:sz w:val="18"/>
                <w:szCs w:val="18"/>
              </w:rPr>
            </w:pPr>
            <w:r>
              <w:rPr>
                <w:sz w:val="18"/>
                <w:szCs w:val="18"/>
              </w:rPr>
              <w:t>0.1</w:t>
            </w:r>
          </w:p>
        </w:tc>
        <w:tc>
          <w:tcPr>
            <w:tcW w:w="358" w:type="pct"/>
            <w:vAlign w:val="center"/>
          </w:tcPr>
          <w:p>
            <w:pPr>
              <w:jc w:val="center"/>
              <w:rPr>
                <w:sz w:val="18"/>
                <w:szCs w:val="18"/>
              </w:rPr>
            </w:pPr>
            <w:r>
              <w:rPr>
                <w:sz w:val="18"/>
                <w:szCs w:val="18"/>
              </w:rPr>
              <w:t>0.6</w:t>
            </w:r>
          </w:p>
        </w:tc>
        <w:tc>
          <w:tcPr>
            <w:tcW w:w="1566" w:type="pct"/>
            <w:gridSpan w:val="4"/>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tbl>
    <w:p>
      <w:pPr>
        <w:spacing w:line="360" w:lineRule="auto"/>
        <w:ind w:firstLine="420" w:firstLineChars="200"/>
        <w:jc w:val="center"/>
        <w:rPr>
          <w:highlight w:val="yellow"/>
        </w:rPr>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78" o:spt="75" type="#_x0000_t75" style="height:36pt;width:166.5pt;" o:ole="t" filled="f" o:preferrelative="t" stroked="f" coordsize="21600,21600">
            <v:path/>
            <v:fill on="f" focussize="0,0"/>
            <v:stroke on="f" joinstyle="miter"/>
            <v:imagedata r:id="rId201" o:title=""/>
            <o:lock v:ext="edit" aspectratio="t"/>
            <w10:wrap type="none"/>
            <w10:anchorlock/>
          </v:shape>
          <o:OLEObject Type="Embed" ProgID="Equation.3" ShapeID="_x0000_i1078" DrawAspect="Content" ObjectID="_1468075778" r:id="rId236">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79"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79" DrawAspect="Content" ObjectID="_1468075779" r:id="rId237">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80" o:spt="75" type="#_x0000_t75" style="height:18pt;width:13.5pt;" o:ole="t" filled="f" o:preferrelative="t" stroked="f" coordsize="21600,21600">
            <v:path/>
            <v:fill on="f" focussize="0,0"/>
            <v:stroke on="f" joinstyle="miter"/>
            <v:imagedata r:id="rId205" o:title=""/>
            <o:lock v:ext="edit" aspectratio="t"/>
            <w10:wrap type="none"/>
            <w10:anchorlock/>
          </v:shape>
          <o:OLEObject Type="Embed" ProgID="Equation.3" ShapeID="_x0000_i1080" DrawAspect="Content" ObjectID="_1468075780" r:id="rId238">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81" o:spt="75" type="#_x0000_t75" style="height:18pt;width:73.55pt;" o:ole="t" filled="f" o:preferrelative="t" stroked="f" coordsize="21600,21600">
            <v:path/>
            <v:fill on="f" focussize="0,0"/>
            <v:stroke on="f" joinstyle="miter"/>
            <v:imagedata r:id="rId207" o:title=""/>
            <o:lock v:ext="edit" aspectratio="t"/>
            <w10:wrap type="none"/>
            <w10:anchorlock/>
          </v:shape>
          <o:OLEObject Type="Embed" ProgID="Equation.3" ShapeID="_x0000_i1081" DrawAspect="Content" ObjectID="_1468075781" r:id="rId239">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082" o:spt="75" type="#_x0000_t75" style="height:18pt;width:18pt;" o:ole="t" filled="f" o:preferrelative="t" stroked="f" coordsize="21600,21600">
            <v:path/>
            <v:fill on="f" focussize="0,0"/>
            <v:stroke on="f" joinstyle="miter"/>
            <v:imagedata r:id="rId209" o:title=""/>
            <o:lock v:ext="edit" aspectratio="t"/>
            <w10:wrap type="none"/>
            <w10:anchorlock/>
          </v:shape>
          <o:OLEObject Type="Embed" ProgID="Equation.3" ShapeID="_x0000_i1082" DrawAspect="Content" ObjectID="_1468075782" r:id="rId240">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083" o:spt="75" type="#_x0000_t75" style="height:18pt;width:13.5pt;" o:ole="t" filled="f" o:preferrelative="t" stroked="f" coordsize="21600,21600">
            <v:path/>
            <v:fill on="f" focussize="0,0"/>
            <v:stroke on="f" joinstyle="miter"/>
            <v:imagedata r:id="rId211" o:title=""/>
            <o:lock v:ext="edit" aspectratio="t"/>
            <w10:wrap type="none"/>
            <w10:anchorlock/>
          </v:shape>
          <o:OLEObject Type="Embed" ProgID="Equation.3" ShapeID="_x0000_i1083" DrawAspect="Content" ObjectID="_1468075783" r:id="rId241">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74" w:name="_Toc21542"/>
      <w:bookmarkStart w:id="175" w:name="_Toc46996563"/>
      <w:r>
        <w:rPr>
          <w:rFonts w:hint="eastAsia"/>
        </w:rPr>
        <w:t>《</w:t>
      </w:r>
      <w:r>
        <w:t>Y03060004-</w:t>
      </w:r>
      <w:r>
        <w:rPr>
          <w:rFonts w:hint="eastAsia"/>
        </w:rPr>
        <w:t>单片机原理及应用》教学大纲</w:t>
      </w:r>
      <w:bookmarkEnd w:id="174"/>
      <w:bookmarkEnd w:id="175"/>
    </w:p>
    <w:p>
      <w:pPr>
        <w:spacing w:line="360" w:lineRule="auto"/>
        <w:rPr>
          <w:color w:val="000000" w:themeColor="text1"/>
          <w14:textFill>
            <w14:solidFill>
              <w14:schemeClr w14:val="tx1"/>
            </w14:solidFill>
          </w14:textFill>
        </w:rPr>
      </w:pPr>
      <w:r>
        <w:rPr>
          <w:rFonts w:eastAsia="黑体"/>
          <w:color w:val="000000" w:themeColor="text1"/>
          <w14:textFill>
            <w14:solidFill>
              <w14:schemeClr w14:val="tx1"/>
            </w14:solidFill>
          </w14:textFill>
        </w:rPr>
        <w:t>课程编号：Y</w:t>
      </w:r>
      <w:r>
        <w:rPr>
          <w:color w:val="000000" w:themeColor="text1"/>
          <w:szCs w:val="21"/>
          <w14:textFill>
            <w14:solidFill>
              <w14:schemeClr w14:val="tx1"/>
            </w14:solidFill>
          </w14:textFill>
        </w:rPr>
        <w:t>03060004</w:t>
      </w:r>
    </w:p>
    <w:p>
      <w:pPr>
        <w:spacing w:line="360" w:lineRule="auto"/>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课程名称：</w:t>
      </w:r>
      <w:r>
        <w:rPr>
          <w:color w:val="000000" w:themeColor="text1"/>
          <w14:textFill>
            <w14:solidFill>
              <w14:schemeClr w14:val="tx1"/>
            </w14:solidFill>
          </w14:textFill>
        </w:rPr>
        <w:t>单片机原理及应用</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ab/>
      </w:r>
      <w:r>
        <w:rPr>
          <w:rFonts w:eastAsia="黑体"/>
          <w:color w:val="000000" w:themeColor="text1"/>
          <w14:textFill>
            <w14:solidFill>
              <w14:schemeClr w14:val="tx1"/>
            </w14:solidFill>
          </w14:textFill>
        </w:rPr>
        <w:t>开课单位：</w:t>
      </w:r>
      <w:r>
        <w:rPr>
          <w:color w:val="000000" w:themeColor="text1"/>
          <w14:textFill>
            <w14:solidFill>
              <w14:schemeClr w14:val="tx1"/>
            </w14:solidFill>
          </w14:textFill>
        </w:rPr>
        <w:t>仪器与电子学院</w:t>
      </w:r>
      <w:r>
        <w:rPr>
          <w:rFonts w:eastAsia="黑体"/>
          <w:color w:val="000000" w:themeColor="text1"/>
          <w14:textFill>
            <w14:solidFill>
              <w14:schemeClr w14:val="tx1"/>
            </w14:solidFill>
          </w14:textFill>
        </w:rPr>
        <w:tab/>
      </w:r>
    </w:p>
    <w:p>
      <w:pPr>
        <w:spacing w:line="360" w:lineRule="auto"/>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总 学 时：</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实验8学时</w:t>
      </w:r>
      <w:r>
        <w:rPr>
          <w:rFonts w:hint="eastAsia"/>
          <w:color w:val="000000" w:themeColor="text1"/>
          <w14:textFill>
            <w14:solidFill>
              <w14:schemeClr w14:val="tx1"/>
            </w14:solidFill>
          </w14:textFill>
        </w:rPr>
        <w:t>）</w:t>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ab/>
      </w:r>
      <w:r>
        <w:rPr>
          <w:rFonts w:eastAsia="黑体"/>
          <w:color w:val="000000" w:themeColor="text1"/>
          <w14:textFill>
            <w14:solidFill>
              <w14:schemeClr w14:val="tx1"/>
            </w14:solidFill>
          </w14:textFill>
        </w:rPr>
        <w:t>学    分：</w:t>
      </w:r>
      <w:r>
        <w:rPr>
          <w:rFonts w:eastAsia="黑体"/>
          <w:bCs/>
          <w:color w:val="000000" w:themeColor="text1"/>
          <w14:textFill>
            <w14:solidFill>
              <w14:schemeClr w14:val="tx1"/>
            </w14:solidFill>
          </w14:textFill>
        </w:rPr>
        <w:t>2</w:t>
      </w:r>
    </w:p>
    <w:p>
      <w:pPr>
        <w:spacing w:line="360" w:lineRule="auto"/>
        <w:rPr>
          <w:color w:val="000000" w:themeColor="text1"/>
          <w14:textFill>
            <w14:solidFill>
              <w14:schemeClr w14:val="tx1"/>
            </w14:solidFill>
          </w14:textFill>
        </w:rPr>
      </w:pPr>
      <w:r>
        <w:rPr>
          <w:rFonts w:eastAsia="黑体"/>
          <w:color w:val="000000" w:themeColor="text1"/>
          <w14:textFill>
            <w14:solidFill>
              <w14:schemeClr w14:val="tx1"/>
            </w14:solidFill>
          </w14:textFill>
        </w:rPr>
        <w:t>适用专业：</w:t>
      </w:r>
      <w:r>
        <w:rPr>
          <w:color w:val="000000" w:themeColor="text1"/>
          <w14:textFill>
            <w14:solidFill>
              <w14:schemeClr w14:val="tx1"/>
            </w14:solidFill>
          </w14:textFill>
        </w:rPr>
        <w:t>电子科学</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技术</w:t>
      </w:r>
      <w:r>
        <w:rPr>
          <w:rFonts w:hint="eastAsia"/>
          <w:color w:val="000000" w:themeColor="text1"/>
          <w14:textFill>
            <w14:solidFill>
              <w14:schemeClr w14:val="tx1"/>
            </w14:solidFill>
          </w14:textFill>
        </w:rPr>
        <w:t>专业</w:t>
      </w:r>
    </w:p>
    <w:p>
      <w:pPr>
        <w:spacing w:line="360" w:lineRule="auto"/>
        <w:rPr>
          <w:rFonts w:asciiTheme="minorEastAsia" w:hAnsiTheme="minorEastAsia"/>
          <w:color w:val="000000" w:themeColor="text1"/>
          <w14:textFill>
            <w14:solidFill>
              <w14:schemeClr w14:val="tx1"/>
            </w14:solidFill>
          </w14:textFill>
        </w:rPr>
      </w:pPr>
      <w:r>
        <w:rPr>
          <w:rFonts w:eastAsia="黑体"/>
          <w:color w:val="000000" w:themeColor="text1"/>
          <w14:textFill>
            <w14:solidFill>
              <w14:schemeClr w14:val="tx1"/>
            </w14:solidFill>
          </w14:textFill>
        </w:rPr>
        <w:t>先修课程：</w:t>
      </w:r>
      <w:r>
        <w:rPr>
          <w:rFonts w:asciiTheme="minorEastAsia" w:hAnsiTheme="minorEastAsia"/>
          <w:color w:val="000000" w:themeColor="text1"/>
          <w14:textFill>
            <w14:solidFill>
              <w14:schemeClr w14:val="tx1"/>
            </w14:solidFill>
          </w14:textFill>
        </w:rPr>
        <w:t>微机原理及接口技术</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数字电路技术</w:t>
      </w:r>
    </w:p>
    <w:p>
      <w:pPr>
        <w:spacing w:line="360" w:lineRule="auto"/>
        <w:rPr>
          <w:rFonts w:eastAsia="黑体"/>
          <w:color w:val="000000" w:themeColor="text1"/>
          <w14:textFill>
            <w14:solidFill>
              <w14:schemeClr w14:val="tx1"/>
            </w14:solidFill>
          </w14:textFill>
        </w:rPr>
      </w:pPr>
      <w:r>
        <w:rPr>
          <w:rFonts w:hint="eastAsia" w:eastAsia="黑体"/>
          <w:color w:val="000000" w:themeColor="text1"/>
          <w14:textFill>
            <w14:solidFill>
              <w14:schemeClr w14:val="tx1"/>
            </w14:solidFill>
          </w14:textFill>
        </w:rPr>
        <w:t>大纲执笔人：</w:t>
      </w:r>
      <w:r>
        <w:rPr>
          <w:rFonts w:hint="eastAsia" w:ascii="宋体" w:hAnsi="宋体"/>
          <w:color w:val="000000" w:themeColor="text1"/>
          <w14:textFill>
            <w14:solidFill>
              <w14:schemeClr w14:val="tx1"/>
            </w14:solidFill>
          </w14:textFill>
        </w:rPr>
        <w:t>曹慧亮</w:t>
      </w:r>
    </w:p>
    <w:p>
      <w:pPr>
        <w:spacing w:line="360" w:lineRule="auto"/>
        <w:rPr>
          <w:rFonts w:asciiTheme="minorEastAsia" w:hAnsiTheme="minorEastAsia"/>
          <w:color w:val="000000" w:themeColor="text1"/>
          <w14:textFill>
            <w14:solidFill>
              <w14:schemeClr w14:val="tx1"/>
            </w14:solidFill>
          </w14:textFill>
        </w:rPr>
      </w:pPr>
      <w:r>
        <w:rPr>
          <w:rFonts w:eastAsia="黑体"/>
          <w:color w:val="000000" w:themeColor="text1"/>
          <w14:textFill>
            <w14:solidFill>
              <w14:schemeClr w14:val="tx1"/>
            </w14:solidFill>
          </w14:textFill>
        </w:rPr>
        <w:t>大纲编写（修订）时间：</w:t>
      </w:r>
      <w:r>
        <w:rPr>
          <w:color w:val="000000" w:themeColor="text1"/>
          <w14:textFill>
            <w14:solidFill>
              <w14:schemeClr w14:val="tx1"/>
            </w14:solidFill>
          </w14:textFill>
        </w:rPr>
        <w:t>2019年5月</w:t>
      </w:r>
    </w:p>
    <w:p>
      <w:pPr>
        <w:rPr>
          <w:b/>
          <w:color w:val="000000" w:themeColor="text1"/>
          <w:szCs w:val="21"/>
          <w14:textFill>
            <w14:solidFill>
              <w14:schemeClr w14:val="tx1"/>
            </w14:solidFill>
          </w14:textFill>
        </w:rPr>
      </w:pPr>
    </w:p>
    <w:p>
      <w:pPr>
        <w:adjustRightInd w:val="0"/>
        <w:snapToGrid w:val="0"/>
        <w:spacing w:line="360" w:lineRule="auto"/>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一、课程在教学计划中的地位、作用</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课程是一门属于硬件设计类的专业课程，是测控技术及仪器专业的专业教育课程。也是学生学会计算机硬件结构、工作原理和汇编语言程序设计的进阶课程，通过本课程的学习，使学生学会单片机应用的一般技术，学会智能化设备的设计方法，为学习后续课程和专业技术的学习和工作打下基础。该课程以提高学生实际工程设计能力为目的，其主要任务是讲授基于MCS-51系列单片机系统的内部结构、中断系统及指令系统等。通过该课程的学习，学生将了解单片机系统的基本思想、概念和系统组成，使学生掌握MCS-51系列单片机系统内部结构、中断系统、外部引脚等硬件相关内容，初步具备利用单片机系统进行应用设计的能力。</w:t>
      </w:r>
    </w:p>
    <w:p>
      <w:pPr>
        <w:spacing w:line="360" w:lineRule="auto"/>
        <w:ind w:firstLine="420" w:firstLineChars="200"/>
        <w:rPr>
          <w:color w:val="000000" w:themeColor="text1"/>
          <w:szCs w:val="21"/>
          <w14:textFill>
            <w14:solidFill>
              <w14:schemeClr w14:val="tx1"/>
            </w14:solidFill>
          </w14:textFill>
        </w:rPr>
      </w:pPr>
    </w:p>
    <w:p>
      <w:pPr>
        <w:adjustRightInd w:val="0"/>
        <w:snapToGrid w:val="0"/>
        <w:spacing w:line="360" w:lineRule="auto"/>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642"/>
        <w:gridCol w:w="40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191"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442"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191" w:type="pct"/>
          </w:tcPr>
          <w:p>
            <w:pPr>
              <w:adjustRightInd w:val="0"/>
              <w:snapToGrid w:val="0"/>
              <w:spacing w:line="360" w:lineRule="auto"/>
              <w:rPr>
                <w:rFonts w:ascii="宋体" w:hAnsi="宋体"/>
                <w:sz w:val="18"/>
                <w:szCs w:val="18"/>
              </w:rPr>
            </w:pPr>
            <w:r>
              <w:rPr>
                <w:rFonts w:hint="eastAsia" w:ascii="宋体" w:hAnsi="宋体"/>
                <w:sz w:val="18"/>
                <w:szCs w:val="18"/>
              </w:rPr>
              <w:t>能够通过分析将相关工程问题转化为技术问题、并采用汇编语言和单片机器件进行相应的数字电路设计；</w:t>
            </w:r>
          </w:p>
        </w:tc>
        <w:tc>
          <w:tcPr>
            <w:tcW w:w="2442" w:type="pct"/>
          </w:tcPr>
          <w:p>
            <w:pPr>
              <w:adjustRightInd w:val="0"/>
              <w:snapToGrid w:val="0"/>
              <w:spacing w:line="360" w:lineRule="auto"/>
              <w:rPr>
                <w:rFonts w:ascii="宋体" w:hAnsi="宋体"/>
                <w:sz w:val="18"/>
                <w:szCs w:val="18"/>
              </w:rPr>
            </w:pPr>
            <w:r>
              <w:rPr>
                <w:rFonts w:hint="eastAsia" w:ascii="宋体" w:hAnsi="宋体"/>
                <w:b/>
                <w:bCs/>
                <w:sz w:val="18"/>
                <w:szCs w:val="18"/>
              </w:rPr>
              <w:t>指标点3-1 按需设计</w:t>
            </w:r>
            <w:r>
              <w:rPr>
                <w:rFonts w:hint="eastAsia" w:ascii="宋体" w:hAnsi="宋体"/>
                <w:sz w:val="18"/>
                <w:szCs w:val="18"/>
              </w:rPr>
              <w:t>：</w:t>
            </w:r>
            <w:r>
              <w:rPr>
                <w:rFonts w:hint="eastAsia" w:ascii="宋体" w:hAnsi="宋体"/>
                <w:kern w:val="0"/>
                <w:sz w:val="18"/>
                <w:szCs w:val="18"/>
              </w:rPr>
              <w:t>能够根据用户特定需求设计复杂工程问题的解决方案，设计相关的电路系统</w:t>
            </w:r>
            <w:r>
              <w:rPr>
                <w:rFonts w:hint="eastAsia" w:ascii="宋体" w:hAnsi="宋体"/>
                <w:sz w:val="18"/>
                <w:szCs w:val="18"/>
              </w:rPr>
              <w:t>及</w:t>
            </w:r>
            <w:r>
              <w:rPr>
                <w:rFonts w:hint="eastAsia" w:ascii="宋体" w:hAnsi="宋体"/>
                <w:kern w:val="0"/>
                <w:sz w:val="18"/>
                <w:szCs w:val="18"/>
              </w:rPr>
              <w:t>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191" w:type="pct"/>
          </w:tcPr>
          <w:p>
            <w:pPr>
              <w:adjustRightInd w:val="0"/>
              <w:snapToGrid w:val="0"/>
              <w:spacing w:line="360" w:lineRule="auto"/>
              <w:rPr>
                <w:rFonts w:ascii="宋体" w:hAnsi="宋体"/>
                <w:sz w:val="18"/>
                <w:szCs w:val="18"/>
              </w:rPr>
            </w:pPr>
            <w:r>
              <w:rPr>
                <w:rFonts w:hint="eastAsia" w:ascii="宋体" w:hAnsi="宋体"/>
                <w:sz w:val="18"/>
                <w:szCs w:val="18"/>
              </w:rPr>
              <w:t>能够根据复杂</w:t>
            </w:r>
            <w:r>
              <w:rPr>
                <w:rFonts w:ascii="宋体" w:hAnsi="宋体"/>
                <w:sz w:val="18"/>
                <w:szCs w:val="18"/>
              </w:rPr>
              <w:t>工程问题的</w:t>
            </w:r>
            <w:r>
              <w:rPr>
                <w:rFonts w:hint="eastAsia" w:ascii="宋体" w:hAnsi="宋体"/>
                <w:sz w:val="18"/>
                <w:szCs w:val="18"/>
              </w:rPr>
              <w:t>需求确定解决方案并进行优化，基于</w:t>
            </w:r>
            <w:r>
              <w:rPr>
                <w:rFonts w:ascii="宋体" w:hAnsi="宋体"/>
                <w:sz w:val="18"/>
                <w:szCs w:val="18"/>
              </w:rPr>
              <w:t>汇编语言和单片机器件</w:t>
            </w:r>
            <w:r>
              <w:rPr>
                <w:rFonts w:hint="eastAsia" w:ascii="宋体" w:hAnsi="宋体"/>
                <w:sz w:val="18"/>
                <w:szCs w:val="18"/>
              </w:rPr>
              <w:t>设计具体的电路和系统，通过各种案例分析在专业设计细节中体现创新意识。</w:t>
            </w:r>
          </w:p>
        </w:tc>
        <w:tc>
          <w:tcPr>
            <w:tcW w:w="2442" w:type="pct"/>
          </w:tcPr>
          <w:p>
            <w:pPr>
              <w:adjustRightInd w:val="0"/>
              <w:snapToGrid w:val="0"/>
              <w:spacing w:line="360" w:lineRule="auto"/>
              <w:rPr>
                <w:rFonts w:ascii="宋体" w:hAnsi="宋体"/>
                <w:sz w:val="18"/>
                <w:szCs w:val="18"/>
              </w:rPr>
            </w:pPr>
            <w:r>
              <w:rPr>
                <w:rFonts w:hint="eastAsia" w:ascii="宋体" w:hAnsi="宋体"/>
                <w:b/>
                <w:sz w:val="18"/>
                <w:szCs w:val="18"/>
              </w:rPr>
              <w:t>指标点3-3 创新意识：</w:t>
            </w:r>
            <w:r>
              <w:rPr>
                <w:rFonts w:hint="eastAsia" w:ascii="宋体" w:hAnsi="宋体"/>
                <w:sz w:val="18"/>
                <w:szCs w:val="18"/>
              </w:rPr>
              <w:t>积极参与各类创新活动，在专业设计过程中能够体现创新意识。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3</w:t>
            </w:r>
          </w:p>
        </w:tc>
        <w:tc>
          <w:tcPr>
            <w:tcW w:w="2191" w:type="pct"/>
          </w:tcPr>
          <w:p>
            <w:pPr>
              <w:adjustRightInd w:val="0"/>
              <w:snapToGrid w:val="0"/>
              <w:spacing w:line="360" w:lineRule="auto"/>
              <w:rPr>
                <w:rFonts w:ascii="宋体" w:hAnsi="宋体"/>
                <w:sz w:val="18"/>
                <w:szCs w:val="18"/>
              </w:rPr>
            </w:pPr>
            <w:r>
              <w:rPr>
                <w:rFonts w:hint="eastAsia" w:ascii="宋体" w:hAnsi="宋体"/>
                <w:sz w:val="18"/>
                <w:szCs w:val="18"/>
              </w:rPr>
              <w:t>能够熟练使用汇编语言在</w:t>
            </w:r>
            <w:r>
              <w:rPr>
                <w:rFonts w:ascii="宋体" w:hAnsi="宋体"/>
                <w:sz w:val="18"/>
                <w:szCs w:val="18"/>
              </w:rPr>
              <w:t>keil</w:t>
            </w:r>
            <w:r>
              <w:rPr>
                <w:rFonts w:hint="eastAsia" w:ascii="宋体" w:hAnsi="宋体"/>
                <w:sz w:val="18"/>
                <w:szCs w:val="18"/>
              </w:rPr>
              <w:t>等单片机集成开发环境下进行设计。</w:t>
            </w:r>
          </w:p>
        </w:tc>
        <w:tc>
          <w:tcPr>
            <w:tcW w:w="2442" w:type="pct"/>
          </w:tcPr>
          <w:p>
            <w:pPr>
              <w:adjustRightInd w:val="0"/>
              <w:snapToGrid w:val="0"/>
              <w:spacing w:line="360" w:lineRule="auto"/>
              <w:rPr>
                <w:rFonts w:ascii="宋体" w:hAnsi="宋体"/>
                <w:sz w:val="18"/>
                <w:szCs w:val="18"/>
              </w:rPr>
            </w:pPr>
            <w:r>
              <w:rPr>
                <w:rFonts w:hint="eastAsia" w:ascii="宋体" w:hAnsi="宋体"/>
                <w:b/>
                <w:bCs/>
                <w:sz w:val="18"/>
                <w:szCs w:val="18"/>
              </w:rPr>
              <w:t>指标点5-2专业工具使用</w:t>
            </w:r>
            <w:r>
              <w:rPr>
                <w:rFonts w:hint="eastAsia" w:ascii="宋体" w:hAnsi="宋体"/>
                <w:sz w:val="18"/>
                <w:szCs w:val="18"/>
              </w:rPr>
              <w:t>：能使用工具对电路系统、协议等进行设计和仿真，确定功能和相关设计参数。</w:t>
            </w:r>
          </w:p>
        </w:tc>
      </w:tr>
    </w:tbl>
    <w:p>
      <w:pPr>
        <w:tabs>
          <w:tab w:val="left" w:pos="420"/>
        </w:tabs>
        <w:adjustRightInd w:val="0"/>
        <w:snapToGrid w:val="0"/>
        <w:spacing w:line="360" w:lineRule="auto"/>
        <w:ind w:left="420" w:hanging="420"/>
        <w:rPr>
          <w:rFonts w:eastAsia="黑体"/>
          <w:color w:val="000000" w:themeColor="text1"/>
          <w:szCs w:val="21"/>
          <w14:textFill>
            <w14:solidFill>
              <w14:schemeClr w14:val="tx1"/>
            </w14:solidFill>
          </w14:textFill>
        </w:rPr>
      </w:pPr>
    </w:p>
    <w:p>
      <w:pPr>
        <w:tabs>
          <w:tab w:val="left" w:pos="420"/>
        </w:tabs>
        <w:adjustRightInd w:val="0"/>
        <w:snapToGrid w:val="0"/>
        <w:spacing w:line="360" w:lineRule="auto"/>
        <w:ind w:left="420" w:hanging="420"/>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三、基本要求</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通过本课程的系统学习可使学生初步具备如下能力：</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要求先修课程为《微机原理及接口技术》和《数字电子技术》</w:t>
      </w:r>
      <w:r>
        <w:rPr>
          <w:rFonts w:hint="eastAsia"/>
          <w:color w:val="000000" w:themeColor="text1"/>
          <w:szCs w:val="21"/>
          <w14:textFill>
            <w14:solidFill>
              <w14:schemeClr w14:val="tx1"/>
            </w14:solidFill>
          </w14:textFill>
        </w:rPr>
        <w:t>；</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2、要求教师</w:t>
      </w:r>
      <w:r>
        <w:rPr>
          <w:color w:val="000000" w:themeColor="text1"/>
          <w:szCs w:val="21"/>
          <w14:textFill>
            <w14:solidFill>
              <w14:schemeClr w14:val="tx1"/>
            </w14:solidFill>
          </w14:textFill>
        </w:rPr>
        <w:t>针对本门课程内容繁杂、知识点集中大量出现的特点，在教学中应注重基础知识、基本概念和思维方法的传授</w:t>
      </w:r>
      <w:r>
        <w:rPr>
          <w:rFonts w:hint="eastAsia"/>
          <w:color w:val="000000" w:themeColor="text1"/>
          <w:szCs w:val="21"/>
          <w14:textFill>
            <w14:solidFill>
              <w14:schemeClr w14:val="tx1"/>
            </w14:solidFill>
          </w14:textFill>
        </w:rPr>
        <w:t>，</w:t>
      </w:r>
      <w:r>
        <w:t>使学生学会利用</w:t>
      </w:r>
      <w:r>
        <w:rPr>
          <w:rFonts w:hint="eastAsia"/>
        </w:rPr>
        <w:t>单片机</w:t>
      </w:r>
      <w:r>
        <w:t>进行硬件设计及编程控制</w:t>
      </w:r>
      <w:r>
        <w:rPr>
          <w:rFonts w:hint="eastAsia"/>
          <w:color w:val="000000" w:themeColor="text1"/>
          <w:szCs w:val="21"/>
          <w14:textFill>
            <w14:solidFill>
              <w14:schemeClr w14:val="tx1"/>
            </w14:solidFill>
          </w14:textFill>
        </w:rPr>
        <w:t>；</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本课程是一门实践性很强的课程，要求教学和实验环节交替进行，通过实验环节把所学的内容巩固和学会</w:t>
      </w:r>
      <w:r>
        <w:rPr>
          <w:rFonts w:hint="eastAsia"/>
          <w:color w:val="000000" w:themeColor="text1"/>
          <w:szCs w:val="21"/>
          <w14:textFill>
            <w14:solidFill>
              <w14:schemeClr w14:val="tx1"/>
            </w14:solidFill>
          </w14:textFill>
        </w:rPr>
        <w:t>；</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4、要求教师引导学生将微机原理、</w:t>
      </w:r>
      <w:r>
        <w:rPr>
          <w:color w:val="000000" w:themeColor="text1"/>
          <w:szCs w:val="21"/>
          <w14:textFill>
            <w14:solidFill>
              <w14:schemeClr w14:val="tx1"/>
            </w14:solidFill>
          </w14:textFill>
        </w:rPr>
        <w:t>数字电子技术和单片机</w:t>
      </w:r>
      <w:r>
        <w:rPr>
          <w:rFonts w:hint="eastAsia"/>
          <w:color w:val="000000" w:themeColor="text1"/>
          <w:szCs w:val="21"/>
          <w14:textFill>
            <w14:solidFill>
              <w14:schemeClr w14:val="tx1"/>
            </w14:solidFill>
          </w14:textFill>
        </w:rPr>
        <w:t>的理论知识与单片机的实践应用结合起来；</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5、深度和广度说明：</w:t>
      </w:r>
      <w:r>
        <w:rPr>
          <w:color w:val="000000" w:themeColor="text1"/>
          <w:szCs w:val="21"/>
          <w14:textFill>
            <w14:solidFill>
              <w14:schemeClr w14:val="tx1"/>
            </w14:solidFill>
          </w14:textFill>
        </w:rPr>
        <w:t>以MCS 51单片机为主线，对单片机系统的内部结构、中断系统、外部引脚等硬件相关内容进行详细讲解，同时对目前流行单片机芯片进行对比介绍。指令系统和汇编语言程序设计是难点，教师在知识讲解的过程中要充分利用问题引导、案例分析等多种教学方法，以进一步提高教学质量。</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6、偏差说明：</w:t>
      </w:r>
      <w:r>
        <w:rPr>
          <w:color w:val="000000" w:themeColor="text1"/>
          <w:szCs w:val="21"/>
          <w14:textFill>
            <w14:solidFill>
              <w14:schemeClr w14:val="tx1"/>
            </w14:solidFill>
          </w14:textFill>
        </w:rPr>
        <w:t>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color w:val="000000" w:themeColor="text1"/>
          <w:szCs w:val="21"/>
          <w14:textFill>
            <w14:solidFill>
              <w14:schemeClr w14:val="tx1"/>
            </w14:solidFill>
          </w14:textFill>
        </w:rPr>
      </w:pPr>
    </w:p>
    <w:p>
      <w:pPr>
        <w:tabs>
          <w:tab w:val="left" w:pos="420"/>
        </w:tabs>
        <w:spacing w:line="360" w:lineRule="auto"/>
        <w:ind w:left="420" w:hanging="420"/>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四、教学内容和教学方法</w:t>
      </w:r>
    </w:p>
    <w:p>
      <w:pPr>
        <w:spacing w:line="360" w:lineRule="auto"/>
        <w:ind w:firstLine="420" w:firstLineChars="200"/>
        <w:rPr>
          <w:szCs w:val="21"/>
        </w:rPr>
      </w:pPr>
      <w:r>
        <w:rPr>
          <w:rFonts w:hint="eastAsia"/>
          <w:szCs w:val="21"/>
        </w:rPr>
        <w:t>本课程重点讲授的内容包括：</w:t>
      </w:r>
      <w:r>
        <w:rPr>
          <w:color w:val="000000" w:themeColor="text1"/>
          <w:szCs w:val="21"/>
          <w14:textFill>
            <w14:solidFill>
              <w14:schemeClr w14:val="tx1"/>
            </w14:solidFill>
          </w14:textFill>
        </w:rPr>
        <w:t>单片机系统的内部结构、外部引脚、指令系统、中断系统、汇编语言程序设计、接口设计等。</w:t>
      </w:r>
    </w:p>
    <w:p>
      <w:pPr>
        <w:adjustRightInd w:val="0"/>
        <w:snapToGrid w:val="0"/>
        <w:spacing w:line="360" w:lineRule="auto"/>
        <w:ind w:firstLine="420" w:firstLineChars="200"/>
      </w:pPr>
      <w:r>
        <w:t>教学方法：</w:t>
      </w:r>
    </w:p>
    <w:p>
      <w:pPr>
        <w:adjustRightInd w:val="0"/>
        <w:snapToGrid w:val="0"/>
        <w:spacing w:line="360" w:lineRule="auto"/>
        <w:ind w:firstLine="420" w:firstLineChars="200"/>
      </w:pPr>
      <w:r>
        <w:t>1、利用CAI形式讲授，辅以重要知识点的板书推导与分析，引导学生理解分析思路</w:t>
      </w:r>
      <w:r>
        <w:rPr>
          <w:rFonts w:hint="eastAsia"/>
        </w:rPr>
        <w:t>，通过</w:t>
      </w:r>
      <w:r>
        <w:rPr>
          <w:szCs w:val="21"/>
        </w:rPr>
        <w:t>验证性实验</w:t>
      </w:r>
      <w:r>
        <w:rPr>
          <w:rFonts w:hint="eastAsia"/>
          <w:szCs w:val="21"/>
        </w:rPr>
        <w:t>及课后师生微信交流等方式</w:t>
      </w:r>
      <w:r>
        <w:rPr>
          <w:szCs w:val="21"/>
        </w:rPr>
        <w:t>有机结合，提高教学效率。</w:t>
      </w:r>
    </w:p>
    <w:p>
      <w:pPr>
        <w:spacing w:line="360" w:lineRule="auto"/>
        <w:ind w:firstLine="420" w:firstLineChars="200"/>
        <w:rPr>
          <w:szCs w:val="21"/>
        </w:rPr>
      </w:pPr>
      <w:r>
        <w:t>2、讲授过程中穿插提问和讨论等环节，让学生获得更多的锻炼机会。</w:t>
      </w:r>
    </w:p>
    <w:p>
      <w:pPr>
        <w:spacing w:line="360" w:lineRule="auto"/>
        <w:ind w:firstLine="420" w:firstLineChars="200"/>
        <w:rPr>
          <w:szCs w:val="21"/>
        </w:rPr>
      </w:pPr>
      <w:r>
        <w:rPr>
          <w:rFonts w:hint="eastAsia"/>
          <w:szCs w:val="21"/>
        </w:rPr>
        <w:t>为了提高学生的学习兴趣，并取得良好的教学效果，教师在知识讲解的过程中要充分融合</w:t>
      </w:r>
      <w:r>
        <w:rPr>
          <w:szCs w:val="21"/>
        </w:rPr>
        <w:t>单片机应用的实际案例</w:t>
      </w:r>
      <w:r>
        <w:rPr>
          <w:rFonts w:hint="eastAsia"/>
          <w:szCs w:val="21"/>
        </w:rPr>
        <w:t>，多沟通多互动等多种教学方法，以进一步提高教学质量。</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1 单片机概述（2学时）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1.1、单片机的基本概念；</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1.2、8051单片机的主要技术特征，工作方式；</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1.3、单片机系统的发展历程及方向。</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本章内容支撑课程目标1</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2 MCS-51系列单片机的结构与原理（2学时）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2.1、单片机的基本组成及存储器的结构与地址空间；（重点）</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2.2、时钟电路基本组成与CPU时序；</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2.3、8051单片机CPU的功能与特点，单片机的工作方式；</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2.4、8051单片机引脚功能。</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3 MCS-51单片机的寻址方式和指令系统（6学时）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3.1、指令系统的分类、寻址方式；</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3.2、指令系统中指令的功能。（难点）</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4汇编语言程序设计（4学时）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4.1、汇编语言程序的格式、伪指令及程序设计的一般步骤；</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4.2、顺序、分支、循环、主—子程序的设计方法。（重点）</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5 MCS-51 中断系统（2学时）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5.1、中断、中断源及中断优先级的基本概念；</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5.2、MCS51中断响应的条件及其响应过程；</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5.3、中断服务程序的编写方法。（重点）</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6 MCS-51 定时器/计数器（2学时）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6.1、定时器/计数器的应用；</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6.2、定时器/计数器的基本概念；</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6.3、定时器/计数器的内部结构、工作模式寄存器和控制寄存器、定时器的工作方式。（重点）</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7 MCS-51 串行通信接口（2学时）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7.1、串行通信的基本概念；</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7.2、串行通信接口结构，波特率计算、串行口的工作模式、控制寄存器；</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7.3、串行口的应用。</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8 MCS-51单片机的存储系统扩展（2学时）</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8.1、学会MCS-51单片机存储系统扩展的一般方法；（重点）</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8.2、常规数据、程序存储器芯片。</w:t>
      </w:r>
    </w:p>
    <w:p>
      <w:pPr>
        <w:widowControl/>
        <w:spacing w:line="360" w:lineRule="auto"/>
        <w:ind w:left="426"/>
        <w:rPr>
          <w:snapToGrid w:val="0"/>
          <w:color w:val="000000" w:themeColor="text1"/>
          <w:kern w:val="0"/>
          <w:szCs w:val="21"/>
          <w14:textFill>
            <w14:solidFill>
              <w14:schemeClr w14:val="tx1"/>
            </w14:solidFill>
          </w14:textFill>
        </w:rPr>
      </w:pPr>
      <w:r>
        <w:rPr>
          <w:rFonts w:cstheme="minorBidi"/>
          <w:bCs/>
          <w:snapToGrid w:val="0"/>
          <w:kern w:val="0"/>
          <w:szCs w:val="21"/>
        </w:rPr>
        <w:t>本章内容支撑课程目标</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adjustRightInd w:val="0"/>
        <w:snapToGrid w:val="0"/>
        <w:spacing w:line="360" w:lineRule="auto"/>
        <w:ind w:left="426"/>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9 MCS-51的接口技术（2学时）</w:t>
      </w:r>
    </w:p>
    <w:p>
      <w:pPr>
        <w:widowControl/>
        <w:spacing w:line="360" w:lineRule="auto"/>
        <w:ind w:left="426"/>
        <w:rPr>
          <w:snapToGrid w:val="0"/>
          <w:color w:val="000000" w:themeColor="text1"/>
          <w:kern w:val="0"/>
          <w:szCs w:val="21"/>
          <w14:textFill>
            <w14:solidFill>
              <w14:schemeClr w14:val="tx1"/>
            </w14:solidFill>
          </w14:textFill>
        </w:rPr>
      </w:pPr>
      <w:r>
        <w:rPr>
          <w:rFonts w:eastAsia="黑体"/>
          <w:color w:val="000000" w:themeColor="text1"/>
          <w14:textFill>
            <w14:solidFill>
              <w14:schemeClr w14:val="tx1"/>
            </w14:solidFill>
          </w14:textFill>
        </w:rPr>
        <w:t>9.1、</w:t>
      </w:r>
      <w:r>
        <w:rPr>
          <w:snapToGrid w:val="0"/>
          <w:color w:val="000000" w:themeColor="text1"/>
          <w:kern w:val="0"/>
          <w:szCs w:val="21"/>
          <w14:textFill>
            <w14:solidFill>
              <w14:schemeClr w14:val="tx1"/>
            </w14:solidFill>
          </w14:textFill>
        </w:rPr>
        <w:t>MCS-51单片机接口扩展的一般方法；</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9.2、键盘、显示模块的工作原理及接口设计方法；</w:t>
      </w:r>
    </w:p>
    <w:p>
      <w:pPr>
        <w:widowControl/>
        <w:spacing w:line="360" w:lineRule="auto"/>
        <w:ind w:left="426"/>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9.3、A/D、D/A接口的扩展方法。</w:t>
      </w:r>
    </w:p>
    <w:p>
      <w:pPr>
        <w:widowControl/>
        <w:spacing w:line="360" w:lineRule="auto"/>
        <w:ind w:left="426"/>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2</w:t>
      </w:r>
      <w:r>
        <w:rPr>
          <w:rFonts w:cstheme="minorBidi"/>
          <w:bCs/>
          <w:snapToGrid w:val="0"/>
          <w:kern w:val="0"/>
          <w:szCs w:val="21"/>
        </w:rPr>
        <w:t>，</w:t>
      </w:r>
      <w:r>
        <w:rPr>
          <w:rFonts w:hint="eastAsia" w:cstheme="minorBidi"/>
          <w:bCs/>
          <w:snapToGrid w:val="0"/>
          <w:kern w:val="0"/>
          <w:szCs w:val="21"/>
        </w:rPr>
        <w:t>3</w:t>
      </w:r>
    </w:p>
    <w:p>
      <w:pPr>
        <w:widowControl/>
        <w:spacing w:line="360" w:lineRule="auto"/>
        <w:ind w:left="426"/>
        <w:rPr>
          <w:snapToGrid w:val="0"/>
          <w:color w:val="000000" w:themeColor="text1"/>
          <w:kern w:val="0"/>
          <w:szCs w:val="21"/>
          <w14:textFill>
            <w14:solidFill>
              <w14:schemeClr w14:val="tx1"/>
            </w14:solidFill>
          </w14:textFill>
        </w:rPr>
      </w:pP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pPr>
      <w:r>
        <w:rPr>
          <w:rFonts w:hint="eastAsia" w:eastAsia="黑体"/>
          <w:color w:val="000000" w:themeColor="text1"/>
          <w:szCs w:val="24"/>
          <w14:textFill>
            <w14:solidFill>
              <w14:schemeClr w14:val="tx1"/>
            </w14:solidFill>
          </w14:textFill>
        </w:rPr>
        <w:t>五、实验内容</w:t>
      </w:r>
    </w:p>
    <w:p>
      <w:pPr>
        <w:tabs>
          <w:tab w:val="left" w:pos="420"/>
        </w:tabs>
        <w:spacing w:line="360" w:lineRule="auto"/>
        <w:ind w:firstLine="420" w:firstLineChars="200"/>
        <w:rPr>
          <w:rFonts w:eastAsia="黑体"/>
          <w:color w:val="000000" w:themeColor="text1"/>
          <w:szCs w:val="24"/>
          <w14:textFill>
            <w14:solidFill>
              <w14:schemeClr w14:val="tx1"/>
            </w14:solidFill>
          </w14:textFill>
        </w:rPr>
      </w:pPr>
      <w:r>
        <w:rPr>
          <w:color w:val="000000" w:themeColor="text1"/>
          <w14:textFill>
            <w14:solidFill>
              <w14:schemeClr w14:val="tx1"/>
            </w14:solidFill>
          </w14:textFill>
        </w:rPr>
        <w:t>由代课教师从下列</w:t>
      </w:r>
      <w:r>
        <w:rPr>
          <w:rFonts w:hint="eastAsia"/>
          <w:color w:val="000000" w:themeColor="text1"/>
          <w14:textFill>
            <w14:solidFill>
              <w14:schemeClr w14:val="tx1"/>
            </w14:solidFill>
          </w14:textFill>
        </w:rPr>
        <w:t>实</w:t>
      </w:r>
      <w:r>
        <w:rPr>
          <w:color w:val="000000" w:themeColor="text1"/>
          <w14:textFill>
            <w14:solidFill>
              <w14:schemeClr w14:val="tx1"/>
            </w14:solidFill>
          </w14:textFill>
        </w:rPr>
        <w:t>验项目中指定4个实验。</w:t>
      </w:r>
    </w:p>
    <w:p>
      <w:pPr>
        <w:tabs>
          <w:tab w:val="left" w:pos="420"/>
        </w:tabs>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实验一 P1口实验一（2学时）</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color w:val="000000" w:themeColor="text1"/>
          <w14:textFill>
            <w14:solidFill>
              <w14:schemeClr w14:val="tx1"/>
            </w14:solidFill>
          </w14:textFill>
        </w:rPr>
        <w:t>实验内容：</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1、利用P1口做输出口，接八只发光二极管，编写程序，使发光二极管循环点亮；</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2、利用P1口做输入口，接八个按钮开关，以实验箱上74LS273做输出口，编写程序读取开关状态，在发光二极管上显示出来。</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1、学会P1口的使用方法；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2、学会延时子程序的编写和使用方法。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color w:val="000000" w:themeColor="text1"/>
          <w14:textFill>
            <w14:solidFill>
              <w14:schemeClr w14:val="tx1"/>
            </w14:solidFill>
          </w14:textFill>
        </w:rPr>
      </w:pPr>
      <w:r>
        <w:rPr>
          <w:rFonts w:eastAsia="黑体"/>
          <w:color w:val="000000" w:themeColor="text1"/>
          <w14:textFill>
            <w14:solidFill>
              <w14:schemeClr w14:val="tx1"/>
            </w14:solidFill>
          </w14:textFill>
        </w:rPr>
        <w:t>实验二P1口实验二（2学时）</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color w:val="000000" w:themeColor="text1"/>
          <w14:textFill>
            <w14:solidFill>
              <w14:schemeClr w14:val="tx1"/>
            </w14:solidFill>
          </w14:textFill>
        </w:rPr>
        <w:t>内容：将P1口的P1.0和P1.1做输入口分别接按钮开关，P1.2～P1.5做输出口分别接发光二极管，编写程序读取按钮开关状态，并通过二极管显示两个开关在不同状态下对应的左右转弯等状态显示功能。</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1、学会P1口既做输入口又做输出口的使用方法；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2、学会数据输入、输出程序的设计方法。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color w:val="000000" w:themeColor="text1"/>
          <w14:textFill>
            <w14:solidFill>
              <w14:schemeClr w14:val="tx1"/>
            </w14:solidFill>
          </w14:textFill>
        </w:rPr>
      </w:pPr>
      <w:r>
        <w:rPr>
          <w:rFonts w:eastAsia="黑体"/>
          <w:color w:val="000000" w:themeColor="text1"/>
          <w14:textFill>
            <w14:solidFill>
              <w14:schemeClr w14:val="tx1"/>
            </w14:solidFill>
          </w14:textFill>
        </w:rPr>
        <w:t>实验三简单I/O口扩展实验一（2学时）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内容：利用扩展实验箱上的74LS273作为输出口，控制八个发光二极管亮灭，模拟交通灯管理。</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1、单片机系统中扩展简单I/O 接口的方法；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2、数据输出程序的设计方法；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3、模拟交通灯控制的实现方法。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实验四简单I/O口扩展实验二（2学时）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内容：利用74LS244作为输入口，读取开关状态，并将此状态通过发光二极管显示出来。</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1、在单片机系统中扩展简单I/O口的方法；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2、数据输入、输出程序的编制方法。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实验五中断实验（2学时）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内容：对外部中断进行计数，并将计数值显示。</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1、外部中断技术的基本使用方法；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2、中断处理程序的编程方法。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color w:val="000000" w:themeColor="text1"/>
          <w14:textFill>
            <w14:solidFill>
              <w14:schemeClr w14:val="tx1"/>
            </w14:solidFill>
          </w14:textFill>
        </w:rPr>
      </w:pPr>
      <w:r>
        <w:rPr>
          <w:rFonts w:eastAsia="黑体"/>
          <w:color w:val="000000" w:themeColor="text1"/>
          <w14:textFill>
            <w14:solidFill>
              <w14:schemeClr w14:val="tx1"/>
            </w14:solidFill>
          </w14:textFill>
        </w:rPr>
        <w:t>实验六定时器实验（2学时）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内容：用定时/计数器T0产生2秒钟的定时，2秒定时到时，更换指示灯闪烁，开始L1指示灯以0.2秒的速率闪烁，当2秒定时到，L2开始以0.2秒的速率闪烁，如此循环下去。0.2秒的闪烁速率也由定时/计数器T0来完成。</w:t>
      </w:r>
    </w:p>
    <w:p>
      <w:pPr>
        <w:adjustRightInd w:val="0"/>
        <w:snapToGri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1、MCS-51内部计数器的使用和编程方法；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2、进一步学会中断处理程序的编写方法。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实验七串行口实验（2学时）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内容：利用AT89S51串行口发送和接收数据（或两组通信），与PC机实现通讯</w:t>
      </w:r>
      <w:r>
        <w:rPr>
          <w:rFonts w:hint="eastAsia"/>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1、MCS-51串行口方式1的工作方式及编程方法；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2、串行通讯中波特率的设置；</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3、在给定通讯波特率的情况下，会计算定时时间常数。</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实验八LCD显示实验（2学时）</w:t>
      </w:r>
    </w:p>
    <w:p>
      <w:pPr>
        <w:adjustRightInd w:val="0"/>
        <w:snapToGrid w:val="0"/>
        <w:spacing w:line="360" w:lineRule="auto"/>
        <w:ind w:firstLine="420" w:firstLineChars="200"/>
        <w:rPr>
          <w:color w:val="000000" w:themeColor="text1"/>
          <w:kern w:val="0"/>
          <w:szCs w:val="21"/>
          <w14:textFill>
            <w14:solidFill>
              <w14:schemeClr w14:val="tx1"/>
            </w14:solidFill>
          </w14:textFill>
        </w:rPr>
      </w:pPr>
      <w:r>
        <w:rPr>
          <w:color w:val="000000" w:themeColor="text1"/>
          <w14:textFill>
            <w14:solidFill>
              <w14:schemeClr w14:val="tx1"/>
            </w14:solidFill>
          </w14:textFill>
        </w:rPr>
        <w:t>内容：</w:t>
      </w:r>
      <w:r>
        <w:rPr>
          <w:color w:val="000000" w:themeColor="text1"/>
          <w:kern w:val="0"/>
          <w:szCs w:val="21"/>
          <w14:textFill>
            <w14:solidFill>
              <w14:schemeClr w14:val="tx1"/>
            </w14:solidFill>
          </w14:textFill>
        </w:rPr>
        <w:t>编程实现在液晶屏上显示中文汉字实验。</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学会点阵式LCD的工作原理，使用方法以及动态显示的编程方法。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实验九存储器扩展实验</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2</w:t>
      </w:r>
      <w:r>
        <w:rPr>
          <w:rFonts w:eastAsia="黑体"/>
          <w:bCs/>
          <w:color w:val="000000" w:themeColor="text1"/>
          <w:szCs w:val="21"/>
          <w14:textFill>
            <w14:solidFill>
              <w14:schemeClr w14:val="tx1"/>
            </w14:solidFill>
          </w14:textFill>
        </w:rPr>
        <w:t>学时</w:t>
      </w:r>
      <w:r>
        <w:rPr>
          <w:color w:val="000000" w:themeColor="text1"/>
          <w:szCs w:val="21"/>
          <w14:textFill>
            <w14:solidFill>
              <w14:schemeClr w14:val="tx1"/>
            </w14:solidFill>
          </w14:textFill>
        </w:rPr>
        <w:t>）</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内容：扩展一片外部数据存储器，写入一组数据并利用外部数据观察窗口检查其正确性。</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基本要求：</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1、存储器扩展的方法；</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2、熟悉存储器芯片的接口方法。</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实验十A/D转换实验（2学时）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内容：单片机控制AD转换器对特殊波形的转换，并读取转换结果。</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1、学会A/D转换与单片机的接口方法；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2、通过实验学习单片机如何进行数据采集。</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实验十一D/A转换实验（2学时）</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内容：利用单片机控制DA转换器工作，并用万用表测量转换输出电压值。</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1、学习D/A转换的基本原理；</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2、学习单片机系统中扩展D/A转换的基本方法。</w:t>
      </w:r>
    </w:p>
    <w:p>
      <w:pPr>
        <w:widowControl/>
        <w:tabs>
          <w:tab w:val="left" w:pos="720"/>
        </w:tabs>
        <w:adjustRightInd w:val="0"/>
        <w:snapToGrid w:val="0"/>
        <w:spacing w:line="360" w:lineRule="auto"/>
        <w:ind w:left="424" w:leftChars="202"/>
        <w:jc w:val="left"/>
        <w:rPr>
          <w:kern w:val="0"/>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实验十二键盘实验</w:t>
      </w:r>
    </w:p>
    <w:p>
      <w:pPr>
        <w:adjustRightInd w:val="0"/>
        <w:snapToGrid w:val="0"/>
        <w:spacing w:line="360" w:lineRule="auto"/>
        <w:ind w:firstLine="420" w:firstLineChars="200"/>
        <w:rPr>
          <w:b/>
          <w:bCs/>
          <w:color w:val="000000" w:themeColor="text1"/>
          <w14:textFill>
            <w14:solidFill>
              <w14:schemeClr w14:val="tx1"/>
            </w14:solidFill>
          </w14:textFill>
        </w:rPr>
      </w:pPr>
      <w:r>
        <w:rPr>
          <w:color w:val="000000" w:themeColor="text1"/>
          <w14:textFill>
            <w14:solidFill>
              <w14:schemeClr w14:val="tx1"/>
            </w14:solidFill>
          </w14:textFill>
        </w:rPr>
        <w:t>内容：利用总线向HD7279写入控制命令并显示键值</w:t>
      </w:r>
      <w:r>
        <w:rPr>
          <w:b/>
          <w:bCs/>
          <w:color w:val="000000" w:themeColor="text1"/>
          <w14:textFill>
            <w14:solidFill>
              <w14:schemeClr w14:val="tx1"/>
            </w14:solidFill>
          </w14:textFill>
        </w:rPr>
        <w:t>。</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基本要求：</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1、学习HD7279键盘、显示电路的编程方法；</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2、熟悉键盘电路工作原理及编程方法。</w:t>
      </w:r>
    </w:p>
    <w:p>
      <w:pPr>
        <w:adjustRightInd w:val="0"/>
        <w:snapToGrid w:val="0"/>
        <w:spacing w:line="360" w:lineRule="auto"/>
        <w:ind w:firstLine="420" w:firstLineChars="200"/>
        <w:rPr>
          <w:rFonts w:cstheme="minorBidi"/>
          <w:bCs/>
          <w:snapToGrid w:val="0"/>
          <w:kern w:val="0"/>
          <w:szCs w:val="21"/>
        </w:rPr>
      </w:pPr>
      <w:r>
        <w:rPr>
          <w:color w:val="000000" w:themeColor="text1"/>
          <w14:textFill>
            <w14:solidFill>
              <w14:schemeClr w14:val="tx1"/>
            </w14:solidFill>
          </w14:textFill>
        </w:rPr>
        <w:t>本实验内容</w:t>
      </w:r>
      <w:r>
        <w:rPr>
          <w:rFonts w:cstheme="minorBidi"/>
          <w:bCs/>
          <w:snapToGrid w:val="0"/>
          <w:kern w:val="0"/>
          <w:szCs w:val="21"/>
        </w:rPr>
        <w:t>支撑课程目标</w:t>
      </w:r>
      <w:r>
        <w:rPr>
          <w:rFonts w:hint="eastAsia" w:cstheme="minorBidi"/>
          <w:bCs/>
          <w:snapToGrid w:val="0"/>
          <w:kern w:val="0"/>
          <w:szCs w:val="21"/>
        </w:rPr>
        <w:t>1</w:t>
      </w:r>
      <w:r>
        <w:rPr>
          <w:rFonts w:cstheme="minorBidi"/>
          <w:bCs/>
          <w:snapToGrid w:val="0"/>
          <w:kern w:val="0"/>
          <w:szCs w:val="21"/>
        </w:rPr>
        <w:t>，</w:t>
      </w:r>
      <w:r>
        <w:rPr>
          <w:rFonts w:hint="eastAsia" w:cstheme="minorBidi"/>
          <w:bCs/>
          <w:snapToGrid w:val="0"/>
          <w:kern w:val="0"/>
          <w:szCs w:val="21"/>
        </w:rPr>
        <w:t>2，3</w:t>
      </w:r>
    </w:p>
    <w:p>
      <w:pPr>
        <w:adjustRightInd w:val="0"/>
        <w:snapToGrid w:val="0"/>
        <w:spacing w:line="360" w:lineRule="auto"/>
        <w:ind w:firstLine="420" w:firstLineChars="200"/>
        <w:rPr>
          <w:color w:val="000000" w:themeColor="text1"/>
          <w14:textFill>
            <w14:solidFill>
              <w14:schemeClr w14:val="tx1"/>
            </w14:solidFill>
          </w14:textFill>
        </w:rPr>
      </w:pPr>
    </w:p>
    <w:p>
      <w:pPr>
        <w:widowControl/>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283"/>
        <w:gridCol w:w="1671"/>
        <w:gridCol w:w="1676"/>
        <w:gridCol w:w="682"/>
      </w:tblGrid>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讲授的知识点及内容</w:t>
            </w:r>
          </w:p>
        </w:tc>
        <w:tc>
          <w:tcPr>
            <w:tcW w:w="1005"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讲授（学时）</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实验（学时）</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小计</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1单片机概述</w:t>
            </w:r>
          </w:p>
        </w:tc>
        <w:tc>
          <w:tcPr>
            <w:tcW w:w="1005" w:type="pct"/>
            <w:tcMar>
              <w:top w:w="0" w:type="dxa"/>
              <w:left w:w="108" w:type="dxa"/>
              <w:bottom w:w="0" w:type="dxa"/>
              <w:right w:w="108" w:type="dxa"/>
            </w:tcMar>
            <w:vAlign w:val="center"/>
          </w:tcPr>
          <w:p>
            <w:pPr>
              <w:adjustRightInd w:val="0"/>
              <w:snapToGrid w:val="0"/>
              <w:ind w:firstLine="540" w:firstLineChars="30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 MCS-51 系列单片机的结构与原理</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 MCS-51 寻址方式和指令系统</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4汇编语言程序设计</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 MCS-51 中断系统</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 MCS-51 定时器/计数器</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 MCS-51 串行通信接口</w:t>
            </w:r>
          </w:p>
        </w:tc>
        <w:tc>
          <w:tcPr>
            <w:tcW w:w="1005" w:type="pct"/>
            <w:tcMar>
              <w:top w:w="0" w:type="dxa"/>
              <w:left w:w="108" w:type="dxa"/>
              <w:bottom w:w="0" w:type="dxa"/>
              <w:right w:w="108" w:type="dxa"/>
            </w:tcMar>
            <w:vAlign w:val="center"/>
          </w:tcPr>
          <w:p>
            <w:pPr>
              <w:widowControl/>
              <w:adjustRightInd w:val="0"/>
              <w:snapToGrid w:val="0"/>
              <w:spacing w:before="100" w:beforeAutospacing="1" w:after="100" w:afterAutospacing="1"/>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widowControl/>
              <w:adjustRightInd w:val="0"/>
              <w:snapToGrid w:val="0"/>
              <w:spacing w:before="100" w:beforeAutospacing="1" w:after="100" w:afterAutospacing="1"/>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10" w:type="pct"/>
            <w:tcMar>
              <w:top w:w="0" w:type="dxa"/>
              <w:left w:w="108" w:type="dxa"/>
              <w:bottom w:w="0" w:type="dxa"/>
              <w:right w:w="108" w:type="dxa"/>
            </w:tcMar>
            <w:vAlign w:val="center"/>
          </w:tcPr>
          <w:p>
            <w:pPr>
              <w:widowControl/>
              <w:adjustRightInd w:val="0"/>
              <w:snapToGrid w:val="0"/>
              <w:spacing w:before="100" w:beforeAutospacing="1" w:after="100" w:afterAutospacing="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 MCS-51 单片机的系统扩展</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 MCS-51的接口技术</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2577"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合计</w:t>
            </w:r>
          </w:p>
        </w:tc>
        <w:tc>
          <w:tcPr>
            <w:tcW w:w="1005" w:type="pct"/>
            <w:tcMar>
              <w:top w:w="0" w:type="dxa"/>
              <w:left w:w="108" w:type="dxa"/>
              <w:bottom w:w="0" w:type="dxa"/>
              <w:right w:w="108" w:type="dxa"/>
            </w:tcMar>
            <w:vAlign w:val="center"/>
          </w:tcPr>
          <w:p>
            <w:pPr>
              <w:adjustRightInd w:val="0"/>
              <w:snapToGrid w:val="0"/>
              <w:ind w:firstLine="520" w:firstLineChars="289"/>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24</w:t>
            </w:r>
          </w:p>
        </w:tc>
        <w:tc>
          <w:tcPr>
            <w:tcW w:w="1008"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p>
        </w:tc>
        <w:tc>
          <w:tcPr>
            <w:tcW w:w="410" w:type="pct"/>
            <w:tcMar>
              <w:top w:w="0" w:type="dxa"/>
              <w:left w:w="108" w:type="dxa"/>
              <w:bottom w:w="0" w:type="dxa"/>
              <w:right w:w="108" w:type="dxa"/>
            </w:tcMar>
            <w:vAlign w:val="center"/>
          </w:tcPr>
          <w:p>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32</w:t>
            </w:r>
          </w:p>
        </w:tc>
      </w:tr>
    </w:tbl>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eastAsia="黑体"/>
          <w:szCs w:val="24"/>
        </w:rPr>
        <w:t>七、教材、补充教材及参考资料</w:t>
      </w:r>
    </w:p>
    <w:p>
      <w:pPr>
        <w:spacing w:line="360" w:lineRule="auto"/>
        <w:ind w:firstLine="420" w:firstLineChars="200"/>
        <w:rPr>
          <w:szCs w:val="21"/>
        </w:rPr>
      </w:pPr>
      <w:r>
        <w:rPr>
          <w:rFonts w:hint="eastAsia"/>
          <w:szCs w:val="21"/>
        </w:rPr>
        <w:t>1、李晓林《单片机原理与接口技术（第二版）》，ISBN9787121126192，电子工业出版社。</w:t>
      </w:r>
    </w:p>
    <w:p>
      <w:pPr>
        <w:spacing w:line="360" w:lineRule="auto"/>
        <w:ind w:firstLine="420" w:firstLineChars="200"/>
        <w:rPr>
          <w:szCs w:val="21"/>
        </w:rPr>
      </w:pPr>
      <w:r>
        <w:rPr>
          <w:rFonts w:hint="eastAsia"/>
          <w:szCs w:val="21"/>
        </w:rPr>
        <w:t>2、刘国荣编著《单片微型计算机技术（第二版）》，ISBN9787111053798，机械工业出版社。</w:t>
      </w:r>
    </w:p>
    <w:p>
      <w:pPr>
        <w:spacing w:line="360" w:lineRule="auto"/>
        <w:ind w:firstLine="420" w:firstLineChars="200"/>
        <w:rPr>
          <w:szCs w:val="21"/>
        </w:rPr>
      </w:pPr>
      <w:r>
        <w:rPr>
          <w:rFonts w:hint="eastAsia"/>
          <w:szCs w:val="21"/>
        </w:rPr>
        <w:t>3、曹巧媛编著《单片机原理及应用（第二版）》，ISBN9787505372818，电子工业出版社。</w:t>
      </w:r>
    </w:p>
    <w:p>
      <w:pPr>
        <w:spacing w:line="360" w:lineRule="auto"/>
        <w:ind w:firstLine="420" w:firstLineChars="200"/>
        <w:rPr>
          <w:szCs w:val="21"/>
        </w:rPr>
      </w:pPr>
      <w:r>
        <w:rPr>
          <w:rFonts w:hint="eastAsia"/>
          <w:szCs w:val="21"/>
        </w:rPr>
        <w:t>4、李华编著《MCS-51系列单片机实用接口技术（第一版）》，ISBN9787810124201，北京航天大学出版社。</w:t>
      </w:r>
    </w:p>
    <w:p>
      <w:pPr>
        <w:spacing w:line="360" w:lineRule="auto"/>
        <w:ind w:firstLine="420" w:firstLineChars="200"/>
        <w:rPr>
          <w:szCs w:val="21"/>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rFonts w:hint="eastAsia"/>
          <w:szCs w:val="21"/>
        </w:rPr>
        <w:t>1、采取措施：讲授与提问并重，理论</w:t>
      </w:r>
      <w:r>
        <w:rPr>
          <w:szCs w:val="21"/>
        </w:rPr>
        <w:t>与实验</w:t>
      </w:r>
      <w:r>
        <w:rPr>
          <w:rFonts w:hint="eastAsia"/>
          <w:szCs w:val="21"/>
        </w:rPr>
        <w:t>结合</w:t>
      </w:r>
      <w:r>
        <w:rPr>
          <w:szCs w:val="21"/>
        </w:rPr>
        <w:t>，</w:t>
      </w:r>
      <w:r>
        <w:rPr>
          <w:rFonts w:hint="eastAsia"/>
          <w:szCs w:val="21"/>
        </w:rPr>
        <w:t>学生每堂课回答</w:t>
      </w:r>
      <w:r>
        <w:rPr>
          <w:szCs w:val="21"/>
        </w:rPr>
        <w:t>问题</w:t>
      </w:r>
      <w:r>
        <w:rPr>
          <w:rFonts w:hint="eastAsia"/>
          <w:szCs w:val="21"/>
        </w:rPr>
        <w:t>，对理论内容进行加深和巩固</w:t>
      </w:r>
      <w:r>
        <w:rPr>
          <w:szCs w:val="21"/>
        </w:rPr>
        <w:t>，</w:t>
      </w:r>
      <w:r>
        <w:rPr>
          <w:rFonts w:hint="eastAsia"/>
          <w:szCs w:val="21"/>
        </w:rPr>
        <w:t>在</w:t>
      </w:r>
      <w:r>
        <w:rPr>
          <w:szCs w:val="21"/>
        </w:rPr>
        <w:t>实验课时</w:t>
      </w:r>
      <w:r>
        <w:rPr>
          <w:rFonts w:hint="eastAsia"/>
          <w:szCs w:val="21"/>
        </w:rPr>
        <w:t>需要</w:t>
      </w:r>
      <w:r>
        <w:rPr>
          <w:szCs w:val="21"/>
        </w:rPr>
        <w:t>学生独立完成，并将理论内容付诸实践</w:t>
      </w:r>
      <w:r>
        <w:rPr>
          <w:rFonts w:hint="eastAsia"/>
          <w:szCs w:val="21"/>
        </w:rPr>
        <w:t>。</w:t>
      </w:r>
    </w:p>
    <w:p>
      <w:pPr>
        <w:spacing w:line="360" w:lineRule="auto"/>
        <w:ind w:firstLine="420" w:firstLineChars="200"/>
        <w:rPr>
          <w:szCs w:val="21"/>
        </w:rPr>
      </w:pPr>
      <w:r>
        <w:rPr>
          <w:rFonts w:hint="eastAsia"/>
          <w:szCs w:val="21"/>
        </w:rPr>
        <w:t>2、考核方式：出勤、课堂提问、</w:t>
      </w:r>
      <w:r>
        <w:rPr>
          <w:color w:val="000000" w:themeColor="text1"/>
          <w:szCs w:val="21"/>
          <w14:textFill>
            <w14:solidFill>
              <w14:schemeClr w14:val="tx1"/>
            </w14:solidFill>
          </w14:textFill>
        </w:rPr>
        <w:t>考试、课内实验、作业</w:t>
      </w:r>
      <w:r>
        <w:rPr>
          <w:rFonts w:hint="eastAsia"/>
          <w:szCs w:val="21"/>
        </w:rPr>
        <w:t>。</w:t>
      </w:r>
    </w:p>
    <w:p>
      <w:pPr>
        <w:spacing w:line="360" w:lineRule="auto"/>
        <w:ind w:firstLine="420" w:firstLineChars="200"/>
        <w:rPr>
          <w:szCs w:val="21"/>
        </w:rPr>
      </w:pPr>
      <w:r>
        <w:rPr>
          <w:rFonts w:hint="eastAsia"/>
          <w:szCs w:val="21"/>
        </w:rPr>
        <w:t>3、考核目标：</w:t>
      </w:r>
      <w:r>
        <w:rPr>
          <w:color w:val="000000" w:themeColor="text1"/>
          <w:szCs w:val="21"/>
          <w14:textFill>
            <w14:solidFill>
              <w14:schemeClr w14:val="tx1"/>
            </w14:solidFill>
          </w14:textFill>
        </w:rPr>
        <w:t>在考核学生对单片机基本知识、基本原理的基础上，重点考核学生的对单片机的内部结构、指令系统、汇编程序设计和存储器及接口扩展学会的程度。</w:t>
      </w:r>
    </w:p>
    <w:p>
      <w:pPr>
        <w:spacing w:line="360" w:lineRule="auto"/>
        <w:ind w:firstLine="420" w:firstLineChars="200"/>
        <w:jc w:val="left"/>
        <w:rPr>
          <w:b/>
          <w:szCs w:val="21"/>
        </w:rPr>
      </w:pPr>
      <w:r>
        <w:rPr>
          <w:rFonts w:hint="eastAsia"/>
          <w:szCs w:val="21"/>
        </w:rPr>
        <w:t>4、评价环节对课程目标达成贡献率及支撑材料：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684"/>
        <w:gridCol w:w="1686"/>
        <w:gridCol w:w="1686"/>
        <w:gridCol w:w="14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60" w:type="pct"/>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考察环节</w:t>
            </w:r>
          </w:p>
        </w:tc>
        <w:tc>
          <w:tcPr>
            <w:tcW w:w="1013"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课堂情况</w:t>
            </w:r>
          </w:p>
        </w:tc>
        <w:tc>
          <w:tcPr>
            <w:tcW w:w="1014"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作业</w:t>
            </w:r>
          </w:p>
        </w:tc>
        <w:tc>
          <w:tcPr>
            <w:tcW w:w="1014"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w:t>
            </w:r>
          </w:p>
        </w:tc>
        <w:tc>
          <w:tcPr>
            <w:tcW w:w="899"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0" w:type="pct"/>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课程目标达成</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的贡献率</w:t>
            </w:r>
          </w:p>
        </w:tc>
        <w:tc>
          <w:tcPr>
            <w:tcW w:w="1013" w:type="pct"/>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14" w:type="pct"/>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0.23</w:t>
            </w:r>
          </w:p>
        </w:tc>
        <w:tc>
          <w:tcPr>
            <w:tcW w:w="1014" w:type="pct"/>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0.17</w:t>
            </w:r>
          </w:p>
        </w:tc>
        <w:tc>
          <w:tcPr>
            <w:tcW w:w="899" w:type="pct"/>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60" w:type="pct"/>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支撑材料</w:t>
            </w:r>
          </w:p>
        </w:tc>
        <w:tc>
          <w:tcPr>
            <w:tcW w:w="1013"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课堂提问</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点名记录</w:t>
            </w:r>
          </w:p>
        </w:tc>
        <w:tc>
          <w:tcPr>
            <w:tcW w:w="1014"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作业计分表</w:t>
            </w:r>
          </w:p>
        </w:tc>
        <w:tc>
          <w:tcPr>
            <w:tcW w:w="1014"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实验过程评分表</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实验报告</w:t>
            </w:r>
          </w:p>
        </w:tc>
        <w:tc>
          <w:tcPr>
            <w:tcW w:w="899"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试题评分标准，试卷，</w:t>
            </w:r>
          </w:p>
        </w:tc>
      </w:tr>
    </w:tbl>
    <w:p>
      <w:pPr>
        <w:spacing w:line="360" w:lineRule="auto"/>
        <w:rPr>
          <w:color w:val="0000FF"/>
        </w:rPr>
      </w:pP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pPr>
      <w:r>
        <w:rPr>
          <w:rFonts w:eastAsia="黑体"/>
          <w:color w:val="000000" w:themeColor="text1"/>
          <w:szCs w:val="24"/>
          <w14:textFill>
            <w14:solidFill>
              <w14:schemeClr w14:val="tx1"/>
            </w14:solidFill>
          </w14:textFill>
        </w:rPr>
        <w:t>九</w:t>
      </w:r>
      <w:r>
        <w:rPr>
          <w:rFonts w:hint="eastAsia" w:eastAsia="黑体"/>
          <w:color w:val="000000" w:themeColor="text1"/>
          <w:szCs w:val="24"/>
          <w14:textFill>
            <w14:solidFill>
              <w14:schemeClr w14:val="tx1"/>
            </w14:solidFill>
          </w14:textFill>
        </w:rPr>
        <w:t>、</w:t>
      </w:r>
      <w:r>
        <w:rPr>
          <w:rFonts w:eastAsia="黑体"/>
          <w:color w:val="000000" w:themeColor="text1"/>
          <w:szCs w:val="24"/>
          <w14:textFill>
            <w14:solidFill>
              <w14:schemeClr w14:val="tx1"/>
            </w14:solidFill>
          </w14:textFill>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1413"/>
        <w:gridCol w:w="21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jc w:val="center"/>
              <w:rPr>
                <w:sz w:val="18"/>
                <w:szCs w:val="18"/>
              </w:rPr>
            </w:pPr>
            <w:r>
              <w:rPr>
                <w:sz w:val="18"/>
                <w:szCs w:val="18"/>
              </w:rPr>
              <w:t>知识点</w:t>
            </w:r>
          </w:p>
        </w:tc>
        <w:tc>
          <w:tcPr>
            <w:tcW w:w="850" w:type="pct"/>
            <w:vAlign w:val="center"/>
          </w:tcPr>
          <w:p>
            <w:pPr>
              <w:jc w:val="center"/>
              <w:rPr>
                <w:sz w:val="18"/>
                <w:szCs w:val="18"/>
              </w:rPr>
            </w:pPr>
            <w:r>
              <w:rPr>
                <w:sz w:val="18"/>
                <w:szCs w:val="18"/>
              </w:rPr>
              <w:t>权重</w:t>
            </w:r>
          </w:p>
        </w:tc>
        <w:tc>
          <w:tcPr>
            <w:tcW w:w="1289"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1单片机</w:t>
            </w:r>
            <w:r>
              <w:rPr>
                <w:rFonts w:hint="eastAsia"/>
                <w:color w:val="000000" w:themeColor="text1"/>
                <w:sz w:val="18"/>
                <w:szCs w:val="18"/>
                <w14:textFill>
                  <w14:solidFill>
                    <w14:schemeClr w14:val="tx1"/>
                  </w14:solidFill>
                </w14:textFill>
              </w:rPr>
              <w:t>应用范围和种类</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 MCS-51 系列单片机的结构与原理</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 MCS-51 寻址方式和指令系统</w:t>
            </w:r>
          </w:p>
        </w:tc>
        <w:tc>
          <w:tcPr>
            <w:tcW w:w="850" w:type="pct"/>
            <w:vAlign w:val="center"/>
          </w:tcPr>
          <w:p>
            <w:pPr>
              <w:jc w:val="center"/>
              <w:rPr>
                <w:sz w:val="18"/>
                <w:szCs w:val="18"/>
              </w:rPr>
            </w:pPr>
            <w:r>
              <w:rPr>
                <w:sz w:val="18"/>
                <w:szCs w:val="18"/>
              </w:rPr>
              <w:t>0.</w:t>
            </w:r>
            <w:r>
              <w:rPr>
                <w:rFonts w:hint="eastAsia"/>
                <w:sz w:val="18"/>
                <w:szCs w:val="18"/>
              </w:rPr>
              <w:t>1</w:t>
            </w:r>
          </w:p>
        </w:tc>
        <w:tc>
          <w:tcPr>
            <w:tcW w:w="1289" w:type="pct"/>
            <w:vAlign w:val="center"/>
          </w:tcPr>
          <w:p>
            <w:pPr>
              <w:jc w:val="center"/>
              <w:rPr>
                <w:bCs/>
                <w:sz w:val="18"/>
                <w:szCs w:val="18"/>
              </w:rPr>
            </w:pPr>
            <w:r>
              <w:rPr>
                <w:rFonts w:hint="eastAsia"/>
                <w:bCs/>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4汇编语言程序设计</w:t>
            </w:r>
          </w:p>
        </w:tc>
        <w:tc>
          <w:tcPr>
            <w:tcW w:w="850" w:type="pct"/>
            <w:vAlign w:val="center"/>
          </w:tcPr>
          <w:p>
            <w:pPr>
              <w:jc w:val="center"/>
              <w:rPr>
                <w:sz w:val="18"/>
                <w:szCs w:val="18"/>
              </w:rPr>
            </w:pPr>
            <w:r>
              <w:rPr>
                <w:rFonts w:hint="eastAsia"/>
                <w:sz w:val="18"/>
                <w:szCs w:val="18"/>
              </w:rPr>
              <w:t>0.</w:t>
            </w:r>
            <w:r>
              <w:rPr>
                <w:sz w:val="18"/>
                <w:szCs w:val="18"/>
              </w:rPr>
              <w:t>2</w:t>
            </w:r>
          </w:p>
        </w:tc>
        <w:tc>
          <w:tcPr>
            <w:tcW w:w="1289" w:type="pct"/>
            <w:vAlign w:val="center"/>
          </w:tcPr>
          <w:p>
            <w:pPr>
              <w:jc w:val="center"/>
              <w:rPr>
                <w:bCs/>
                <w:sz w:val="18"/>
                <w:szCs w:val="18"/>
              </w:rPr>
            </w:pPr>
            <w:r>
              <w:rPr>
                <w:rFonts w:hint="eastAsia"/>
                <w:bCs/>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 MCS-51 中断系统</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 MCS-51 定时器/计数器</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 MCS-51 串行通信接口</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 MCS-51 单片机的系统扩展</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1" w:type="pct"/>
            <w:vAlign w:val="center"/>
          </w:tcPr>
          <w:p>
            <w:pPr>
              <w:ind w:left="174" w:leftChars="83"/>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 MCS-51的接口技术</w:t>
            </w:r>
          </w:p>
        </w:tc>
        <w:tc>
          <w:tcPr>
            <w:tcW w:w="850" w:type="pct"/>
            <w:vAlign w:val="center"/>
          </w:tcPr>
          <w:p>
            <w:pPr>
              <w:jc w:val="center"/>
              <w:rPr>
                <w:sz w:val="18"/>
                <w:szCs w:val="18"/>
              </w:rPr>
            </w:pPr>
            <w:r>
              <w:rPr>
                <w:rFonts w:hint="eastAsia"/>
                <w:sz w:val="18"/>
                <w:szCs w:val="18"/>
              </w:rPr>
              <w:t>0.1</w:t>
            </w:r>
          </w:p>
        </w:tc>
        <w:tc>
          <w:tcPr>
            <w:tcW w:w="1289" w:type="pct"/>
            <w:vAlign w:val="center"/>
          </w:tcPr>
          <w:p>
            <w:pPr>
              <w:jc w:val="center"/>
              <w:rPr>
                <w:bCs/>
                <w:sz w:val="18"/>
                <w:szCs w:val="18"/>
              </w:rPr>
            </w:pPr>
            <w:r>
              <w:rPr>
                <w:rFonts w:hint="eastAsia"/>
                <w:bCs/>
                <w:sz w:val="18"/>
                <w:szCs w:val="18"/>
              </w:rPr>
              <w:t>2，3</w:t>
            </w:r>
          </w:p>
        </w:tc>
      </w:tr>
    </w:tbl>
    <w:p>
      <w:pPr>
        <w:spacing w:before="120" w:beforeLines="50" w:line="360" w:lineRule="auto"/>
        <w:ind w:firstLine="210" w:firstLineChars="100"/>
        <w:rPr>
          <w:color w:val="000000"/>
          <w:sz w:val="24"/>
          <w:szCs w:val="24"/>
        </w:rPr>
      </w:pPr>
      <w:r>
        <w:rPr>
          <w:rFonts w:hint="eastAsia" w:ascii="宋体" w:hAnsi="宋体" w:cs="宋体"/>
          <w:szCs w:val="21"/>
        </w:rPr>
        <w:t>本课程不可以申请免修。</w:t>
      </w:r>
    </w:p>
    <w:p>
      <w:pPr>
        <w:spacing w:line="360" w:lineRule="auto"/>
        <w:rPr>
          <w:color w:val="0000FF"/>
        </w:rPr>
        <w:sectPr>
          <w:headerReference r:id="rId25" w:type="default"/>
          <w:footerReference r:id="rId27" w:type="default"/>
          <w:headerReference r:id="rId26"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634"/>
        <w:gridCol w:w="1036"/>
        <w:gridCol w:w="857"/>
        <w:gridCol w:w="712"/>
        <w:gridCol w:w="700"/>
        <w:gridCol w:w="974"/>
        <w:gridCol w:w="1113"/>
        <w:gridCol w:w="946"/>
        <w:gridCol w:w="951"/>
        <w:gridCol w:w="1269"/>
        <w:gridCol w:w="951"/>
        <w:gridCol w:w="1110"/>
        <w:gridCol w:w="951"/>
        <w:gridCol w:w="1744"/>
      </w:tblGrid>
      <w:tr>
        <w:tblPrEx>
          <w:tblCellMar>
            <w:top w:w="0" w:type="dxa"/>
            <w:left w:w="108" w:type="dxa"/>
            <w:bottom w:w="0" w:type="dxa"/>
            <w:right w:w="108" w:type="dxa"/>
          </w:tblCellMar>
        </w:tblPrEx>
        <w:trPr>
          <w:trHeight w:val="1015" w:hRule="atLeast"/>
          <w:jc w:val="center"/>
        </w:trPr>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16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34" w:type="pct"/>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705" w:type="pct"/>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307" w:type="pct"/>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课堂</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情况</w:t>
            </w:r>
          </w:p>
        </w:tc>
        <w:tc>
          <w:tcPr>
            <w:tcW w:w="255" w:type="pct"/>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作业</w:t>
            </w:r>
          </w:p>
        </w:tc>
        <w:tc>
          <w:tcPr>
            <w:tcW w:w="251" w:type="pct"/>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w:t>
            </w:r>
          </w:p>
        </w:tc>
        <w:tc>
          <w:tcPr>
            <w:tcW w:w="348" w:type="pct"/>
            <w:tcBorders>
              <w:top w:val="nil"/>
              <w:left w:val="nil"/>
              <w:bottom w:val="single" w:color="auto" w:sz="4" w:space="0"/>
              <w:right w:val="single" w:color="auto" w:sz="4"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期末</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考试</w:t>
            </w:r>
          </w:p>
        </w:tc>
        <w:tc>
          <w:tcPr>
            <w:tcW w:w="399" w:type="pct"/>
            <w:tcBorders>
              <w:top w:val="nil"/>
              <w:left w:val="nil"/>
              <w:bottom w:val="single" w:color="auto" w:sz="4" w:space="0"/>
              <w:right w:val="single" w:color="auto" w:sz="4" w:space="0"/>
            </w:tcBorders>
            <w:shd w:val="clear" w:color="auto" w:fill="FFFFFF" w:themeFill="background1"/>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课堂</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情况</w:t>
            </w:r>
          </w:p>
        </w:tc>
        <w:tc>
          <w:tcPr>
            <w:tcW w:w="339" w:type="pct"/>
            <w:tcBorders>
              <w:top w:val="nil"/>
              <w:left w:val="nil"/>
              <w:bottom w:val="single" w:color="auto" w:sz="4" w:space="0"/>
              <w:right w:val="single" w:color="auto" w:sz="4" w:space="0"/>
            </w:tcBorders>
            <w:shd w:val="clear" w:color="auto" w:fill="FFFFFF" w:themeFill="background1"/>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作业</w:t>
            </w:r>
          </w:p>
        </w:tc>
        <w:tc>
          <w:tcPr>
            <w:tcW w:w="341" w:type="pct"/>
            <w:tcBorders>
              <w:top w:val="nil"/>
              <w:left w:val="nil"/>
              <w:bottom w:val="single" w:color="auto" w:sz="4" w:space="0"/>
              <w:right w:val="single" w:color="auto" w:sz="4" w:space="0"/>
            </w:tcBorders>
            <w:shd w:val="clear" w:color="auto" w:fill="FFFFFF" w:themeFill="background1"/>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w:t>
            </w:r>
          </w:p>
        </w:tc>
        <w:tc>
          <w:tcPr>
            <w:tcW w:w="455" w:type="pct"/>
            <w:tcBorders>
              <w:top w:val="nil"/>
              <w:left w:val="nil"/>
              <w:bottom w:val="single" w:color="auto" w:sz="4" w:space="0"/>
              <w:right w:val="single" w:color="auto" w:sz="4" w:space="0"/>
            </w:tcBorders>
            <w:shd w:val="clear" w:color="auto" w:fill="FFFFFF" w:themeFill="background1"/>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期末</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考试</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作业</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实验</w:t>
            </w:r>
          </w:p>
        </w:tc>
        <w:tc>
          <w:tcPr>
            <w:tcW w:w="625"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期末</w:t>
            </w:r>
          </w:p>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考试</w:t>
            </w:r>
          </w:p>
        </w:tc>
      </w:tr>
      <w:tr>
        <w:tblPrEx>
          <w:tblCellMar>
            <w:top w:w="0" w:type="dxa"/>
            <w:left w:w="108" w:type="dxa"/>
            <w:bottom w:w="0" w:type="dxa"/>
            <w:right w:w="108" w:type="dxa"/>
          </w:tblCellMar>
        </w:tblPrEx>
        <w:trPr>
          <w:trHeight w:val="1020"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307"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w:t>
            </w:r>
            <w:r>
              <w:rPr>
                <w:rFonts w:hint="eastAsia"/>
                <w:sz w:val="18"/>
                <w:szCs w:val="18"/>
              </w:rPr>
              <w:t>10</w:t>
            </w:r>
          </w:p>
        </w:tc>
        <w:tc>
          <w:tcPr>
            <w:tcW w:w="255"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w:t>
            </w:r>
            <w:r>
              <w:rPr>
                <w:rFonts w:hint="eastAsia"/>
                <w:sz w:val="18"/>
                <w:szCs w:val="18"/>
              </w:rPr>
              <w:t>4</w:t>
            </w:r>
          </w:p>
        </w:tc>
        <w:tc>
          <w:tcPr>
            <w:tcW w:w="251"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rFonts w:hint="eastAsia"/>
                <w:sz w:val="18"/>
                <w:szCs w:val="18"/>
              </w:rPr>
              <w:t>0.0</w:t>
            </w:r>
          </w:p>
        </w:tc>
        <w:tc>
          <w:tcPr>
            <w:tcW w:w="348"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399"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01</w:t>
            </w:r>
          </w:p>
        </w:tc>
        <w:tc>
          <w:tcPr>
            <w:tcW w:w="339"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04</w:t>
            </w:r>
          </w:p>
        </w:tc>
        <w:tc>
          <w:tcPr>
            <w:tcW w:w="341"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0.0</w:t>
            </w:r>
          </w:p>
        </w:tc>
        <w:tc>
          <w:tcPr>
            <w:tcW w:w="455"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05</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right"/>
              <w:rPr>
                <w:color w:val="000000"/>
                <w:kern w:val="0"/>
                <w:sz w:val="18"/>
                <w:szCs w:val="18"/>
              </w:rPr>
            </w:pPr>
            <w:r>
              <w:rPr>
                <w:rFonts w:hint="eastAsia"/>
                <w:color w:val="000000"/>
                <w:sz w:val="18"/>
                <w:szCs w:val="18"/>
              </w:rPr>
              <w:t xml:space="preserve">0.10 </w:t>
            </w:r>
          </w:p>
        </w:tc>
        <w:tc>
          <w:tcPr>
            <w:tcW w:w="398"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0.17 </w:t>
            </w:r>
          </w:p>
        </w:tc>
        <w:tc>
          <w:tcPr>
            <w:tcW w:w="341"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0.00 </w:t>
            </w:r>
          </w:p>
        </w:tc>
        <w:tc>
          <w:tcPr>
            <w:tcW w:w="625" w:type="pct"/>
            <w:tcBorders>
              <w:top w:val="single" w:color="auto" w:sz="4" w:space="0"/>
              <w:left w:val="single" w:color="auto" w:sz="4" w:space="0"/>
              <w:bottom w:val="single" w:color="auto" w:sz="4" w:space="0"/>
              <w:right w:val="single" w:color="auto" w:sz="4" w:space="0"/>
            </w:tcBorders>
            <w:vAlign w:val="center"/>
          </w:tcPr>
          <w:p>
            <w:pPr>
              <w:ind w:right="440"/>
              <w:jc w:val="center"/>
              <w:rPr>
                <w:color w:val="000000"/>
                <w:sz w:val="18"/>
                <w:szCs w:val="18"/>
              </w:rPr>
            </w:pPr>
            <w:r>
              <w:rPr>
                <w:rFonts w:hint="eastAsia"/>
                <w:color w:val="000000"/>
                <w:sz w:val="18"/>
                <w:szCs w:val="18"/>
              </w:rPr>
              <w:t>0.10</w:t>
            </w:r>
          </w:p>
        </w:tc>
      </w:tr>
      <w:tr>
        <w:tblPrEx>
          <w:tblCellMar>
            <w:top w:w="0" w:type="dxa"/>
            <w:left w:w="108" w:type="dxa"/>
            <w:bottom w:w="0" w:type="dxa"/>
            <w:right w:w="108" w:type="dxa"/>
          </w:tblCellMar>
        </w:tblPrEx>
        <w:trPr>
          <w:trHeight w:val="694"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0.8</w:t>
            </w:r>
          </w:p>
        </w:tc>
        <w:tc>
          <w:tcPr>
            <w:tcW w:w="30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w:t>
            </w:r>
            <w:r>
              <w:rPr>
                <w:rFonts w:hint="eastAsia"/>
                <w:sz w:val="18"/>
                <w:szCs w:val="18"/>
              </w:rPr>
              <w:t>10</w:t>
            </w:r>
          </w:p>
        </w:tc>
        <w:tc>
          <w:tcPr>
            <w:tcW w:w="25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25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3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399"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08</w:t>
            </w:r>
          </w:p>
        </w:tc>
        <w:tc>
          <w:tcPr>
            <w:tcW w:w="339"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16</w:t>
            </w:r>
          </w:p>
        </w:tc>
        <w:tc>
          <w:tcPr>
            <w:tcW w:w="341"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16</w:t>
            </w:r>
          </w:p>
        </w:tc>
        <w:tc>
          <w:tcPr>
            <w:tcW w:w="455"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40</w:t>
            </w:r>
          </w:p>
        </w:tc>
        <w:tc>
          <w:tcPr>
            <w:tcW w:w="341"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0.80 </w:t>
            </w:r>
          </w:p>
        </w:tc>
        <w:tc>
          <w:tcPr>
            <w:tcW w:w="398"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0.70 </w:t>
            </w:r>
          </w:p>
        </w:tc>
        <w:tc>
          <w:tcPr>
            <w:tcW w:w="341"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0.94 </w:t>
            </w:r>
          </w:p>
        </w:tc>
        <w:tc>
          <w:tcPr>
            <w:tcW w:w="625" w:type="pct"/>
            <w:tcBorders>
              <w:top w:val="single" w:color="auto" w:sz="4" w:space="0"/>
              <w:left w:val="single" w:color="auto" w:sz="4" w:space="0"/>
              <w:bottom w:val="single" w:color="auto" w:sz="4" w:space="0"/>
              <w:right w:val="single" w:color="auto" w:sz="4" w:space="0"/>
            </w:tcBorders>
            <w:vAlign w:val="center"/>
          </w:tcPr>
          <w:p>
            <w:pPr>
              <w:ind w:right="440"/>
              <w:jc w:val="center"/>
              <w:rPr>
                <w:color w:val="000000"/>
                <w:sz w:val="18"/>
                <w:szCs w:val="18"/>
              </w:rPr>
            </w:pPr>
            <w:r>
              <w:rPr>
                <w:rFonts w:hint="eastAsia"/>
                <w:color w:val="000000"/>
                <w:sz w:val="18"/>
                <w:szCs w:val="18"/>
              </w:rPr>
              <w:t>0.80</w:t>
            </w:r>
          </w:p>
        </w:tc>
      </w:tr>
      <w:tr>
        <w:tblPrEx>
          <w:tblCellMar>
            <w:top w:w="0" w:type="dxa"/>
            <w:left w:w="108" w:type="dxa"/>
            <w:bottom w:w="0" w:type="dxa"/>
            <w:right w:w="108" w:type="dxa"/>
          </w:tblCellMar>
        </w:tblPrEx>
        <w:trPr>
          <w:trHeight w:val="690"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30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w:t>
            </w:r>
            <w:r>
              <w:rPr>
                <w:rFonts w:hint="eastAsia"/>
                <w:sz w:val="18"/>
                <w:szCs w:val="18"/>
              </w:rPr>
              <w:t>10</w:t>
            </w:r>
          </w:p>
        </w:tc>
        <w:tc>
          <w:tcPr>
            <w:tcW w:w="25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0.3</w:t>
            </w:r>
          </w:p>
        </w:tc>
        <w:tc>
          <w:tcPr>
            <w:tcW w:w="25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w:t>
            </w:r>
            <w:r>
              <w:rPr>
                <w:rFonts w:hint="eastAsia"/>
                <w:sz w:val="18"/>
                <w:szCs w:val="18"/>
              </w:rPr>
              <w:t>10</w:t>
            </w:r>
          </w:p>
        </w:tc>
        <w:tc>
          <w:tcPr>
            <w:tcW w:w="3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399"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01</w:t>
            </w:r>
          </w:p>
        </w:tc>
        <w:tc>
          <w:tcPr>
            <w:tcW w:w="339"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03</w:t>
            </w:r>
          </w:p>
        </w:tc>
        <w:tc>
          <w:tcPr>
            <w:tcW w:w="341"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01</w:t>
            </w:r>
          </w:p>
        </w:tc>
        <w:tc>
          <w:tcPr>
            <w:tcW w:w="455" w:type="pct"/>
            <w:tcBorders>
              <w:top w:val="nil"/>
              <w:left w:val="nil"/>
              <w:bottom w:val="single" w:color="auto" w:sz="4" w:space="0"/>
              <w:right w:val="single" w:color="auto" w:sz="4" w:space="0"/>
            </w:tcBorders>
            <w:shd w:val="clear" w:color="auto" w:fill="FFFFFF" w:themeFill="background1"/>
            <w:noWrap/>
            <w:vAlign w:val="center"/>
          </w:tcPr>
          <w:p>
            <w:pPr>
              <w:widowControl/>
              <w:jc w:val="center"/>
              <w:rPr>
                <w:sz w:val="18"/>
                <w:szCs w:val="18"/>
              </w:rPr>
            </w:pPr>
            <w:r>
              <w:rPr>
                <w:rFonts w:hint="eastAsia"/>
                <w:sz w:val="18"/>
                <w:szCs w:val="18"/>
              </w:rPr>
              <w:t>0.</w:t>
            </w:r>
            <w:r>
              <w:rPr>
                <w:sz w:val="18"/>
                <w:szCs w:val="18"/>
              </w:rPr>
              <w:t>05</w:t>
            </w:r>
          </w:p>
        </w:tc>
        <w:tc>
          <w:tcPr>
            <w:tcW w:w="341"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0.10 </w:t>
            </w:r>
          </w:p>
        </w:tc>
        <w:tc>
          <w:tcPr>
            <w:tcW w:w="398"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0.13 </w:t>
            </w:r>
          </w:p>
        </w:tc>
        <w:tc>
          <w:tcPr>
            <w:tcW w:w="341" w:type="pct"/>
            <w:tcBorders>
              <w:top w:val="single" w:color="auto" w:sz="4" w:space="0"/>
              <w:left w:val="single" w:color="auto" w:sz="4" w:space="0"/>
              <w:bottom w:val="single" w:color="auto" w:sz="4" w:space="0"/>
              <w:right w:val="single" w:color="auto" w:sz="4" w:space="0"/>
            </w:tcBorders>
            <w:vAlign w:val="center"/>
          </w:tcPr>
          <w:p>
            <w:pPr>
              <w:jc w:val="right"/>
              <w:rPr>
                <w:color w:val="000000"/>
                <w:sz w:val="18"/>
                <w:szCs w:val="18"/>
              </w:rPr>
            </w:pPr>
            <w:r>
              <w:rPr>
                <w:rFonts w:hint="eastAsia"/>
                <w:color w:val="000000"/>
                <w:sz w:val="18"/>
                <w:szCs w:val="18"/>
              </w:rPr>
              <w:t xml:space="preserve">0.06 </w:t>
            </w:r>
          </w:p>
        </w:tc>
        <w:tc>
          <w:tcPr>
            <w:tcW w:w="625" w:type="pct"/>
            <w:tcBorders>
              <w:top w:val="single" w:color="auto" w:sz="4" w:space="0"/>
              <w:left w:val="single" w:color="auto" w:sz="4" w:space="0"/>
              <w:bottom w:val="single" w:color="auto" w:sz="4" w:space="0"/>
              <w:right w:val="single" w:color="auto" w:sz="4" w:space="0"/>
            </w:tcBorders>
            <w:vAlign w:val="center"/>
          </w:tcPr>
          <w:p>
            <w:pPr>
              <w:ind w:right="440"/>
              <w:jc w:val="center"/>
              <w:rPr>
                <w:color w:val="000000"/>
                <w:sz w:val="18"/>
                <w:szCs w:val="18"/>
              </w:rPr>
            </w:pPr>
            <w:r>
              <w:rPr>
                <w:rFonts w:hint="eastAsia"/>
                <w:color w:val="000000"/>
                <w:sz w:val="18"/>
                <w:szCs w:val="18"/>
              </w:rPr>
              <w:t>0.10</w:t>
            </w:r>
          </w:p>
        </w:tc>
      </w:tr>
      <w:tr>
        <w:tblPrEx>
          <w:tblCellMar>
            <w:top w:w="0" w:type="dxa"/>
            <w:left w:w="108" w:type="dxa"/>
            <w:bottom w:w="0" w:type="dxa"/>
            <w:right w:w="108" w:type="dxa"/>
          </w:tblCellMar>
        </w:tblPrEx>
        <w:trPr>
          <w:trHeight w:val="1026" w:hRule="atLeast"/>
          <w:jc w:val="center"/>
        </w:trPr>
        <w:tc>
          <w:tcPr>
            <w:tcW w:w="1760"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399" w:type="pc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sz w:val="18"/>
                <w:szCs w:val="18"/>
              </w:rPr>
            </w:pPr>
            <w:r>
              <w:rPr>
                <w:rFonts w:hint="eastAsia"/>
                <w:sz w:val="18"/>
                <w:szCs w:val="18"/>
              </w:rPr>
              <w:t>0.</w:t>
            </w:r>
            <w:r>
              <w:rPr>
                <w:sz w:val="18"/>
                <w:szCs w:val="18"/>
              </w:rPr>
              <w:t>10</w:t>
            </w:r>
          </w:p>
        </w:tc>
        <w:tc>
          <w:tcPr>
            <w:tcW w:w="339"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sz w:val="18"/>
                <w:szCs w:val="18"/>
              </w:rPr>
            </w:pPr>
            <w:r>
              <w:rPr>
                <w:rFonts w:hint="eastAsia"/>
                <w:sz w:val="18"/>
                <w:szCs w:val="18"/>
              </w:rPr>
              <w:t>0.</w:t>
            </w:r>
            <w:r>
              <w:rPr>
                <w:sz w:val="18"/>
                <w:szCs w:val="18"/>
              </w:rPr>
              <w:t>23</w:t>
            </w:r>
          </w:p>
        </w:tc>
        <w:tc>
          <w:tcPr>
            <w:tcW w:w="341"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sz w:val="18"/>
                <w:szCs w:val="18"/>
              </w:rPr>
            </w:pPr>
            <w:r>
              <w:rPr>
                <w:rFonts w:hint="eastAsia"/>
                <w:sz w:val="18"/>
                <w:szCs w:val="18"/>
              </w:rPr>
              <w:t>0.</w:t>
            </w:r>
            <w:r>
              <w:rPr>
                <w:sz w:val="18"/>
                <w:szCs w:val="18"/>
              </w:rPr>
              <w:t>17</w:t>
            </w:r>
          </w:p>
        </w:tc>
        <w:tc>
          <w:tcPr>
            <w:tcW w:w="455"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sz w:val="18"/>
                <w:szCs w:val="18"/>
              </w:rPr>
            </w:pPr>
            <w:r>
              <w:rPr>
                <w:rFonts w:hint="eastAsia"/>
                <w:sz w:val="18"/>
                <w:szCs w:val="18"/>
              </w:rPr>
              <w:t>0.</w:t>
            </w:r>
            <w:r>
              <w:rPr>
                <w:sz w:val="18"/>
                <w:szCs w:val="18"/>
              </w:rPr>
              <w:t>50</w:t>
            </w:r>
          </w:p>
        </w:tc>
        <w:tc>
          <w:tcPr>
            <w:tcW w:w="1705" w:type="pct"/>
            <w:gridSpan w:val="4"/>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ind w:right="-1611" w:rightChars="-767"/>
      </w:pPr>
    </w:p>
    <w:p>
      <w:pPr>
        <w:spacing w:line="360" w:lineRule="auto"/>
        <w:ind w:firstLine="420" w:firstLineChars="200"/>
        <w:rPr>
          <w:szCs w:val="21"/>
        </w:rPr>
        <w:sectPr>
          <w:pgSz w:w="16838" w:h="11906" w:orient="landscape"/>
          <w:pgMar w:top="1797" w:right="1440" w:bottom="1797" w:left="1440" w:header="851" w:footer="992" w:gutter="0"/>
          <w:cols w:space="425" w:num="1"/>
          <w:docGrid w:type="line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84" o:spt="75" type="#_x0000_t75" style="height:36pt;width:166.2pt;" o:ole="t" filled="f" o:preferrelative="t" stroked="f" coordsize="21600,21600">
            <v:path/>
            <v:fill on="f" focussize="0,0"/>
            <v:stroke on="f" joinstyle="miter"/>
            <v:imagedata r:id="rId201" o:title=""/>
            <o:lock v:ext="edit" aspectratio="t"/>
            <w10:wrap type="none"/>
            <w10:anchorlock/>
          </v:shape>
          <o:OLEObject Type="Embed" ProgID="Equation.3" ShapeID="_x0000_i1084" DrawAspect="Content" ObjectID="_1468075784" r:id="rId242">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85"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85" DrawAspect="Content" ObjectID="_1468075785" r:id="rId243">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86" o:spt="75" type="#_x0000_t75" style="height:18pt;width:13.2pt;" o:ole="t" filled="f" o:preferrelative="t" stroked="f" coordsize="21600,21600">
            <v:path/>
            <v:fill on="f" focussize="0,0"/>
            <v:stroke on="f" joinstyle="miter"/>
            <v:imagedata r:id="rId205" o:title=""/>
            <o:lock v:ext="edit" aspectratio="t"/>
            <w10:wrap type="none"/>
            <w10:anchorlock/>
          </v:shape>
          <o:OLEObject Type="Embed" ProgID="Equation.3" ShapeID="_x0000_i1086" DrawAspect="Content" ObjectID="_1468075786" r:id="rId244">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87" o:spt="75" type="#_x0000_t75" style="height:18pt;width:73.8pt;" o:ole="t" filled="f" o:preferrelative="t" stroked="f" coordsize="21600,21600">
            <v:path/>
            <v:fill on="f" focussize="0,0"/>
            <v:stroke on="f" joinstyle="miter"/>
            <v:imagedata r:id="rId207" o:title=""/>
            <o:lock v:ext="edit" aspectratio="t"/>
            <w10:wrap type="none"/>
            <w10:anchorlock/>
          </v:shape>
          <o:OLEObject Type="Embed" ProgID="Equation.3" ShapeID="_x0000_i1087" DrawAspect="Content" ObjectID="_1468075787" r:id="rId245">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088" o:spt="75" type="#_x0000_t75" style="height:18pt;width:18pt;" o:ole="t" filled="f" o:preferrelative="t" stroked="f" coordsize="21600,21600">
            <v:path/>
            <v:fill on="f" focussize="0,0"/>
            <v:stroke on="f" joinstyle="miter"/>
            <v:imagedata r:id="rId209" o:title=""/>
            <o:lock v:ext="edit" aspectratio="t"/>
            <w10:wrap type="none"/>
            <w10:anchorlock/>
          </v:shape>
          <o:OLEObject Type="Embed" ProgID="Equation.3" ShapeID="_x0000_i1088" DrawAspect="Content" ObjectID="_1468075788" r:id="rId246">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089" o:spt="75" type="#_x0000_t75" style="height:18pt;width:13.2pt;" o:ole="t" filled="f" o:preferrelative="t" stroked="f" coordsize="21600,21600">
            <v:path/>
            <v:fill on="f" focussize="0,0"/>
            <v:stroke on="f" joinstyle="miter"/>
            <v:imagedata r:id="rId211" o:title=""/>
            <o:lock v:ext="edit" aspectratio="t"/>
            <w10:wrap type="none"/>
            <w10:anchorlock/>
          </v:shape>
          <o:OLEObject Type="Embed" ProgID="Equation.3" ShapeID="_x0000_i1089" DrawAspect="Content" ObjectID="_1468075789" r:id="rId247">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76" w:name="_Toc20984"/>
      <w:bookmarkStart w:id="177" w:name="_Toc46996564"/>
      <w:r>
        <w:t>《Y03060013-传感器原理及设计》教学大纲</w:t>
      </w:r>
      <w:bookmarkEnd w:id="176"/>
      <w:bookmarkEnd w:id="177"/>
    </w:p>
    <w:p>
      <w:pPr>
        <w:adjustRightInd w:val="0"/>
        <w:snapToGrid w:val="0"/>
        <w:spacing w:line="360" w:lineRule="auto"/>
        <w:rPr>
          <w:bCs/>
          <w:kern w:val="0"/>
        </w:rPr>
      </w:pPr>
      <w:r>
        <w:rPr>
          <w:rFonts w:hint="eastAsia" w:eastAsia="黑体"/>
          <w:szCs w:val="21"/>
        </w:rPr>
        <w:t>课程编号：</w:t>
      </w:r>
      <w:r>
        <w:rPr>
          <w:szCs w:val="21"/>
        </w:rPr>
        <w:t>Y03060013</w:t>
      </w:r>
    </w:p>
    <w:p>
      <w:pPr>
        <w:adjustRightInd w:val="0"/>
        <w:snapToGrid w:val="0"/>
        <w:spacing w:line="360" w:lineRule="auto"/>
        <w:rPr>
          <w:snapToGrid w:val="0"/>
          <w:kern w:val="0"/>
          <w:szCs w:val="21"/>
        </w:rPr>
      </w:pPr>
      <w:r>
        <w:rPr>
          <w:rFonts w:hint="eastAsia" w:eastAsia="黑体"/>
          <w:szCs w:val="21"/>
        </w:rPr>
        <w:t>课程名称：</w:t>
      </w:r>
      <w:r>
        <w:rPr>
          <w:rFonts w:ascii="宋体" w:hAnsi="宋体"/>
          <w:szCs w:val="21"/>
        </w:rPr>
        <w:t>传感器原理及设计</w:t>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4</w:t>
      </w:r>
      <w:r>
        <w:rPr>
          <w:rFonts w:hint="eastAsia"/>
          <w:szCs w:val="21"/>
        </w:rPr>
        <w:t>8</w:t>
      </w:r>
      <w:r>
        <w:rPr>
          <w:szCs w:val="21"/>
        </w:rPr>
        <w:t xml:space="preserve"> (</w:t>
      </w:r>
      <w:r>
        <w:rPr>
          <w:rFonts w:hint="eastAsia"/>
          <w:szCs w:val="21"/>
        </w:rPr>
        <w:t>实验</w:t>
      </w:r>
      <w:r>
        <w:rPr>
          <w:szCs w:val="21"/>
        </w:rPr>
        <w:t>1</w:t>
      </w:r>
      <w:r>
        <w:rPr>
          <w:rFonts w:hint="eastAsia"/>
          <w:szCs w:val="21"/>
        </w:rPr>
        <w:t>0学时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分：3</w:t>
      </w:r>
    </w:p>
    <w:p>
      <w:pPr>
        <w:adjustRightInd w:val="0"/>
        <w:snapToGrid w:val="0"/>
        <w:spacing w:line="360" w:lineRule="auto"/>
        <w:rPr>
          <w:szCs w:val="21"/>
        </w:rPr>
      </w:pPr>
      <w:r>
        <w:rPr>
          <w:rFonts w:eastAsia="黑体"/>
          <w:szCs w:val="21"/>
        </w:rPr>
        <w:t>适用专业：</w:t>
      </w:r>
      <w:r>
        <w:rPr>
          <w:rFonts w:hint="eastAsia"/>
          <w:szCs w:val="21"/>
        </w:rPr>
        <w:t>电子科学与技术专业</w:t>
      </w:r>
    </w:p>
    <w:p>
      <w:pPr>
        <w:adjustRightInd w:val="0"/>
        <w:snapToGrid w:val="0"/>
        <w:spacing w:line="360" w:lineRule="auto"/>
        <w:ind w:left="1050" w:hanging="1050" w:hangingChars="500"/>
        <w:rPr>
          <w:szCs w:val="21"/>
        </w:rPr>
      </w:pPr>
      <w:r>
        <w:rPr>
          <w:rFonts w:eastAsia="黑体"/>
          <w:szCs w:val="21"/>
        </w:rPr>
        <w:t>先修课程：</w:t>
      </w:r>
      <w:r>
        <w:rPr>
          <w:szCs w:val="21"/>
        </w:rPr>
        <w:t>高等数学、工程力学、工程制图基础、大学物理、模拟电子技术、数字电子技术、仪器零件设计</w:t>
      </w:r>
    </w:p>
    <w:p>
      <w:pPr>
        <w:adjustRightInd w:val="0"/>
        <w:snapToGrid w:val="0"/>
        <w:spacing w:line="360" w:lineRule="auto"/>
        <w:rPr>
          <w:szCs w:val="21"/>
        </w:rPr>
      </w:pPr>
      <w:r>
        <w:rPr>
          <w:rFonts w:hint="eastAsia" w:eastAsia="黑体"/>
          <w:szCs w:val="21"/>
        </w:rPr>
        <w:t>大纲撰写人：</w:t>
      </w:r>
      <w:r>
        <w:rPr>
          <w:rFonts w:hint="eastAsia"/>
          <w:szCs w:val="21"/>
        </w:rPr>
        <w:t>李晨</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adjustRightInd w:val="0"/>
        <w:snapToGrid w:val="0"/>
        <w:spacing w:line="360" w:lineRule="auto"/>
        <w:rPr>
          <w:szCs w:val="21"/>
        </w:rPr>
      </w:pPr>
    </w:p>
    <w:p>
      <w:pPr>
        <w:numPr>
          <w:ilvl w:val="0"/>
          <w:numId w:val="24"/>
        </w:numPr>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szCs w:val="21"/>
        </w:rPr>
        <w:t>本课程是测控技术与仪器专业的主要专业技术课，</w:t>
      </w:r>
      <w:r>
        <w:rPr>
          <w:rFonts w:hint="eastAsia"/>
          <w:szCs w:val="21"/>
        </w:rPr>
        <w:t>也是电子科学与技术专业、微电子科学与工程专业的专业任选课，</w:t>
      </w:r>
      <w:r>
        <w:rPr>
          <w:szCs w:val="21"/>
        </w:rPr>
        <w:t>为了使学生能够全面地学习常用传感器的种类、原理及应用方法而设置的。熟悉各种传感器的原理和应用，包括传感器的特性，能够达到根据</w:t>
      </w:r>
      <w:r>
        <w:rPr>
          <w:rFonts w:hint="eastAsia"/>
          <w:szCs w:val="21"/>
        </w:rPr>
        <w:t>传感器应用及</w:t>
      </w:r>
      <w:r>
        <w:rPr>
          <w:szCs w:val="21"/>
        </w:rPr>
        <w:t>测试技术要求，具有合理</w:t>
      </w:r>
      <w:r>
        <w:rPr>
          <w:rFonts w:hint="eastAsia"/>
          <w:szCs w:val="21"/>
        </w:rPr>
        <w:t>地</w:t>
      </w:r>
      <w:r>
        <w:rPr>
          <w:szCs w:val="21"/>
        </w:rPr>
        <w:t>选</w:t>
      </w:r>
      <w:r>
        <w:rPr>
          <w:rFonts w:hint="eastAsia"/>
          <w:szCs w:val="21"/>
        </w:rPr>
        <w:t>择</w:t>
      </w:r>
      <w:r>
        <w:rPr>
          <w:szCs w:val="21"/>
        </w:rPr>
        <w:t>传感器的能力，组建测试系统的能力，有自己动手设计特殊用途传感器的能力</w:t>
      </w:r>
      <w:r>
        <w:rPr>
          <w:rFonts w:hint="eastAsia"/>
          <w:szCs w:val="21"/>
        </w:rPr>
        <w:t>，</w:t>
      </w:r>
      <w:r>
        <w:rPr>
          <w:szCs w:val="21"/>
        </w:rPr>
        <w:t>及对传感器静、动态特性的标定能力，以期能够在</w:t>
      </w:r>
      <w:r>
        <w:rPr>
          <w:rFonts w:hint="eastAsia"/>
          <w:szCs w:val="21"/>
        </w:rPr>
        <w:t>工程</w:t>
      </w:r>
      <w:r>
        <w:rPr>
          <w:szCs w:val="21"/>
        </w:rPr>
        <w:t>测试技术中合理选择最优测试方案</w:t>
      </w:r>
      <w:r>
        <w:rPr>
          <w:rFonts w:hint="eastAsia"/>
          <w:szCs w:val="21"/>
        </w:rPr>
        <w:t>。</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3479"/>
        <w:gridCol w:w="42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56" w:type="pct"/>
            <w:vAlign w:val="center"/>
          </w:tcPr>
          <w:p>
            <w:pPr>
              <w:adjustRightInd w:val="0"/>
              <w:snapToGrid w:val="0"/>
              <w:jc w:val="center"/>
              <w:rPr>
                <w:rFonts w:ascii="宋体" w:hAnsi="宋体"/>
                <w:sz w:val="18"/>
                <w:szCs w:val="18"/>
              </w:rPr>
            </w:pPr>
            <w:r>
              <w:rPr>
                <w:rFonts w:ascii="宋体" w:hAnsi="宋体"/>
                <w:sz w:val="18"/>
                <w:szCs w:val="18"/>
              </w:rPr>
              <w:t>序号</w:t>
            </w:r>
          </w:p>
        </w:tc>
        <w:tc>
          <w:tcPr>
            <w:tcW w:w="2093" w:type="pct"/>
            <w:vAlign w:val="center"/>
          </w:tcPr>
          <w:p>
            <w:pPr>
              <w:adjustRightInd w:val="0"/>
              <w:snapToGrid w:val="0"/>
              <w:jc w:val="center"/>
              <w:rPr>
                <w:rFonts w:ascii="宋体" w:hAnsi="宋体"/>
                <w:sz w:val="18"/>
                <w:szCs w:val="18"/>
              </w:rPr>
            </w:pPr>
            <w:r>
              <w:rPr>
                <w:rFonts w:ascii="宋体" w:hAnsi="宋体"/>
                <w:sz w:val="18"/>
                <w:szCs w:val="18"/>
              </w:rPr>
              <w:t>课程目标</w:t>
            </w:r>
          </w:p>
        </w:tc>
        <w:tc>
          <w:tcPr>
            <w:tcW w:w="2550" w:type="pct"/>
            <w:vAlign w:val="center"/>
          </w:tcPr>
          <w:p>
            <w:pPr>
              <w:adjustRightInd w:val="0"/>
              <w:snapToGrid w:val="0"/>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adjustRightInd w:val="0"/>
              <w:snapToGrid w:val="0"/>
              <w:jc w:val="center"/>
              <w:rPr>
                <w:rFonts w:ascii="宋体" w:hAnsi="宋体"/>
                <w:sz w:val="18"/>
                <w:szCs w:val="18"/>
              </w:rPr>
            </w:pPr>
            <w:r>
              <w:rPr>
                <w:rFonts w:hint="eastAsia" w:ascii="宋体" w:hAnsi="宋体"/>
                <w:sz w:val="18"/>
                <w:szCs w:val="18"/>
              </w:rPr>
              <w:t>1</w:t>
            </w:r>
          </w:p>
        </w:tc>
        <w:tc>
          <w:tcPr>
            <w:tcW w:w="2093" w:type="pct"/>
            <w:vAlign w:val="center"/>
          </w:tcPr>
          <w:p>
            <w:pPr>
              <w:adjustRightInd w:val="0"/>
              <w:snapToGrid w:val="0"/>
              <w:rPr>
                <w:rFonts w:ascii="宋体" w:hAnsi="宋体"/>
                <w:sz w:val="18"/>
                <w:szCs w:val="18"/>
              </w:rPr>
            </w:pPr>
            <w:r>
              <w:rPr>
                <w:rFonts w:hint="eastAsia" w:ascii="宋体" w:hAnsi="宋体"/>
                <w:sz w:val="18"/>
                <w:szCs w:val="18"/>
              </w:rPr>
              <w:t>能够整合多种资源，综合考虑环境因素影响，</w:t>
            </w:r>
            <w:r>
              <w:rPr>
                <w:rFonts w:ascii="宋体" w:hAnsi="宋体"/>
                <w:sz w:val="18"/>
                <w:szCs w:val="18"/>
              </w:rPr>
              <w:t>根据技术要求</w:t>
            </w:r>
            <w:r>
              <w:rPr>
                <w:rFonts w:hint="eastAsia" w:ascii="宋体" w:hAnsi="宋体"/>
                <w:sz w:val="18"/>
                <w:szCs w:val="18"/>
              </w:rPr>
              <w:t>，将所学的传感器知识应用到实际工程应用测试系统之中；</w:t>
            </w:r>
          </w:p>
        </w:tc>
        <w:tc>
          <w:tcPr>
            <w:tcW w:w="2550" w:type="pct"/>
          </w:tcPr>
          <w:p>
            <w:pPr>
              <w:adjustRightInd w:val="0"/>
              <w:snapToGrid w:val="0"/>
              <w:rPr>
                <w:rFonts w:ascii="宋体" w:hAnsi="宋体"/>
                <w:sz w:val="18"/>
                <w:szCs w:val="18"/>
              </w:rPr>
            </w:pPr>
            <w:r>
              <w:rPr>
                <w:rFonts w:hint="eastAsia" w:ascii="宋体" w:hAnsi="宋体"/>
                <w:b/>
                <w:bCs/>
                <w:sz w:val="18"/>
                <w:szCs w:val="18"/>
              </w:rPr>
              <w:t>指标点1-2 知识运用能力</w:t>
            </w:r>
            <w:r>
              <w:rPr>
                <w:rFonts w:hint="eastAsia" w:ascii="宋体" w:hAnsi="宋体"/>
                <w:sz w:val="18"/>
                <w:szCs w:val="18"/>
              </w:rPr>
              <w:t>：</w:t>
            </w:r>
            <w:r>
              <w:rPr>
                <w:rFonts w:hint="eastAsia" w:ascii="宋体" w:hAnsi="宋体"/>
                <w:kern w:val="0"/>
                <w:sz w:val="18"/>
                <w:szCs w:val="18"/>
              </w:rPr>
              <w:t>能将基础知识恰当地运用到电子科学与技术专业</w:t>
            </w:r>
            <w:r>
              <w:rPr>
                <w:rFonts w:hint="eastAsia" w:ascii="宋体" w:hAnsi="宋体"/>
                <w:sz w:val="18"/>
                <w:szCs w:val="18"/>
              </w:rPr>
              <w:t>电路系统、物联网及现场总线等</w:t>
            </w:r>
            <w:r>
              <w:rPr>
                <w:rFonts w:hint="eastAsia" w:ascii="宋体" w:hAnsi="宋体"/>
                <w:kern w:val="0"/>
                <w:sz w:val="18"/>
                <w:szCs w:val="18"/>
              </w:rPr>
              <w:t>复杂工程问题的解决中。</w:t>
            </w:r>
          </w:p>
          <w:p>
            <w:pPr>
              <w:adjustRightInd w:val="0"/>
              <w:snapToGrid w:val="0"/>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adjustRightInd w:val="0"/>
              <w:snapToGrid w:val="0"/>
              <w:jc w:val="center"/>
              <w:rPr>
                <w:rFonts w:ascii="宋体" w:hAnsi="宋体"/>
                <w:sz w:val="18"/>
                <w:szCs w:val="18"/>
              </w:rPr>
            </w:pPr>
            <w:r>
              <w:rPr>
                <w:rFonts w:hint="eastAsia" w:ascii="宋体" w:hAnsi="宋体"/>
                <w:sz w:val="18"/>
                <w:szCs w:val="18"/>
              </w:rPr>
              <w:t>2</w:t>
            </w:r>
          </w:p>
        </w:tc>
        <w:tc>
          <w:tcPr>
            <w:tcW w:w="2093" w:type="pct"/>
            <w:vAlign w:val="center"/>
          </w:tcPr>
          <w:p>
            <w:pPr>
              <w:adjustRightInd w:val="0"/>
              <w:snapToGrid w:val="0"/>
              <w:rPr>
                <w:rFonts w:ascii="宋体" w:hAnsi="宋体"/>
                <w:sz w:val="18"/>
                <w:szCs w:val="18"/>
              </w:rPr>
            </w:pPr>
            <w:r>
              <w:rPr>
                <w:rFonts w:ascii="宋体" w:hAnsi="宋体"/>
                <w:sz w:val="18"/>
                <w:szCs w:val="18"/>
              </w:rPr>
              <w:t>能够</w:t>
            </w:r>
            <w:r>
              <w:rPr>
                <w:rFonts w:hint="eastAsia" w:ascii="宋体" w:hAnsi="宋体"/>
                <w:sz w:val="18"/>
                <w:szCs w:val="18"/>
              </w:rPr>
              <w:t>针对特定测试系统，分解识别复杂系统，</w:t>
            </w:r>
            <w:r>
              <w:rPr>
                <w:rFonts w:ascii="宋体" w:hAnsi="宋体"/>
                <w:sz w:val="18"/>
                <w:szCs w:val="18"/>
              </w:rPr>
              <w:t>合理和正确</w:t>
            </w:r>
            <w:r>
              <w:rPr>
                <w:rFonts w:hint="eastAsia" w:ascii="宋体" w:hAnsi="宋体"/>
                <w:sz w:val="18"/>
                <w:szCs w:val="18"/>
              </w:rPr>
              <w:t>地</w:t>
            </w:r>
            <w:r>
              <w:rPr>
                <w:rFonts w:ascii="宋体" w:hAnsi="宋体"/>
                <w:sz w:val="18"/>
                <w:szCs w:val="18"/>
              </w:rPr>
              <w:t>选用传感器</w:t>
            </w:r>
            <w:r>
              <w:rPr>
                <w:rFonts w:hint="eastAsia" w:ascii="宋体" w:hAnsi="宋体"/>
                <w:sz w:val="18"/>
                <w:szCs w:val="18"/>
              </w:rPr>
              <w:t>，并</w:t>
            </w:r>
            <w:r>
              <w:rPr>
                <w:rFonts w:ascii="宋体" w:hAnsi="宋体"/>
                <w:sz w:val="18"/>
                <w:szCs w:val="18"/>
              </w:rPr>
              <w:t>对传感器的输出信号进行处理和分析</w:t>
            </w:r>
            <w:r>
              <w:rPr>
                <w:rFonts w:hint="eastAsia" w:ascii="宋体" w:hAnsi="宋体"/>
                <w:sz w:val="18"/>
                <w:szCs w:val="18"/>
              </w:rPr>
              <w:t>的</w:t>
            </w:r>
            <w:r>
              <w:rPr>
                <w:rFonts w:ascii="宋体" w:hAnsi="宋体"/>
                <w:sz w:val="18"/>
                <w:szCs w:val="18"/>
              </w:rPr>
              <w:t>能力；</w:t>
            </w:r>
          </w:p>
        </w:tc>
        <w:tc>
          <w:tcPr>
            <w:tcW w:w="2550" w:type="pct"/>
            <w:vAlign w:val="center"/>
          </w:tcPr>
          <w:p>
            <w:pPr>
              <w:adjustRightInd w:val="0"/>
              <w:snapToGrid w:val="0"/>
              <w:rPr>
                <w:rFonts w:ascii="宋体" w:hAnsi="宋体"/>
                <w:sz w:val="18"/>
                <w:szCs w:val="18"/>
              </w:rPr>
            </w:pPr>
            <w:r>
              <w:rPr>
                <w:rFonts w:hint="eastAsia" w:ascii="宋体" w:hAnsi="宋体"/>
                <w:b/>
                <w:bCs/>
                <w:sz w:val="18"/>
                <w:szCs w:val="18"/>
              </w:rPr>
              <w:t>指标点2-1 问题识别</w:t>
            </w:r>
            <w:r>
              <w:rPr>
                <w:rFonts w:hint="eastAsia" w:ascii="宋体" w:hAnsi="宋体"/>
                <w:sz w:val="18"/>
                <w:szCs w:val="18"/>
              </w:rPr>
              <w:t>：能应用科学原理对电路系统、物联网及现场总线等领域专业复杂工程问题进行分解，并识别其中的关键特征和参数。</w:t>
            </w:r>
          </w:p>
          <w:p>
            <w:pPr>
              <w:adjustRightInd w:val="0"/>
              <w:snapToGrid w:val="0"/>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adjustRightInd w:val="0"/>
              <w:snapToGrid w:val="0"/>
              <w:jc w:val="center"/>
              <w:rPr>
                <w:rFonts w:ascii="宋体" w:hAnsi="宋体"/>
                <w:sz w:val="18"/>
                <w:szCs w:val="18"/>
              </w:rPr>
            </w:pPr>
            <w:r>
              <w:rPr>
                <w:rFonts w:hint="eastAsia" w:ascii="宋体" w:hAnsi="宋体"/>
                <w:sz w:val="18"/>
                <w:szCs w:val="18"/>
              </w:rPr>
              <w:t>3</w:t>
            </w:r>
          </w:p>
        </w:tc>
        <w:tc>
          <w:tcPr>
            <w:tcW w:w="2093" w:type="pct"/>
          </w:tcPr>
          <w:p>
            <w:pPr>
              <w:adjustRightInd w:val="0"/>
              <w:snapToGrid w:val="0"/>
              <w:rPr>
                <w:rFonts w:ascii="宋体" w:hAnsi="宋体"/>
                <w:sz w:val="18"/>
                <w:szCs w:val="18"/>
              </w:rPr>
            </w:pPr>
            <w:r>
              <w:rPr>
                <w:rFonts w:hint="eastAsia" w:ascii="宋体" w:hAnsi="宋体"/>
                <w:sz w:val="18"/>
                <w:szCs w:val="18"/>
              </w:rPr>
              <w:t>能够在分析识别环境及系统的基础上，设计各类传感器在特定场所下的应用，优化完善工作流程；</w:t>
            </w:r>
          </w:p>
        </w:tc>
        <w:tc>
          <w:tcPr>
            <w:tcW w:w="2550" w:type="pct"/>
            <w:vAlign w:val="center"/>
          </w:tcPr>
          <w:p>
            <w:pPr>
              <w:adjustRightInd w:val="0"/>
              <w:snapToGrid w:val="0"/>
              <w:rPr>
                <w:rFonts w:ascii="宋体" w:hAnsi="宋体"/>
                <w:sz w:val="18"/>
                <w:szCs w:val="18"/>
              </w:rPr>
            </w:pPr>
            <w:r>
              <w:rPr>
                <w:rFonts w:hint="eastAsia" w:ascii="宋体" w:hAnsi="宋体"/>
                <w:b/>
                <w:bCs/>
                <w:sz w:val="18"/>
                <w:szCs w:val="18"/>
              </w:rPr>
              <w:t>指标点3-1 按需设计</w:t>
            </w:r>
            <w:r>
              <w:rPr>
                <w:rFonts w:hint="eastAsia" w:ascii="宋体" w:hAnsi="宋体"/>
                <w:sz w:val="18"/>
                <w:szCs w:val="18"/>
              </w:rPr>
              <w:t>：</w:t>
            </w:r>
            <w:r>
              <w:rPr>
                <w:rFonts w:hint="eastAsia" w:ascii="宋体" w:hAnsi="宋体"/>
                <w:kern w:val="0"/>
                <w:sz w:val="18"/>
                <w:szCs w:val="18"/>
              </w:rPr>
              <w:t>能够根据用户特定需求设计复杂工程问题的解决方案，设计相关的电路系统</w:t>
            </w:r>
            <w:r>
              <w:rPr>
                <w:rFonts w:hint="eastAsia" w:ascii="宋体" w:hAnsi="宋体"/>
                <w:sz w:val="18"/>
                <w:szCs w:val="18"/>
              </w:rPr>
              <w:t>及</w:t>
            </w:r>
            <w:r>
              <w:rPr>
                <w:rFonts w:hint="eastAsia" w:ascii="宋体" w:hAnsi="宋体"/>
                <w:kern w:val="0"/>
                <w:sz w:val="18"/>
                <w:szCs w:val="18"/>
              </w:rPr>
              <w:t>工艺流程，并能够针对方案进行优化选择。</w:t>
            </w:r>
          </w:p>
          <w:p>
            <w:pPr>
              <w:adjustRightInd w:val="0"/>
              <w:snapToGrid w:val="0"/>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adjustRightInd w:val="0"/>
              <w:snapToGrid w:val="0"/>
              <w:jc w:val="center"/>
              <w:rPr>
                <w:rFonts w:ascii="宋体" w:hAnsi="宋体"/>
                <w:sz w:val="18"/>
                <w:szCs w:val="18"/>
              </w:rPr>
            </w:pPr>
            <w:r>
              <w:rPr>
                <w:rFonts w:hint="eastAsia" w:ascii="宋体" w:hAnsi="宋体"/>
                <w:sz w:val="18"/>
                <w:szCs w:val="18"/>
              </w:rPr>
              <w:t>4</w:t>
            </w:r>
          </w:p>
        </w:tc>
        <w:tc>
          <w:tcPr>
            <w:tcW w:w="2093" w:type="pct"/>
            <w:vAlign w:val="center"/>
          </w:tcPr>
          <w:p>
            <w:pPr>
              <w:adjustRightInd w:val="0"/>
              <w:snapToGrid w:val="0"/>
              <w:rPr>
                <w:rFonts w:ascii="宋体" w:hAnsi="宋体"/>
                <w:sz w:val="18"/>
                <w:szCs w:val="18"/>
              </w:rPr>
            </w:pPr>
            <w:r>
              <w:rPr>
                <w:rFonts w:hint="eastAsia" w:ascii="宋体" w:hAnsi="宋体"/>
                <w:sz w:val="18"/>
                <w:szCs w:val="18"/>
              </w:rPr>
              <w:t>能够具有</w:t>
            </w:r>
            <w:r>
              <w:rPr>
                <w:rFonts w:ascii="宋体" w:hAnsi="宋体"/>
                <w:sz w:val="18"/>
                <w:szCs w:val="18"/>
              </w:rPr>
              <w:t>对常用传感器的动静态特性分析</w:t>
            </w:r>
            <w:r>
              <w:rPr>
                <w:rFonts w:hint="eastAsia" w:ascii="宋体" w:hAnsi="宋体"/>
                <w:sz w:val="18"/>
                <w:szCs w:val="18"/>
              </w:rPr>
              <w:t>的能力</w:t>
            </w:r>
            <w:r>
              <w:rPr>
                <w:rFonts w:ascii="宋体" w:hAnsi="宋体"/>
                <w:sz w:val="18"/>
                <w:szCs w:val="18"/>
              </w:rPr>
              <w:t>，依据</w:t>
            </w:r>
            <w:r>
              <w:rPr>
                <w:rFonts w:hint="eastAsia" w:ascii="宋体" w:hAnsi="宋体"/>
                <w:sz w:val="18"/>
                <w:szCs w:val="18"/>
              </w:rPr>
              <w:t>设计对</w:t>
            </w:r>
            <w:r>
              <w:rPr>
                <w:rFonts w:ascii="宋体" w:hAnsi="宋体"/>
                <w:sz w:val="18"/>
                <w:szCs w:val="18"/>
              </w:rPr>
              <w:t>实验仪器</w:t>
            </w:r>
            <w:r>
              <w:rPr>
                <w:rFonts w:hint="eastAsia" w:ascii="宋体" w:hAnsi="宋体"/>
                <w:sz w:val="18"/>
                <w:szCs w:val="18"/>
              </w:rPr>
              <w:t>自己动手</w:t>
            </w:r>
            <w:r>
              <w:rPr>
                <w:rFonts w:ascii="宋体" w:hAnsi="宋体"/>
                <w:sz w:val="18"/>
                <w:szCs w:val="18"/>
              </w:rPr>
              <w:t>进行标定与校准；</w:t>
            </w:r>
          </w:p>
        </w:tc>
        <w:tc>
          <w:tcPr>
            <w:tcW w:w="2550" w:type="pct"/>
            <w:vAlign w:val="center"/>
          </w:tcPr>
          <w:p>
            <w:pPr>
              <w:adjustRightInd w:val="0"/>
              <w:snapToGrid w:val="0"/>
              <w:rPr>
                <w:rFonts w:ascii="宋体" w:hAnsi="宋体"/>
                <w:sz w:val="18"/>
                <w:szCs w:val="18"/>
              </w:rPr>
            </w:pPr>
            <w:r>
              <w:rPr>
                <w:rFonts w:hint="eastAsia" w:ascii="宋体" w:hAnsi="宋体"/>
                <w:b/>
                <w:bCs/>
                <w:sz w:val="18"/>
                <w:szCs w:val="18"/>
              </w:rPr>
              <w:t>指标点4-2实验设计能力</w:t>
            </w:r>
            <w:r>
              <w:rPr>
                <w:rFonts w:hint="eastAsia" w:ascii="宋体" w:hAnsi="宋体"/>
                <w:sz w:val="18"/>
                <w:szCs w:val="18"/>
              </w:rPr>
              <w:t>：</w:t>
            </w:r>
            <w:r>
              <w:rPr>
                <w:rFonts w:hint="eastAsia" w:ascii="宋体" w:hAnsi="宋体"/>
                <w:kern w:val="0"/>
                <w:sz w:val="18"/>
                <w:szCs w:val="18"/>
              </w:rPr>
              <w:t>能够基于专业理论，根据所面对的复杂问题特征，选择研究路线，设计可行的实验方案，并选用或搭建实验装置，开展研究。</w:t>
            </w:r>
          </w:p>
          <w:p>
            <w:pPr>
              <w:adjustRightInd w:val="0"/>
              <w:snapToGrid w:val="0"/>
              <w:rPr>
                <w:rFonts w:ascii="宋体" w:hAnsi="宋体"/>
                <w:sz w:val="18"/>
                <w:szCs w:val="18"/>
              </w:rPr>
            </w:pPr>
          </w:p>
        </w:tc>
      </w:tr>
    </w:tbl>
    <w:p>
      <w:pPr>
        <w:tabs>
          <w:tab w:val="left" w:pos="420"/>
        </w:tabs>
        <w:adjustRightInd w:val="0"/>
        <w:snapToGrid w:val="0"/>
        <w:spacing w:line="360" w:lineRule="auto"/>
        <w:ind w:left="420" w:hanging="420"/>
        <w:rPr>
          <w:rFonts w:eastAsia="黑体"/>
          <w:szCs w:val="21"/>
        </w:rPr>
      </w:pPr>
    </w:p>
    <w:p>
      <w:pPr>
        <w:adjustRightInd w:val="0"/>
        <w:snapToGrid w:val="0"/>
        <w:spacing w:line="360" w:lineRule="auto"/>
        <w:ind w:firstLine="420" w:firstLineChars="200"/>
        <w:rPr>
          <w:szCs w:val="21"/>
        </w:rPr>
      </w:pPr>
      <w:r>
        <w:rPr>
          <w:rFonts w:hint="eastAsia"/>
          <w:szCs w:val="21"/>
        </w:rPr>
        <w:t>思政目标：传感器技术是智能社会发展的基础。通过了解国内外该技术的发展现状和差距，激发学生重视技术进步与创新，为国民经济发展和国家进步贡献力量的意识。</w:t>
      </w:r>
    </w:p>
    <w:p>
      <w:pPr>
        <w:adjustRightInd w:val="0"/>
        <w:snapToGrid w:val="0"/>
        <w:spacing w:line="360" w:lineRule="auto"/>
        <w:ind w:firstLine="420" w:firstLineChars="200"/>
        <w:rPr>
          <w:szCs w:val="21"/>
        </w:rPr>
      </w:pPr>
    </w:p>
    <w:p>
      <w:pPr>
        <w:tabs>
          <w:tab w:val="left" w:pos="420"/>
        </w:tabs>
        <w:adjustRightInd w:val="0"/>
        <w:snapToGrid w:val="0"/>
        <w:spacing w:line="360" w:lineRule="auto"/>
        <w:rPr>
          <w:rFonts w:ascii="黑体" w:hAnsi="黑体" w:eastAsia="黑体"/>
          <w:szCs w:val="21"/>
        </w:rPr>
      </w:pPr>
      <w:r>
        <w:rPr>
          <w:rFonts w:hint="eastAsia" w:ascii="黑体" w:hAnsi="黑体" w:eastAsia="黑体"/>
          <w:szCs w:val="21"/>
        </w:rPr>
        <w:t>三、 基本要求</w:t>
      </w:r>
    </w:p>
    <w:p>
      <w:pPr>
        <w:adjustRightInd w:val="0"/>
        <w:snapToGrid w:val="0"/>
        <w:spacing w:line="360" w:lineRule="auto"/>
        <w:ind w:firstLine="420" w:firstLineChars="200"/>
        <w:rPr>
          <w:szCs w:val="21"/>
        </w:rPr>
      </w:pPr>
      <w:r>
        <w:rPr>
          <w:rFonts w:hint="eastAsia"/>
          <w:szCs w:val="21"/>
        </w:rPr>
        <w:t>1、</w:t>
      </w:r>
      <w:r>
        <w:rPr>
          <w:szCs w:val="21"/>
        </w:rPr>
        <w:t>本课程是在二年基础课后所设置的技术专业课之一，先修</w:t>
      </w:r>
      <w:r>
        <w:rPr>
          <w:rFonts w:hint="eastAsia"/>
          <w:szCs w:val="21"/>
        </w:rPr>
        <w:t>课程有：</w:t>
      </w:r>
      <w:r>
        <w:rPr>
          <w:szCs w:val="21"/>
        </w:rPr>
        <w:t>高等数学、工程力学、工程制图基础、大学物理、模拟电子技术、数字电子技术、</w:t>
      </w:r>
      <w:r>
        <w:rPr>
          <w:rFonts w:hint="eastAsia"/>
          <w:szCs w:val="21"/>
        </w:rPr>
        <w:t>精密</w:t>
      </w:r>
      <w:r>
        <w:rPr>
          <w:szCs w:val="21"/>
        </w:rPr>
        <w:t>仪器零件设计等，是为了使学生能够全面地学习常用传感器的种类、原理及应用方法而设置的。</w:t>
      </w:r>
    </w:p>
    <w:p>
      <w:pPr>
        <w:adjustRightInd w:val="0"/>
        <w:snapToGrid w:val="0"/>
        <w:spacing w:line="360" w:lineRule="auto"/>
        <w:ind w:firstLine="420" w:firstLineChars="200"/>
        <w:rPr>
          <w:szCs w:val="21"/>
        </w:rPr>
      </w:pPr>
      <w:r>
        <w:rPr>
          <w:szCs w:val="21"/>
        </w:rPr>
        <w:t>2</w:t>
      </w:r>
      <w:r>
        <w:rPr>
          <w:rFonts w:hint="eastAsia"/>
          <w:szCs w:val="21"/>
        </w:rPr>
        <w:t>、教师通过讲授</w:t>
      </w:r>
      <w:r>
        <w:rPr>
          <w:szCs w:val="21"/>
        </w:rPr>
        <w:t>传感器的静态特性及动态特性的含义、获取方法、分析方法</w:t>
      </w:r>
      <w:r>
        <w:rPr>
          <w:rFonts w:hint="eastAsia"/>
          <w:szCs w:val="21"/>
        </w:rPr>
        <w:t>，让学生学习如何分析传感器特性与应用，并与实验相结合，学会组建测试系统，分析输入与输出特性关系。</w:t>
      </w:r>
    </w:p>
    <w:p>
      <w:pPr>
        <w:spacing w:line="360" w:lineRule="auto"/>
        <w:ind w:firstLine="420" w:firstLineChars="200"/>
        <w:rPr>
          <w:szCs w:val="21"/>
        </w:rPr>
      </w:pPr>
      <w:r>
        <w:rPr>
          <w:szCs w:val="21"/>
        </w:rPr>
        <w:t>3</w:t>
      </w:r>
      <w:r>
        <w:rPr>
          <w:rFonts w:hint="eastAsia"/>
          <w:szCs w:val="21"/>
        </w:rPr>
        <w:t>、通过传感器原理与特性的讲授与学生参与讨论，学生会举出所学原理的传感器在测试工程中的典型应用。</w:t>
      </w:r>
    </w:p>
    <w:p>
      <w:pPr>
        <w:spacing w:line="360" w:lineRule="auto"/>
        <w:ind w:firstLine="420" w:firstLineChars="200"/>
        <w:rPr>
          <w:szCs w:val="21"/>
        </w:rPr>
      </w:pPr>
      <w:r>
        <w:rPr>
          <w:szCs w:val="21"/>
        </w:rPr>
        <w:t>4</w:t>
      </w:r>
      <w:r>
        <w:rPr>
          <w:rFonts w:hint="eastAsia"/>
          <w:szCs w:val="21"/>
        </w:rPr>
        <w:t>、依据所学的传感器原理知识和弹性元件设计，要求学生通过实验环节，对传感器的结构、特性加深理解，能够自己动手设计或选择特殊用途传感器，能搭建解决复杂测试工程问题的测试系统。</w:t>
      </w:r>
    </w:p>
    <w:p>
      <w:pPr>
        <w:spacing w:line="360" w:lineRule="auto"/>
        <w:ind w:firstLine="420" w:firstLineChars="200"/>
        <w:jc w:val="left"/>
      </w:pPr>
      <w:r>
        <w:rPr>
          <w:rFonts w:hint="eastAsia"/>
        </w:rPr>
        <w:t>5、深度和广度说明：</w:t>
      </w:r>
      <w:r>
        <w:rPr>
          <w:szCs w:val="21"/>
        </w:rPr>
        <w:t>传感器</w:t>
      </w:r>
      <w:r>
        <w:rPr>
          <w:rFonts w:hint="eastAsia"/>
          <w:szCs w:val="21"/>
        </w:rPr>
        <w:t>种类繁多，</w:t>
      </w:r>
      <w:r>
        <w:rPr>
          <w:szCs w:val="21"/>
        </w:rPr>
        <w:t>工作原理</w:t>
      </w:r>
      <w:r>
        <w:rPr>
          <w:rFonts w:hint="eastAsia"/>
          <w:szCs w:val="21"/>
        </w:rPr>
        <w:t>、</w:t>
      </w:r>
      <w:r>
        <w:rPr>
          <w:szCs w:val="21"/>
        </w:rPr>
        <w:t>特性分析</w:t>
      </w:r>
      <w:r>
        <w:rPr>
          <w:rFonts w:hint="eastAsia"/>
          <w:szCs w:val="21"/>
        </w:rPr>
        <w:t>、</w:t>
      </w:r>
      <w:r>
        <w:rPr>
          <w:szCs w:val="21"/>
        </w:rPr>
        <w:t>测量电路</w:t>
      </w:r>
      <w:r>
        <w:rPr>
          <w:rFonts w:hint="eastAsia"/>
          <w:szCs w:val="21"/>
        </w:rPr>
        <w:t>等也不相同，在授课的基础上，通过加强实验环节增加对各种传感器原理、特性的深度和广度认知，提升学生对传感器在测试工程中应用方面的能力</w:t>
      </w:r>
      <w:r>
        <w:rPr>
          <w:rFonts w:hint="eastAsia"/>
        </w:rPr>
        <w:t>。</w:t>
      </w:r>
    </w:p>
    <w:p>
      <w:pPr>
        <w:spacing w:line="360" w:lineRule="auto"/>
        <w:ind w:firstLine="420" w:firstLineChars="200"/>
        <w:rPr>
          <w:szCs w:val="21"/>
        </w:rPr>
      </w:pPr>
      <w:r>
        <w:rPr>
          <w:rFonts w:hint="eastAsia"/>
          <w:szCs w:val="21"/>
        </w:rPr>
        <w:t>6、</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eastAsia="黑体"/>
          <w:szCs w:val="21"/>
        </w:rPr>
        <w:t>四、教学内容和教学方法</w:t>
      </w:r>
    </w:p>
    <w:p>
      <w:pPr>
        <w:widowControl/>
        <w:spacing w:line="360" w:lineRule="auto"/>
        <w:ind w:firstLine="420" w:firstLineChars="200"/>
        <w:jc w:val="left"/>
        <w:rPr>
          <w:szCs w:val="21"/>
        </w:rPr>
      </w:pPr>
      <w:r>
        <w:rPr>
          <w:szCs w:val="21"/>
        </w:rPr>
        <w:t>教学内容：在先修的基础课基础上，本课程重点讲授的内容包括：传感器的定义、分类、作用、发展方向，静态特性、动态特性及其标定方法，弹性元件设计，应变</w:t>
      </w:r>
      <w:r>
        <w:rPr>
          <w:rFonts w:hint="eastAsia"/>
          <w:szCs w:val="21"/>
        </w:rPr>
        <w:t>、</w:t>
      </w:r>
      <w:r>
        <w:rPr>
          <w:szCs w:val="21"/>
        </w:rPr>
        <w:t>电容</w:t>
      </w:r>
      <w:r>
        <w:rPr>
          <w:rFonts w:hint="eastAsia"/>
          <w:szCs w:val="21"/>
        </w:rPr>
        <w:t>、</w:t>
      </w:r>
      <w:r>
        <w:rPr>
          <w:szCs w:val="21"/>
        </w:rPr>
        <w:t>电感</w:t>
      </w:r>
      <w:r>
        <w:rPr>
          <w:rFonts w:hint="eastAsia"/>
          <w:szCs w:val="21"/>
        </w:rPr>
        <w:t>、</w:t>
      </w:r>
      <w:r>
        <w:rPr>
          <w:szCs w:val="21"/>
        </w:rPr>
        <w:t>压电</w:t>
      </w:r>
      <w:r>
        <w:rPr>
          <w:rFonts w:hint="eastAsia"/>
          <w:szCs w:val="21"/>
        </w:rPr>
        <w:t>、</w:t>
      </w:r>
      <w:r>
        <w:rPr>
          <w:szCs w:val="21"/>
        </w:rPr>
        <w:t>压阻</w:t>
      </w:r>
      <w:r>
        <w:rPr>
          <w:rFonts w:hint="eastAsia"/>
          <w:szCs w:val="21"/>
        </w:rPr>
        <w:t>、</w:t>
      </w:r>
      <w:r>
        <w:rPr>
          <w:szCs w:val="21"/>
        </w:rPr>
        <w:t>热电</w:t>
      </w:r>
      <w:r>
        <w:rPr>
          <w:rFonts w:hint="eastAsia"/>
          <w:szCs w:val="21"/>
        </w:rPr>
        <w:t>、</w:t>
      </w:r>
      <w:r>
        <w:rPr>
          <w:szCs w:val="21"/>
        </w:rPr>
        <w:t>光电</w:t>
      </w:r>
      <w:r>
        <w:rPr>
          <w:rFonts w:hint="eastAsia"/>
          <w:szCs w:val="21"/>
        </w:rPr>
        <w:t>、</w:t>
      </w:r>
      <w:r>
        <w:rPr>
          <w:szCs w:val="21"/>
        </w:rPr>
        <w:t>磁敏</w:t>
      </w:r>
      <w:r>
        <w:rPr>
          <w:rFonts w:hint="eastAsia"/>
          <w:szCs w:val="21"/>
        </w:rPr>
        <w:t>、</w:t>
      </w:r>
      <w:r>
        <w:rPr>
          <w:szCs w:val="21"/>
        </w:rPr>
        <w:t>光导纤维等传感器原理、结构、特性分析、测量电路、传感器设计与应用等内容</w:t>
      </w:r>
      <w:r>
        <w:rPr>
          <w:rFonts w:hint="eastAsia"/>
          <w:szCs w:val="21"/>
        </w:rPr>
        <w:t>。</w:t>
      </w:r>
    </w:p>
    <w:p>
      <w:pPr>
        <w:widowControl/>
        <w:spacing w:line="360" w:lineRule="auto"/>
        <w:ind w:firstLine="420" w:firstLineChars="200"/>
        <w:jc w:val="left"/>
        <w:rPr>
          <w:szCs w:val="21"/>
        </w:rPr>
      </w:pPr>
      <w:r>
        <w:rPr>
          <w:szCs w:val="21"/>
        </w:rPr>
        <w:t>教学方法：</w:t>
      </w:r>
    </w:p>
    <w:p>
      <w:pPr>
        <w:widowControl/>
        <w:spacing w:line="360" w:lineRule="auto"/>
        <w:ind w:firstLine="420" w:firstLineChars="200"/>
        <w:jc w:val="left"/>
        <w:rPr>
          <w:szCs w:val="21"/>
        </w:rPr>
      </w:pPr>
      <w:r>
        <w:rPr>
          <w:rFonts w:hint="eastAsia"/>
          <w:szCs w:val="21"/>
        </w:rPr>
        <w:t>1、</w:t>
      </w:r>
      <w:r>
        <w:rPr>
          <w:szCs w:val="21"/>
        </w:rPr>
        <w:t>讲授法</w:t>
      </w:r>
      <w:r>
        <w:rPr>
          <w:rFonts w:hint="eastAsia"/>
          <w:szCs w:val="21"/>
        </w:rPr>
        <w:t>：</w:t>
      </w:r>
      <w:r>
        <w:rPr>
          <w:szCs w:val="21"/>
        </w:rPr>
        <w:t>采用板书、</w:t>
      </w:r>
      <w:r>
        <w:rPr>
          <w:rFonts w:hint="eastAsia"/>
          <w:szCs w:val="21"/>
        </w:rPr>
        <w:t>PPT</w:t>
      </w:r>
      <w:r>
        <w:rPr>
          <w:szCs w:val="21"/>
        </w:rPr>
        <w:t>加多媒体，加启发式教学，</w:t>
      </w:r>
      <w:r>
        <w:rPr>
          <w:rFonts w:hint="eastAsia"/>
          <w:szCs w:val="21"/>
        </w:rPr>
        <w:t>以一些典型传感器特性与应用案例为主线</w:t>
      </w:r>
      <w:r>
        <w:rPr>
          <w:szCs w:val="21"/>
        </w:rPr>
        <w:t>解释概念、论证原理和阐明规律。</w:t>
      </w:r>
      <w:r>
        <w:rPr>
          <w:rFonts w:hint="eastAsia"/>
          <w:szCs w:val="21"/>
        </w:rPr>
        <w:t>结合最新前沿技术，激发学生学习兴趣和热情。</w:t>
      </w:r>
    </w:p>
    <w:p>
      <w:pPr>
        <w:widowControl/>
        <w:spacing w:line="360" w:lineRule="auto"/>
        <w:ind w:firstLine="420"/>
        <w:jc w:val="left"/>
        <w:rPr>
          <w:szCs w:val="21"/>
        </w:rPr>
      </w:pPr>
      <w:r>
        <w:rPr>
          <w:rFonts w:hint="eastAsia"/>
          <w:szCs w:val="21"/>
        </w:rPr>
        <w:t>2、</w:t>
      </w:r>
      <w:r>
        <w:rPr>
          <w:szCs w:val="21"/>
        </w:rPr>
        <w:t>讨论法</w:t>
      </w:r>
      <w:r>
        <w:rPr>
          <w:rFonts w:hint="eastAsia"/>
          <w:szCs w:val="21"/>
        </w:rPr>
        <w:t>：</w:t>
      </w:r>
      <w:r>
        <w:rPr>
          <w:szCs w:val="21"/>
        </w:rPr>
        <w:t>分成小组围绕传感器特性与应用问题，通过网上查</w:t>
      </w:r>
      <w:r>
        <w:rPr>
          <w:rFonts w:hint="eastAsia"/>
          <w:szCs w:val="21"/>
        </w:rPr>
        <w:t>询</w:t>
      </w:r>
      <w:r>
        <w:rPr>
          <w:szCs w:val="21"/>
        </w:rPr>
        <w:t>，讨论，发表各自意见和看法，共同研讨，相互启发，集思广益，相互提高。</w:t>
      </w:r>
    </w:p>
    <w:p>
      <w:pPr>
        <w:widowControl/>
        <w:spacing w:line="360" w:lineRule="auto"/>
        <w:ind w:firstLine="420"/>
        <w:jc w:val="left"/>
        <w:rPr>
          <w:szCs w:val="21"/>
        </w:rPr>
      </w:pPr>
      <w:r>
        <w:rPr>
          <w:rFonts w:hint="eastAsia"/>
          <w:szCs w:val="21"/>
        </w:rPr>
        <w:t>3、</w:t>
      </w:r>
      <w:r>
        <w:rPr>
          <w:szCs w:val="21"/>
        </w:rPr>
        <w:t>实验、练习法：通过实验让学生验证原理，从中获得新的启发，通过练习，巩固所学的基本原理和规律。</w:t>
      </w:r>
    </w:p>
    <w:p>
      <w:pPr>
        <w:widowControl/>
        <w:spacing w:line="360" w:lineRule="auto"/>
        <w:ind w:firstLine="420"/>
        <w:jc w:val="left"/>
        <w:rPr>
          <w:szCs w:val="21"/>
        </w:rPr>
      </w:pPr>
      <w:r>
        <w:rPr>
          <w:rFonts w:hint="eastAsia"/>
          <w:szCs w:val="21"/>
        </w:rPr>
        <w:t>4、课外拓展作业：围绕典型的传感器在智慧地球中的应用，检索查询，以5-6人为小组，完成传感器应用背景，原理，特性，应用四部分组成的小报告，期望达到学用合一。</w:t>
      </w:r>
    </w:p>
    <w:p>
      <w:pPr>
        <w:pStyle w:val="10"/>
        <w:spacing w:line="360" w:lineRule="auto"/>
        <w:ind w:left="426"/>
        <w:jc w:val="left"/>
        <w:rPr>
          <w:rFonts w:ascii="Times New Roman" w:hAnsi="Times New Roman" w:eastAsia="黑体"/>
          <w:szCs w:val="21"/>
        </w:rPr>
      </w:pPr>
      <w:r>
        <w:rPr>
          <w:rFonts w:ascii="Times New Roman" w:hAnsi="Times New Roman" w:eastAsia="黑体"/>
          <w:szCs w:val="21"/>
        </w:rPr>
        <w:t>1  传感器概述（2学时）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1.1、传感器的定义及分类；</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1.2、传感器的作用与地位；</w:t>
      </w:r>
    </w:p>
    <w:p>
      <w:pPr>
        <w:tabs>
          <w:tab w:val="right" w:leader="dot" w:pos="8385"/>
        </w:tabs>
        <w:spacing w:line="360" w:lineRule="auto"/>
        <w:ind w:left="426"/>
        <w:jc w:val="left"/>
        <w:rPr>
          <w:szCs w:val="21"/>
        </w:rPr>
      </w:pPr>
      <w:r>
        <w:rPr>
          <w:szCs w:val="21"/>
        </w:rPr>
        <w:t>1.3、学会传感器技术的发展动向。</w:t>
      </w:r>
    </w:p>
    <w:p>
      <w:pPr>
        <w:widowControl/>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widowControl/>
        <w:spacing w:line="360" w:lineRule="auto"/>
        <w:ind w:left="426"/>
        <w:jc w:val="left"/>
        <w:rPr>
          <w:rFonts w:cs="宋体"/>
          <w:b/>
          <w:snapToGrid w:val="0"/>
          <w:kern w:val="0"/>
          <w:szCs w:val="21"/>
        </w:rPr>
      </w:pPr>
      <w:r>
        <w:rPr>
          <w:rFonts w:hint="eastAsia" w:cs="宋体"/>
          <w:b/>
          <w:snapToGrid w:val="0"/>
          <w:kern w:val="0"/>
          <w:szCs w:val="21"/>
        </w:rPr>
        <w:t>思政元素：传感器技术是智能社会发展的基础。通过了解国内外该技术的发展现状和差距，激发学生重视技术进步与创新，为国民经济发展和国家进步贡献力量的意识。</w:t>
      </w:r>
    </w:p>
    <w:p>
      <w:pPr>
        <w:tabs>
          <w:tab w:val="right" w:leader="dot" w:pos="8385"/>
        </w:tabs>
        <w:spacing w:line="360" w:lineRule="auto"/>
        <w:ind w:left="426"/>
        <w:jc w:val="left"/>
        <w:rPr>
          <w:szCs w:val="21"/>
        </w:rPr>
      </w:pPr>
      <w:r>
        <w:rPr>
          <w:rFonts w:eastAsia="黑体"/>
          <w:szCs w:val="21"/>
        </w:rPr>
        <w:t>2  传感器的特性及标定（6学时）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2.1、传感器的静态特性；（重点）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2.2、传感器的动态特性；（重点、难点）</w:t>
      </w:r>
    </w:p>
    <w:p>
      <w:pPr>
        <w:pStyle w:val="10"/>
        <w:spacing w:line="360" w:lineRule="auto"/>
        <w:ind w:left="426"/>
        <w:jc w:val="left"/>
        <w:rPr>
          <w:rFonts w:ascii="Times New Roman" w:hAnsi="Times New Roman"/>
          <w:szCs w:val="21"/>
        </w:rPr>
      </w:pPr>
      <w:r>
        <w:rPr>
          <w:rFonts w:ascii="Times New Roman" w:hAnsi="Times New Roman"/>
          <w:szCs w:val="21"/>
        </w:rPr>
        <w:t>2.3、传感器的标定。</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4</w:t>
      </w:r>
    </w:p>
    <w:p>
      <w:pPr>
        <w:pStyle w:val="10"/>
        <w:spacing w:line="360" w:lineRule="auto"/>
        <w:ind w:left="426"/>
        <w:jc w:val="left"/>
        <w:rPr>
          <w:rFonts w:ascii="Times New Roman" w:hAnsi="Times New Roman" w:eastAsia="黑体"/>
          <w:szCs w:val="21"/>
        </w:rPr>
      </w:pPr>
      <w:r>
        <w:rPr>
          <w:rFonts w:ascii="Times New Roman" w:hAnsi="Times New Roman" w:eastAsia="黑体"/>
          <w:szCs w:val="21"/>
        </w:rPr>
        <w:t>3传感器中的弹性敏感元件设计（</w:t>
      </w:r>
      <w:r>
        <w:rPr>
          <w:rFonts w:hint="eastAsia" w:ascii="Times New Roman" w:hAnsi="Times New Roman" w:eastAsia="黑体"/>
          <w:szCs w:val="21"/>
        </w:rPr>
        <w:t>2</w:t>
      </w:r>
      <w:r>
        <w:rPr>
          <w:rFonts w:ascii="Times New Roman" w:hAnsi="Times New Roman" w:eastAsia="黑体"/>
          <w:szCs w:val="21"/>
        </w:rPr>
        <w:t>学时）</w:t>
      </w:r>
    </w:p>
    <w:p>
      <w:pPr>
        <w:pStyle w:val="10"/>
        <w:spacing w:line="360" w:lineRule="auto"/>
        <w:ind w:left="426"/>
        <w:jc w:val="left"/>
        <w:rPr>
          <w:rFonts w:ascii="Times New Roman" w:hAnsi="Times New Roman"/>
          <w:szCs w:val="21"/>
        </w:rPr>
      </w:pPr>
      <w:r>
        <w:rPr>
          <w:rFonts w:ascii="Times New Roman" w:hAnsi="Times New Roman"/>
          <w:szCs w:val="21"/>
        </w:rPr>
        <w:t>3.1、弹性敏感元件的基本特性；</w:t>
      </w:r>
    </w:p>
    <w:p>
      <w:pPr>
        <w:pStyle w:val="10"/>
        <w:spacing w:line="360" w:lineRule="auto"/>
        <w:ind w:left="426"/>
        <w:jc w:val="left"/>
        <w:rPr>
          <w:rFonts w:ascii="Times New Roman" w:hAnsi="Times New Roman"/>
          <w:szCs w:val="21"/>
        </w:rPr>
      </w:pPr>
      <w:r>
        <w:rPr>
          <w:rFonts w:ascii="Times New Roman" w:hAnsi="Times New Roman"/>
          <w:szCs w:val="21"/>
        </w:rPr>
        <w:t>3.2、弹性敏感元件的材料；</w:t>
      </w:r>
    </w:p>
    <w:p>
      <w:pPr>
        <w:pStyle w:val="10"/>
        <w:spacing w:line="360" w:lineRule="auto"/>
        <w:ind w:left="426"/>
        <w:jc w:val="left"/>
        <w:rPr>
          <w:rFonts w:ascii="Times New Roman" w:hAnsi="Times New Roman"/>
          <w:szCs w:val="21"/>
        </w:rPr>
      </w:pPr>
      <w:r>
        <w:rPr>
          <w:rFonts w:ascii="Times New Roman" w:hAnsi="Times New Roman"/>
          <w:szCs w:val="21"/>
        </w:rPr>
        <w:t>3.3、弹性敏感元件的特性参数计算。（重点）</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3</w:t>
      </w:r>
    </w:p>
    <w:p>
      <w:pPr>
        <w:tabs>
          <w:tab w:val="right" w:leader="dot" w:pos="8385"/>
        </w:tabs>
        <w:spacing w:line="360" w:lineRule="auto"/>
        <w:ind w:left="426"/>
        <w:jc w:val="left"/>
        <w:rPr>
          <w:szCs w:val="21"/>
        </w:rPr>
      </w:pPr>
      <w:r>
        <w:rPr>
          <w:rFonts w:eastAsia="黑体"/>
          <w:szCs w:val="21"/>
        </w:rPr>
        <w:t>4  电阻应变式传感器（4学时）</w:t>
      </w:r>
    </w:p>
    <w:p>
      <w:pPr>
        <w:pStyle w:val="10"/>
        <w:spacing w:line="360" w:lineRule="auto"/>
        <w:ind w:left="426"/>
        <w:jc w:val="left"/>
        <w:rPr>
          <w:rFonts w:ascii="Times New Roman" w:hAnsi="Times New Roman"/>
          <w:szCs w:val="21"/>
        </w:rPr>
      </w:pPr>
      <w:r>
        <w:rPr>
          <w:rFonts w:ascii="Times New Roman" w:hAnsi="Times New Roman"/>
          <w:szCs w:val="21"/>
        </w:rPr>
        <w:t>4.1、电阻应变片的工作原理（应变效应）</w:t>
      </w:r>
      <w:r>
        <w:rPr>
          <w:rFonts w:hint="eastAsia" w:ascii="Times New Roman" w:hAnsi="Times New Roman"/>
          <w:szCs w:val="21"/>
        </w:rPr>
        <w:t>；</w:t>
      </w:r>
      <w:r>
        <w:rPr>
          <w:rFonts w:ascii="Times New Roman" w:hAnsi="Times New Roman"/>
          <w:szCs w:val="21"/>
        </w:rPr>
        <w:t>（重点）</w:t>
      </w:r>
    </w:p>
    <w:p>
      <w:pPr>
        <w:pStyle w:val="10"/>
        <w:spacing w:line="360" w:lineRule="auto"/>
        <w:ind w:left="426"/>
        <w:jc w:val="left"/>
        <w:rPr>
          <w:rFonts w:ascii="Times New Roman" w:hAnsi="Times New Roman"/>
          <w:szCs w:val="21"/>
        </w:rPr>
      </w:pPr>
      <w:r>
        <w:rPr>
          <w:rFonts w:ascii="Times New Roman" w:hAnsi="Times New Roman"/>
          <w:szCs w:val="21"/>
        </w:rPr>
        <w:t>4.2、电阻应变片的结构、类型及参数；</w:t>
      </w:r>
    </w:p>
    <w:p>
      <w:pPr>
        <w:pStyle w:val="10"/>
        <w:spacing w:line="360" w:lineRule="auto"/>
        <w:ind w:left="426"/>
        <w:jc w:val="left"/>
        <w:rPr>
          <w:rFonts w:ascii="Times New Roman" w:hAnsi="Times New Roman"/>
          <w:szCs w:val="21"/>
        </w:rPr>
      </w:pPr>
      <w:r>
        <w:rPr>
          <w:rFonts w:ascii="Times New Roman" w:hAnsi="Times New Roman"/>
          <w:szCs w:val="21"/>
        </w:rPr>
        <w:t>4.3、应变片的动态响应特性；</w:t>
      </w:r>
    </w:p>
    <w:p>
      <w:pPr>
        <w:pStyle w:val="10"/>
        <w:spacing w:line="360" w:lineRule="auto"/>
        <w:ind w:left="426"/>
        <w:jc w:val="left"/>
        <w:rPr>
          <w:rFonts w:ascii="Times New Roman" w:hAnsi="Times New Roman"/>
          <w:szCs w:val="21"/>
        </w:rPr>
      </w:pPr>
      <w:r>
        <w:rPr>
          <w:rFonts w:ascii="Times New Roman" w:hAnsi="Times New Roman"/>
          <w:szCs w:val="21"/>
        </w:rPr>
        <w:t>4.4、学会测量电路（1/4桥、 1/2桥、全桥）；（重点）</w:t>
      </w:r>
    </w:p>
    <w:p>
      <w:pPr>
        <w:pStyle w:val="10"/>
        <w:spacing w:line="360" w:lineRule="auto"/>
        <w:ind w:left="426"/>
        <w:jc w:val="left"/>
        <w:rPr>
          <w:rFonts w:ascii="Times New Roman" w:hAnsi="Times New Roman"/>
          <w:szCs w:val="21"/>
        </w:rPr>
      </w:pPr>
      <w:r>
        <w:rPr>
          <w:rFonts w:ascii="Times New Roman" w:hAnsi="Times New Roman"/>
          <w:szCs w:val="21"/>
        </w:rPr>
        <w:t>4.5、应变式传感器的结构设计及应用。（难点）</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w:t>
      </w:r>
    </w:p>
    <w:p>
      <w:pPr>
        <w:pStyle w:val="10"/>
        <w:spacing w:line="360" w:lineRule="auto"/>
        <w:ind w:left="426"/>
        <w:jc w:val="left"/>
        <w:rPr>
          <w:rFonts w:ascii="Times New Roman" w:hAnsi="Times New Roman"/>
          <w:szCs w:val="21"/>
        </w:rPr>
      </w:pPr>
      <w:r>
        <w:rPr>
          <w:rFonts w:ascii="Times New Roman" w:hAnsi="Times New Roman" w:eastAsia="黑体"/>
          <w:szCs w:val="21"/>
        </w:rPr>
        <w:t>5  电容式传感器（</w:t>
      </w:r>
      <w:r>
        <w:rPr>
          <w:rFonts w:hint="eastAsia" w:ascii="Times New Roman" w:hAnsi="Times New Roman" w:eastAsia="黑体"/>
          <w:szCs w:val="21"/>
        </w:rPr>
        <w:t>2</w:t>
      </w:r>
      <w:r>
        <w:rPr>
          <w:rFonts w:ascii="Times New Roman" w:hAnsi="Times New Roman" w:eastAsia="黑体"/>
          <w:szCs w:val="21"/>
        </w:rPr>
        <w:t>学时）</w:t>
      </w:r>
    </w:p>
    <w:p>
      <w:pPr>
        <w:pStyle w:val="10"/>
        <w:spacing w:line="360" w:lineRule="auto"/>
        <w:ind w:left="426"/>
        <w:jc w:val="left"/>
        <w:rPr>
          <w:rFonts w:ascii="Times New Roman" w:hAnsi="Times New Roman"/>
          <w:szCs w:val="21"/>
        </w:rPr>
      </w:pPr>
      <w:r>
        <w:rPr>
          <w:rFonts w:ascii="Times New Roman" w:hAnsi="Times New Roman"/>
          <w:szCs w:val="21"/>
        </w:rPr>
        <w:t>5.1、电容式传感器工作原理；（重点、难点）</w:t>
      </w:r>
    </w:p>
    <w:p>
      <w:pPr>
        <w:pStyle w:val="10"/>
        <w:spacing w:line="360" w:lineRule="auto"/>
        <w:ind w:left="426"/>
        <w:jc w:val="left"/>
        <w:rPr>
          <w:rFonts w:ascii="Times New Roman" w:hAnsi="Times New Roman"/>
          <w:szCs w:val="21"/>
        </w:rPr>
      </w:pPr>
      <w:r>
        <w:rPr>
          <w:rFonts w:ascii="Times New Roman" w:hAnsi="Times New Roman"/>
          <w:szCs w:val="21"/>
        </w:rPr>
        <w:t>5.2、电容式传感器的输出电路及等效电路；（重点）</w:t>
      </w:r>
    </w:p>
    <w:p>
      <w:pPr>
        <w:pStyle w:val="10"/>
        <w:spacing w:line="360" w:lineRule="auto"/>
        <w:ind w:left="426"/>
        <w:jc w:val="left"/>
        <w:rPr>
          <w:rFonts w:ascii="Times New Roman" w:hAnsi="Times New Roman"/>
          <w:szCs w:val="21"/>
        </w:rPr>
      </w:pPr>
      <w:r>
        <w:rPr>
          <w:rFonts w:ascii="Times New Roman" w:hAnsi="Times New Roman"/>
          <w:szCs w:val="21"/>
        </w:rPr>
        <w:t>5.3、影响电容传感器精度的因素及提高精度的措施；</w:t>
      </w:r>
    </w:p>
    <w:p>
      <w:pPr>
        <w:pStyle w:val="10"/>
        <w:spacing w:line="360" w:lineRule="auto"/>
        <w:ind w:left="426"/>
        <w:jc w:val="left"/>
        <w:rPr>
          <w:rFonts w:ascii="Times New Roman" w:hAnsi="Times New Roman"/>
          <w:szCs w:val="21"/>
        </w:rPr>
      </w:pPr>
      <w:r>
        <w:rPr>
          <w:rFonts w:ascii="Times New Roman" w:hAnsi="Times New Roman"/>
          <w:szCs w:val="21"/>
        </w:rPr>
        <w:t>5.4、电容式传感器的应用。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1、4</w:t>
      </w:r>
    </w:p>
    <w:p>
      <w:pPr>
        <w:pStyle w:val="10"/>
        <w:tabs>
          <w:tab w:val="right" w:leader="dot" w:pos="8385"/>
        </w:tabs>
        <w:spacing w:line="360" w:lineRule="auto"/>
        <w:ind w:left="426"/>
        <w:jc w:val="left"/>
        <w:rPr>
          <w:rFonts w:ascii="Times New Roman" w:hAnsi="Times New Roman" w:eastAsia="黑体"/>
          <w:szCs w:val="21"/>
        </w:rPr>
      </w:pPr>
      <w:r>
        <w:rPr>
          <w:rFonts w:ascii="Times New Roman" w:hAnsi="Times New Roman" w:eastAsia="黑体"/>
          <w:szCs w:val="21"/>
        </w:rPr>
        <w:t>6  压电式传感器（4学时）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6.1、压电式传感器的工作原理；（重点）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6.2、压电元件常用结构形式；</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6.3、压电元件的等效电路及测量电路；（难点）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6.4、电式加速度传感器设计及应用；</w:t>
      </w:r>
    </w:p>
    <w:p>
      <w:pPr>
        <w:pStyle w:val="10"/>
        <w:spacing w:line="360" w:lineRule="auto"/>
        <w:ind w:left="426"/>
        <w:jc w:val="left"/>
        <w:rPr>
          <w:rFonts w:ascii="Times New Roman" w:hAnsi="Times New Roman"/>
          <w:szCs w:val="21"/>
        </w:rPr>
      </w:pPr>
      <w:r>
        <w:rPr>
          <w:rFonts w:ascii="Times New Roman" w:hAnsi="Times New Roman"/>
          <w:szCs w:val="21"/>
        </w:rPr>
        <w:t>6.5、压电式压力传感器设计及应用。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2</w:t>
      </w:r>
    </w:p>
    <w:p>
      <w:pPr>
        <w:pStyle w:val="10"/>
        <w:tabs>
          <w:tab w:val="right" w:leader="dot" w:pos="8385"/>
        </w:tabs>
        <w:spacing w:line="360" w:lineRule="auto"/>
        <w:ind w:left="426"/>
        <w:jc w:val="left"/>
        <w:rPr>
          <w:rFonts w:ascii="Times New Roman" w:hAnsi="Times New Roman"/>
          <w:szCs w:val="21"/>
        </w:rPr>
      </w:pPr>
      <w:r>
        <w:rPr>
          <w:rFonts w:ascii="Times New Roman" w:hAnsi="Times New Roman" w:eastAsia="黑体"/>
          <w:szCs w:val="21"/>
        </w:rPr>
        <w:t>7  电感式传感器（4学时）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7.1、电感式传感器工作原理；（重点）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7.2、差动变压器式电感传感器工作原理；（难点）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7.3、电涡流式传感器工作原理；（难点）</w:t>
      </w:r>
    </w:p>
    <w:p>
      <w:pPr>
        <w:pStyle w:val="10"/>
        <w:spacing w:line="360" w:lineRule="auto"/>
        <w:ind w:left="426"/>
        <w:jc w:val="left"/>
        <w:rPr>
          <w:rFonts w:ascii="Times New Roman" w:hAnsi="Times New Roman"/>
          <w:szCs w:val="21"/>
        </w:rPr>
      </w:pPr>
      <w:r>
        <w:rPr>
          <w:rFonts w:ascii="Times New Roman" w:hAnsi="Times New Roman"/>
          <w:szCs w:val="21"/>
        </w:rPr>
        <w:t>7.4、电感式传感器的应用。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1、3</w:t>
      </w:r>
    </w:p>
    <w:p>
      <w:pPr>
        <w:pStyle w:val="10"/>
        <w:spacing w:line="360" w:lineRule="auto"/>
        <w:ind w:left="426"/>
        <w:jc w:val="left"/>
        <w:rPr>
          <w:rFonts w:ascii="Times New Roman" w:hAnsi="Times New Roman"/>
          <w:szCs w:val="21"/>
        </w:rPr>
      </w:pPr>
      <w:r>
        <w:rPr>
          <w:rFonts w:ascii="Times New Roman" w:hAnsi="Times New Roman" w:eastAsia="黑体"/>
          <w:szCs w:val="21"/>
        </w:rPr>
        <w:t>8  压阻式传感器（4学时）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8.1、压阻式传感器的工作原理；（重点）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8.2、晶向的表示方法；</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8.3、压阻系数；</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8.4、影响压阻系数的因素；</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8.5、压阻式传感器的结构与设计；（难点）</w:t>
      </w:r>
    </w:p>
    <w:p>
      <w:pPr>
        <w:pStyle w:val="10"/>
        <w:spacing w:line="360" w:lineRule="auto"/>
        <w:ind w:left="426"/>
        <w:jc w:val="left"/>
        <w:rPr>
          <w:rFonts w:ascii="Times New Roman" w:hAnsi="Times New Roman"/>
          <w:szCs w:val="21"/>
        </w:rPr>
      </w:pPr>
      <w:r>
        <w:rPr>
          <w:rFonts w:ascii="Times New Roman" w:hAnsi="Times New Roman"/>
          <w:szCs w:val="21"/>
        </w:rPr>
        <w:t>8.6、压阻式传感器的测量电路及补偿；</w:t>
      </w:r>
    </w:p>
    <w:p>
      <w:pPr>
        <w:pStyle w:val="10"/>
        <w:spacing w:line="360" w:lineRule="auto"/>
        <w:ind w:left="426"/>
        <w:jc w:val="left"/>
        <w:rPr>
          <w:rFonts w:ascii="Times New Roman" w:hAnsi="Times New Roman"/>
          <w:szCs w:val="21"/>
        </w:rPr>
      </w:pPr>
      <w:r>
        <w:rPr>
          <w:rFonts w:ascii="Times New Roman" w:hAnsi="Times New Roman"/>
          <w:szCs w:val="21"/>
        </w:rPr>
        <w:t>8.7、压阻式传感器的应用。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1、3</w:t>
      </w:r>
    </w:p>
    <w:p>
      <w:pPr>
        <w:pStyle w:val="10"/>
        <w:spacing w:line="360" w:lineRule="auto"/>
        <w:ind w:left="426"/>
        <w:jc w:val="left"/>
        <w:rPr>
          <w:szCs w:val="21"/>
        </w:rPr>
      </w:pPr>
      <w:r>
        <w:rPr>
          <w:rFonts w:eastAsia="黑体"/>
          <w:szCs w:val="21"/>
        </w:rPr>
        <w:t>9  热电式传感器（2学时）</w:t>
      </w:r>
    </w:p>
    <w:p>
      <w:pPr>
        <w:tabs>
          <w:tab w:val="right" w:leader="dot" w:pos="8385"/>
        </w:tabs>
        <w:spacing w:line="360" w:lineRule="auto"/>
        <w:ind w:left="426"/>
        <w:jc w:val="left"/>
        <w:rPr>
          <w:szCs w:val="21"/>
        </w:rPr>
      </w:pPr>
      <w:r>
        <w:rPr>
          <w:szCs w:val="21"/>
        </w:rPr>
        <w:t>9.1、热电偶原理及应用；（重点）</w:t>
      </w:r>
    </w:p>
    <w:p>
      <w:pPr>
        <w:tabs>
          <w:tab w:val="right" w:leader="dot" w:pos="8385"/>
        </w:tabs>
        <w:spacing w:line="360" w:lineRule="auto"/>
        <w:ind w:left="426"/>
        <w:jc w:val="left"/>
        <w:rPr>
          <w:szCs w:val="21"/>
        </w:rPr>
      </w:pPr>
      <w:r>
        <w:rPr>
          <w:szCs w:val="21"/>
        </w:rPr>
        <w:t>9.2、热电阻原理及应用；</w:t>
      </w:r>
    </w:p>
    <w:p>
      <w:pPr>
        <w:tabs>
          <w:tab w:val="right" w:leader="dot" w:pos="8385"/>
        </w:tabs>
        <w:spacing w:line="360" w:lineRule="auto"/>
        <w:ind w:left="426"/>
        <w:jc w:val="left"/>
        <w:rPr>
          <w:szCs w:val="21"/>
        </w:rPr>
      </w:pPr>
      <w:r>
        <w:rPr>
          <w:szCs w:val="21"/>
        </w:rPr>
        <w:t>9.3、热敏电阻原理及应用。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w:t>
      </w:r>
    </w:p>
    <w:p>
      <w:pPr>
        <w:pStyle w:val="10"/>
        <w:tabs>
          <w:tab w:val="right" w:leader="dot" w:pos="8385"/>
        </w:tabs>
        <w:spacing w:line="360" w:lineRule="auto"/>
        <w:ind w:left="426"/>
        <w:jc w:val="left"/>
        <w:rPr>
          <w:rFonts w:ascii="Times New Roman" w:hAnsi="Times New Roman"/>
          <w:szCs w:val="21"/>
        </w:rPr>
      </w:pPr>
      <w:r>
        <w:rPr>
          <w:rFonts w:ascii="Times New Roman" w:hAnsi="Times New Roman" w:eastAsia="黑体"/>
          <w:szCs w:val="21"/>
        </w:rPr>
        <w:t>10  光电式传感器（2学时）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10.1、光电式传感器的工作原理及基本组成；（重点）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10.2、光电式传感器中的敏感元件；</w:t>
      </w:r>
    </w:p>
    <w:p>
      <w:pPr>
        <w:tabs>
          <w:tab w:val="right" w:leader="dot" w:pos="8385"/>
        </w:tabs>
        <w:spacing w:line="360" w:lineRule="auto"/>
        <w:ind w:left="426"/>
        <w:jc w:val="left"/>
        <w:rPr>
          <w:szCs w:val="21"/>
        </w:rPr>
      </w:pPr>
      <w:r>
        <w:rPr>
          <w:szCs w:val="21"/>
        </w:rPr>
        <w:t>10.3、光电式传感器的类型及设计；</w:t>
      </w:r>
    </w:p>
    <w:p>
      <w:pPr>
        <w:tabs>
          <w:tab w:val="right" w:leader="dot" w:pos="8385"/>
        </w:tabs>
        <w:spacing w:line="360" w:lineRule="auto"/>
        <w:ind w:left="426"/>
        <w:jc w:val="left"/>
        <w:rPr>
          <w:szCs w:val="21"/>
        </w:rPr>
      </w:pPr>
      <w:r>
        <w:rPr>
          <w:szCs w:val="21"/>
        </w:rPr>
        <w:t>10.4、光电式传感器的应用。</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1、4</w:t>
      </w:r>
    </w:p>
    <w:p>
      <w:pPr>
        <w:pStyle w:val="10"/>
        <w:tabs>
          <w:tab w:val="right" w:leader="dot" w:pos="8385"/>
        </w:tabs>
        <w:spacing w:line="360" w:lineRule="auto"/>
        <w:ind w:left="426"/>
        <w:jc w:val="left"/>
        <w:rPr>
          <w:rFonts w:ascii="Times New Roman" w:hAnsi="Times New Roman" w:eastAsia="黑体"/>
          <w:szCs w:val="21"/>
        </w:rPr>
      </w:pPr>
      <w:r>
        <w:rPr>
          <w:rFonts w:ascii="Times New Roman" w:hAnsi="Times New Roman" w:eastAsia="黑体"/>
          <w:szCs w:val="21"/>
        </w:rPr>
        <w:t>11  固态磁敏传感器（2学时）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11.1、固态磁敏传感器；（重点）</w:t>
      </w:r>
    </w:p>
    <w:p>
      <w:pPr>
        <w:tabs>
          <w:tab w:val="right" w:leader="dot" w:pos="8385"/>
        </w:tabs>
        <w:spacing w:line="360" w:lineRule="auto"/>
        <w:ind w:left="426"/>
        <w:jc w:val="left"/>
        <w:rPr>
          <w:szCs w:val="21"/>
        </w:rPr>
      </w:pPr>
      <w:r>
        <w:rPr>
          <w:szCs w:val="21"/>
        </w:rPr>
        <w:t>11.2、磁敏二极管和磁敏三极管。</w:t>
      </w:r>
    </w:p>
    <w:p>
      <w:pPr>
        <w:widowControl/>
        <w:spacing w:line="360" w:lineRule="auto"/>
        <w:ind w:left="426"/>
        <w:jc w:val="left"/>
        <w:rPr>
          <w:szCs w:val="21"/>
        </w:rPr>
      </w:pPr>
      <w:r>
        <w:rPr>
          <w:rFonts w:cs="宋体"/>
          <w:bCs/>
          <w:snapToGrid w:val="0"/>
          <w:kern w:val="0"/>
          <w:szCs w:val="21"/>
        </w:rPr>
        <w:t>本章内容支撑课程目标</w:t>
      </w:r>
      <w:r>
        <w:rPr>
          <w:rFonts w:hint="eastAsia" w:cs="宋体"/>
          <w:bCs/>
          <w:snapToGrid w:val="0"/>
          <w:kern w:val="0"/>
          <w:szCs w:val="21"/>
        </w:rPr>
        <w:t>1</w:t>
      </w:r>
    </w:p>
    <w:p>
      <w:pPr>
        <w:pStyle w:val="10"/>
        <w:tabs>
          <w:tab w:val="right" w:leader="dot" w:pos="8385"/>
        </w:tabs>
        <w:spacing w:line="360" w:lineRule="auto"/>
        <w:ind w:left="426"/>
        <w:jc w:val="left"/>
        <w:rPr>
          <w:rFonts w:ascii="Times New Roman" w:hAnsi="Times New Roman"/>
        </w:rPr>
      </w:pPr>
      <w:r>
        <w:rPr>
          <w:rFonts w:ascii="Times New Roman" w:hAnsi="Times New Roman" w:eastAsia="黑体"/>
        </w:rPr>
        <w:t>12  光导纤维传感器</w:t>
      </w:r>
      <w:r>
        <w:rPr>
          <w:rFonts w:ascii="Times New Roman" w:hAnsi="Times New Roman" w:eastAsia="黑体"/>
          <w:szCs w:val="21"/>
        </w:rPr>
        <w:t>（2学时）</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12.1、光导纤维工作原理；（重点）</w:t>
      </w:r>
    </w:p>
    <w:p>
      <w:pPr>
        <w:pStyle w:val="10"/>
        <w:tabs>
          <w:tab w:val="right" w:leader="dot" w:pos="8385"/>
        </w:tabs>
        <w:spacing w:line="360" w:lineRule="auto"/>
        <w:ind w:left="426"/>
        <w:jc w:val="left"/>
        <w:rPr>
          <w:rFonts w:ascii="Times New Roman" w:hAnsi="Times New Roman"/>
          <w:szCs w:val="21"/>
        </w:rPr>
      </w:pPr>
      <w:r>
        <w:rPr>
          <w:rFonts w:ascii="Times New Roman" w:hAnsi="Times New Roman"/>
          <w:szCs w:val="21"/>
        </w:rPr>
        <w:t>12.2、反射式光纤传感器的应用。（难点）</w:t>
      </w:r>
    </w:p>
    <w:p>
      <w:pPr>
        <w:widowControl/>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spacing w:line="360" w:lineRule="auto"/>
        <w:ind w:left="426"/>
        <w:jc w:val="left"/>
        <w:rPr>
          <w:szCs w:val="21"/>
        </w:rPr>
      </w:pPr>
    </w:p>
    <w:p>
      <w:pPr>
        <w:tabs>
          <w:tab w:val="left" w:pos="420"/>
        </w:tabs>
        <w:adjustRightInd w:val="0"/>
        <w:snapToGrid w:val="0"/>
        <w:spacing w:line="360" w:lineRule="auto"/>
        <w:ind w:left="420" w:hanging="420"/>
        <w:rPr>
          <w:rFonts w:eastAsia="黑体"/>
          <w:szCs w:val="21"/>
        </w:rPr>
      </w:pPr>
      <w:r>
        <w:rPr>
          <w:rFonts w:eastAsia="黑体"/>
          <w:szCs w:val="21"/>
        </w:rPr>
        <w:t>五、实验内容</w:t>
      </w:r>
    </w:p>
    <w:p>
      <w:pPr>
        <w:pStyle w:val="10"/>
        <w:spacing w:line="360" w:lineRule="auto"/>
        <w:ind w:firstLine="420"/>
        <w:rPr>
          <w:rFonts w:ascii="Times New Roman" w:hAnsi="Times New Roman" w:eastAsia="黑体"/>
          <w:szCs w:val="21"/>
        </w:rPr>
      </w:pPr>
      <w:r>
        <w:rPr>
          <w:rFonts w:ascii="Times New Roman" w:hAnsi="Times New Roman" w:eastAsia="黑体"/>
          <w:szCs w:val="21"/>
        </w:rPr>
        <w:t>实验一应变式传感器静态特性试验（2学时）</w:t>
      </w:r>
    </w:p>
    <w:p>
      <w:pPr>
        <w:pStyle w:val="10"/>
        <w:spacing w:line="360" w:lineRule="auto"/>
        <w:ind w:firstLine="420"/>
        <w:rPr>
          <w:rFonts w:ascii="Times New Roman" w:hAnsi="Times New Roman"/>
          <w:szCs w:val="21"/>
        </w:rPr>
      </w:pPr>
      <w:r>
        <w:rPr>
          <w:rFonts w:ascii="Times New Roman" w:hAnsi="Times New Roman"/>
          <w:szCs w:val="21"/>
        </w:rPr>
        <w:t>1、应变式传感器原理应变效应；</w:t>
      </w:r>
    </w:p>
    <w:p>
      <w:pPr>
        <w:pStyle w:val="10"/>
        <w:spacing w:line="360" w:lineRule="auto"/>
        <w:ind w:firstLine="420" w:firstLineChars="200"/>
        <w:rPr>
          <w:rFonts w:ascii="Times New Roman" w:hAnsi="Times New Roman"/>
          <w:szCs w:val="21"/>
        </w:rPr>
      </w:pPr>
      <w:r>
        <w:rPr>
          <w:rFonts w:ascii="Times New Roman" w:hAnsi="Times New Roman"/>
          <w:szCs w:val="21"/>
        </w:rPr>
        <w:t>2、比较应变式传感器1/4</w:t>
      </w:r>
      <w:r>
        <w:rPr>
          <w:rFonts w:hint="eastAsia" w:ascii="Times New Roman" w:hAnsi="Times New Roman"/>
          <w:szCs w:val="21"/>
        </w:rPr>
        <w:t>桥</w:t>
      </w:r>
      <w:r>
        <w:rPr>
          <w:rFonts w:ascii="Times New Roman" w:hAnsi="Times New Roman"/>
          <w:szCs w:val="21"/>
        </w:rPr>
        <w:t>、1/2</w:t>
      </w:r>
      <w:r>
        <w:rPr>
          <w:rFonts w:hint="eastAsia" w:ascii="Times New Roman" w:hAnsi="Times New Roman"/>
          <w:szCs w:val="21"/>
        </w:rPr>
        <w:t>桥</w:t>
      </w:r>
      <w:r>
        <w:rPr>
          <w:rFonts w:ascii="Times New Roman" w:hAnsi="Times New Roman"/>
          <w:szCs w:val="21"/>
        </w:rPr>
        <w:t>、全桥输出特点；</w:t>
      </w:r>
    </w:p>
    <w:p>
      <w:pPr>
        <w:pStyle w:val="10"/>
        <w:spacing w:line="360" w:lineRule="auto"/>
        <w:ind w:firstLine="420"/>
        <w:rPr>
          <w:rFonts w:ascii="Times New Roman" w:hAnsi="Times New Roman"/>
          <w:szCs w:val="21"/>
        </w:rPr>
      </w:pPr>
      <w:r>
        <w:rPr>
          <w:rFonts w:ascii="Times New Roman" w:hAnsi="Times New Roman"/>
          <w:szCs w:val="21"/>
        </w:rPr>
        <w:t>3、学习应变式传感器静态特性。</w:t>
      </w:r>
    </w:p>
    <w:p>
      <w:pPr>
        <w:widowControl/>
        <w:spacing w:line="360" w:lineRule="auto"/>
        <w:ind w:left="426"/>
        <w:jc w:val="left"/>
        <w:rPr>
          <w:szCs w:val="21"/>
        </w:rPr>
      </w:pPr>
      <w:r>
        <w:rPr>
          <w:rFonts w:cs="宋体"/>
          <w:bCs/>
          <w:snapToGrid w:val="0"/>
          <w:kern w:val="0"/>
          <w:szCs w:val="21"/>
        </w:rPr>
        <w:t>本</w:t>
      </w:r>
      <w:r>
        <w:rPr>
          <w:rFonts w:hint="eastAsia" w:cs="宋体"/>
          <w:bCs/>
          <w:snapToGrid w:val="0"/>
          <w:kern w:val="0"/>
          <w:szCs w:val="21"/>
        </w:rPr>
        <w:t>实验</w:t>
      </w:r>
      <w:r>
        <w:rPr>
          <w:rFonts w:cs="宋体"/>
          <w:bCs/>
          <w:snapToGrid w:val="0"/>
          <w:kern w:val="0"/>
          <w:szCs w:val="21"/>
        </w:rPr>
        <w:t>内容支撑课程目标</w:t>
      </w:r>
      <w:r>
        <w:rPr>
          <w:rFonts w:hint="eastAsia" w:cs="宋体"/>
          <w:bCs/>
          <w:snapToGrid w:val="0"/>
          <w:kern w:val="0"/>
          <w:szCs w:val="21"/>
        </w:rPr>
        <w:t>1、4</w:t>
      </w:r>
    </w:p>
    <w:p>
      <w:pPr>
        <w:pStyle w:val="10"/>
        <w:spacing w:line="360" w:lineRule="auto"/>
        <w:ind w:firstLine="420"/>
        <w:rPr>
          <w:rFonts w:ascii="Times New Roman" w:hAnsi="Times New Roman" w:eastAsia="黑体"/>
          <w:szCs w:val="21"/>
        </w:rPr>
      </w:pPr>
      <w:r>
        <w:rPr>
          <w:rFonts w:ascii="Times New Roman" w:hAnsi="Times New Roman" w:eastAsia="黑体"/>
          <w:szCs w:val="21"/>
        </w:rPr>
        <w:t>实验二差动变压器式传感器试验（2学时）</w:t>
      </w:r>
    </w:p>
    <w:p>
      <w:pPr>
        <w:pStyle w:val="10"/>
        <w:spacing w:line="360" w:lineRule="auto"/>
        <w:ind w:firstLine="420"/>
        <w:rPr>
          <w:rFonts w:ascii="Times New Roman" w:hAnsi="Times New Roman"/>
          <w:szCs w:val="21"/>
        </w:rPr>
      </w:pPr>
      <w:r>
        <w:rPr>
          <w:rFonts w:ascii="Times New Roman" w:hAnsi="Times New Roman"/>
          <w:szCs w:val="21"/>
        </w:rPr>
        <w:t>1、差动变压器式传感器工作原理；</w:t>
      </w:r>
    </w:p>
    <w:p>
      <w:pPr>
        <w:pStyle w:val="10"/>
        <w:spacing w:line="360" w:lineRule="auto"/>
        <w:ind w:firstLine="420" w:firstLineChars="200"/>
        <w:rPr>
          <w:rFonts w:ascii="Times New Roman" w:hAnsi="Times New Roman"/>
          <w:szCs w:val="21"/>
        </w:rPr>
      </w:pPr>
      <w:r>
        <w:rPr>
          <w:rFonts w:ascii="Times New Roman" w:hAnsi="Times New Roman"/>
          <w:szCs w:val="21"/>
        </w:rPr>
        <w:t>2、通过静态位移量输入学会差动变压器式传感器静态特性的标定方法；</w:t>
      </w:r>
    </w:p>
    <w:p>
      <w:pPr>
        <w:pStyle w:val="10"/>
        <w:spacing w:line="360" w:lineRule="auto"/>
        <w:ind w:firstLine="420"/>
        <w:rPr>
          <w:rFonts w:ascii="Times New Roman" w:hAnsi="Times New Roman"/>
          <w:szCs w:val="21"/>
        </w:rPr>
      </w:pPr>
      <w:r>
        <w:rPr>
          <w:rFonts w:ascii="Times New Roman" w:hAnsi="Times New Roman"/>
          <w:szCs w:val="21"/>
        </w:rPr>
        <w:t>3、差动变压器式传感器用于动态振动测试的方法。</w:t>
      </w:r>
    </w:p>
    <w:p>
      <w:pPr>
        <w:widowControl/>
        <w:spacing w:line="360" w:lineRule="auto"/>
        <w:ind w:left="426"/>
        <w:jc w:val="left"/>
        <w:rPr>
          <w:szCs w:val="21"/>
        </w:rPr>
      </w:pPr>
      <w:r>
        <w:rPr>
          <w:rFonts w:cs="宋体"/>
          <w:bCs/>
          <w:snapToGrid w:val="0"/>
          <w:kern w:val="0"/>
          <w:szCs w:val="21"/>
        </w:rPr>
        <w:t>本</w:t>
      </w:r>
      <w:r>
        <w:rPr>
          <w:rFonts w:hint="eastAsia" w:cs="宋体"/>
          <w:bCs/>
          <w:snapToGrid w:val="0"/>
          <w:kern w:val="0"/>
          <w:szCs w:val="21"/>
        </w:rPr>
        <w:t>实验</w:t>
      </w:r>
      <w:r>
        <w:rPr>
          <w:rFonts w:cs="宋体"/>
          <w:bCs/>
          <w:snapToGrid w:val="0"/>
          <w:kern w:val="0"/>
          <w:szCs w:val="21"/>
        </w:rPr>
        <w:t>内容支撑课程目标</w:t>
      </w:r>
      <w:r>
        <w:rPr>
          <w:rFonts w:hint="eastAsia" w:cs="宋体"/>
          <w:bCs/>
          <w:snapToGrid w:val="0"/>
          <w:kern w:val="0"/>
          <w:szCs w:val="21"/>
        </w:rPr>
        <w:t>2、4</w:t>
      </w:r>
    </w:p>
    <w:p>
      <w:pPr>
        <w:pStyle w:val="10"/>
        <w:spacing w:line="360" w:lineRule="auto"/>
        <w:ind w:firstLine="420" w:firstLineChars="200"/>
        <w:rPr>
          <w:rFonts w:ascii="Times New Roman" w:hAnsi="Times New Roman" w:eastAsia="黑体"/>
          <w:szCs w:val="21"/>
        </w:rPr>
      </w:pPr>
      <w:r>
        <w:rPr>
          <w:rFonts w:ascii="Times New Roman" w:hAnsi="Times New Roman" w:eastAsia="黑体"/>
          <w:szCs w:val="21"/>
        </w:rPr>
        <w:t>实验三电涡流传感器标定与测位移试验（2学时）</w:t>
      </w:r>
    </w:p>
    <w:p>
      <w:pPr>
        <w:pStyle w:val="10"/>
        <w:spacing w:line="360" w:lineRule="auto"/>
        <w:ind w:firstLine="420" w:firstLineChars="200"/>
        <w:rPr>
          <w:rFonts w:ascii="Times New Roman" w:hAnsi="Times New Roman"/>
          <w:szCs w:val="21"/>
        </w:rPr>
      </w:pPr>
      <w:r>
        <w:rPr>
          <w:rFonts w:ascii="Times New Roman" w:hAnsi="Times New Roman"/>
          <w:szCs w:val="21"/>
        </w:rPr>
        <w:t>1、电涡流传感器工作原理；</w:t>
      </w:r>
    </w:p>
    <w:p>
      <w:pPr>
        <w:pStyle w:val="10"/>
        <w:spacing w:line="360" w:lineRule="auto"/>
        <w:ind w:firstLine="420" w:firstLineChars="200"/>
        <w:rPr>
          <w:rFonts w:ascii="Times New Roman" w:hAnsi="Times New Roman"/>
          <w:szCs w:val="21"/>
        </w:rPr>
      </w:pPr>
      <w:r>
        <w:rPr>
          <w:rFonts w:ascii="Times New Roman" w:hAnsi="Times New Roman"/>
          <w:szCs w:val="21"/>
        </w:rPr>
        <w:t>2、通过静态位移量输入学会电涡流传感器静态特性的标定方法；</w:t>
      </w:r>
    </w:p>
    <w:p>
      <w:pPr>
        <w:pStyle w:val="10"/>
        <w:spacing w:line="360" w:lineRule="auto"/>
        <w:ind w:firstLine="420" w:firstLineChars="200"/>
        <w:rPr>
          <w:rFonts w:ascii="Times New Roman" w:hAnsi="Times New Roman"/>
          <w:szCs w:val="21"/>
        </w:rPr>
      </w:pPr>
      <w:r>
        <w:rPr>
          <w:rFonts w:ascii="Times New Roman" w:hAnsi="Times New Roman"/>
          <w:szCs w:val="21"/>
        </w:rPr>
        <w:t>3、电涡流传感器用于动态振动测试的方法；</w:t>
      </w:r>
    </w:p>
    <w:p>
      <w:pPr>
        <w:pStyle w:val="10"/>
        <w:spacing w:line="360" w:lineRule="auto"/>
        <w:ind w:firstLine="420"/>
        <w:rPr>
          <w:rFonts w:ascii="Times New Roman" w:hAnsi="Times New Roman"/>
          <w:szCs w:val="21"/>
        </w:rPr>
      </w:pPr>
      <w:r>
        <w:rPr>
          <w:rFonts w:ascii="Times New Roman" w:hAnsi="Times New Roman"/>
          <w:szCs w:val="21"/>
        </w:rPr>
        <w:t>4、区分出电涡流传感器与差动变压器式传感器测振的不同点。</w:t>
      </w:r>
    </w:p>
    <w:p>
      <w:pPr>
        <w:widowControl/>
        <w:spacing w:line="360" w:lineRule="auto"/>
        <w:ind w:left="426"/>
        <w:jc w:val="left"/>
        <w:rPr>
          <w:szCs w:val="21"/>
        </w:rPr>
      </w:pPr>
      <w:r>
        <w:rPr>
          <w:rFonts w:cs="宋体"/>
          <w:bCs/>
          <w:snapToGrid w:val="0"/>
          <w:kern w:val="0"/>
          <w:szCs w:val="21"/>
        </w:rPr>
        <w:t>本</w:t>
      </w:r>
      <w:r>
        <w:rPr>
          <w:rFonts w:hint="eastAsia" w:cs="宋体"/>
          <w:bCs/>
          <w:snapToGrid w:val="0"/>
          <w:kern w:val="0"/>
          <w:szCs w:val="21"/>
        </w:rPr>
        <w:t>实验</w:t>
      </w:r>
      <w:r>
        <w:rPr>
          <w:rFonts w:cs="宋体"/>
          <w:bCs/>
          <w:snapToGrid w:val="0"/>
          <w:kern w:val="0"/>
          <w:szCs w:val="21"/>
        </w:rPr>
        <w:t>内容支撑课程目标</w:t>
      </w:r>
      <w:r>
        <w:rPr>
          <w:rFonts w:hint="eastAsia" w:cs="宋体"/>
          <w:bCs/>
          <w:snapToGrid w:val="0"/>
          <w:kern w:val="0"/>
          <w:szCs w:val="21"/>
        </w:rPr>
        <w:t>2、4</w:t>
      </w:r>
    </w:p>
    <w:p>
      <w:pPr>
        <w:pStyle w:val="10"/>
        <w:spacing w:line="360" w:lineRule="auto"/>
        <w:ind w:firstLine="420" w:firstLineChars="200"/>
        <w:rPr>
          <w:rFonts w:ascii="Times New Roman" w:hAnsi="Times New Roman" w:eastAsia="黑体"/>
          <w:szCs w:val="21"/>
        </w:rPr>
      </w:pPr>
      <w:r>
        <w:rPr>
          <w:rFonts w:ascii="Times New Roman" w:hAnsi="Times New Roman" w:eastAsia="黑体"/>
          <w:szCs w:val="21"/>
        </w:rPr>
        <w:t>实验四霍尔传感器特性标定试验（2学时）</w:t>
      </w:r>
    </w:p>
    <w:p>
      <w:pPr>
        <w:pStyle w:val="10"/>
        <w:spacing w:line="360" w:lineRule="auto"/>
        <w:ind w:firstLine="420" w:firstLineChars="200"/>
        <w:rPr>
          <w:rFonts w:ascii="Times New Roman" w:hAnsi="Times New Roman"/>
          <w:szCs w:val="21"/>
        </w:rPr>
      </w:pPr>
      <w:r>
        <w:rPr>
          <w:rFonts w:ascii="Times New Roman" w:hAnsi="Times New Roman"/>
          <w:szCs w:val="21"/>
        </w:rPr>
        <w:t>1、霍尔传感器工作原理霍尔效应；</w:t>
      </w:r>
    </w:p>
    <w:p>
      <w:pPr>
        <w:pStyle w:val="10"/>
        <w:spacing w:line="360" w:lineRule="auto"/>
        <w:ind w:firstLine="420"/>
        <w:rPr>
          <w:rFonts w:ascii="Times New Roman" w:hAnsi="Times New Roman"/>
          <w:szCs w:val="21"/>
        </w:rPr>
      </w:pPr>
      <w:r>
        <w:rPr>
          <w:rFonts w:ascii="Times New Roman" w:hAnsi="Times New Roman"/>
          <w:szCs w:val="21"/>
        </w:rPr>
        <w:t>2、通过静态位移量输入学习霍尔传感器工作特性；</w:t>
      </w:r>
    </w:p>
    <w:p>
      <w:pPr>
        <w:widowControl/>
        <w:spacing w:line="360" w:lineRule="auto"/>
        <w:ind w:left="426"/>
        <w:jc w:val="left"/>
        <w:rPr>
          <w:szCs w:val="21"/>
        </w:rPr>
      </w:pPr>
      <w:r>
        <w:rPr>
          <w:rFonts w:cs="宋体"/>
          <w:bCs/>
          <w:snapToGrid w:val="0"/>
          <w:kern w:val="0"/>
          <w:szCs w:val="21"/>
        </w:rPr>
        <w:t>本</w:t>
      </w:r>
      <w:r>
        <w:rPr>
          <w:rFonts w:hint="eastAsia" w:cs="宋体"/>
          <w:bCs/>
          <w:snapToGrid w:val="0"/>
          <w:kern w:val="0"/>
          <w:szCs w:val="21"/>
        </w:rPr>
        <w:t>实验</w:t>
      </w:r>
      <w:r>
        <w:rPr>
          <w:rFonts w:cs="宋体"/>
          <w:bCs/>
          <w:snapToGrid w:val="0"/>
          <w:kern w:val="0"/>
          <w:szCs w:val="21"/>
        </w:rPr>
        <w:t>内容支撑课程目标</w:t>
      </w:r>
      <w:r>
        <w:rPr>
          <w:rFonts w:hint="eastAsia" w:cs="宋体"/>
          <w:bCs/>
          <w:snapToGrid w:val="0"/>
          <w:kern w:val="0"/>
          <w:szCs w:val="21"/>
        </w:rPr>
        <w:t>1、4</w:t>
      </w:r>
    </w:p>
    <w:p>
      <w:pPr>
        <w:pStyle w:val="10"/>
        <w:spacing w:line="360" w:lineRule="auto"/>
        <w:ind w:firstLine="420" w:firstLineChars="200"/>
        <w:rPr>
          <w:rFonts w:ascii="Times New Roman" w:hAnsi="Times New Roman" w:eastAsia="黑体"/>
          <w:szCs w:val="21"/>
        </w:rPr>
      </w:pPr>
      <w:r>
        <w:rPr>
          <w:rFonts w:ascii="Times New Roman" w:hAnsi="Times New Roman" w:eastAsia="黑体"/>
          <w:szCs w:val="21"/>
        </w:rPr>
        <w:t>实验五反射光纤位移传感器特性实验试验（2学时）</w:t>
      </w:r>
    </w:p>
    <w:p>
      <w:pPr>
        <w:pStyle w:val="10"/>
        <w:spacing w:line="360" w:lineRule="auto"/>
        <w:ind w:firstLine="420" w:firstLineChars="200"/>
        <w:rPr>
          <w:rFonts w:ascii="Times New Roman" w:hAnsi="Times New Roman"/>
          <w:szCs w:val="21"/>
        </w:rPr>
      </w:pPr>
      <w:r>
        <w:rPr>
          <w:rFonts w:ascii="Times New Roman" w:hAnsi="Times New Roman"/>
          <w:szCs w:val="21"/>
        </w:rPr>
        <w:t>1、反射光纤位移传感器工作原理；</w:t>
      </w:r>
    </w:p>
    <w:p>
      <w:pPr>
        <w:pStyle w:val="10"/>
        <w:spacing w:line="360" w:lineRule="auto"/>
        <w:ind w:firstLine="420" w:firstLineChars="200"/>
        <w:rPr>
          <w:rFonts w:ascii="Times New Roman" w:hAnsi="Times New Roman"/>
          <w:szCs w:val="21"/>
        </w:rPr>
      </w:pPr>
      <w:r>
        <w:rPr>
          <w:rFonts w:ascii="Times New Roman" w:hAnsi="Times New Roman"/>
          <w:szCs w:val="21"/>
        </w:rPr>
        <w:t>2、通过静态位移量输入学会反射光纤位移传感器静态特性的标定方法；</w:t>
      </w:r>
    </w:p>
    <w:p>
      <w:pPr>
        <w:pStyle w:val="10"/>
        <w:spacing w:line="360" w:lineRule="auto"/>
        <w:ind w:firstLine="420" w:firstLineChars="200"/>
        <w:rPr>
          <w:rFonts w:ascii="Times New Roman" w:hAnsi="Times New Roman"/>
          <w:szCs w:val="21"/>
        </w:rPr>
      </w:pPr>
      <w:r>
        <w:rPr>
          <w:rFonts w:ascii="Times New Roman" w:hAnsi="Times New Roman"/>
          <w:szCs w:val="21"/>
        </w:rPr>
        <w:t>3、反射光纤位移传感器用于动态振动测试的方法。</w:t>
      </w:r>
    </w:p>
    <w:p>
      <w:pPr>
        <w:widowControl/>
        <w:spacing w:line="360" w:lineRule="auto"/>
        <w:ind w:left="426"/>
        <w:jc w:val="left"/>
        <w:rPr>
          <w:rFonts w:cs="宋体"/>
          <w:bCs/>
          <w:snapToGrid w:val="0"/>
          <w:kern w:val="0"/>
          <w:szCs w:val="21"/>
        </w:rPr>
      </w:pPr>
      <w:r>
        <w:rPr>
          <w:rFonts w:cs="宋体"/>
          <w:bCs/>
          <w:snapToGrid w:val="0"/>
          <w:kern w:val="0"/>
          <w:szCs w:val="21"/>
        </w:rPr>
        <w:t>本</w:t>
      </w:r>
      <w:r>
        <w:rPr>
          <w:rFonts w:hint="eastAsia" w:cs="宋体"/>
          <w:bCs/>
          <w:snapToGrid w:val="0"/>
          <w:kern w:val="0"/>
          <w:szCs w:val="21"/>
        </w:rPr>
        <w:t>实验</w:t>
      </w:r>
      <w:r>
        <w:rPr>
          <w:rFonts w:cs="宋体"/>
          <w:bCs/>
          <w:snapToGrid w:val="0"/>
          <w:kern w:val="0"/>
          <w:szCs w:val="21"/>
        </w:rPr>
        <w:t>内容支撑课程目标</w:t>
      </w:r>
      <w:r>
        <w:rPr>
          <w:rFonts w:hint="eastAsia" w:cs="宋体"/>
          <w:bCs/>
          <w:snapToGrid w:val="0"/>
          <w:kern w:val="0"/>
          <w:szCs w:val="21"/>
        </w:rPr>
        <w:t>1、4</w:t>
      </w:r>
    </w:p>
    <w:p>
      <w:pPr>
        <w:widowControl/>
        <w:spacing w:line="360" w:lineRule="auto"/>
        <w:jc w:val="left"/>
        <w:rPr>
          <w:szCs w:val="21"/>
        </w:rPr>
      </w:pPr>
    </w:p>
    <w:p>
      <w:pPr>
        <w:tabs>
          <w:tab w:val="left" w:pos="420"/>
        </w:tabs>
        <w:adjustRightInd w:val="0"/>
        <w:snapToGrid w:val="0"/>
        <w:spacing w:line="360" w:lineRule="auto"/>
        <w:ind w:left="420" w:hanging="420"/>
        <w:rPr>
          <w:rFonts w:eastAsia="黑体"/>
          <w:szCs w:val="21"/>
        </w:rPr>
      </w:pPr>
      <w:r>
        <w:rPr>
          <w:rFonts w:eastAsia="黑体"/>
          <w:szCs w:val="21"/>
        </w:rPr>
        <w:t>六、学时分配</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77"/>
        <w:gridCol w:w="1661"/>
        <w:gridCol w:w="1897"/>
        <w:gridCol w:w="10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讲授的知识点及内容</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讲授（学时）</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实验（学时）</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1 传感器概述</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 传感器的特性及标定</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6</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 传感器中的弹性敏感元件设计</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 电阻应变式传感器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5 电容式传感器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6 压电式传感器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7 电感式传感器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8 压阻式传感器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9 热电式传感器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10 光电式传感器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1141" w:type="pct"/>
            <w:vAlign w:val="center"/>
          </w:tcPr>
          <w:p>
            <w:pPr>
              <w:pStyle w:val="10"/>
              <w:adjustRightInd w:val="0"/>
              <w:snapToGrid w:val="0"/>
              <w:jc w:val="center"/>
              <w:rPr>
                <w:rFonts w:ascii="Times New Roman" w:hAnsi="Times New Roman"/>
                <w:sz w:val="18"/>
                <w:szCs w:val="18"/>
              </w:rPr>
            </w:pPr>
            <w:r>
              <w:rPr>
                <w:rFonts w:hint="eastAsia" w:ascii="Times New Roman" w:hAnsi="Times New Roman"/>
                <w:sz w:val="18"/>
                <w:szCs w:val="18"/>
              </w:rPr>
              <w:t>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11 固态磁敏传感器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12 光导纤维传感器</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2</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212"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合计</w:t>
            </w:r>
          </w:p>
        </w:tc>
        <w:tc>
          <w:tcPr>
            <w:tcW w:w="999"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38</w:t>
            </w:r>
          </w:p>
        </w:tc>
        <w:tc>
          <w:tcPr>
            <w:tcW w:w="1141"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10</w:t>
            </w:r>
          </w:p>
        </w:tc>
        <w:tc>
          <w:tcPr>
            <w:tcW w:w="648" w:type="pct"/>
            <w:vAlign w:val="center"/>
          </w:tcPr>
          <w:p>
            <w:pPr>
              <w:pStyle w:val="10"/>
              <w:adjustRightInd w:val="0"/>
              <w:snapToGrid w:val="0"/>
              <w:jc w:val="center"/>
              <w:rPr>
                <w:rFonts w:ascii="Times New Roman" w:hAnsi="Times New Roman"/>
                <w:sz w:val="18"/>
                <w:szCs w:val="18"/>
              </w:rPr>
            </w:pPr>
            <w:r>
              <w:rPr>
                <w:rFonts w:ascii="Times New Roman" w:hAnsi="Times New Roman"/>
                <w:sz w:val="18"/>
                <w:szCs w:val="18"/>
              </w:rPr>
              <w:t>48</w:t>
            </w:r>
          </w:p>
        </w:tc>
      </w:tr>
    </w:tbl>
    <w:p>
      <w:pPr>
        <w:widowControl/>
        <w:spacing w:line="360" w:lineRule="auto"/>
        <w:jc w:val="left"/>
        <w:rPr>
          <w:rFonts w:eastAsia="黑体"/>
        </w:rPr>
      </w:pPr>
    </w:p>
    <w:p>
      <w:pPr>
        <w:widowControl/>
        <w:spacing w:line="360" w:lineRule="auto"/>
        <w:jc w:val="left"/>
        <w:rPr>
          <w:rFonts w:eastAsia="黑体"/>
        </w:rPr>
      </w:pPr>
      <w:r>
        <w:rPr>
          <w:rFonts w:hint="eastAsia" w:eastAsia="黑体"/>
        </w:rPr>
        <w:t>七、</w:t>
      </w:r>
      <w:r>
        <w:rPr>
          <w:rFonts w:eastAsia="黑体"/>
        </w:rPr>
        <w:t>教材、补充教材及参考资料</w:t>
      </w:r>
    </w:p>
    <w:p>
      <w:pPr>
        <w:pStyle w:val="35"/>
        <w:shd w:val="clear" w:color="auto" w:fill="FFFFFF"/>
        <w:spacing w:before="0" w:beforeAutospacing="0" w:after="0" w:afterAutospacing="0" w:line="360" w:lineRule="auto"/>
        <w:ind w:firstLine="420" w:firstLineChars="200"/>
        <w:rPr>
          <w:rFonts w:ascii="Times New Roman" w:hAnsi="Times New Roman" w:cs="Times New Roman"/>
          <w:sz w:val="21"/>
          <w:szCs w:val="21"/>
        </w:rPr>
      </w:pPr>
      <w:r>
        <w:rPr>
          <w:rFonts w:ascii="Times New Roman" w:hAnsi="Times New Roman" w:cs="Times New Roman"/>
          <w:kern w:val="2"/>
          <w:sz w:val="21"/>
          <w:szCs w:val="21"/>
        </w:rPr>
        <w:t>1、</w:t>
      </w:r>
      <w:r>
        <w:rPr>
          <w:rFonts w:ascii="Times New Roman" w:hAnsi="Times New Roman" w:cs="Times New Roman"/>
          <w:sz w:val="21"/>
          <w:szCs w:val="21"/>
        </w:rPr>
        <w:t>孟立凡</w:t>
      </w:r>
      <w:r>
        <w:rPr>
          <w:rFonts w:hint="eastAsia" w:ascii="Times New Roman" w:hAnsi="Times New Roman" w:cs="Times New Roman"/>
          <w:sz w:val="21"/>
          <w:szCs w:val="21"/>
        </w:rPr>
        <w:t>，</w:t>
      </w:r>
      <w:r>
        <w:rPr>
          <w:rFonts w:ascii="Times New Roman" w:hAnsi="Times New Roman" w:cs="Times New Roman"/>
          <w:sz w:val="21"/>
          <w:szCs w:val="21"/>
        </w:rPr>
        <w:t>蓝金辉主编，《传感器原理与应用（第3版）》</w:t>
      </w:r>
      <w:r>
        <w:rPr>
          <w:rFonts w:ascii="Times New Roman" w:hAnsi="Times New Roman" w:cs="Times New Roman"/>
          <w:spacing w:val="-11"/>
          <w:sz w:val="21"/>
          <w:szCs w:val="21"/>
        </w:rPr>
        <w:t>，ISBN 9787121256875，</w:t>
      </w:r>
      <w:r>
        <w:rPr>
          <w:rFonts w:ascii="Times New Roman" w:hAnsi="Times New Roman" w:cs="Times New Roman"/>
          <w:sz w:val="21"/>
          <w:szCs w:val="21"/>
        </w:rPr>
        <w:t>电子工业出版社，</w:t>
      </w:r>
      <w:r>
        <w:rPr>
          <w:rFonts w:ascii="Times New Roman" w:hAnsi="Times New Roman" w:cs="Times New Roman"/>
          <w:kern w:val="2"/>
          <w:sz w:val="21"/>
          <w:szCs w:val="21"/>
        </w:rPr>
        <w:t>2015</w:t>
      </w:r>
      <w:r>
        <w:rPr>
          <w:rFonts w:ascii="Times New Roman" w:hAnsi="Times New Roman" w:cs="Times New Roman"/>
          <w:spacing w:val="-11"/>
          <w:sz w:val="21"/>
          <w:szCs w:val="21"/>
        </w:rPr>
        <w:t>。</w:t>
      </w:r>
    </w:p>
    <w:p>
      <w:pPr>
        <w:pStyle w:val="35"/>
        <w:shd w:val="clear" w:color="auto" w:fill="FFFFFF"/>
        <w:spacing w:before="0" w:beforeAutospacing="0" w:after="0" w:afterAutospacing="0" w:line="360" w:lineRule="auto"/>
        <w:ind w:firstLine="420" w:firstLineChars="200"/>
        <w:rPr>
          <w:rFonts w:ascii="Times New Roman" w:hAnsi="Times New Roman" w:cs="Times New Roman"/>
          <w:sz w:val="21"/>
          <w:szCs w:val="21"/>
        </w:rPr>
      </w:pPr>
      <w:r>
        <w:rPr>
          <w:rFonts w:ascii="Times New Roman" w:hAnsi="Times New Roman" w:cs="Times New Roman"/>
          <w:kern w:val="2"/>
          <w:sz w:val="21"/>
          <w:szCs w:val="21"/>
        </w:rPr>
        <w:t>2、</w:t>
      </w:r>
      <w:r>
        <w:rPr>
          <w:rFonts w:ascii="Times New Roman" w:hAnsi="Times New Roman" w:cs="Times New Roman"/>
          <w:sz w:val="21"/>
          <w:szCs w:val="21"/>
        </w:rPr>
        <w:t>李克杰等编著，《现代传感技术》，电子工业出版社，</w:t>
      </w:r>
      <w:r>
        <w:rPr>
          <w:rFonts w:ascii="Times New Roman" w:hAnsi="Times New Roman" w:cs="Times New Roman"/>
          <w:spacing w:val="-8"/>
          <w:sz w:val="21"/>
          <w:szCs w:val="21"/>
        </w:rPr>
        <w:t>2005。</w:t>
      </w:r>
    </w:p>
    <w:p>
      <w:pPr>
        <w:pStyle w:val="35"/>
        <w:shd w:val="clear" w:color="auto" w:fill="FFFFFF"/>
        <w:spacing w:before="0" w:beforeAutospacing="0" w:after="0" w:afterAutospacing="0" w:line="360" w:lineRule="auto"/>
        <w:ind w:firstLine="420" w:firstLineChars="200"/>
        <w:rPr>
          <w:rFonts w:ascii="Times New Roman" w:hAnsi="Times New Roman" w:cs="Times New Roman"/>
          <w:spacing w:val="-13"/>
          <w:sz w:val="21"/>
          <w:szCs w:val="21"/>
        </w:rPr>
      </w:pPr>
      <w:r>
        <w:rPr>
          <w:rFonts w:ascii="Times New Roman" w:hAnsi="Times New Roman" w:cs="Times New Roman"/>
          <w:kern w:val="2"/>
          <w:sz w:val="21"/>
          <w:szCs w:val="21"/>
        </w:rPr>
        <w:t>3、</w:t>
      </w:r>
      <w:r>
        <w:rPr>
          <w:rFonts w:ascii="Times New Roman" w:hAnsi="Times New Roman" w:cs="Times New Roman"/>
          <w:kern w:val="36"/>
          <w:sz w:val="21"/>
          <w:szCs w:val="21"/>
        </w:rPr>
        <w:t>刘迎春</w:t>
      </w:r>
      <w:r>
        <w:rPr>
          <w:rFonts w:ascii="Times New Roman" w:hAnsi="Times New Roman" w:cs="Times New Roman"/>
          <w:spacing w:val="-14"/>
          <w:sz w:val="21"/>
          <w:szCs w:val="21"/>
        </w:rPr>
        <w:t>等主编，</w:t>
      </w:r>
      <w:r>
        <w:rPr>
          <w:rFonts w:ascii="Times New Roman" w:hAnsi="Times New Roman" w:cs="Times New Roman"/>
          <w:sz w:val="21"/>
          <w:szCs w:val="21"/>
        </w:rPr>
        <w:t>《</w:t>
      </w:r>
      <w:r>
        <w:rPr>
          <w:rFonts w:ascii="Times New Roman" w:hAnsi="Times New Roman" w:cs="Times New Roman"/>
          <w:kern w:val="36"/>
          <w:sz w:val="21"/>
          <w:szCs w:val="21"/>
        </w:rPr>
        <w:t>传感器原理设计与应用（</w:t>
      </w:r>
      <w:r>
        <w:rPr>
          <w:rFonts w:ascii="Times New Roman" w:hAnsi="Times New Roman" w:cs="Times New Roman"/>
          <w:sz w:val="21"/>
          <w:szCs w:val="21"/>
        </w:rPr>
        <w:t>第4版）</w:t>
      </w:r>
      <w:r>
        <w:rPr>
          <w:rFonts w:ascii="Times New Roman" w:hAnsi="Times New Roman" w:cs="Times New Roman"/>
          <w:spacing w:val="-17"/>
          <w:sz w:val="21"/>
          <w:szCs w:val="21"/>
        </w:rPr>
        <w:t>》</w:t>
      </w:r>
      <w:r>
        <w:rPr>
          <w:rFonts w:ascii="Times New Roman" w:hAnsi="Times New Roman" w:cs="Times New Roman"/>
          <w:spacing w:val="-14"/>
          <w:sz w:val="21"/>
          <w:szCs w:val="21"/>
        </w:rPr>
        <w:t>，</w:t>
      </w:r>
      <w:r>
        <w:rPr>
          <w:rFonts w:ascii="Times New Roman" w:hAnsi="Times New Roman" w:cs="Times New Roman"/>
          <w:spacing w:val="-11"/>
          <w:sz w:val="21"/>
          <w:szCs w:val="21"/>
        </w:rPr>
        <w:t>ISBN 9787810240505，</w:t>
      </w:r>
      <w:r>
        <w:rPr>
          <w:rFonts w:ascii="Times New Roman" w:hAnsi="Times New Roman" w:cs="Times New Roman"/>
          <w:sz w:val="21"/>
          <w:szCs w:val="21"/>
        </w:rPr>
        <w:t>国防科技大学出版社，2006。</w:t>
      </w:r>
      <w:r>
        <w:rPr>
          <w:rFonts w:ascii="Times New Roman" w:hAnsi="Times New Roman" w:cs="Times New Roman"/>
          <w:spacing w:val="-13"/>
          <w:sz w:val="21"/>
          <w:szCs w:val="21"/>
        </w:rPr>
        <w:t> </w:t>
      </w:r>
    </w:p>
    <w:p>
      <w:pPr>
        <w:pStyle w:val="35"/>
        <w:shd w:val="clear" w:color="auto" w:fill="FFFFFF"/>
        <w:spacing w:before="0" w:beforeAutospacing="0" w:after="0" w:afterAutospacing="0" w:line="360" w:lineRule="auto"/>
        <w:ind w:firstLine="420" w:firstLineChars="200"/>
        <w:rPr>
          <w:rFonts w:ascii="Times New Roman" w:hAnsi="Times New Roman" w:eastAsia="黑体" w:cs="Times New Roman"/>
          <w:spacing w:val="-13"/>
          <w:sz w:val="21"/>
          <w:szCs w:val="21"/>
        </w:rPr>
      </w:pPr>
      <w:r>
        <w:rPr>
          <w:rFonts w:ascii="Times New Roman" w:hAnsi="Times New Roman" w:cs="Times New Roman"/>
          <w:kern w:val="2"/>
          <w:sz w:val="21"/>
          <w:szCs w:val="21"/>
        </w:rPr>
        <w:t>4、</w:t>
      </w:r>
      <w:r>
        <w:rPr>
          <w:rFonts w:ascii="Times New Roman" w:hAnsi="Times New Roman" w:cs="Times New Roman"/>
          <w:sz w:val="21"/>
          <w:szCs w:val="21"/>
        </w:rPr>
        <w:t>袁希光主编，《</w:t>
      </w:r>
      <w:r>
        <w:rPr>
          <w:rFonts w:ascii="Times New Roman" w:hAnsi="Times New Roman" w:cs="Times New Roman"/>
          <w:spacing w:val="-17"/>
          <w:sz w:val="21"/>
          <w:szCs w:val="21"/>
        </w:rPr>
        <w:t>传感器技术手册》</w:t>
      </w:r>
      <w:r>
        <w:rPr>
          <w:rFonts w:ascii="Times New Roman" w:hAnsi="Times New Roman" w:cs="Times New Roman"/>
          <w:spacing w:val="-14"/>
          <w:sz w:val="21"/>
          <w:szCs w:val="21"/>
        </w:rPr>
        <w:t>，</w:t>
      </w:r>
      <w:r>
        <w:rPr>
          <w:rFonts w:ascii="Times New Roman" w:hAnsi="Times New Roman" w:cs="Times New Roman"/>
          <w:spacing w:val="-11"/>
          <w:sz w:val="21"/>
          <w:szCs w:val="21"/>
        </w:rPr>
        <w:t>ISBN 9787118004991，</w:t>
      </w:r>
      <w:r>
        <w:rPr>
          <w:rFonts w:ascii="Times New Roman" w:hAnsi="Times New Roman" w:cs="Times New Roman"/>
          <w:sz w:val="21"/>
          <w:szCs w:val="21"/>
        </w:rPr>
        <w:t>国防工业出版社，1985</w:t>
      </w:r>
      <w:r>
        <w:rPr>
          <w:rFonts w:ascii="Times New Roman" w:hAnsi="Times New Roman" w:cs="Times New Roman"/>
          <w:spacing w:val="-13"/>
          <w:sz w:val="21"/>
          <w:szCs w:val="21"/>
        </w:rPr>
        <w:t>。</w:t>
      </w:r>
    </w:p>
    <w:p>
      <w:pPr>
        <w:widowControl/>
        <w:spacing w:line="360" w:lineRule="auto"/>
        <w:jc w:val="left"/>
        <w:rPr>
          <w:rFonts w:eastAsia="黑体"/>
        </w:rPr>
      </w:pPr>
    </w:p>
    <w:p>
      <w:pPr>
        <w:widowControl/>
        <w:spacing w:line="360" w:lineRule="auto"/>
        <w:jc w:val="left"/>
        <w:rPr>
          <w:rFonts w:eastAsia="黑体"/>
        </w:rPr>
      </w:pPr>
      <w:r>
        <w:rPr>
          <w:rFonts w:hint="eastAsia" w:eastAsia="黑体"/>
        </w:rPr>
        <w:t>八、</w:t>
      </w:r>
      <w:r>
        <w:rPr>
          <w:rFonts w:eastAsia="黑体"/>
        </w:rPr>
        <w:t>课程目标达成的途径和措施</w:t>
      </w:r>
    </w:p>
    <w:p>
      <w:pPr>
        <w:spacing w:line="360" w:lineRule="auto"/>
        <w:ind w:firstLine="420" w:firstLineChars="200"/>
        <w:rPr>
          <w:szCs w:val="21"/>
        </w:rPr>
      </w:pPr>
      <w:r>
        <w:rPr>
          <w:szCs w:val="21"/>
        </w:rPr>
        <w:t>1、考核目标：在考核学生学会传感器原理及设计教学大纲的基本概念基础上，重点考核学生对传感器原理、特性基本分析方法和主要特性参量的计算及对传感器应用的学会程度。</w:t>
      </w:r>
    </w:p>
    <w:p>
      <w:pPr>
        <w:spacing w:line="360" w:lineRule="auto"/>
        <w:ind w:firstLine="420" w:firstLineChars="200"/>
        <w:rPr>
          <w:szCs w:val="21"/>
        </w:rPr>
      </w:pPr>
      <w:r>
        <w:rPr>
          <w:szCs w:val="21"/>
        </w:rPr>
        <w:t>2、考核方式：以小组方式完成传感器应用检索、讨论大作业及应用报告，完成课堂讲评与答辩；实验、作业、课堂提问和随机抽查练习。</w:t>
      </w:r>
    </w:p>
    <w:p>
      <w:pPr>
        <w:pStyle w:val="31"/>
        <w:spacing w:line="360" w:lineRule="auto"/>
        <w:ind w:left="420" w:firstLine="0" w:firstLineChars="0"/>
        <w:rPr>
          <w:szCs w:val="21"/>
        </w:rPr>
      </w:pPr>
      <w:r>
        <w:rPr>
          <w:rFonts w:hint="eastAsia"/>
          <w:szCs w:val="21"/>
        </w:rPr>
        <w:t>3</w:t>
      </w:r>
      <w:r>
        <w:rPr>
          <w:szCs w:val="21"/>
        </w:rPr>
        <w:t>、</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496"/>
        <w:gridCol w:w="1706"/>
        <w:gridCol w:w="1772"/>
        <w:gridCol w:w="1674"/>
        <w:gridCol w:w="1664"/>
      </w:tblGrid>
      <w:tr>
        <w:tblPrEx>
          <w:tblCellMar>
            <w:top w:w="0" w:type="dxa"/>
            <w:left w:w="108" w:type="dxa"/>
            <w:bottom w:w="0" w:type="dxa"/>
            <w:right w:w="108" w:type="dxa"/>
          </w:tblCellMar>
        </w:tblPrEx>
        <w:trPr>
          <w:trHeight w:val="691" w:hRule="atLeast"/>
          <w:jc w:val="center"/>
        </w:trPr>
        <w:tc>
          <w:tcPr>
            <w:tcW w:w="900"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考察环节</w:t>
            </w:r>
          </w:p>
        </w:tc>
        <w:tc>
          <w:tcPr>
            <w:tcW w:w="102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课堂情况</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作业</w:t>
            </w:r>
          </w:p>
        </w:tc>
        <w:tc>
          <w:tcPr>
            <w:tcW w:w="1007"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实验</w:t>
            </w:r>
          </w:p>
        </w:tc>
        <w:tc>
          <w:tcPr>
            <w:tcW w:w="1001" w:type="pct"/>
            <w:tcBorders>
              <w:top w:val="single" w:color="auto" w:sz="4" w:space="0"/>
              <w:left w:val="single" w:color="auto" w:sz="4" w:space="0"/>
              <w:bottom w:val="single" w:color="auto" w:sz="4" w:space="0"/>
            </w:tcBorders>
            <w:vAlign w:val="center"/>
          </w:tcPr>
          <w:p>
            <w:pPr>
              <w:widowControl/>
              <w:jc w:val="center"/>
              <w:rPr>
                <w:kern w:val="0"/>
                <w:sz w:val="18"/>
              </w:rPr>
            </w:pPr>
            <w:r>
              <w:rPr>
                <w:kern w:val="0"/>
                <w:sz w:val="18"/>
              </w:rPr>
              <w:t>期末考试</w:t>
            </w:r>
          </w:p>
        </w:tc>
      </w:tr>
      <w:tr>
        <w:tblPrEx>
          <w:tblCellMar>
            <w:top w:w="0" w:type="dxa"/>
            <w:left w:w="108" w:type="dxa"/>
            <w:bottom w:w="0" w:type="dxa"/>
            <w:right w:w="108" w:type="dxa"/>
          </w:tblCellMar>
        </w:tblPrEx>
        <w:trPr>
          <w:trHeight w:val="555" w:hRule="atLeast"/>
          <w:jc w:val="center"/>
        </w:trPr>
        <w:tc>
          <w:tcPr>
            <w:tcW w:w="900"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课程目标达成</w:t>
            </w:r>
          </w:p>
          <w:p>
            <w:pPr>
              <w:widowControl/>
              <w:jc w:val="center"/>
              <w:rPr>
                <w:kern w:val="0"/>
                <w:sz w:val="18"/>
              </w:rPr>
            </w:pPr>
            <w:r>
              <w:rPr>
                <w:kern w:val="0"/>
                <w:sz w:val="18"/>
              </w:rPr>
              <w:t>的贡献率</w:t>
            </w:r>
          </w:p>
        </w:tc>
        <w:tc>
          <w:tcPr>
            <w:tcW w:w="102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1066"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0.1</w:t>
            </w:r>
          </w:p>
        </w:tc>
        <w:tc>
          <w:tcPr>
            <w:tcW w:w="1007" w:type="pct"/>
            <w:tcBorders>
              <w:top w:val="single" w:color="auto" w:sz="4" w:space="0"/>
              <w:left w:val="nil"/>
              <w:bottom w:val="single" w:color="auto" w:sz="4" w:space="0"/>
              <w:right w:val="single" w:color="auto" w:sz="4" w:space="0"/>
            </w:tcBorders>
            <w:vAlign w:val="center"/>
          </w:tcPr>
          <w:p>
            <w:pPr>
              <w:jc w:val="center"/>
              <w:rPr>
                <w:rFonts w:ascii="宋体" w:hAnsi="宋体" w:cs="宋体"/>
                <w:kern w:val="0"/>
                <w:sz w:val="18"/>
                <w:szCs w:val="18"/>
              </w:rPr>
            </w:pPr>
            <w:r>
              <w:rPr>
                <w:rFonts w:hint="eastAsia" w:ascii="宋体" w:hAnsi="宋体" w:cs="宋体"/>
                <w:kern w:val="0"/>
                <w:sz w:val="18"/>
                <w:szCs w:val="18"/>
              </w:rPr>
              <w:t>0.1</w:t>
            </w:r>
          </w:p>
        </w:tc>
        <w:tc>
          <w:tcPr>
            <w:tcW w:w="1001" w:type="pct"/>
            <w:tcBorders>
              <w:top w:val="single" w:color="auto" w:sz="4" w:space="0"/>
              <w:left w:val="nil"/>
              <w:bottom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0.70</w:t>
            </w:r>
          </w:p>
        </w:tc>
      </w:tr>
      <w:tr>
        <w:tblPrEx>
          <w:tblCellMar>
            <w:top w:w="0" w:type="dxa"/>
            <w:left w:w="108" w:type="dxa"/>
            <w:bottom w:w="0" w:type="dxa"/>
            <w:right w:w="108" w:type="dxa"/>
          </w:tblCellMar>
        </w:tblPrEx>
        <w:trPr>
          <w:trHeight w:val="1365" w:hRule="atLeast"/>
          <w:jc w:val="center"/>
        </w:trPr>
        <w:tc>
          <w:tcPr>
            <w:tcW w:w="900"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支撑材料</w:t>
            </w:r>
          </w:p>
        </w:tc>
        <w:tc>
          <w:tcPr>
            <w:tcW w:w="102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课堂评价标准，课堂提问记录或随堂考试，结合出勤率等</w:t>
            </w:r>
          </w:p>
        </w:tc>
        <w:tc>
          <w:tcPr>
            <w:tcW w:w="1066"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作业评价标准，典型作业拍照，或电子版</w:t>
            </w:r>
          </w:p>
        </w:tc>
        <w:tc>
          <w:tcPr>
            <w:tcW w:w="1007"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课内实验评价标准，实验课堂记录记录，典型实验报告</w:t>
            </w:r>
          </w:p>
        </w:tc>
        <w:tc>
          <w:tcPr>
            <w:tcW w:w="1001" w:type="pct"/>
            <w:tcBorders>
              <w:top w:val="single" w:color="auto" w:sz="4" w:space="0"/>
              <w:left w:val="single" w:color="auto" w:sz="4" w:space="0"/>
              <w:bottom w:val="single" w:color="auto" w:sz="4" w:space="0"/>
            </w:tcBorders>
            <w:vAlign w:val="center"/>
          </w:tcPr>
          <w:p>
            <w:pPr>
              <w:widowControl/>
              <w:jc w:val="center"/>
              <w:rPr>
                <w:kern w:val="0"/>
                <w:sz w:val="18"/>
              </w:rPr>
            </w:pPr>
            <w:r>
              <w:rPr>
                <w:kern w:val="0"/>
                <w:sz w:val="18"/>
              </w:rPr>
              <w:t>试题评分标准，试卷</w:t>
            </w:r>
          </w:p>
        </w:tc>
      </w:tr>
    </w:tbl>
    <w:p>
      <w:pPr>
        <w:spacing w:line="360" w:lineRule="auto"/>
        <w:ind w:firstLine="420" w:firstLineChars="200"/>
      </w:pPr>
      <w:r>
        <w:rPr>
          <w:rFonts w:hint="eastAsia"/>
        </w:rPr>
        <w:t>说明：</w:t>
      </w:r>
    </w:p>
    <w:p>
      <w:pPr>
        <w:pStyle w:val="31"/>
        <w:numPr>
          <w:ilvl w:val="0"/>
          <w:numId w:val="25"/>
        </w:numPr>
        <w:spacing w:line="360" w:lineRule="auto"/>
        <w:ind w:firstLine="420"/>
      </w:pPr>
      <w:r>
        <w:rPr>
          <w:rFonts w:hint="eastAsia"/>
        </w:rPr>
        <w:t>通过教学辅助软件记录课堂出勤率，提问记录等；</w:t>
      </w:r>
    </w:p>
    <w:p>
      <w:pPr>
        <w:pStyle w:val="31"/>
        <w:numPr>
          <w:ilvl w:val="0"/>
          <w:numId w:val="25"/>
        </w:numPr>
        <w:spacing w:line="360" w:lineRule="auto"/>
        <w:ind w:firstLine="420"/>
      </w:pPr>
      <w:r>
        <w:rPr>
          <w:rFonts w:hint="eastAsia"/>
        </w:rPr>
        <w:t>作业要有电子档和纸质两种，电子档用于存档；</w:t>
      </w:r>
    </w:p>
    <w:p>
      <w:pPr>
        <w:pStyle w:val="31"/>
        <w:numPr>
          <w:ilvl w:val="0"/>
          <w:numId w:val="25"/>
        </w:numPr>
        <w:spacing w:line="360" w:lineRule="auto"/>
        <w:ind w:firstLine="420"/>
      </w:pPr>
      <w:r>
        <w:rPr>
          <w:rFonts w:hint="eastAsia"/>
        </w:rPr>
        <w:t>实验报告，纸质的留档；</w:t>
      </w:r>
    </w:p>
    <w:p>
      <w:pPr>
        <w:pStyle w:val="31"/>
        <w:numPr>
          <w:ilvl w:val="0"/>
          <w:numId w:val="25"/>
        </w:numPr>
        <w:spacing w:line="360" w:lineRule="auto"/>
        <w:ind w:firstLine="420"/>
      </w:pPr>
      <w:r>
        <w:rPr>
          <w:rFonts w:hint="eastAsia"/>
        </w:rPr>
        <w:t>期末考试</w:t>
      </w:r>
      <w:r>
        <w:t>试题</w:t>
      </w:r>
      <w:r>
        <w:rPr>
          <w:rFonts w:hint="eastAsia"/>
        </w:rPr>
        <w:t>、</w:t>
      </w:r>
      <w:r>
        <w:t>评分标准</w:t>
      </w:r>
      <w:r>
        <w:rPr>
          <w:rFonts w:hint="eastAsia"/>
        </w:rPr>
        <w:t>、</w:t>
      </w:r>
      <w:r>
        <w:t>试卷</w:t>
      </w:r>
      <w:r>
        <w:rPr>
          <w:rFonts w:hint="eastAsia"/>
        </w:rPr>
        <w:t>留档。</w:t>
      </w:r>
    </w:p>
    <w:p>
      <w:pPr>
        <w:pStyle w:val="31"/>
        <w:adjustRightInd w:val="0"/>
        <w:snapToGrid w:val="0"/>
        <w:spacing w:line="360" w:lineRule="auto"/>
        <w:ind w:firstLine="0" w:firstLineChars="0"/>
        <w:rPr>
          <w:rFonts w:eastAsia="黑体"/>
          <w:szCs w:val="24"/>
        </w:rPr>
      </w:pPr>
    </w:p>
    <w:p>
      <w:pPr>
        <w:pStyle w:val="31"/>
        <w:adjustRightInd w:val="0"/>
        <w:snapToGrid w:val="0"/>
        <w:spacing w:line="360" w:lineRule="auto"/>
        <w:ind w:firstLine="0" w:firstLineChars="0"/>
        <w:rPr>
          <w:rFonts w:eastAsia="黑体"/>
          <w:szCs w:val="24"/>
        </w:rPr>
      </w:pPr>
      <w:r>
        <w:rPr>
          <w:rFonts w:hint="eastAsia" w:eastAsia="黑体"/>
          <w:szCs w:val="24"/>
        </w:rPr>
        <w:t>九、覆盖课程目标达成评价的知识点及权重</w:t>
      </w:r>
    </w:p>
    <w:p>
      <w:pPr>
        <w:spacing w:line="360" w:lineRule="auto"/>
        <w:ind w:firstLine="420" w:firstLineChars="200"/>
        <w:rPr>
          <w:szCs w:val="21"/>
        </w:rPr>
      </w:pP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6"/>
        <w:gridCol w:w="1416"/>
        <w:gridCol w:w="25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644" w:type="pct"/>
            <w:vAlign w:val="center"/>
          </w:tcPr>
          <w:p>
            <w:pPr>
              <w:jc w:val="center"/>
              <w:rPr>
                <w:rFonts w:ascii="Calibri" w:hAnsi="Calibri"/>
                <w:sz w:val="18"/>
                <w:szCs w:val="18"/>
              </w:rPr>
            </w:pPr>
            <w:r>
              <w:rPr>
                <w:rFonts w:hint="eastAsia"/>
                <w:sz w:val="18"/>
                <w:szCs w:val="18"/>
              </w:rPr>
              <w:t>知识点</w:t>
            </w:r>
          </w:p>
        </w:tc>
        <w:tc>
          <w:tcPr>
            <w:tcW w:w="852" w:type="pct"/>
            <w:vAlign w:val="center"/>
          </w:tcPr>
          <w:p>
            <w:pPr>
              <w:jc w:val="center"/>
              <w:rPr>
                <w:rFonts w:ascii="Calibri" w:hAnsi="Calibri"/>
                <w:sz w:val="18"/>
                <w:szCs w:val="18"/>
              </w:rPr>
            </w:pPr>
            <w:r>
              <w:rPr>
                <w:rFonts w:hint="eastAsia"/>
                <w:sz w:val="18"/>
                <w:szCs w:val="18"/>
              </w:rPr>
              <w:t>权重</w:t>
            </w:r>
          </w:p>
        </w:tc>
        <w:tc>
          <w:tcPr>
            <w:tcW w:w="1504" w:type="pct"/>
            <w:vAlign w:val="center"/>
          </w:tcPr>
          <w:p>
            <w:pPr>
              <w:jc w:val="center"/>
              <w:rPr>
                <w:rFonts w:ascii="Calibri" w:hAnsi="Calibri"/>
                <w:sz w:val="18"/>
                <w:szCs w:val="18"/>
              </w:rPr>
            </w:pPr>
            <w:r>
              <w:rPr>
                <w:rFonts w:hint="eastAsia"/>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1</w:t>
            </w:r>
            <w:r>
              <w:rPr>
                <w:rFonts w:hint="eastAsia"/>
                <w:sz w:val="18"/>
                <w:szCs w:val="18"/>
              </w:rPr>
              <w:t>、传感器的定义、分类、作用、发展趋势</w:t>
            </w:r>
          </w:p>
        </w:tc>
        <w:tc>
          <w:tcPr>
            <w:tcW w:w="852" w:type="pct"/>
            <w:vAlign w:val="center"/>
          </w:tcPr>
          <w:p>
            <w:pPr>
              <w:adjustRightInd w:val="0"/>
              <w:snapToGrid w:val="0"/>
              <w:jc w:val="center"/>
              <w:rPr>
                <w:sz w:val="18"/>
                <w:szCs w:val="18"/>
              </w:rPr>
            </w:pPr>
            <w:r>
              <w:rPr>
                <w:sz w:val="18"/>
                <w:szCs w:val="18"/>
              </w:rPr>
              <w:t>0.08</w:t>
            </w:r>
          </w:p>
        </w:tc>
        <w:tc>
          <w:tcPr>
            <w:tcW w:w="1504" w:type="pct"/>
            <w:vAlign w:val="center"/>
          </w:tcPr>
          <w:p>
            <w:pPr>
              <w:adjustRightInd w:val="0"/>
              <w:snapToGrid w:val="0"/>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2</w:t>
            </w:r>
            <w:r>
              <w:rPr>
                <w:rFonts w:hint="eastAsia"/>
                <w:sz w:val="18"/>
                <w:szCs w:val="18"/>
              </w:rPr>
              <w:t>、传感器的动静态特性</w:t>
            </w:r>
            <w:r>
              <w:rPr>
                <w:sz w:val="18"/>
                <w:szCs w:val="18"/>
              </w:rPr>
              <w:tab/>
            </w:r>
            <w:r>
              <w:rPr>
                <w:rFonts w:hint="eastAsia"/>
                <w:sz w:val="18"/>
                <w:szCs w:val="18"/>
              </w:rPr>
              <w:t>分析与标定</w:t>
            </w:r>
          </w:p>
        </w:tc>
        <w:tc>
          <w:tcPr>
            <w:tcW w:w="852" w:type="pct"/>
            <w:vAlign w:val="center"/>
          </w:tcPr>
          <w:p>
            <w:pPr>
              <w:adjustRightInd w:val="0"/>
              <w:snapToGrid w:val="0"/>
              <w:jc w:val="center"/>
              <w:rPr>
                <w:sz w:val="18"/>
                <w:szCs w:val="18"/>
              </w:rPr>
            </w:pPr>
            <w:r>
              <w:rPr>
                <w:sz w:val="18"/>
                <w:szCs w:val="18"/>
              </w:rPr>
              <w:t>0.12</w:t>
            </w:r>
          </w:p>
        </w:tc>
        <w:tc>
          <w:tcPr>
            <w:tcW w:w="1504"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3</w:t>
            </w:r>
            <w:r>
              <w:rPr>
                <w:rFonts w:hint="eastAsia"/>
                <w:sz w:val="18"/>
                <w:szCs w:val="18"/>
              </w:rPr>
              <w:t>、弹性元件特性参数的计算：悬臂梁、平膜片、薄壁圆桶敏感元件设计</w:t>
            </w:r>
          </w:p>
        </w:tc>
        <w:tc>
          <w:tcPr>
            <w:tcW w:w="852" w:type="pct"/>
            <w:vAlign w:val="center"/>
          </w:tcPr>
          <w:p>
            <w:pPr>
              <w:adjustRightInd w:val="0"/>
              <w:snapToGrid w:val="0"/>
              <w:jc w:val="center"/>
              <w:rPr>
                <w:sz w:val="18"/>
                <w:szCs w:val="18"/>
              </w:rPr>
            </w:pPr>
            <w:r>
              <w:rPr>
                <w:sz w:val="18"/>
                <w:szCs w:val="18"/>
              </w:rPr>
              <w:t>0.09</w:t>
            </w:r>
          </w:p>
        </w:tc>
        <w:tc>
          <w:tcPr>
            <w:tcW w:w="1504" w:type="pct"/>
            <w:vAlign w:val="center"/>
          </w:tcPr>
          <w:p>
            <w:pPr>
              <w:adjustRightInd w:val="0"/>
              <w:snapToGrid w:val="0"/>
              <w:jc w:val="center"/>
              <w:rPr>
                <w:sz w:val="18"/>
                <w:szCs w:val="18"/>
              </w:rPr>
            </w:pPr>
            <w:r>
              <w:rPr>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4</w:t>
            </w:r>
            <w:r>
              <w:rPr>
                <w:rFonts w:hint="eastAsia"/>
                <w:sz w:val="18"/>
                <w:szCs w:val="18"/>
              </w:rPr>
              <w:t>、应变效应、测量电路、温度误差分析及电阻应变式传感器应用差动电桥特性分析及温度误差的补偿</w:t>
            </w:r>
          </w:p>
        </w:tc>
        <w:tc>
          <w:tcPr>
            <w:tcW w:w="852" w:type="pct"/>
            <w:vAlign w:val="center"/>
          </w:tcPr>
          <w:p>
            <w:pPr>
              <w:adjustRightInd w:val="0"/>
              <w:snapToGrid w:val="0"/>
              <w:jc w:val="center"/>
              <w:rPr>
                <w:sz w:val="18"/>
                <w:szCs w:val="18"/>
              </w:rPr>
            </w:pPr>
            <w:r>
              <w:rPr>
                <w:sz w:val="18"/>
                <w:szCs w:val="18"/>
              </w:rPr>
              <w:t>0.10</w:t>
            </w:r>
          </w:p>
        </w:tc>
        <w:tc>
          <w:tcPr>
            <w:tcW w:w="1504" w:type="pct"/>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5</w:t>
            </w:r>
            <w:r>
              <w:rPr>
                <w:rFonts w:hint="eastAsia"/>
                <w:sz w:val="18"/>
                <w:szCs w:val="18"/>
              </w:rPr>
              <w:t>、电容传感器工作原理及非线性误差分析方法及电容式传感器应用</w:t>
            </w:r>
          </w:p>
        </w:tc>
        <w:tc>
          <w:tcPr>
            <w:tcW w:w="852" w:type="pct"/>
            <w:vAlign w:val="center"/>
          </w:tcPr>
          <w:p>
            <w:pPr>
              <w:adjustRightInd w:val="0"/>
              <w:snapToGrid w:val="0"/>
              <w:jc w:val="center"/>
              <w:rPr>
                <w:sz w:val="18"/>
                <w:szCs w:val="18"/>
              </w:rPr>
            </w:pPr>
            <w:r>
              <w:rPr>
                <w:sz w:val="18"/>
                <w:szCs w:val="18"/>
              </w:rPr>
              <w:t>0.08</w:t>
            </w:r>
          </w:p>
        </w:tc>
        <w:tc>
          <w:tcPr>
            <w:tcW w:w="1504" w:type="pct"/>
            <w:vAlign w:val="center"/>
          </w:tcPr>
          <w:p>
            <w:pPr>
              <w:adjustRightInd w:val="0"/>
              <w:snapToGrid w:val="0"/>
              <w:jc w:val="center"/>
              <w:rPr>
                <w:sz w:val="18"/>
                <w:szCs w:val="18"/>
              </w:rPr>
            </w:pPr>
            <w:r>
              <w:rPr>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6</w:t>
            </w:r>
            <w:r>
              <w:rPr>
                <w:rFonts w:hint="eastAsia"/>
                <w:sz w:val="18"/>
                <w:szCs w:val="18"/>
              </w:rPr>
              <w:t>、自感式、差动变压器、电涡流传感原理，差动式非线性误差分析方法、误差的补偿及应用</w:t>
            </w:r>
          </w:p>
        </w:tc>
        <w:tc>
          <w:tcPr>
            <w:tcW w:w="852" w:type="pct"/>
            <w:vAlign w:val="center"/>
          </w:tcPr>
          <w:p>
            <w:pPr>
              <w:adjustRightInd w:val="0"/>
              <w:snapToGrid w:val="0"/>
              <w:jc w:val="center"/>
              <w:rPr>
                <w:sz w:val="18"/>
                <w:szCs w:val="18"/>
              </w:rPr>
            </w:pPr>
            <w:r>
              <w:rPr>
                <w:sz w:val="18"/>
                <w:szCs w:val="18"/>
              </w:rPr>
              <w:t>0.08</w:t>
            </w:r>
          </w:p>
        </w:tc>
        <w:tc>
          <w:tcPr>
            <w:tcW w:w="1504" w:type="pct"/>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7</w:t>
            </w:r>
            <w:r>
              <w:rPr>
                <w:rFonts w:hint="eastAsia"/>
                <w:sz w:val="18"/>
                <w:szCs w:val="18"/>
              </w:rPr>
              <w:t>、纵向、横向压电效应及测量电路，电荷放大器与电压放大器特性分析，压电式传感器应用</w:t>
            </w:r>
          </w:p>
        </w:tc>
        <w:tc>
          <w:tcPr>
            <w:tcW w:w="852" w:type="pct"/>
            <w:vAlign w:val="center"/>
          </w:tcPr>
          <w:p>
            <w:pPr>
              <w:adjustRightInd w:val="0"/>
              <w:snapToGrid w:val="0"/>
              <w:jc w:val="center"/>
              <w:rPr>
                <w:sz w:val="18"/>
                <w:szCs w:val="18"/>
              </w:rPr>
            </w:pPr>
            <w:r>
              <w:rPr>
                <w:sz w:val="18"/>
                <w:szCs w:val="18"/>
              </w:rPr>
              <w:t>0.09</w:t>
            </w:r>
          </w:p>
        </w:tc>
        <w:tc>
          <w:tcPr>
            <w:tcW w:w="1504" w:type="pct"/>
            <w:vAlign w:val="center"/>
          </w:tcPr>
          <w:p>
            <w:pPr>
              <w:adjustRightInd w:val="0"/>
              <w:snapToGrid w:val="0"/>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8</w:t>
            </w:r>
            <w:r>
              <w:rPr>
                <w:rFonts w:hint="eastAsia"/>
                <w:sz w:val="18"/>
                <w:szCs w:val="18"/>
              </w:rPr>
              <w:t>、压阻效应，平膜片压力传感器、悬臂梁加速度传感器设计</w:t>
            </w:r>
            <w:r>
              <w:rPr>
                <w:sz w:val="18"/>
                <w:szCs w:val="18"/>
              </w:rPr>
              <w:tab/>
            </w:r>
          </w:p>
        </w:tc>
        <w:tc>
          <w:tcPr>
            <w:tcW w:w="852" w:type="pct"/>
            <w:vAlign w:val="center"/>
          </w:tcPr>
          <w:p>
            <w:pPr>
              <w:adjustRightInd w:val="0"/>
              <w:snapToGrid w:val="0"/>
              <w:jc w:val="center"/>
              <w:rPr>
                <w:sz w:val="18"/>
                <w:szCs w:val="18"/>
              </w:rPr>
            </w:pPr>
            <w:r>
              <w:rPr>
                <w:sz w:val="18"/>
                <w:szCs w:val="18"/>
              </w:rPr>
              <w:t>0.10</w:t>
            </w:r>
          </w:p>
        </w:tc>
        <w:tc>
          <w:tcPr>
            <w:tcW w:w="1504" w:type="pct"/>
            <w:vAlign w:val="center"/>
          </w:tcPr>
          <w:p>
            <w:pPr>
              <w:adjustRightInd w:val="0"/>
              <w:snapToGrid w:val="0"/>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9</w:t>
            </w:r>
            <w:r>
              <w:rPr>
                <w:rFonts w:hint="eastAsia"/>
                <w:sz w:val="18"/>
                <w:szCs w:val="18"/>
              </w:rPr>
              <w:t>、热电效应、中间导体定律、冷端补偿及热电偶传感器应用</w:t>
            </w:r>
          </w:p>
        </w:tc>
        <w:tc>
          <w:tcPr>
            <w:tcW w:w="852" w:type="pct"/>
            <w:vAlign w:val="center"/>
          </w:tcPr>
          <w:p>
            <w:pPr>
              <w:adjustRightInd w:val="0"/>
              <w:snapToGrid w:val="0"/>
              <w:jc w:val="center"/>
              <w:rPr>
                <w:sz w:val="18"/>
                <w:szCs w:val="18"/>
              </w:rPr>
            </w:pPr>
            <w:r>
              <w:rPr>
                <w:sz w:val="18"/>
                <w:szCs w:val="18"/>
              </w:rPr>
              <w:t>0.05</w:t>
            </w:r>
          </w:p>
        </w:tc>
        <w:tc>
          <w:tcPr>
            <w:tcW w:w="1504" w:type="pct"/>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10</w:t>
            </w:r>
            <w:r>
              <w:rPr>
                <w:rFonts w:hint="eastAsia"/>
                <w:sz w:val="18"/>
                <w:szCs w:val="18"/>
              </w:rPr>
              <w:t>、外光电效应、内光电效应及典型的内外光电效应的器件与应用，内光电效应的拓展应用</w:t>
            </w:r>
          </w:p>
        </w:tc>
        <w:tc>
          <w:tcPr>
            <w:tcW w:w="852" w:type="pct"/>
            <w:vAlign w:val="center"/>
          </w:tcPr>
          <w:p>
            <w:pPr>
              <w:adjustRightInd w:val="0"/>
              <w:snapToGrid w:val="0"/>
              <w:jc w:val="center"/>
              <w:rPr>
                <w:sz w:val="18"/>
                <w:szCs w:val="18"/>
              </w:rPr>
            </w:pPr>
            <w:r>
              <w:rPr>
                <w:sz w:val="18"/>
                <w:szCs w:val="18"/>
              </w:rPr>
              <w:t>0.05</w:t>
            </w:r>
          </w:p>
        </w:tc>
        <w:tc>
          <w:tcPr>
            <w:tcW w:w="1504" w:type="pct"/>
            <w:vAlign w:val="center"/>
          </w:tcPr>
          <w:p>
            <w:pPr>
              <w:adjustRightInd w:val="0"/>
              <w:snapToGrid w:val="0"/>
              <w:jc w:val="center"/>
              <w:rPr>
                <w:sz w:val="18"/>
                <w:szCs w:val="18"/>
              </w:rPr>
            </w:pPr>
            <w:r>
              <w:rPr>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11</w:t>
            </w:r>
            <w:r>
              <w:rPr>
                <w:rFonts w:hint="eastAsia"/>
                <w:sz w:val="18"/>
                <w:szCs w:val="18"/>
              </w:rPr>
              <w:t>、霍尔效应、结构、误差与补偿及传感器应用</w:t>
            </w:r>
          </w:p>
        </w:tc>
        <w:tc>
          <w:tcPr>
            <w:tcW w:w="852" w:type="pct"/>
            <w:vAlign w:val="center"/>
          </w:tcPr>
          <w:p>
            <w:pPr>
              <w:adjustRightInd w:val="0"/>
              <w:snapToGrid w:val="0"/>
              <w:jc w:val="center"/>
              <w:rPr>
                <w:sz w:val="18"/>
                <w:szCs w:val="18"/>
              </w:rPr>
            </w:pPr>
            <w:r>
              <w:rPr>
                <w:sz w:val="18"/>
                <w:szCs w:val="18"/>
              </w:rPr>
              <w:t>0.06</w:t>
            </w:r>
          </w:p>
        </w:tc>
        <w:tc>
          <w:tcPr>
            <w:tcW w:w="1504" w:type="pct"/>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4" w:type="pct"/>
            <w:vAlign w:val="center"/>
          </w:tcPr>
          <w:p>
            <w:pPr>
              <w:adjustRightInd w:val="0"/>
              <w:snapToGrid w:val="0"/>
              <w:ind w:left="585" w:leftChars="150" w:hanging="270" w:hangingChars="150"/>
              <w:rPr>
                <w:rFonts w:ascii="Calibri" w:hAnsi="Calibri"/>
                <w:sz w:val="18"/>
                <w:szCs w:val="18"/>
              </w:rPr>
            </w:pPr>
            <w:r>
              <w:rPr>
                <w:sz w:val="18"/>
                <w:szCs w:val="18"/>
              </w:rPr>
              <w:t>12</w:t>
            </w:r>
            <w:r>
              <w:rPr>
                <w:rFonts w:hint="eastAsia"/>
                <w:sz w:val="18"/>
                <w:szCs w:val="18"/>
              </w:rPr>
              <w:t>、反射位移光纤传感器的工作原理及反射光线位移的压力传感器和加速度传感器的结构设计、应用</w:t>
            </w:r>
          </w:p>
        </w:tc>
        <w:tc>
          <w:tcPr>
            <w:tcW w:w="852" w:type="pct"/>
            <w:vAlign w:val="center"/>
          </w:tcPr>
          <w:p>
            <w:pPr>
              <w:adjustRightInd w:val="0"/>
              <w:snapToGrid w:val="0"/>
              <w:jc w:val="center"/>
              <w:rPr>
                <w:sz w:val="18"/>
                <w:szCs w:val="18"/>
              </w:rPr>
            </w:pPr>
            <w:r>
              <w:rPr>
                <w:sz w:val="18"/>
                <w:szCs w:val="18"/>
              </w:rPr>
              <w:t>0.09</w:t>
            </w:r>
          </w:p>
        </w:tc>
        <w:tc>
          <w:tcPr>
            <w:tcW w:w="1504" w:type="pct"/>
            <w:vAlign w:val="center"/>
          </w:tcPr>
          <w:p>
            <w:pPr>
              <w:adjustRightInd w:val="0"/>
              <w:snapToGrid w:val="0"/>
              <w:jc w:val="center"/>
              <w:rPr>
                <w:sz w:val="18"/>
                <w:szCs w:val="18"/>
              </w:rPr>
            </w:pPr>
            <w:r>
              <w:rPr>
                <w:sz w:val="18"/>
                <w:szCs w:val="18"/>
              </w:rPr>
              <w:t>1</w:t>
            </w:r>
          </w:p>
        </w:tc>
      </w:tr>
    </w:tbl>
    <w:p>
      <w:pPr>
        <w:spacing w:line="360" w:lineRule="auto"/>
        <w:ind w:firstLine="630" w:firstLineChars="300"/>
        <w:rPr>
          <w:szCs w:val="21"/>
        </w:rPr>
      </w:pPr>
    </w:p>
    <w:p>
      <w:pPr>
        <w:spacing w:line="360" w:lineRule="auto"/>
        <w:ind w:firstLine="210" w:firstLineChars="100"/>
        <w:rPr>
          <w:rFonts w:eastAsia="黑体"/>
          <w:szCs w:val="24"/>
        </w:rPr>
        <w:sectPr>
          <w:headerReference r:id="rId30" w:type="first"/>
          <w:footerReference r:id="rId33" w:type="first"/>
          <w:headerReference r:id="rId28" w:type="default"/>
          <w:footerReference r:id="rId31" w:type="default"/>
          <w:headerReference r:id="rId29" w:type="even"/>
          <w:footerReference r:id="rId32" w:type="even"/>
          <w:pgSz w:w="11906" w:h="16838"/>
          <w:pgMar w:top="1440" w:right="1797" w:bottom="1440" w:left="1797" w:header="851" w:footer="992" w:gutter="0"/>
          <w:cols w:space="425" w:num="1"/>
          <w:docGrid w:linePitch="312" w:charSpace="0"/>
        </w:sectPr>
      </w:pPr>
      <w:r>
        <w:rPr>
          <w:rFonts w:hint="eastAsia"/>
          <w:szCs w:val="21"/>
        </w:rPr>
        <w:t>本课程不可以申请免修。</w:t>
      </w:r>
    </w:p>
    <w:p>
      <w:pPr>
        <w:widowControl/>
        <w:jc w:val="left"/>
        <w:rPr>
          <w:rFonts w:eastAsia="黑体"/>
          <w:szCs w:val="24"/>
        </w:rPr>
      </w:pPr>
      <w:r>
        <w:rPr>
          <w:rFonts w:hint="eastAsia" w:eastAsia="黑体"/>
          <w:szCs w:val="24"/>
        </w:rPr>
        <w:t>十、课程目标达成评价</w:t>
      </w:r>
    </w:p>
    <w:p>
      <w:pPr>
        <w:spacing w:line="360" w:lineRule="auto"/>
        <w:ind w:firstLine="420" w:firstLineChars="200"/>
        <w:jc w:val="center"/>
      </w:pP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848"/>
        <w:gridCol w:w="1470"/>
        <w:gridCol w:w="622"/>
        <w:gridCol w:w="904"/>
        <w:gridCol w:w="1292"/>
        <w:gridCol w:w="1347"/>
        <w:gridCol w:w="848"/>
        <w:gridCol w:w="904"/>
        <w:gridCol w:w="1032"/>
        <w:gridCol w:w="918"/>
        <w:gridCol w:w="709"/>
        <w:gridCol w:w="851"/>
        <w:gridCol w:w="1068"/>
        <w:gridCol w:w="1135"/>
      </w:tblGrid>
      <w:tr>
        <w:tblPrEx>
          <w:tblCellMar>
            <w:top w:w="0" w:type="dxa"/>
            <w:left w:w="108" w:type="dxa"/>
            <w:bottom w:w="0" w:type="dxa"/>
            <w:right w:w="108" w:type="dxa"/>
          </w:tblCellMar>
        </w:tblPrEx>
        <w:trPr>
          <w:trHeight w:val="1015" w:hRule="atLeast"/>
          <w:jc w:val="center"/>
        </w:trPr>
        <w:tc>
          <w:tcPr>
            <w:tcW w:w="3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5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49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327" w:type="pct"/>
            <w:gridSpan w:val="4"/>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34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3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5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i/>
                <w:kern w:val="0"/>
                <w:sz w:val="18"/>
                <w:szCs w:val="18"/>
              </w:rPr>
            </w:pPr>
          </w:p>
        </w:tc>
        <w:tc>
          <w:tcPr>
            <w:tcW w:w="223"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2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63"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82"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jc w:val="center"/>
              <w:rPr>
                <w:kern w:val="0"/>
                <w:sz w:val="18"/>
                <w:szCs w:val="18"/>
              </w:rPr>
            </w:pPr>
            <w:r>
              <w:rPr>
                <w:kern w:val="0"/>
                <w:sz w:val="18"/>
                <w:szCs w:val="18"/>
              </w:rPr>
              <w:t>考试</w:t>
            </w:r>
          </w:p>
        </w:tc>
        <w:tc>
          <w:tcPr>
            <w:tcW w:w="30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2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7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p>
          <w:p>
            <w:pPr>
              <w:widowControl/>
              <w:jc w:val="center"/>
              <w:rPr>
                <w:kern w:val="0"/>
                <w:sz w:val="18"/>
                <w:szCs w:val="18"/>
              </w:rPr>
            </w:pPr>
            <w:r>
              <w:rPr>
                <w:kern w:val="0"/>
                <w:sz w:val="18"/>
                <w:szCs w:val="18"/>
              </w:rPr>
              <w:t>实验</w:t>
            </w:r>
          </w:p>
        </w:tc>
        <w:tc>
          <w:tcPr>
            <w:tcW w:w="32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jc w:val="center"/>
              <w:rPr>
                <w:kern w:val="0"/>
                <w:sz w:val="18"/>
                <w:szCs w:val="18"/>
              </w:rPr>
            </w:pPr>
            <w:r>
              <w:rPr>
                <w:kern w:val="0"/>
                <w:sz w:val="18"/>
                <w:szCs w:val="18"/>
              </w:rPr>
              <w:t>考试</w:t>
            </w: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668"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52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0.55</w:t>
            </w:r>
          </w:p>
        </w:tc>
        <w:tc>
          <w:tcPr>
            <w:tcW w:w="22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0.20</w:t>
            </w:r>
          </w:p>
        </w:tc>
        <w:tc>
          <w:tcPr>
            <w:tcW w:w="46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0.20</w:t>
            </w:r>
          </w:p>
        </w:tc>
        <w:tc>
          <w:tcPr>
            <w:tcW w:w="482" w:type="pct"/>
            <w:tcBorders>
              <w:top w:val="single" w:color="auto" w:sz="4" w:space="0"/>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0.50</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0.055</w:t>
            </w:r>
          </w:p>
        </w:tc>
        <w:tc>
          <w:tcPr>
            <w:tcW w:w="3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0.050</w:t>
            </w:r>
          </w:p>
        </w:tc>
        <w:tc>
          <w:tcPr>
            <w:tcW w:w="37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0.055</w:t>
            </w:r>
          </w:p>
        </w:tc>
        <w:tc>
          <w:tcPr>
            <w:tcW w:w="328" w:type="pct"/>
            <w:tcBorders>
              <w:top w:val="single" w:color="auto" w:sz="4" w:space="0"/>
              <w:left w:val="nil"/>
              <w:bottom w:val="single" w:color="auto" w:sz="4" w:space="0"/>
              <w:right w:val="single" w:color="auto" w:sz="4" w:space="0"/>
            </w:tcBorders>
            <w:shd w:val="clear" w:color="auto" w:fill="auto"/>
            <w:vAlign w:val="center"/>
          </w:tcPr>
          <w:p>
            <w:pPr>
              <w:jc w:val="center"/>
              <w:rPr>
                <w:bCs/>
                <w:kern w:val="0"/>
                <w:sz w:val="18"/>
                <w:szCs w:val="18"/>
              </w:rPr>
            </w:pPr>
            <w:r>
              <w:rPr>
                <w:bCs/>
                <w:kern w:val="0"/>
                <w:sz w:val="18"/>
                <w:szCs w:val="18"/>
              </w:rPr>
              <w:t>0.385</w:t>
            </w: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0.55</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0.55</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0.55</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0.55</w:t>
            </w:r>
          </w:p>
        </w:tc>
      </w:tr>
      <w:tr>
        <w:tblPrEx>
          <w:tblCellMar>
            <w:top w:w="0" w:type="dxa"/>
            <w:left w:w="108" w:type="dxa"/>
            <w:bottom w:w="0" w:type="dxa"/>
            <w:right w:w="108" w:type="dxa"/>
          </w:tblCellMar>
        </w:tblPrEx>
        <w:trPr>
          <w:trHeight w:val="69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5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22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46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482"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0.70</w:t>
            </w:r>
          </w:p>
        </w:tc>
        <w:tc>
          <w:tcPr>
            <w:tcW w:w="30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0.010</w:t>
            </w:r>
          </w:p>
        </w:tc>
        <w:tc>
          <w:tcPr>
            <w:tcW w:w="37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8"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0.105</w:t>
            </w: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r>
      <w:tr>
        <w:tblPrEx>
          <w:tblCellMar>
            <w:top w:w="0" w:type="dxa"/>
            <w:left w:w="108" w:type="dxa"/>
            <w:bottom w:w="0" w:type="dxa"/>
            <w:right w:w="108" w:type="dxa"/>
          </w:tblCellMar>
        </w:tblPrEx>
        <w:trPr>
          <w:trHeight w:val="690"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5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22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46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0.20</w:t>
            </w:r>
          </w:p>
        </w:tc>
        <w:tc>
          <w:tcPr>
            <w:tcW w:w="482"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0.60</w:t>
            </w:r>
          </w:p>
        </w:tc>
        <w:tc>
          <w:tcPr>
            <w:tcW w:w="30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0.020</w:t>
            </w:r>
          </w:p>
        </w:tc>
        <w:tc>
          <w:tcPr>
            <w:tcW w:w="37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8"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0.105</w:t>
            </w: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r>
      <w:tr>
        <w:tblPrEx>
          <w:tblCellMar>
            <w:top w:w="0" w:type="dxa"/>
            <w:left w:w="108" w:type="dxa"/>
            <w:bottom w:w="0" w:type="dxa"/>
            <w:right w:w="108" w:type="dxa"/>
          </w:tblCellMar>
        </w:tblPrEx>
        <w:trPr>
          <w:trHeight w:val="1092"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4</w:t>
            </w:r>
          </w:p>
        </w:tc>
        <w:tc>
          <w:tcPr>
            <w:tcW w:w="52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22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463"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0.50</w:t>
            </w:r>
          </w:p>
        </w:tc>
        <w:tc>
          <w:tcPr>
            <w:tcW w:w="482"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0.30</w:t>
            </w:r>
          </w:p>
        </w:tc>
        <w:tc>
          <w:tcPr>
            <w:tcW w:w="30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0.010</w:t>
            </w:r>
          </w:p>
        </w:tc>
        <w:tc>
          <w:tcPr>
            <w:tcW w:w="37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0.015</w:t>
            </w:r>
          </w:p>
        </w:tc>
        <w:tc>
          <w:tcPr>
            <w:tcW w:w="328" w:type="pct"/>
            <w:tcBorders>
              <w:top w:val="nil"/>
              <w:left w:val="nil"/>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0.105</w:t>
            </w:r>
          </w:p>
        </w:tc>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0.15</w:t>
            </w:r>
          </w:p>
        </w:tc>
      </w:tr>
      <w:tr>
        <w:tblPrEx>
          <w:tblCellMar>
            <w:top w:w="0" w:type="dxa"/>
            <w:left w:w="108" w:type="dxa"/>
            <w:bottom w:w="0" w:type="dxa"/>
            <w:right w:w="108" w:type="dxa"/>
          </w:tblCellMar>
        </w:tblPrEx>
        <w:trPr>
          <w:trHeight w:val="1026" w:hRule="atLeast"/>
          <w:jc w:val="center"/>
        </w:trPr>
        <w:tc>
          <w:tcPr>
            <w:tcW w:w="2324"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0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2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7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28" w:type="pct"/>
            <w:tcBorders>
              <w:top w:val="single" w:color="auto" w:sz="4" w:space="0"/>
              <w:left w:val="nil"/>
              <w:bottom w:val="single" w:color="auto" w:sz="4" w:space="0"/>
              <w:right w:val="single" w:color="auto" w:sz="4" w:space="0"/>
            </w:tcBorders>
            <w:shd w:val="clear" w:color="auto" w:fill="auto"/>
            <w:vAlign w:val="center"/>
          </w:tcPr>
          <w:p>
            <w:pPr>
              <w:jc w:val="center"/>
              <w:rPr>
                <w:bCs/>
                <w:sz w:val="18"/>
                <w:szCs w:val="18"/>
              </w:rPr>
            </w:pPr>
            <w:r>
              <w:rPr>
                <w:bCs/>
                <w:sz w:val="18"/>
                <w:szCs w:val="18"/>
              </w:rPr>
              <w:t>0.70</w:t>
            </w:r>
          </w:p>
        </w:tc>
        <w:tc>
          <w:tcPr>
            <w:tcW w:w="134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widowControl/>
              <w:jc w:val="center"/>
              <w:rPr>
                <w:kern w:val="0"/>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090" o:spt="75" type="#_x0000_t75" style="height:36pt;width:166.35pt;" o:ole="t" filled="f" o:preferrelative="t" stroked="f" coordsize="21600,21600">
            <v:path/>
            <v:fill on="f" focussize="0,0"/>
            <v:stroke on="f" joinstyle="miter"/>
            <v:imagedata r:id="rId201" o:title=""/>
            <o:lock v:ext="edit" aspectratio="t"/>
            <w10:wrap type="none"/>
            <w10:anchorlock/>
          </v:shape>
          <o:OLEObject Type="Embed" ProgID="Equation.3" ShapeID="_x0000_i1090" DrawAspect="Content" ObjectID="_1468075790" r:id="rId248">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091" o:spt="75" type="#_x0000_t75" style="height:36pt;width:150pt;" o:ole="t" filled="f" o:preferrelative="t" stroked="f" coordsize="21600,21600">
            <v:path/>
            <v:fill on="f" focussize="0,0"/>
            <v:stroke on="f" joinstyle="miter"/>
            <v:imagedata r:id="rId203" o:title=""/>
            <o:lock v:ext="edit" aspectratio="t"/>
            <w10:wrap type="none"/>
            <w10:anchorlock/>
          </v:shape>
          <o:OLEObject Type="Embed" ProgID="Equation.3" ShapeID="_x0000_i1091" DrawAspect="Content" ObjectID="_1468075791" r:id="rId249">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092" o:spt="75" type="#_x0000_t75" style="height:18pt;width:13.3pt;" o:ole="t" filled="f" o:preferrelative="t" stroked="f" coordsize="21600,21600">
            <v:path/>
            <v:fill on="f" focussize="0,0"/>
            <v:stroke on="f" joinstyle="miter"/>
            <v:imagedata r:id="rId205" o:title=""/>
            <o:lock v:ext="edit" aspectratio="t"/>
            <w10:wrap type="none"/>
            <w10:anchorlock/>
          </v:shape>
          <o:OLEObject Type="Embed" ProgID="Equation.3" ShapeID="_x0000_i1092" DrawAspect="Content" ObjectID="_1468075792" r:id="rId250">
            <o:LockedField>false</o:LockedField>
          </o:OLEObject>
        </w:object>
      </w:r>
      <w:r>
        <w:t xml:space="preserve"> 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093" o:spt="75" type="#_x0000_t75" style="height:18pt;width:73.75pt;" o:ole="t" filled="f" o:preferrelative="t" stroked="f" coordsize="21600,21600">
            <v:path/>
            <v:fill on="f" focussize="0,0"/>
            <v:stroke on="f" joinstyle="miter"/>
            <v:imagedata r:id="rId207" o:title=""/>
            <o:lock v:ext="edit" aspectratio="t"/>
            <w10:wrap type="none"/>
            <w10:anchorlock/>
          </v:shape>
          <o:OLEObject Type="Embed" ProgID="Equation.3" ShapeID="_x0000_i1093" DrawAspect="Content" ObjectID="_1468075793" r:id="rId251">
            <o:LockedField>false</o:LockedField>
          </o:OLEObject>
        </w:object>
      </w:r>
      <w:r>
        <w:t xml:space="preserve">  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094" o:spt="75" type="#_x0000_t75" style="height:18pt;width:18pt;" o:ole="t" filled="f" o:preferrelative="t" stroked="f" coordsize="21600,21600">
            <v:path/>
            <v:fill on="f" focussize="0,0"/>
            <v:stroke on="f" joinstyle="miter"/>
            <v:imagedata r:id="rId209" o:title=""/>
            <o:lock v:ext="edit" aspectratio="t"/>
            <w10:wrap type="none"/>
            <w10:anchorlock/>
          </v:shape>
          <o:OLEObject Type="Embed" ProgID="Equation.3" ShapeID="_x0000_i1094" DrawAspect="Content" ObjectID="_1468075794" r:id="rId252">
            <o:LockedField>false</o:LockedField>
          </o:OLEObject>
        </w:object>
      </w:r>
      <w:r>
        <w:t xml:space="preserve"> 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095" o:spt="75" type="#_x0000_t75" style="height:18pt;width:13.3pt;" o:ole="t" filled="f" o:preferrelative="t" stroked="f" coordsize="21600,21600">
            <v:path/>
            <v:fill on="f" focussize="0,0"/>
            <v:stroke on="f" joinstyle="miter"/>
            <v:imagedata r:id="rId211" o:title=""/>
            <o:lock v:ext="edit" aspectratio="t"/>
            <w10:wrap type="none"/>
            <w10:anchorlock/>
          </v:shape>
          <o:OLEObject Type="Embed" ProgID="Equation.3" ShapeID="_x0000_i1095" DrawAspect="Content" ObjectID="_1468075795" r:id="rId253">
            <o:LockedField>false</o:LockedField>
          </o:OLEObject>
        </w:object>
      </w:r>
      <w:r>
        <w:t xml:space="preserve"> 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sectPr>
          <w:headerReference r:id="rId36" w:type="first"/>
          <w:footerReference r:id="rId39" w:type="first"/>
          <w:headerReference r:id="rId34" w:type="default"/>
          <w:footerReference r:id="rId37" w:type="default"/>
          <w:headerReference r:id="rId35" w:type="even"/>
          <w:footerReference r:id="rId38" w:type="even"/>
          <w:pgSz w:w="11906" w:h="16838"/>
          <w:pgMar w:top="1440" w:right="1797" w:bottom="1440" w:left="1797" w:header="851" w:footer="992" w:gutter="0"/>
          <w:cols w:space="425" w:num="1"/>
          <w:docGrid w:type="lines" w:linePitch="312" w:charSpace="0"/>
        </w:sect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312" w:after="468"/>
      </w:pPr>
      <w:bookmarkStart w:id="178" w:name="_Toc46996565"/>
      <w:bookmarkStart w:id="179" w:name="_Toc21299"/>
      <w:r>
        <w:rPr>
          <w:rFonts w:hint="eastAsia"/>
        </w:rPr>
        <w:t>《</w:t>
      </w:r>
      <w:r>
        <w:t>Y03060024-</w:t>
      </w:r>
      <w:r>
        <w:rPr>
          <w:rFonts w:hint="eastAsia"/>
        </w:rPr>
        <w:t>可编程逻辑器件应用》教学大纲</w:t>
      </w:r>
      <w:bookmarkEnd w:id="178"/>
      <w:bookmarkEnd w:id="179"/>
    </w:p>
    <w:p>
      <w:pPr>
        <w:adjustRightInd w:val="0"/>
        <w:snapToGrid w:val="0"/>
        <w:spacing w:line="360" w:lineRule="auto"/>
        <w:rPr>
          <w:rFonts w:eastAsia="黑体"/>
        </w:rPr>
      </w:pPr>
      <w:r>
        <w:rPr>
          <w:rFonts w:hint="eastAsia" w:eastAsia="黑体"/>
        </w:rPr>
        <w:t>课程编号：</w:t>
      </w:r>
      <w:r>
        <w:rPr>
          <w:rFonts w:eastAsia="黑体"/>
        </w:rPr>
        <w:t>Y03060024</w:t>
      </w:r>
    </w:p>
    <w:p>
      <w:pPr>
        <w:adjustRightInd w:val="0"/>
        <w:snapToGrid w:val="0"/>
        <w:spacing w:line="360" w:lineRule="auto"/>
        <w:rPr>
          <w:rFonts w:cs="宋体"/>
          <w:snapToGrid w:val="0"/>
          <w:kern w:val="0"/>
          <w:szCs w:val="21"/>
        </w:rPr>
      </w:pPr>
      <w:r>
        <w:rPr>
          <w:rFonts w:hint="eastAsia" w:eastAsia="黑体"/>
        </w:rPr>
        <w:t>课程名称：</w:t>
      </w:r>
      <w:r>
        <w:rPr>
          <w:rFonts w:hint="eastAsia"/>
        </w:rPr>
        <w:t>可编程逻辑器件应用</w:t>
      </w:r>
      <w:r>
        <w:tab/>
      </w:r>
      <w:r>
        <w:tab/>
      </w:r>
      <w:r>
        <w:tab/>
      </w:r>
      <w:r>
        <w:tab/>
      </w:r>
      <w:r>
        <w:rPr>
          <w:rFonts w:hint="eastAsia" w:eastAsia="黑体"/>
        </w:rPr>
        <w:t>开课单位：</w:t>
      </w:r>
      <w:r>
        <w:rPr>
          <w:rFonts w:hint="eastAsia"/>
        </w:rPr>
        <w:t>仪器与电子学院</w:t>
      </w:r>
    </w:p>
    <w:p>
      <w:pPr>
        <w:tabs>
          <w:tab w:val="left" w:pos="4536"/>
        </w:tabs>
        <w:adjustRightInd w:val="0"/>
        <w:snapToGrid w:val="0"/>
        <w:spacing w:line="360" w:lineRule="auto"/>
        <w:rPr>
          <w:rFonts w:eastAsia="黑体"/>
        </w:rPr>
      </w:pPr>
      <w:r>
        <w:rPr>
          <w:rFonts w:hint="eastAsia" w:eastAsia="黑体"/>
        </w:rPr>
        <w:t>总 学 时：</w:t>
      </w:r>
      <w:r>
        <w:rPr>
          <w:rFonts w:hint="eastAsia"/>
        </w:rPr>
        <w:t xml:space="preserve">48(实验16学时)                   </w:t>
      </w:r>
      <w:r>
        <w:tab/>
      </w:r>
      <w:r>
        <w:rPr>
          <w:rFonts w:hint="eastAsia" w:eastAsia="黑体"/>
        </w:rPr>
        <w:t>学    分：3</w:t>
      </w:r>
    </w:p>
    <w:p>
      <w:pPr>
        <w:adjustRightInd w:val="0"/>
        <w:snapToGrid w:val="0"/>
        <w:spacing w:line="360" w:lineRule="auto"/>
        <w:rPr>
          <w:rFonts w:eastAsia="黑体"/>
        </w:rPr>
      </w:pPr>
      <w:r>
        <w:rPr>
          <w:rFonts w:hint="eastAsia" w:eastAsia="黑体"/>
        </w:rPr>
        <w:t>适用专业：</w:t>
      </w:r>
      <w:r>
        <w:rPr>
          <w:rFonts w:hint="eastAsia"/>
        </w:rPr>
        <w:t>电子科学与技术专业</w:t>
      </w:r>
    </w:p>
    <w:p>
      <w:pPr>
        <w:adjustRightInd w:val="0"/>
        <w:snapToGrid w:val="0"/>
        <w:spacing w:line="360" w:lineRule="auto"/>
      </w:pPr>
      <w:r>
        <w:rPr>
          <w:rFonts w:hint="eastAsia" w:eastAsia="黑体"/>
        </w:rPr>
        <w:t>先修课程：</w:t>
      </w:r>
      <w:r>
        <w:rPr>
          <w:rFonts w:hint="eastAsia"/>
        </w:rPr>
        <w:t>数字电子技术</w:t>
      </w:r>
    </w:p>
    <w:p>
      <w:pPr>
        <w:adjustRightInd w:val="0"/>
        <w:snapToGrid w:val="0"/>
        <w:spacing w:line="360" w:lineRule="auto"/>
      </w:pPr>
      <w:r>
        <w:rPr>
          <w:rFonts w:hint="eastAsia" w:eastAsia="黑体"/>
        </w:rPr>
        <w:t>大纲撰写人：</w:t>
      </w:r>
      <w:r>
        <w:rPr>
          <w:rFonts w:hint="eastAsia"/>
        </w:rPr>
        <w:t>王红亮</w:t>
      </w:r>
    </w:p>
    <w:p>
      <w:pPr>
        <w:adjustRightInd w:val="0"/>
        <w:snapToGrid w:val="0"/>
        <w:spacing w:line="360" w:lineRule="auto"/>
      </w:pPr>
      <w:r>
        <w:rPr>
          <w:rFonts w:hint="eastAsia" w:eastAsia="黑体"/>
        </w:rPr>
        <w:t>大纲编写（修订）时间：</w:t>
      </w:r>
      <w:r>
        <w:rPr>
          <w:rFonts w:hint="eastAsia"/>
        </w:rPr>
        <w:t>2019年5月</w:t>
      </w:r>
    </w:p>
    <w:p>
      <w:pPr>
        <w:adjustRightInd w:val="0"/>
        <w:snapToGrid w:val="0"/>
        <w:spacing w:line="360" w:lineRule="auto"/>
        <w:rPr>
          <w:rFonts w:eastAsia="黑体"/>
        </w:rPr>
      </w:pPr>
    </w:p>
    <w:p>
      <w:pPr>
        <w:tabs>
          <w:tab w:val="left" w:pos="420"/>
        </w:tabs>
        <w:adjustRightInd w:val="0"/>
        <w:snapToGrid w:val="0"/>
        <w:spacing w:line="360" w:lineRule="auto"/>
        <w:rPr>
          <w:rFonts w:eastAsia="黑体"/>
        </w:rPr>
      </w:pPr>
      <w:r>
        <w:rPr>
          <w:rFonts w:hint="eastAsia" w:eastAsia="黑体"/>
        </w:rPr>
        <w:t>一、课程在教学计划中的地位、作用</w:t>
      </w:r>
    </w:p>
    <w:p>
      <w:pPr>
        <w:adjustRightInd w:val="0"/>
        <w:snapToGrid w:val="0"/>
        <w:spacing w:line="360" w:lineRule="auto"/>
        <w:ind w:firstLine="420" w:firstLineChars="200"/>
        <w:rPr>
          <w:szCs w:val="21"/>
        </w:rPr>
      </w:pPr>
      <w:r>
        <w:rPr>
          <w:rFonts w:hint="eastAsia"/>
          <w:szCs w:val="21"/>
        </w:rPr>
        <w:t>本课程是一门属于硬件设计类的专业教育课程，是电路与系统方向的核心课程。可编程逻辑器件是目前数字系统设计的主要硬件基础，硬件描述语言是数字电路设计者与电子设计自动化工具之间的接口语言，是现代电子设计的基础语言，是电子设计工程师必须掌握的工具。该课程以提高学生实际工程设计能力为目的，其主要任务是讲授基于可编程逻辑器件和硬件描述语言的数字系统的设计方法和典型应用问题。通过该课程的学习使学生掌握现代电子系统设计中可编程逻辑器件和硬件描述语言的应用，使学生能够应用可编程逻辑器件和硬件描述语言来进行数字系统的设计。</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二、课程目标</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3744"/>
        <w:gridCol w:w="3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252"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356"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252" w:type="pct"/>
          </w:tcPr>
          <w:p>
            <w:pPr>
              <w:adjustRightInd w:val="0"/>
              <w:snapToGrid w:val="0"/>
              <w:spacing w:line="360" w:lineRule="auto"/>
              <w:rPr>
                <w:rFonts w:ascii="宋体" w:hAnsi="宋体"/>
                <w:sz w:val="18"/>
                <w:szCs w:val="18"/>
              </w:rPr>
            </w:pPr>
            <w:r>
              <w:rPr>
                <w:rFonts w:hint="eastAsia" w:ascii="宋体" w:hAnsi="宋体"/>
                <w:sz w:val="18"/>
                <w:szCs w:val="18"/>
              </w:rPr>
              <w:t>能够通过分析将数字逻辑电路相关工程问题转化为技术问题，并能够采用硬件描述语言和可编程逻辑器件进行相应的数字电路系统设计。</w:t>
            </w:r>
          </w:p>
        </w:tc>
        <w:tc>
          <w:tcPr>
            <w:tcW w:w="2356" w:type="pct"/>
          </w:tcPr>
          <w:p>
            <w:pPr>
              <w:adjustRightInd w:val="0"/>
              <w:snapToGrid w:val="0"/>
              <w:spacing w:line="360" w:lineRule="auto"/>
              <w:rPr>
                <w:rFonts w:ascii="宋体" w:hAnsi="宋体"/>
                <w:sz w:val="18"/>
                <w:szCs w:val="18"/>
              </w:rPr>
            </w:pPr>
            <w:r>
              <w:rPr>
                <w:rFonts w:hint="eastAsia" w:ascii="宋体" w:hAnsi="宋体"/>
                <w:b/>
                <w:bCs/>
                <w:sz w:val="18"/>
                <w:szCs w:val="18"/>
              </w:rPr>
              <w:t>指标点3-1 按需设计</w:t>
            </w:r>
            <w:r>
              <w:rPr>
                <w:rFonts w:hint="eastAsia" w:ascii="宋体" w:hAnsi="宋体"/>
                <w:sz w:val="18"/>
                <w:szCs w:val="18"/>
              </w:rPr>
              <w:t>：</w:t>
            </w:r>
            <w:r>
              <w:rPr>
                <w:rFonts w:hint="eastAsia" w:ascii="宋体" w:hAnsi="宋体"/>
                <w:kern w:val="0"/>
                <w:sz w:val="18"/>
                <w:szCs w:val="18"/>
              </w:rPr>
              <w:t>能够根据用户特定需求设计复杂工程问题的解决方案，设计相关的电路系统</w:t>
            </w:r>
            <w:r>
              <w:rPr>
                <w:rFonts w:hint="eastAsia" w:ascii="宋体" w:hAnsi="宋体"/>
                <w:sz w:val="18"/>
                <w:szCs w:val="18"/>
              </w:rPr>
              <w:t>及</w:t>
            </w:r>
            <w:r>
              <w:rPr>
                <w:rFonts w:hint="eastAsia" w:ascii="宋体" w:hAnsi="宋体"/>
                <w:kern w:val="0"/>
                <w:sz w:val="18"/>
                <w:szCs w:val="18"/>
              </w:rPr>
              <w:t>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252" w:type="pct"/>
          </w:tcPr>
          <w:p>
            <w:pPr>
              <w:adjustRightInd w:val="0"/>
              <w:snapToGrid w:val="0"/>
              <w:spacing w:line="360" w:lineRule="auto"/>
              <w:rPr>
                <w:rFonts w:ascii="宋体" w:hAnsi="宋体"/>
                <w:sz w:val="18"/>
                <w:szCs w:val="18"/>
              </w:rPr>
            </w:pPr>
            <w:r>
              <w:rPr>
                <w:rFonts w:hint="eastAsia" w:ascii="宋体" w:hAnsi="宋体"/>
                <w:sz w:val="18"/>
                <w:szCs w:val="18"/>
              </w:rPr>
              <w:t>了解业界主流可编程逻辑器件及其开发环境的性能特点，能够根据项目要求合理选择可编程逻辑器件厂家、型号，并合理选择其开发环境。</w:t>
            </w:r>
          </w:p>
        </w:tc>
        <w:tc>
          <w:tcPr>
            <w:tcW w:w="2356" w:type="pct"/>
          </w:tcPr>
          <w:p>
            <w:pPr>
              <w:adjustRightInd w:val="0"/>
              <w:snapToGrid w:val="0"/>
              <w:spacing w:line="360" w:lineRule="auto"/>
              <w:rPr>
                <w:rFonts w:ascii="宋体" w:hAnsi="宋体"/>
                <w:sz w:val="18"/>
                <w:szCs w:val="18"/>
              </w:rPr>
            </w:pPr>
            <w:r>
              <w:rPr>
                <w:rFonts w:hint="eastAsia" w:ascii="宋体" w:hAnsi="宋体"/>
                <w:b/>
                <w:sz w:val="18"/>
                <w:szCs w:val="18"/>
              </w:rPr>
              <w:t>指标点5-1 工具选择与开发</w:t>
            </w:r>
            <w:r>
              <w:rPr>
                <w:rFonts w:hint="eastAsia" w:ascii="宋体" w:hAnsi="宋体"/>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3</w:t>
            </w:r>
          </w:p>
        </w:tc>
        <w:tc>
          <w:tcPr>
            <w:tcW w:w="2252" w:type="pct"/>
          </w:tcPr>
          <w:p>
            <w:pPr>
              <w:adjustRightInd w:val="0"/>
              <w:snapToGrid w:val="0"/>
              <w:spacing w:line="360" w:lineRule="auto"/>
              <w:rPr>
                <w:rFonts w:ascii="宋体" w:hAnsi="宋体"/>
                <w:sz w:val="18"/>
                <w:szCs w:val="18"/>
              </w:rPr>
            </w:pPr>
            <w:r>
              <w:rPr>
                <w:rFonts w:hint="eastAsia" w:ascii="宋体" w:hAnsi="宋体"/>
                <w:sz w:val="18"/>
                <w:szCs w:val="18"/>
              </w:rPr>
              <w:t>能够熟练使用VHDL或Verilog HDL等硬件描述语言，并能够熟练使用</w:t>
            </w:r>
            <w:r>
              <w:rPr>
                <w:rFonts w:ascii="宋体" w:hAnsi="宋体"/>
                <w:sz w:val="18"/>
                <w:szCs w:val="18"/>
              </w:rPr>
              <w:t>Quartus II</w:t>
            </w:r>
            <w:r>
              <w:rPr>
                <w:rFonts w:hint="eastAsia" w:ascii="宋体" w:hAnsi="宋体"/>
                <w:sz w:val="18"/>
                <w:szCs w:val="18"/>
              </w:rPr>
              <w:t>或ISE等可编程逻辑器件集成开发环境进行设计。</w:t>
            </w:r>
          </w:p>
        </w:tc>
        <w:tc>
          <w:tcPr>
            <w:tcW w:w="2356" w:type="pct"/>
          </w:tcPr>
          <w:p>
            <w:pPr>
              <w:adjustRightInd w:val="0"/>
              <w:snapToGrid w:val="0"/>
              <w:spacing w:line="360" w:lineRule="auto"/>
              <w:rPr>
                <w:rFonts w:ascii="宋体" w:hAnsi="宋体"/>
                <w:sz w:val="18"/>
                <w:szCs w:val="18"/>
              </w:rPr>
            </w:pPr>
            <w:r>
              <w:rPr>
                <w:rFonts w:hint="eastAsia" w:ascii="宋体" w:hAnsi="宋体"/>
                <w:b/>
                <w:sz w:val="18"/>
                <w:szCs w:val="18"/>
              </w:rPr>
              <w:t>指标点5-2 专业工具使用</w:t>
            </w:r>
            <w:r>
              <w:rPr>
                <w:rFonts w:hint="eastAsia" w:ascii="宋体" w:hAnsi="宋体"/>
                <w:sz w:val="18"/>
                <w:szCs w:val="18"/>
              </w:rPr>
              <w:t>：能使用工具对电路系统、协议等进行设计和仿真，确定功能和相关设计参数。</w:t>
            </w:r>
          </w:p>
        </w:tc>
      </w:tr>
    </w:tbl>
    <w:p>
      <w:pPr>
        <w:adjustRightInd w:val="0"/>
        <w:snapToGrid w:val="0"/>
        <w:spacing w:line="360" w:lineRule="auto"/>
        <w:rPr>
          <w:szCs w:val="21"/>
        </w:rPr>
      </w:pPr>
    </w:p>
    <w:p>
      <w:pPr>
        <w:adjustRightInd w:val="0"/>
        <w:snapToGrid w:val="0"/>
        <w:spacing w:line="360" w:lineRule="auto"/>
        <w:ind w:firstLine="420" w:firstLineChars="200"/>
        <w:rPr>
          <w:szCs w:val="21"/>
        </w:rPr>
      </w:pPr>
      <w:r>
        <w:rPr>
          <w:rFonts w:hint="eastAsia"/>
          <w:szCs w:val="21"/>
        </w:rPr>
        <w:t>思政目标：可编程逻辑器件是集成电路发展的重要方向之一。通过了解国内外该技术的发展现状和差距，激发学生重视技术进步与创新，为国民经济发展和国家进步贡献力量的意识。</w:t>
      </w:r>
    </w:p>
    <w:p>
      <w:pPr>
        <w:tabs>
          <w:tab w:val="left" w:pos="420"/>
        </w:tabs>
        <w:adjustRightInd w:val="0"/>
        <w:snapToGrid w:val="0"/>
        <w:spacing w:line="360" w:lineRule="auto"/>
        <w:ind w:left="420" w:hanging="420"/>
        <w:rPr>
          <w:rFonts w:eastAsia="黑体"/>
          <w:szCs w:val="24"/>
        </w:rPr>
      </w:pPr>
      <w:r>
        <w:rPr>
          <w:rFonts w:hint="eastAsia" w:eastAsia="黑体"/>
          <w:szCs w:val="24"/>
        </w:rPr>
        <w:t>三、基本要求</w:t>
      </w:r>
    </w:p>
    <w:p>
      <w:pPr>
        <w:adjustRightInd w:val="0"/>
        <w:snapToGrid w:val="0"/>
        <w:spacing w:line="360" w:lineRule="auto"/>
        <w:ind w:firstLine="420" w:firstLineChars="200"/>
        <w:rPr>
          <w:szCs w:val="21"/>
        </w:rPr>
      </w:pPr>
      <w:r>
        <w:rPr>
          <w:rFonts w:hint="eastAsia"/>
          <w:szCs w:val="21"/>
        </w:rPr>
        <w:t>1、本课程为专业课，要求先修数字电子技术课程，在教学中应注重基础知识、基本概念和思维方法的传授，同时运用类比式和启发式教学，使学生掌握最重要的“并行”执行的程序设计概念，掌握相关设计方法与手段，以培养逻辑分析和设计能力。</w:t>
      </w:r>
    </w:p>
    <w:p>
      <w:pPr>
        <w:adjustRightInd w:val="0"/>
        <w:snapToGrid w:val="0"/>
        <w:spacing w:line="360" w:lineRule="auto"/>
        <w:ind w:firstLine="420" w:firstLineChars="200"/>
        <w:rPr>
          <w:szCs w:val="21"/>
        </w:rPr>
      </w:pPr>
      <w:r>
        <w:rPr>
          <w:rFonts w:hint="eastAsia"/>
          <w:szCs w:val="21"/>
        </w:rPr>
        <w:t>2、教师通过EDA软件语言的教学，结合经典的实例，提高学生编程设计能力。</w:t>
      </w:r>
    </w:p>
    <w:p>
      <w:pPr>
        <w:adjustRightInd w:val="0"/>
        <w:snapToGrid w:val="0"/>
        <w:spacing w:line="360" w:lineRule="auto"/>
        <w:ind w:firstLine="420" w:firstLineChars="200"/>
        <w:rPr>
          <w:szCs w:val="21"/>
        </w:rPr>
      </w:pPr>
      <w:r>
        <w:rPr>
          <w:rFonts w:hint="eastAsia"/>
          <w:szCs w:val="21"/>
        </w:rPr>
        <w:t>3、学生通过上机操作，掌握至少1种可编程逻辑器件集成开发软件的使用方法，会选择、运用EDA软件工具来设计实际电子电路</w:t>
      </w:r>
      <w:r>
        <w:rPr>
          <w:szCs w:val="21"/>
        </w:rPr>
        <w:t>，经过课后适当的实用锻炼</w:t>
      </w:r>
      <w:r>
        <w:rPr>
          <w:rFonts w:hint="eastAsia"/>
          <w:szCs w:val="21"/>
        </w:rPr>
        <w:t>，掌握电子电路自动化设计技巧。</w:t>
      </w:r>
    </w:p>
    <w:p>
      <w:pPr>
        <w:adjustRightInd w:val="0"/>
        <w:snapToGrid w:val="0"/>
        <w:spacing w:line="360" w:lineRule="auto"/>
        <w:ind w:firstLine="420" w:firstLineChars="200"/>
        <w:rPr>
          <w:szCs w:val="21"/>
        </w:rPr>
      </w:pPr>
      <w:r>
        <w:rPr>
          <w:rFonts w:hint="eastAsia"/>
          <w:szCs w:val="21"/>
        </w:rPr>
        <w:t>4、利用软件手段来设计硬件电路，许多软件逻辑的设计与实际物理电路密切相关，因此应重点培养学生实际操作、灵活运用知识的能力，把理论知识运用到实际设计中去的技能。</w:t>
      </w:r>
    </w:p>
    <w:p>
      <w:pPr>
        <w:adjustRightInd w:val="0"/>
        <w:snapToGrid w:val="0"/>
        <w:spacing w:line="360" w:lineRule="auto"/>
        <w:ind w:firstLine="420" w:firstLineChars="200"/>
        <w:rPr>
          <w:szCs w:val="21"/>
        </w:rPr>
      </w:pPr>
      <w:r>
        <w:rPr>
          <w:rFonts w:hint="eastAsia"/>
          <w:szCs w:val="21"/>
        </w:rPr>
        <w:t>5、本课程是一门实践性很强的课程，要求学生通过实验环节把所学的内容巩固和掌握，要求在CAI教室进行授课，并且教学和实验交替进行。</w:t>
      </w:r>
    </w:p>
    <w:p>
      <w:pPr>
        <w:adjustRightInd w:val="0"/>
        <w:snapToGrid w:val="0"/>
        <w:spacing w:line="360" w:lineRule="auto"/>
        <w:ind w:firstLine="420" w:firstLineChars="200"/>
        <w:rPr>
          <w:szCs w:val="21"/>
        </w:rPr>
      </w:pPr>
      <w:r>
        <w:rPr>
          <w:rFonts w:hint="eastAsia"/>
          <w:szCs w:val="21"/>
        </w:rPr>
        <w:t>6、深度和广度说明：对高密度常用可编程逻辑器件的使用要深入讲解，对低密度可编程逻辑器件只做简单介绍，对各公司的产品介绍应涵盖广些；可编程逻辑器件的原理与内部结构了解即可，硬件描述语言的掌握和使用是重点。</w:t>
      </w:r>
    </w:p>
    <w:p>
      <w:pPr>
        <w:adjustRightInd w:val="0"/>
        <w:snapToGrid w:val="0"/>
        <w:spacing w:line="360" w:lineRule="auto"/>
        <w:ind w:firstLine="420" w:firstLineChars="200"/>
        <w:rPr>
          <w:szCs w:val="21"/>
        </w:rPr>
      </w:pPr>
      <w:r>
        <w:rPr>
          <w:szCs w:val="21"/>
        </w:rPr>
        <w:t>7、偏差说明：为了鼓励教师引入个人授课风格或者适应技术发展的紧迫性，本课程允许教师授课内容做适当调整，最大正偏差为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四、教学内容和教学方法</w:t>
      </w:r>
    </w:p>
    <w:p>
      <w:pPr>
        <w:widowControl/>
        <w:adjustRightInd w:val="0"/>
        <w:snapToGrid w:val="0"/>
        <w:spacing w:line="360" w:lineRule="auto"/>
        <w:ind w:firstLine="420" w:firstLineChars="200"/>
        <w:jc w:val="left"/>
      </w:pPr>
      <w:r>
        <w:rPr>
          <w:rFonts w:hint="eastAsia"/>
        </w:rPr>
        <w:t>本课程重点讲授的内容包括：现代EDA技术及其设计方法、可编程器件的基本原理及其分类与选用原则、相关电路设计方法、集成开发环境使用方法、至少1种硬件描述语言的语法规则及编程方法、时序仿真方法；典型逻辑电路的设计包括：组合逻辑电路、时序逻辑电路、等间隔状态控制、状态机以及较为复杂的时序逻辑控制设计等。</w:t>
      </w:r>
    </w:p>
    <w:p>
      <w:pPr>
        <w:widowControl/>
        <w:adjustRightInd w:val="0"/>
        <w:snapToGrid w:val="0"/>
        <w:spacing w:line="360" w:lineRule="auto"/>
        <w:ind w:firstLine="420" w:firstLineChars="200"/>
        <w:jc w:val="left"/>
      </w:pPr>
      <w:r>
        <w:rPr>
          <w:rFonts w:hint="eastAsia"/>
        </w:rPr>
        <w:t>本课程在教学方法上，充分利用各种媒体教学手段，采取课堂教学、多媒体课件、验证性实验、课外分组实验方式有机结合，提高教学效率。</w:t>
      </w:r>
    </w:p>
    <w:p>
      <w:pPr>
        <w:widowControl/>
        <w:adjustRightInd w:val="0"/>
        <w:snapToGrid w:val="0"/>
        <w:spacing w:line="360" w:lineRule="auto"/>
        <w:ind w:firstLine="420" w:firstLineChars="200"/>
        <w:jc w:val="left"/>
        <w:rPr>
          <w:rFonts w:cs="宋体"/>
          <w:snapToGrid w:val="0"/>
          <w:kern w:val="0"/>
          <w:szCs w:val="21"/>
        </w:rPr>
      </w:pPr>
      <w:r>
        <w:rPr>
          <w:rFonts w:hint="eastAsia" w:cs="宋体"/>
          <w:snapToGrid w:val="0"/>
          <w:kern w:val="0"/>
          <w:szCs w:val="21"/>
        </w:rPr>
        <w:t>硬件描述语言（VHDL）在数字逻辑系统设计、集成电路设计中占有非常重要的地位，因此教师要重点讲授以使学生完全掌握。</w:t>
      </w:r>
    </w:p>
    <w:p>
      <w:pPr>
        <w:widowControl/>
        <w:adjustRightInd w:val="0"/>
        <w:snapToGrid w:val="0"/>
        <w:spacing w:line="360" w:lineRule="auto"/>
        <w:ind w:firstLine="420" w:firstLineChars="200"/>
        <w:jc w:val="left"/>
        <w:rPr>
          <w:rFonts w:cs="宋体"/>
          <w:snapToGrid w:val="0"/>
          <w:kern w:val="0"/>
          <w:szCs w:val="21"/>
        </w:rPr>
      </w:pPr>
      <w:r>
        <w:rPr>
          <w:rFonts w:hint="eastAsia" w:cs="宋体"/>
          <w:snapToGrid w:val="0"/>
          <w:kern w:val="0"/>
          <w:szCs w:val="21"/>
        </w:rPr>
        <w:t>为了提高学生的学习兴趣，并取得良好的教学效果，教师在知识讲解的过程中要充分利用问题引导、案例分析等多种教学方法，以进一步提高教学质量。</w:t>
      </w:r>
    </w:p>
    <w:p>
      <w:pPr>
        <w:widowControl/>
        <w:adjustRightInd w:val="0"/>
        <w:snapToGrid w:val="0"/>
        <w:spacing w:line="360" w:lineRule="auto"/>
        <w:ind w:left="426"/>
        <w:jc w:val="left"/>
        <w:rPr>
          <w:rFonts w:eastAsia="黑体" w:cs="宋体"/>
          <w:kern w:val="0"/>
          <w:szCs w:val="21"/>
        </w:rPr>
      </w:pPr>
      <w:r>
        <w:rPr>
          <w:rFonts w:hint="eastAsia" w:eastAsia="黑体" w:cs="宋体"/>
          <w:snapToGrid w:val="0"/>
          <w:kern w:val="0"/>
          <w:szCs w:val="21"/>
        </w:rPr>
        <w:t>1 绪论（1学时）</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1.1、本课程在专业课程体系中的地位和作用介绍；</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1.2、课程内容、学习方法、讲授方式、评价方式介绍；</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1.3、</w:t>
      </w:r>
      <w:r>
        <w:rPr>
          <w:rFonts w:hint="eastAsia"/>
          <w:snapToGrid w:val="0"/>
          <w:kern w:val="0"/>
          <w:szCs w:val="21"/>
        </w:rPr>
        <w:t>能够阐述</w:t>
      </w:r>
      <w:r>
        <w:rPr>
          <w:rFonts w:hint="eastAsia"/>
          <w:bCs/>
          <w:snapToGrid w:val="0"/>
          <w:kern w:val="0"/>
          <w:szCs w:val="21"/>
        </w:rPr>
        <w:t>硬件描述语言和</w:t>
      </w:r>
      <w:r>
        <w:rPr>
          <w:rFonts w:hint="eastAsia" w:cs="宋体"/>
          <w:bCs/>
          <w:snapToGrid w:val="0"/>
          <w:kern w:val="0"/>
          <w:szCs w:val="21"/>
        </w:rPr>
        <w:t>可编程逻辑器件的发展历程</w:t>
      </w:r>
      <w:r>
        <w:rPr>
          <w:rFonts w:hint="eastAsia" w:cs="宋体"/>
          <w:snapToGrid w:val="0"/>
          <w:kern w:val="0"/>
          <w:szCs w:val="21"/>
        </w:rPr>
        <w:t>、</w:t>
      </w:r>
      <w:r>
        <w:rPr>
          <w:rFonts w:hint="eastAsia" w:cs="宋体"/>
          <w:bCs/>
          <w:snapToGrid w:val="0"/>
          <w:kern w:val="0"/>
          <w:szCs w:val="21"/>
        </w:rPr>
        <w:t>发展现状及</w:t>
      </w:r>
      <w:r>
        <w:rPr>
          <w:rFonts w:hint="eastAsia" w:cs="宋体"/>
          <w:snapToGrid w:val="0"/>
          <w:kern w:val="0"/>
          <w:szCs w:val="21"/>
        </w:rPr>
        <w:t>发展方向。</w:t>
      </w:r>
    </w:p>
    <w:p>
      <w:pPr>
        <w:widowControl/>
        <w:adjustRightInd w:val="0"/>
        <w:snapToGrid w:val="0"/>
        <w:spacing w:line="360" w:lineRule="auto"/>
        <w:ind w:firstLine="422" w:firstLineChars="200"/>
        <w:jc w:val="left"/>
        <w:rPr>
          <w:rFonts w:cs="宋体"/>
          <w:b/>
          <w:bCs/>
          <w:snapToGrid w:val="0"/>
          <w:kern w:val="0"/>
          <w:szCs w:val="21"/>
        </w:rPr>
      </w:pPr>
      <w:r>
        <w:rPr>
          <w:rFonts w:hint="eastAsia" w:cs="宋体"/>
          <w:b/>
          <w:bCs/>
          <w:snapToGrid w:val="0"/>
          <w:kern w:val="0"/>
          <w:szCs w:val="21"/>
        </w:rPr>
        <w:t>思政元素：通过对比分析国内外发展现状，激发学生的使命感和责任感。通过阐述相关应用需求和背景，提高学生学习的积极性和主动性。</w:t>
      </w:r>
    </w:p>
    <w:p>
      <w:pPr>
        <w:widowControl/>
        <w:adjustRightInd w:val="0"/>
        <w:snapToGrid w:val="0"/>
        <w:spacing w:line="360" w:lineRule="auto"/>
        <w:ind w:left="426"/>
        <w:jc w:val="left"/>
        <w:rPr>
          <w:rFonts w:cs="宋体"/>
          <w:snapToGrid w:val="0"/>
          <w:kern w:val="0"/>
          <w:szCs w:val="21"/>
        </w:rPr>
      </w:pPr>
      <w:r>
        <w:rPr>
          <w:rFonts w:cs="宋体"/>
          <w:bCs/>
          <w:snapToGrid w:val="0"/>
          <w:kern w:val="0"/>
          <w:szCs w:val="21"/>
        </w:rPr>
        <w:t>本章内容支撑课程目标</w:t>
      </w:r>
      <w:r>
        <w:rPr>
          <w:rFonts w:hint="eastAsia" w:cs="宋体"/>
          <w:bCs/>
          <w:snapToGrid w:val="0"/>
          <w:kern w:val="0"/>
          <w:szCs w:val="21"/>
        </w:rPr>
        <w:t>2。</w:t>
      </w:r>
    </w:p>
    <w:p>
      <w:pPr>
        <w:widowControl/>
        <w:adjustRightInd w:val="0"/>
        <w:snapToGrid w:val="0"/>
        <w:spacing w:line="360" w:lineRule="auto"/>
        <w:ind w:left="426"/>
        <w:jc w:val="left"/>
        <w:rPr>
          <w:rFonts w:eastAsia="黑体" w:cs="宋体"/>
          <w:kern w:val="0"/>
          <w:szCs w:val="21"/>
        </w:rPr>
      </w:pPr>
      <w:r>
        <w:rPr>
          <w:rFonts w:hint="eastAsia" w:eastAsia="黑体" w:cs="宋体"/>
          <w:snapToGrid w:val="0"/>
          <w:kern w:val="0"/>
          <w:szCs w:val="21"/>
        </w:rPr>
        <w:t xml:space="preserve">2 </w:t>
      </w:r>
      <w:r>
        <w:rPr>
          <w:rFonts w:hint="eastAsia" w:eastAsia="黑体" w:cs="宋体"/>
          <w:bCs/>
          <w:snapToGrid w:val="0"/>
          <w:kern w:val="0"/>
          <w:szCs w:val="21"/>
        </w:rPr>
        <w:t>可编程逻辑器件的原理与结构</w:t>
      </w:r>
      <w:r>
        <w:rPr>
          <w:rFonts w:hint="eastAsia" w:eastAsia="黑体" w:cs="宋体"/>
          <w:snapToGrid w:val="0"/>
          <w:kern w:val="0"/>
          <w:szCs w:val="21"/>
        </w:rPr>
        <w:t>（3学时）</w:t>
      </w:r>
    </w:p>
    <w:p>
      <w:pPr>
        <w:widowControl/>
        <w:adjustRightInd w:val="0"/>
        <w:snapToGrid w:val="0"/>
        <w:spacing w:line="360" w:lineRule="auto"/>
        <w:ind w:left="426"/>
        <w:jc w:val="left"/>
        <w:rPr>
          <w:rFonts w:cs="宋体"/>
          <w:snapToGrid w:val="0"/>
          <w:kern w:val="0"/>
          <w:szCs w:val="21"/>
        </w:rPr>
      </w:pPr>
      <w:r>
        <w:rPr>
          <w:rFonts w:hint="eastAsia" w:cs="宋体"/>
          <w:snapToGrid w:val="0"/>
          <w:kern w:val="0"/>
          <w:szCs w:val="21"/>
        </w:rPr>
        <w:t>2.1、</w:t>
      </w:r>
      <w:r>
        <w:rPr>
          <w:rFonts w:hint="eastAsia"/>
          <w:snapToGrid w:val="0"/>
          <w:kern w:val="0"/>
          <w:szCs w:val="21"/>
        </w:rPr>
        <w:t>能够阐述</w:t>
      </w:r>
      <w:r>
        <w:rPr>
          <w:rFonts w:hint="eastAsia" w:cs="宋体"/>
          <w:snapToGrid w:val="0"/>
          <w:kern w:val="0"/>
          <w:szCs w:val="21"/>
        </w:rPr>
        <w:t>可编程逻辑器件的概念、特点、分类和用途；</w:t>
      </w:r>
    </w:p>
    <w:p>
      <w:pPr>
        <w:widowControl/>
        <w:adjustRightInd w:val="0"/>
        <w:snapToGrid w:val="0"/>
        <w:spacing w:line="360" w:lineRule="auto"/>
        <w:ind w:left="426"/>
        <w:jc w:val="left"/>
        <w:rPr>
          <w:rFonts w:cs="宋体"/>
          <w:kern w:val="0"/>
          <w:szCs w:val="21"/>
        </w:rPr>
      </w:pPr>
      <w:r>
        <w:rPr>
          <w:rFonts w:hint="eastAsia" w:cs="宋体"/>
          <w:snapToGrid w:val="0"/>
          <w:kern w:val="0"/>
          <w:szCs w:val="21"/>
        </w:rPr>
        <w:t>2.2、</w:t>
      </w:r>
      <w:r>
        <w:rPr>
          <w:rFonts w:hint="eastAsia"/>
          <w:snapToGrid w:val="0"/>
          <w:kern w:val="0"/>
          <w:szCs w:val="21"/>
        </w:rPr>
        <w:t>能够阐述</w:t>
      </w:r>
      <w:r>
        <w:rPr>
          <w:rFonts w:hint="eastAsia" w:cs="宋体"/>
          <w:snapToGrid w:val="0"/>
          <w:kern w:val="0"/>
          <w:szCs w:val="21"/>
        </w:rPr>
        <w:t>可编程逻辑器件的基本结构和原理；</w:t>
      </w:r>
    </w:p>
    <w:p>
      <w:pPr>
        <w:adjustRightInd w:val="0"/>
        <w:snapToGrid w:val="0"/>
        <w:spacing w:line="360" w:lineRule="auto"/>
        <w:ind w:left="426"/>
        <w:rPr>
          <w:rFonts w:cs="宋体"/>
          <w:snapToGrid w:val="0"/>
          <w:kern w:val="0"/>
          <w:szCs w:val="21"/>
        </w:rPr>
      </w:pPr>
      <w:r>
        <w:rPr>
          <w:rFonts w:hint="eastAsia" w:cs="宋体"/>
          <w:snapToGrid w:val="0"/>
          <w:kern w:val="0"/>
          <w:szCs w:val="21"/>
        </w:rPr>
        <w:t>2.3、常见的可编程逻辑器件的优缺点及其选用原则；（重点）</w:t>
      </w:r>
    </w:p>
    <w:p>
      <w:pPr>
        <w:adjustRightInd w:val="0"/>
        <w:snapToGrid w:val="0"/>
        <w:spacing w:line="360" w:lineRule="auto"/>
        <w:ind w:left="426"/>
        <w:rPr>
          <w:rFonts w:cs="宋体"/>
          <w:snapToGrid w:val="0"/>
          <w:kern w:val="0"/>
          <w:szCs w:val="21"/>
        </w:rPr>
      </w:pPr>
      <w:r>
        <w:rPr>
          <w:rFonts w:hint="eastAsia" w:cs="宋体"/>
          <w:snapToGrid w:val="0"/>
          <w:kern w:val="0"/>
          <w:szCs w:val="21"/>
        </w:rPr>
        <w:t>2.4、</w:t>
      </w:r>
      <w:r>
        <w:rPr>
          <w:rFonts w:hint="eastAsia"/>
          <w:snapToGrid w:val="0"/>
          <w:kern w:val="0"/>
          <w:szCs w:val="21"/>
        </w:rPr>
        <w:t>能够阐述</w:t>
      </w:r>
      <w:r>
        <w:rPr>
          <w:rFonts w:hint="eastAsia" w:cs="宋体"/>
          <w:snapToGrid w:val="0"/>
          <w:kern w:val="0"/>
          <w:szCs w:val="21"/>
        </w:rPr>
        <w:t>常用CPLD和FPGA的基本电路设计方法；（重点）</w:t>
      </w:r>
    </w:p>
    <w:p>
      <w:pPr>
        <w:adjustRightInd w:val="0"/>
        <w:snapToGrid w:val="0"/>
        <w:spacing w:line="360" w:lineRule="auto"/>
        <w:ind w:left="426"/>
        <w:rPr>
          <w:rFonts w:cs="宋体"/>
          <w:snapToGrid w:val="0"/>
          <w:kern w:val="0"/>
          <w:szCs w:val="21"/>
        </w:rPr>
      </w:pPr>
      <w:r>
        <w:rPr>
          <w:rFonts w:hint="eastAsia" w:cs="宋体"/>
          <w:snapToGrid w:val="0"/>
          <w:kern w:val="0"/>
          <w:szCs w:val="21"/>
        </w:rPr>
        <w:t>2.5、</w:t>
      </w:r>
      <w:r>
        <w:rPr>
          <w:rFonts w:hint="eastAsia"/>
          <w:snapToGrid w:val="0"/>
          <w:kern w:val="0"/>
          <w:szCs w:val="21"/>
        </w:rPr>
        <w:t>能够对比</w:t>
      </w:r>
      <w:r>
        <w:rPr>
          <w:rFonts w:hint="eastAsia" w:cs="宋体"/>
          <w:snapToGrid w:val="0"/>
          <w:kern w:val="0"/>
          <w:szCs w:val="21"/>
        </w:rPr>
        <w:t>原理图输入法、元件映射法、功能描述法等多种逻辑设计方法；（难点）</w:t>
      </w:r>
    </w:p>
    <w:p>
      <w:pPr>
        <w:adjustRightInd w:val="0"/>
        <w:snapToGrid w:val="0"/>
        <w:spacing w:line="360" w:lineRule="auto"/>
        <w:ind w:left="426"/>
        <w:rPr>
          <w:rFonts w:cs="宋体"/>
          <w:snapToGrid w:val="0"/>
          <w:kern w:val="0"/>
          <w:szCs w:val="21"/>
        </w:rPr>
      </w:pPr>
      <w:r>
        <w:rPr>
          <w:rFonts w:hint="eastAsia" w:cs="宋体"/>
          <w:snapToGrid w:val="0"/>
          <w:kern w:val="0"/>
          <w:szCs w:val="21"/>
        </w:rPr>
        <w:t>2.6、</w:t>
      </w:r>
      <w:r>
        <w:rPr>
          <w:rFonts w:hint="eastAsia"/>
          <w:snapToGrid w:val="0"/>
          <w:kern w:val="0"/>
          <w:szCs w:val="21"/>
        </w:rPr>
        <w:t>能够使用</w:t>
      </w:r>
      <w:r>
        <w:rPr>
          <w:snapToGrid w:val="0"/>
          <w:kern w:val="0"/>
          <w:szCs w:val="21"/>
        </w:rPr>
        <w:t>集成开发环境</w:t>
      </w:r>
      <w:r>
        <w:rPr>
          <w:rFonts w:hint="eastAsia"/>
          <w:snapToGrid w:val="0"/>
          <w:kern w:val="0"/>
          <w:szCs w:val="21"/>
        </w:rPr>
        <w:t>进行设计</w:t>
      </w:r>
      <w:r>
        <w:rPr>
          <w:rFonts w:hint="eastAsia" w:cs="宋体"/>
          <w:snapToGrid w:val="0"/>
          <w:kern w:val="0"/>
          <w:szCs w:val="21"/>
        </w:rPr>
        <w:t>。（重点）</w:t>
      </w:r>
    </w:p>
    <w:p>
      <w:pPr>
        <w:adjustRightInd w:val="0"/>
        <w:snapToGrid w:val="0"/>
        <w:spacing w:line="360" w:lineRule="auto"/>
        <w:ind w:left="426"/>
        <w:rPr>
          <w:rFonts w:cs="宋体"/>
          <w:snapToGrid w:val="0"/>
          <w:kern w:val="0"/>
          <w:szCs w:val="21"/>
        </w:rPr>
      </w:pPr>
      <w:r>
        <w:rPr>
          <w:rFonts w:hint="eastAsia" w:cs="宋体"/>
          <w:snapToGrid w:val="0"/>
          <w:kern w:val="0"/>
          <w:szCs w:val="21"/>
        </w:rPr>
        <w:t>2.7、国产可编程逻辑器件发展差距。</w:t>
      </w:r>
    </w:p>
    <w:p>
      <w:pPr>
        <w:adjustRightInd w:val="0"/>
        <w:snapToGrid w:val="0"/>
        <w:spacing w:line="360" w:lineRule="auto"/>
        <w:ind w:left="426"/>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1、2、</w:t>
      </w:r>
      <w:r>
        <w:rPr>
          <w:rFonts w:cs="宋体"/>
          <w:bCs/>
          <w:snapToGrid w:val="0"/>
          <w:kern w:val="0"/>
          <w:szCs w:val="21"/>
        </w:rPr>
        <w:t>3</w:t>
      </w:r>
      <w:r>
        <w:rPr>
          <w:rFonts w:hint="eastAsia" w:cs="宋体"/>
          <w:bCs/>
          <w:snapToGrid w:val="0"/>
          <w:kern w:val="0"/>
          <w:szCs w:val="21"/>
        </w:rPr>
        <w:t>。</w:t>
      </w:r>
    </w:p>
    <w:p>
      <w:pPr>
        <w:adjustRightInd w:val="0"/>
        <w:snapToGrid w:val="0"/>
        <w:spacing w:line="360" w:lineRule="auto"/>
        <w:ind w:left="426"/>
        <w:rPr>
          <w:rFonts w:cs="宋体"/>
          <w:b/>
          <w:snapToGrid w:val="0"/>
          <w:kern w:val="0"/>
          <w:szCs w:val="21"/>
        </w:rPr>
      </w:pPr>
      <w:r>
        <w:rPr>
          <w:rFonts w:hint="eastAsia" w:cs="宋体"/>
          <w:b/>
          <w:snapToGrid w:val="0"/>
          <w:kern w:val="0"/>
          <w:szCs w:val="21"/>
        </w:rPr>
        <w:t>思政元素：了解元器件国产化的重要性，激发学生爱国情怀。</w:t>
      </w:r>
    </w:p>
    <w:p>
      <w:pPr>
        <w:adjustRightInd w:val="0"/>
        <w:snapToGrid w:val="0"/>
        <w:spacing w:line="360" w:lineRule="auto"/>
        <w:ind w:left="426"/>
      </w:pPr>
      <w:r>
        <w:rPr>
          <w:rFonts w:hint="eastAsia" w:eastAsia="黑体"/>
        </w:rPr>
        <w:t>3</w:t>
      </w:r>
      <w:r>
        <w:rPr>
          <w:rFonts w:hint="eastAsia" w:eastAsia="黑体" w:cs="宋体"/>
          <w:snapToGrid w:val="0"/>
          <w:kern w:val="0"/>
          <w:szCs w:val="21"/>
        </w:rPr>
        <w:t>硬件描述语言的基本结构、数据类型和运算操作符（6学时）</w:t>
      </w:r>
    </w:p>
    <w:p>
      <w:pPr>
        <w:adjustRightInd w:val="0"/>
        <w:snapToGrid w:val="0"/>
        <w:spacing w:line="360" w:lineRule="auto"/>
        <w:ind w:left="426"/>
        <w:rPr>
          <w:rFonts w:cs="宋体"/>
          <w:snapToGrid w:val="0"/>
          <w:kern w:val="0"/>
          <w:szCs w:val="21"/>
        </w:rPr>
      </w:pPr>
      <w:r>
        <w:rPr>
          <w:rFonts w:hint="eastAsia" w:cs="宋体"/>
          <w:snapToGrid w:val="0"/>
          <w:kern w:val="0"/>
          <w:szCs w:val="21"/>
        </w:rPr>
        <w:t>3.1、硬件描述语言的基本框架结构；（重点）</w:t>
      </w:r>
    </w:p>
    <w:p>
      <w:pPr>
        <w:adjustRightInd w:val="0"/>
        <w:snapToGrid w:val="0"/>
        <w:spacing w:line="360" w:lineRule="auto"/>
        <w:ind w:left="426"/>
      </w:pPr>
      <w:r>
        <w:rPr>
          <w:rFonts w:hint="eastAsia"/>
        </w:rPr>
        <w:t>3.2、</w:t>
      </w:r>
      <w:r>
        <w:rPr>
          <w:rFonts w:hint="eastAsia" w:cs="宋体"/>
          <w:snapToGrid w:val="0"/>
          <w:kern w:val="0"/>
          <w:szCs w:val="21"/>
        </w:rPr>
        <w:t>硬件描述</w:t>
      </w:r>
      <w:r>
        <w:rPr>
          <w:rFonts w:hint="eastAsia" w:cs="宋体"/>
          <w:bCs/>
          <w:snapToGrid w:val="0"/>
          <w:kern w:val="0"/>
          <w:szCs w:val="21"/>
        </w:rPr>
        <w:t>语言</w:t>
      </w:r>
      <w:r>
        <w:rPr>
          <w:rFonts w:hint="eastAsia" w:cs="宋体"/>
          <w:snapToGrid w:val="0"/>
          <w:kern w:val="0"/>
          <w:szCs w:val="21"/>
        </w:rPr>
        <w:t>的库、程序包和配置；</w:t>
      </w:r>
    </w:p>
    <w:p>
      <w:pPr>
        <w:adjustRightInd w:val="0"/>
        <w:snapToGrid w:val="0"/>
        <w:spacing w:line="360" w:lineRule="auto"/>
        <w:ind w:left="426"/>
      </w:pPr>
      <w:r>
        <w:rPr>
          <w:rFonts w:hint="eastAsia"/>
        </w:rPr>
        <w:t>3.3、能够熟练定义和使用</w:t>
      </w:r>
      <w:r>
        <w:rPr>
          <w:rFonts w:hint="eastAsia" w:cs="宋体"/>
          <w:snapToGrid w:val="0"/>
          <w:kern w:val="0"/>
          <w:szCs w:val="21"/>
        </w:rPr>
        <w:t>硬件描述</w:t>
      </w:r>
      <w:r>
        <w:rPr>
          <w:rFonts w:hint="eastAsia" w:cs="宋体"/>
          <w:bCs/>
          <w:snapToGrid w:val="0"/>
          <w:kern w:val="0"/>
          <w:szCs w:val="21"/>
        </w:rPr>
        <w:t>语言的基本数据类型和基本数据对象；</w:t>
      </w:r>
      <w:r>
        <w:rPr>
          <w:rFonts w:hint="eastAsia" w:cs="宋体"/>
          <w:snapToGrid w:val="0"/>
          <w:kern w:val="0"/>
          <w:szCs w:val="21"/>
        </w:rPr>
        <w:t>（重点）</w:t>
      </w:r>
    </w:p>
    <w:p>
      <w:pPr>
        <w:adjustRightInd w:val="0"/>
        <w:snapToGrid w:val="0"/>
        <w:spacing w:line="360" w:lineRule="auto"/>
        <w:ind w:left="426"/>
        <w:rPr>
          <w:rFonts w:cs="宋体"/>
          <w:bCs/>
          <w:snapToGrid w:val="0"/>
          <w:kern w:val="0"/>
          <w:szCs w:val="21"/>
        </w:rPr>
      </w:pPr>
      <w:r>
        <w:rPr>
          <w:rFonts w:hint="eastAsia"/>
        </w:rPr>
        <w:t>3.4、能够熟练使用</w:t>
      </w:r>
      <w:r>
        <w:rPr>
          <w:rFonts w:hint="eastAsia" w:cs="宋体"/>
          <w:snapToGrid w:val="0"/>
          <w:kern w:val="0"/>
          <w:szCs w:val="21"/>
        </w:rPr>
        <w:t>硬件描述</w:t>
      </w:r>
      <w:r>
        <w:rPr>
          <w:rFonts w:hint="eastAsia" w:cs="宋体"/>
          <w:bCs/>
          <w:snapToGrid w:val="0"/>
          <w:kern w:val="0"/>
          <w:szCs w:val="21"/>
        </w:rPr>
        <w:t>语言的基本</w:t>
      </w:r>
      <w:r>
        <w:rPr>
          <w:rFonts w:hint="eastAsia" w:cs="宋体"/>
          <w:snapToGrid w:val="0"/>
          <w:kern w:val="0"/>
          <w:szCs w:val="21"/>
        </w:rPr>
        <w:t>运算操作符</w:t>
      </w:r>
      <w:r>
        <w:rPr>
          <w:rFonts w:hint="eastAsia" w:cs="宋体"/>
          <w:bCs/>
          <w:snapToGrid w:val="0"/>
          <w:kern w:val="0"/>
          <w:szCs w:val="21"/>
        </w:rPr>
        <w:t>。</w:t>
      </w:r>
    </w:p>
    <w:p>
      <w:pPr>
        <w:adjustRightInd w:val="0"/>
        <w:snapToGrid w:val="0"/>
        <w:spacing w:line="360" w:lineRule="auto"/>
        <w:ind w:left="426"/>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tabs>
          <w:tab w:val="left" w:pos="1260"/>
        </w:tabs>
        <w:adjustRightInd w:val="0"/>
        <w:snapToGrid w:val="0"/>
        <w:spacing w:line="360" w:lineRule="auto"/>
        <w:ind w:left="426"/>
      </w:pPr>
      <w:r>
        <w:rPr>
          <w:rFonts w:hint="eastAsia" w:eastAsia="黑体"/>
        </w:rPr>
        <w:t xml:space="preserve">4 </w:t>
      </w:r>
      <w:r>
        <w:rPr>
          <w:rFonts w:hint="eastAsia" w:eastAsia="黑体" w:cs="宋体"/>
          <w:snapToGrid w:val="0"/>
          <w:kern w:val="0"/>
          <w:szCs w:val="21"/>
        </w:rPr>
        <w:t>硬件描述</w:t>
      </w:r>
      <w:r>
        <w:rPr>
          <w:rFonts w:hint="eastAsia" w:eastAsia="黑体" w:cs="宋体"/>
          <w:bCs/>
          <w:snapToGrid w:val="0"/>
          <w:kern w:val="0"/>
          <w:szCs w:val="21"/>
        </w:rPr>
        <w:t>语</w:t>
      </w:r>
      <w:r>
        <w:rPr>
          <w:rFonts w:hint="eastAsia" w:eastAsia="黑体"/>
          <w:snapToGrid w:val="0"/>
          <w:kern w:val="0"/>
          <w:szCs w:val="21"/>
        </w:rPr>
        <w:t>言的主要描述语句</w:t>
      </w:r>
      <w:r>
        <w:rPr>
          <w:rFonts w:hint="eastAsia" w:eastAsia="黑体" w:cs="宋体"/>
          <w:snapToGrid w:val="0"/>
          <w:kern w:val="0"/>
          <w:szCs w:val="21"/>
        </w:rPr>
        <w:t>（6学时）</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4.1、并行语句和顺序语句的概念、思想及其本质区别；</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4.2、</w:t>
      </w:r>
      <w:r>
        <w:rPr>
          <w:rFonts w:hint="eastAsia"/>
          <w:bCs/>
          <w:snapToGrid w:val="0"/>
          <w:kern w:val="0"/>
          <w:szCs w:val="21"/>
        </w:rPr>
        <w:t>能够熟练使用</w:t>
      </w:r>
      <w:r>
        <w:rPr>
          <w:rFonts w:hint="eastAsia" w:cs="宋体"/>
          <w:bCs/>
          <w:snapToGrid w:val="0"/>
          <w:kern w:val="0"/>
          <w:szCs w:val="21"/>
        </w:rPr>
        <w:t>信号代入语句；</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4.3、</w:t>
      </w:r>
      <w:r>
        <w:rPr>
          <w:rFonts w:hint="eastAsia"/>
          <w:bCs/>
          <w:snapToGrid w:val="0"/>
          <w:kern w:val="0"/>
          <w:szCs w:val="21"/>
        </w:rPr>
        <w:t>能够熟练使用</w:t>
      </w:r>
      <w:r>
        <w:rPr>
          <w:rFonts w:hint="eastAsia" w:cs="宋体"/>
          <w:bCs/>
          <w:snapToGrid w:val="0"/>
          <w:kern w:val="0"/>
          <w:szCs w:val="21"/>
        </w:rPr>
        <w:t>进程语句、if语句、case语句等结构化语句；</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4.4、</w:t>
      </w:r>
      <w:r>
        <w:rPr>
          <w:rFonts w:hint="eastAsia"/>
          <w:bCs/>
          <w:snapToGrid w:val="0"/>
          <w:kern w:val="0"/>
          <w:szCs w:val="21"/>
        </w:rPr>
        <w:t>能够熟练使用</w:t>
      </w:r>
      <w:r>
        <w:rPr>
          <w:rFonts w:hint="eastAsia" w:cs="宋体"/>
          <w:bCs/>
          <w:snapToGrid w:val="0"/>
          <w:kern w:val="0"/>
          <w:szCs w:val="21"/>
        </w:rPr>
        <w:t>元器件例化语句；</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4.5、</w:t>
      </w:r>
      <w:r>
        <w:rPr>
          <w:rFonts w:hint="eastAsia"/>
          <w:bCs/>
          <w:snapToGrid w:val="0"/>
          <w:kern w:val="0"/>
          <w:szCs w:val="21"/>
        </w:rPr>
        <w:t>能够使用</w:t>
      </w:r>
      <w:r>
        <w:rPr>
          <w:rFonts w:hint="eastAsia" w:cs="宋体"/>
          <w:bCs/>
          <w:snapToGrid w:val="0"/>
          <w:kern w:val="0"/>
          <w:szCs w:val="21"/>
        </w:rPr>
        <w:t>等待语句（wait语句）、循环语句（loop语句）等；</w:t>
      </w:r>
    </w:p>
    <w:p>
      <w:pPr>
        <w:widowControl/>
        <w:tabs>
          <w:tab w:val="left" w:pos="900"/>
        </w:tabs>
        <w:adjustRightInd w:val="0"/>
        <w:snapToGrid w:val="0"/>
        <w:spacing w:line="360" w:lineRule="auto"/>
        <w:ind w:left="426"/>
        <w:jc w:val="left"/>
        <w:rPr>
          <w:rFonts w:cs="宋体"/>
          <w:snapToGrid w:val="0"/>
          <w:kern w:val="0"/>
          <w:szCs w:val="21"/>
        </w:rPr>
      </w:pPr>
      <w:r>
        <w:rPr>
          <w:rFonts w:hint="eastAsia" w:cs="宋体"/>
          <w:bCs/>
          <w:snapToGrid w:val="0"/>
          <w:kern w:val="0"/>
          <w:szCs w:val="21"/>
        </w:rPr>
        <w:t>4.6、</w:t>
      </w:r>
      <w:r>
        <w:rPr>
          <w:rFonts w:hint="eastAsia"/>
          <w:bCs/>
          <w:snapToGrid w:val="0"/>
          <w:kern w:val="0"/>
          <w:szCs w:val="21"/>
        </w:rPr>
        <w:t>能够使用</w:t>
      </w:r>
      <w:r>
        <w:rPr>
          <w:rFonts w:hint="eastAsia" w:cs="宋体"/>
          <w:bCs/>
          <w:snapToGrid w:val="0"/>
          <w:kern w:val="0"/>
          <w:szCs w:val="21"/>
        </w:rPr>
        <w:t>硬件描述语言进行基本的数字模块的设计。</w:t>
      </w:r>
      <w:r>
        <w:rPr>
          <w:rFonts w:hint="eastAsia" w:cs="宋体"/>
          <w:snapToGrid w:val="0"/>
          <w:kern w:val="0"/>
          <w:szCs w:val="21"/>
        </w:rPr>
        <w:t>（难点）</w:t>
      </w:r>
    </w:p>
    <w:p>
      <w:pPr>
        <w:widowControl/>
        <w:tabs>
          <w:tab w:val="left" w:pos="900"/>
        </w:tabs>
        <w:adjustRightInd w:val="0"/>
        <w:snapToGrid w:val="0"/>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widowControl/>
        <w:adjustRightInd w:val="0"/>
        <w:snapToGrid w:val="0"/>
        <w:spacing w:line="360" w:lineRule="auto"/>
        <w:ind w:left="426"/>
        <w:jc w:val="left"/>
        <w:rPr>
          <w:rFonts w:eastAsia="黑体"/>
          <w:snapToGrid w:val="0"/>
          <w:kern w:val="0"/>
          <w:szCs w:val="21"/>
        </w:rPr>
      </w:pPr>
      <w:r>
        <w:rPr>
          <w:rFonts w:hint="eastAsia" w:eastAsia="黑体"/>
          <w:snapToGrid w:val="0"/>
          <w:kern w:val="0"/>
          <w:szCs w:val="21"/>
        </w:rPr>
        <w:t>5 基本逻辑设计</w:t>
      </w:r>
      <w:r>
        <w:rPr>
          <w:rFonts w:hint="eastAsia" w:eastAsia="黑体" w:cs="宋体"/>
          <w:snapToGrid w:val="0"/>
          <w:kern w:val="0"/>
          <w:szCs w:val="21"/>
        </w:rPr>
        <w:t>（6学时）</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5.1、</w:t>
      </w:r>
      <w:r>
        <w:rPr>
          <w:rFonts w:hint="eastAsia"/>
          <w:bCs/>
          <w:snapToGrid w:val="0"/>
          <w:kern w:val="0"/>
          <w:szCs w:val="21"/>
        </w:rPr>
        <w:t>能够熟练区分</w:t>
      </w:r>
      <w:r>
        <w:rPr>
          <w:rFonts w:hint="eastAsia" w:cs="宋体"/>
          <w:bCs/>
          <w:snapToGrid w:val="0"/>
          <w:kern w:val="0"/>
          <w:szCs w:val="21"/>
        </w:rPr>
        <w:t>组合逻辑与时序逻辑；</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5.2、</w:t>
      </w:r>
      <w:r>
        <w:rPr>
          <w:rFonts w:hint="eastAsia"/>
          <w:bCs/>
          <w:snapToGrid w:val="0"/>
          <w:kern w:val="0"/>
          <w:szCs w:val="21"/>
        </w:rPr>
        <w:t>能够</w:t>
      </w:r>
      <w:r>
        <w:rPr>
          <w:rFonts w:hint="eastAsia" w:cs="宋体"/>
          <w:bCs/>
          <w:snapToGrid w:val="0"/>
          <w:kern w:val="0"/>
          <w:szCs w:val="21"/>
        </w:rPr>
        <w:t>掌握使用硬件描述语言进行组合逻辑设计的方法；</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5.3、</w:t>
      </w:r>
      <w:bookmarkStart w:id="180" w:name="OLE_LINK23"/>
      <w:r>
        <w:rPr>
          <w:rFonts w:hint="eastAsia"/>
          <w:bCs/>
          <w:snapToGrid w:val="0"/>
          <w:kern w:val="0"/>
          <w:szCs w:val="21"/>
        </w:rPr>
        <w:t>能够熟练设计</w:t>
      </w:r>
      <w:bookmarkEnd w:id="180"/>
      <w:r>
        <w:rPr>
          <w:rFonts w:hint="eastAsia" w:cs="宋体"/>
          <w:bCs/>
          <w:snapToGrid w:val="0"/>
          <w:kern w:val="0"/>
          <w:szCs w:val="21"/>
        </w:rPr>
        <w:t>常用组合逻辑元件设计；</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5.4、</w:t>
      </w:r>
      <w:r>
        <w:rPr>
          <w:rFonts w:hint="eastAsia"/>
          <w:bCs/>
          <w:snapToGrid w:val="0"/>
          <w:kern w:val="0"/>
          <w:szCs w:val="21"/>
        </w:rPr>
        <w:t>能够熟练设计</w:t>
      </w:r>
      <w:r>
        <w:rPr>
          <w:rFonts w:hint="eastAsia" w:cs="宋体"/>
          <w:bCs/>
          <w:snapToGrid w:val="0"/>
          <w:kern w:val="0"/>
          <w:szCs w:val="21"/>
        </w:rPr>
        <w:t>常用时序逻辑元件设计；</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snapToGrid w:val="0"/>
          <w:kern w:val="0"/>
          <w:szCs w:val="21"/>
        </w:rPr>
      </w:pPr>
      <w:r>
        <w:rPr>
          <w:rFonts w:hint="eastAsia" w:cs="宋体"/>
          <w:bCs/>
          <w:snapToGrid w:val="0"/>
          <w:kern w:val="0"/>
          <w:szCs w:val="21"/>
        </w:rPr>
        <w:t>5.5、</w:t>
      </w:r>
      <w:r>
        <w:rPr>
          <w:rFonts w:hint="eastAsia"/>
          <w:bCs/>
          <w:snapToGrid w:val="0"/>
          <w:kern w:val="0"/>
          <w:szCs w:val="21"/>
        </w:rPr>
        <w:t>能够</w:t>
      </w:r>
      <w:r>
        <w:rPr>
          <w:bCs/>
          <w:snapToGrid w:val="0"/>
          <w:kern w:val="0"/>
          <w:szCs w:val="21"/>
        </w:rPr>
        <w:t>使用</w:t>
      </w:r>
      <w:r>
        <w:rPr>
          <w:rFonts w:hint="eastAsia" w:cs="宋体"/>
          <w:bCs/>
          <w:snapToGrid w:val="0"/>
          <w:kern w:val="0"/>
          <w:szCs w:val="21"/>
        </w:rPr>
        <w:t>计数器实现固定周期的时序设计。</w:t>
      </w:r>
      <w:r>
        <w:rPr>
          <w:rFonts w:hint="eastAsia" w:cs="宋体"/>
          <w:snapToGrid w:val="0"/>
          <w:kern w:val="0"/>
          <w:szCs w:val="21"/>
        </w:rPr>
        <w:t>（重点，难点）</w:t>
      </w:r>
    </w:p>
    <w:p>
      <w:pPr>
        <w:widowControl/>
        <w:tabs>
          <w:tab w:val="left" w:pos="900"/>
        </w:tabs>
        <w:adjustRightInd w:val="0"/>
        <w:snapToGrid w:val="0"/>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widowControl/>
        <w:adjustRightInd w:val="0"/>
        <w:snapToGrid w:val="0"/>
        <w:spacing w:line="360" w:lineRule="auto"/>
        <w:ind w:left="426"/>
        <w:jc w:val="left"/>
        <w:rPr>
          <w:rFonts w:eastAsia="黑体"/>
          <w:snapToGrid w:val="0"/>
          <w:kern w:val="0"/>
          <w:szCs w:val="21"/>
        </w:rPr>
      </w:pPr>
      <w:r>
        <w:rPr>
          <w:rFonts w:hint="eastAsia" w:eastAsia="黑体"/>
          <w:snapToGrid w:val="0"/>
          <w:kern w:val="0"/>
          <w:szCs w:val="21"/>
        </w:rPr>
        <w:t>6</w:t>
      </w:r>
      <w:r>
        <w:rPr>
          <w:rFonts w:hint="eastAsia" w:eastAsia="黑体" w:cs="宋体"/>
          <w:snapToGrid w:val="0"/>
          <w:kern w:val="0"/>
          <w:szCs w:val="21"/>
        </w:rPr>
        <w:t>状态机设计（4学时）</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6.1、状态机的基本概念、基本结构、表示方法和设计步骤；</w:t>
      </w:r>
      <w:r>
        <w:rPr>
          <w:rFonts w:hint="eastAsia" w:cs="宋体"/>
          <w:snapToGrid w:val="0"/>
          <w:kern w:val="0"/>
          <w:szCs w:val="21"/>
        </w:rPr>
        <w:t>（重点）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6.2、</w:t>
      </w:r>
      <w:r>
        <w:rPr>
          <w:rFonts w:hint="eastAsia"/>
          <w:bCs/>
          <w:snapToGrid w:val="0"/>
          <w:kern w:val="0"/>
          <w:szCs w:val="21"/>
        </w:rPr>
        <w:t>能够熟练使用</w:t>
      </w:r>
      <w:r>
        <w:rPr>
          <w:bCs/>
          <w:snapToGrid w:val="0"/>
          <w:kern w:val="0"/>
          <w:szCs w:val="21"/>
        </w:rPr>
        <w:t>单进程状态机设计</w:t>
      </w:r>
      <w:r>
        <w:rPr>
          <w:rFonts w:hint="eastAsia"/>
          <w:bCs/>
          <w:snapToGrid w:val="0"/>
          <w:kern w:val="0"/>
          <w:szCs w:val="21"/>
        </w:rPr>
        <w:t>时序</w:t>
      </w:r>
      <w:r>
        <w:rPr>
          <w:rFonts w:hint="eastAsia" w:cs="宋体"/>
          <w:bCs/>
          <w:snapToGrid w:val="0"/>
          <w:kern w:val="0"/>
          <w:szCs w:val="21"/>
        </w:rPr>
        <w:t>；</w:t>
      </w:r>
      <w:r>
        <w:rPr>
          <w:rFonts w:hint="eastAsia" w:cs="宋体"/>
          <w:snapToGrid w:val="0"/>
          <w:kern w:val="0"/>
          <w:szCs w:val="21"/>
        </w:rPr>
        <w:t>（重点，难点）</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6.3、状态机的复位和信号输出方式。</w:t>
      </w:r>
    </w:p>
    <w:p>
      <w:pPr>
        <w:widowControl/>
        <w:tabs>
          <w:tab w:val="left" w:pos="900"/>
        </w:tabs>
        <w:adjustRightInd w:val="0"/>
        <w:snapToGrid w:val="0"/>
        <w:spacing w:line="360" w:lineRule="auto"/>
        <w:ind w:left="426"/>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widowControl/>
        <w:adjustRightInd w:val="0"/>
        <w:snapToGrid w:val="0"/>
        <w:spacing w:line="360" w:lineRule="auto"/>
        <w:ind w:left="426"/>
        <w:jc w:val="left"/>
        <w:rPr>
          <w:rFonts w:cs="宋体"/>
          <w:bCs/>
          <w:snapToGrid w:val="0"/>
          <w:kern w:val="0"/>
          <w:szCs w:val="21"/>
        </w:rPr>
      </w:pPr>
      <w:r>
        <w:rPr>
          <w:rFonts w:hint="eastAsia" w:eastAsia="黑体"/>
          <w:snapToGrid w:val="0"/>
          <w:kern w:val="0"/>
          <w:szCs w:val="21"/>
        </w:rPr>
        <w:t>7综合性设计</w:t>
      </w:r>
      <w:r>
        <w:rPr>
          <w:rFonts w:hint="eastAsia" w:eastAsia="黑体" w:cs="宋体"/>
          <w:snapToGrid w:val="0"/>
          <w:kern w:val="0"/>
          <w:szCs w:val="21"/>
        </w:rPr>
        <w:t>（6学时）</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7.1、时序逻辑电路设计中的同步控制设计思路；</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7.2、初步了解使用可编程逻辑器件对工程性问题的顶层开发原理和思路；</w:t>
      </w:r>
    </w:p>
    <w:p>
      <w:pPr>
        <w:widowControl/>
        <w:tabs>
          <w:tab w:val="left" w:pos="900"/>
        </w:tabs>
        <w:adjustRightInd w:val="0"/>
        <w:snapToGrid w:val="0"/>
        <w:spacing w:line="360" w:lineRule="auto"/>
        <w:ind w:left="426"/>
        <w:jc w:val="left"/>
        <w:rPr>
          <w:rFonts w:cs="宋体"/>
          <w:bCs/>
          <w:snapToGrid w:val="0"/>
          <w:kern w:val="0"/>
          <w:szCs w:val="21"/>
        </w:rPr>
      </w:pPr>
      <w:r>
        <w:rPr>
          <w:rFonts w:hint="eastAsia" w:cs="宋体"/>
          <w:bCs/>
          <w:snapToGrid w:val="0"/>
          <w:kern w:val="0"/>
          <w:szCs w:val="21"/>
        </w:rPr>
        <w:t>7.3、</w:t>
      </w:r>
      <w:r>
        <w:rPr>
          <w:rFonts w:hint="eastAsia"/>
          <w:bCs/>
          <w:snapToGrid w:val="0"/>
          <w:kern w:val="0"/>
          <w:szCs w:val="21"/>
        </w:rPr>
        <w:t>能够分析常用</w:t>
      </w:r>
      <w:r>
        <w:rPr>
          <w:bCs/>
          <w:snapToGrid w:val="0"/>
          <w:kern w:val="0"/>
          <w:szCs w:val="21"/>
        </w:rPr>
        <w:t>综合性实例</w:t>
      </w:r>
      <w:r>
        <w:rPr>
          <w:rFonts w:hint="eastAsia" w:cs="宋体"/>
          <w:bCs/>
          <w:snapToGrid w:val="0"/>
          <w:kern w:val="0"/>
          <w:szCs w:val="21"/>
        </w:rPr>
        <w:t>。</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是上机操作，要求保证上机条件，即具备常用的EDA软件工具；要求学生熟炼掌握至少1种常用EDA软件的使用方法；掌握在集成开发环境下排查常见语法错误和编译错误的方法；掌握使用实验箱验证逻辑设计的方法；亲自动手实现有代表性的组合逻辑元件和时序逻辑元件；预习并上机实现周期性时序控制和一般状态机时序控制。</w:t>
      </w:r>
    </w:p>
    <w:p>
      <w:pPr>
        <w:adjustRightInd w:val="0"/>
        <w:snapToGrid w:val="0"/>
        <w:spacing w:line="360" w:lineRule="auto"/>
        <w:ind w:firstLine="420" w:firstLineChars="200"/>
        <w:rPr>
          <w:rFonts w:cs="宋体"/>
          <w:kern w:val="0"/>
          <w:szCs w:val="21"/>
        </w:rPr>
      </w:pPr>
      <w:r>
        <w:rPr>
          <w:rFonts w:hint="eastAsia" w:cs="宋体"/>
          <w:kern w:val="0"/>
          <w:szCs w:val="21"/>
        </w:rPr>
        <w:t>16个学时共完成7个实验，前6个为正常课内实验，最后1个实验为分组实验，需要学生在课外补充一些时间来完成。分配2学时用来讲解分组实验要求并进行指导，学生课外完成后，再分配2学时组织讨论与检查。</w:t>
      </w:r>
    </w:p>
    <w:p>
      <w:pPr>
        <w:adjustRightInd w:val="0"/>
        <w:snapToGrid w:val="0"/>
        <w:spacing w:line="360" w:lineRule="auto"/>
        <w:ind w:firstLine="420" w:firstLineChars="200"/>
        <w:rPr>
          <w:rFonts w:cs="宋体"/>
          <w:kern w:val="0"/>
          <w:szCs w:val="21"/>
        </w:rPr>
      </w:pPr>
      <w:r>
        <w:rPr>
          <w:rFonts w:hint="eastAsia" w:cs="宋体"/>
          <w:kern w:val="0"/>
          <w:szCs w:val="21"/>
        </w:rPr>
        <w:t>在实验过程中要注重培养学生的诚信意识、创新意识和坚持精神等，通过实验使学生能够理论联系实际，灵活运用所学知识，严谨认真，精益求精，养成良好的设计习惯。</w:t>
      </w:r>
    </w:p>
    <w:p>
      <w:pPr>
        <w:widowControl/>
        <w:adjustRightInd w:val="0"/>
        <w:snapToGrid w:val="0"/>
        <w:spacing w:line="360" w:lineRule="auto"/>
        <w:ind w:firstLine="420" w:firstLineChars="200"/>
        <w:jc w:val="left"/>
        <w:rPr>
          <w:rFonts w:cs="宋体"/>
          <w:kern w:val="0"/>
          <w:szCs w:val="21"/>
        </w:rPr>
      </w:pPr>
      <w:r>
        <w:rPr>
          <w:rFonts w:hint="eastAsia" w:eastAsia="黑体" w:cs="宋体"/>
          <w:snapToGrid w:val="0"/>
          <w:kern w:val="0"/>
          <w:szCs w:val="21"/>
        </w:rPr>
        <w:t>实验一用</w:t>
      </w:r>
      <w:r>
        <w:rPr>
          <w:rFonts w:hint="eastAsia" w:eastAsia="黑体"/>
          <w:szCs w:val="21"/>
        </w:rPr>
        <w:t>硬件描述语言</w:t>
      </w:r>
      <w:r>
        <w:rPr>
          <w:rFonts w:hint="eastAsia" w:eastAsia="黑体" w:cs="宋体"/>
          <w:kern w:val="0"/>
          <w:szCs w:val="21"/>
        </w:rPr>
        <w:t>的</w:t>
      </w:r>
      <w:r>
        <w:rPr>
          <w:rFonts w:hint="eastAsia" w:eastAsia="黑体" w:cs="宋体"/>
          <w:snapToGrid w:val="0"/>
          <w:kern w:val="0"/>
          <w:szCs w:val="21"/>
        </w:rPr>
        <w:t>方法</w:t>
      </w:r>
      <w:r>
        <w:rPr>
          <w:rFonts w:hint="eastAsia" w:eastAsia="黑体"/>
          <w:szCs w:val="21"/>
        </w:rPr>
        <w:t>设计一个三-八译码器（2学时）</w:t>
      </w:r>
    </w:p>
    <w:p>
      <w:pPr>
        <w:widowControl/>
        <w:adjustRightInd w:val="0"/>
        <w:snapToGrid w:val="0"/>
        <w:spacing w:line="360" w:lineRule="auto"/>
        <w:ind w:firstLine="420" w:firstLineChars="200"/>
        <w:rPr>
          <w:szCs w:val="21"/>
        </w:rPr>
      </w:pPr>
      <w:r>
        <w:rPr>
          <w:rFonts w:hint="eastAsia" w:cs="宋体"/>
          <w:kern w:val="0"/>
          <w:szCs w:val="21"/>
        </w:rPr>
        <w:t>内容：</w:t>
      </w:r>
      <w:r>
        <w:rPr>
          <w:rFonts w:hint="eastAsia" w:cs="宋体"/>
          <w:snapToGrid w:val="0"/>
          <w:kern w:val="0"/>
          <w:szCs w:val="21"/>
        </w:rPr>
        <w:t>通过</w:t>
      </w:r>
      <w:r>
        <w:rPr>
          <w:rFonts w:hint="eastAsia"/>
          <w:szCs w:val="21"/>
        </w:rPr>
        <w:t>三-八译码器</w:t>
      </w:r>
      <w:r>
        <w:rPr>
          <w:rFonts w:hint="eastAsia" w:cs="宋体"/>
          <w:snapToGrid w:val="0"/>
          <w:kern w:val="0"/>
          <w:szCs w:val="21"/>
        </w:rPr>
        <w:t>的设计熟悉可编程逻辑器件开发软件的开发环境，掌握用</w:t>
      </w:r>
      <w:r>
        <w:rPr>
          <w:rFonts w:hint="eastAsia"/>
          <w:szCs w:val="21"/>
        </w:rPr>
        <w:t>硬件描述语言进行逻辑电路</w:t>
      </w:r>
      <w:r>
        <w:rPr>
          <w:rFonts w:hint="eastAsia" w:cs="宋体"/>
          <w:snapToGrid w:val="0"/>
          <w:kern w:val="0"/>
          <w:szCs w:val="21"/>
        </w:rPr>
        <w:t>设计的操作流程，熟悉</w:t>
      </w:r>
      <w:r>
        <w:rPr>
          <w:rFonts w:hint="eastAsia"/>
          <w:szCs w:val="21"/>
        </w:rPr>
        <w:t xml:space="preserve">Quartus </w:t>
      </w:r>
      <w:r>
        <w:rPr>
          <w:rFonts w:hint="eastAsia" w:cs="宋体"/>
          <w:snapToGrid w:val="0"/>
          <w:kern w:val="0"/>
          <w:szCs w:val="21"/>
        </w:rPr>
        <w:t>II或ISE软件基本操作方法，掌握程序仿真操作流程。</w:t>
      </w:r>
      <w:r>
        <w:rPr>
          <w:rFonts w:hint="eastAsia"/>
          <w:szCs w:val="21"/>
        </w:rPr>
        <w:t>了解三-八译码器的功能，设计三-八译码器实现代码，通过软件进行电路的仿真和下载，最后在实验箱上实现设计的功能。</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kern w:val="0"/>
          <w:szCs w:val="21"/>
        </w:rPr>
      </w:pPr>
      <w:r>
        <w:rPr>
          <w:rFonts w:hint="eastAsia"/>
          <w:szCs w:val="21"/>
        </w:rPr>
        <w:t>1、</w:t>
      </w:r>
      <w:r>
        <w:rPr>
          <w:rFonts w:hint="eastAsia" w:cs="宋体"/>
          <w:kern w:val="0"/>
          <w:szCs w:val="21"/>
        </w:rPr>
        <w:t>掌握</w:t>
      </w:r>
      <w:r>
        <w:rPr>
          <w:rFonts w:hint="eastAsia"/>
          <w:szCs w:val="21"/>
        </w:rPr>
        <w:t xml:space="preserve">Quartus </w:t>
      </w:r>
      <w:r>
        <w:rPr>
          <w:rFonts w:hint="eastAsia" w:cs="宋体"/>
          <w:snapToGrid w:val="0"/>
          <w:kern w:val="0"/>
          <w:szCs w:val="21"/>
        </w:rPr>
        <w:t>II或ISE</w:t>
      </w:r>
      <w:r>
        <w:rPr>
          <w:rFonts w:hint="eastAsia"/>
          <w:szCs w:val="21"/>
        </w:rPr>
        <w:t>软件的基本操作与应用；</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2、掌握</w:t>
      </w:r>
      <w:r>
        <w:rPr>
          <w:rFonts w:hint="eastAsia"/>
          <w:szCs w:val="21"/>
        </w:rPr>
        <w:t>三-八译码器</w:t>
      </w:r>
      <w:r>
        <w:rPr>
          <w:rFonts w:hint="eastAsia" w:cs="宋体"/>
          <w:kern w:val="0"/>
          <w:szCs w:val="21"/>
        </w:rPr>
        <w:t>的功能；</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3、掌握设计组合逻辑电路——</w:t>
      </w:r>
      <w:r>
        <w:rPr>
          <w:rFonts w:hint="eastAsia"/>
          <w:szCs w:val="21"/>
        </w:rPr>
        <w:t>三-八译码器的方法</w:t>
      </w:r>
      <w:r>
        <w:rPr>
          <w:rFonts w:hint="eastAsia" w:cs="宋体"/>
          <w:kern w:val="0"/>
          <w:szCs w:val="21"/>
        </w:rPr>
        <w:t>，并进行</w:t>
      </w:r>
      <w:r>
        <w:rPr>
          <w:rFonts w:hint="eastAsia"/>
          <w:szCs w:val="21"/>
        </w:rPr>
        <w:t>电路的仿真和下载，最后在实验箱上实现三-八译码器</w:t>
      </w:r>
      <w:r>
        <w:rPr>
          <w:rFonts w:hint="eastAsia" w:cs="宋体"/>
          <w:kern w:val="0"/>
          <w:szCs w:val="21"/>
        </w:rPr>
        <w:t>的功能。</w:t>
      </w:r>
    </w:p>
    <w:p>
      <w:pPr>
        <w:widowControl/>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eastAsia="黑体" w:cs="宋体"/>
          <w:kern w:val="0"/>
          <w:szCs w:val="21"/>
        </w:rPr>
      </w:pPr>
      <w:r>
        <w:rPr>
          <w:rFonts w:hint="eastAsia" w:eastAsia="黑体" w:cs="宋体"/>
          <w:kern w:val="0"/>
          <w:szCs w:val="21"/>
        </w:rPr>
        <w:t>实验二</w:t>
      </w:r>
      <w:r>
        <w:rPr>
          <w:rFonts w:hint="eastAsia" w:eastAsia="黑体" w:cs="宋体"/>
          <w:snapToGrid w:val="0"/>
          <w:kern w:val="0"/>
          <w:szCs w:val="21"/>
        </w:rPr>
        <w:t>用</w:t>
      </w:r>
      <w:r>
        <w:rPr>
          <w:rFonts w:hint="eastAsia" w:eastAsia="黑体"/>
          <w:szCs w:val="21"/>
        </w:rPr>
        <w:t>硬件描述语言</w:t>
      </w:r>
      <w:r>
        <w:rPr>
          <w:rFonts w:hint="eastAsia" w:eastAsia="黑体" w:cs="宋体"/>
          <w:kern w:val="0"/>
          <w:szCs w:val="21"/>
        </w:rPr>
        <w:t>的</w:t>
      </w:r>
      <w:r>
        <w:rPr>
          <w:rFonts w:hint="eastAsia" w:eastAsia="黑体" w:cs="宋体"/>
          <w:snapToGrid w:val="0"/>
          <w:kern w:val="0"/>
          <w:szCs w:val="21"/>
        </w:rPr>
        <w:t>方法设计一个计数器</w:t>
      </w:r>
      <w:r>
        <w:rPr>
          <w:rFonts w:hint="eastAsia" w:eastAsia="黑体"/>
          <w:szCs w:val="21"/>
        </w:rPr>
        <w:t>（2学时）</w:t>
      </w:r>
    </w:p>
    <w:p>
      <w:pPr>
        <w:widowControl/>
        <w:adjustRightInd w:val="0"/>
        <w:snapToGrid w:val="0"/>
        <w:spacing w:line="360" w:lineRule="auto"/>
        <w:ind w:firstLine="420" w:firstLineChars="200"/>
        <w:jc w:val="left"/>
        <w:rPr>
          <w:szCs w:val="21"/>
        </w:rPr>
      </w:pPr>
      <w:r>
        <w:rPr>
          <w:rFonts w:hint="eastAsia" w:cs="宋体"/>
          <w:kern w:val="0"/>
          <w:szCs w:val="21"/>
        </w:rPr>
        <w:t>内容：</w:t>
      </w:r>
      <w:r>
        <w:rPr>
          <w:rFonts w:hint="eastAsia"/>
          <w:szCs w:val="21"/>
        </w:rPr>
        <w:t>了解</w:t>
      </w:r>
      <w:r>
        <w:rPr>
          <w:rFonts w:hint="eastAsia" w:cs="宋体"/>
          <w:kern w:val="0"/>
          <w:szCs w:val="21"/>
        </w:rPr>
        <w:t>计数器</w:t>
      </w:r>
      <w:r>
        <w:rPr>
          <w:rFonts w:hint="eastAsia"/>
          <w:szCs w:val="21"/>
        </w:rPr>
        <w:t>的功能，</w:t>
      </w:r>
      <w:r>
        <w:rPr>
          <w:rFonts w:hint="eastAsia" w:cs="宋体"/>
          <w:snapToGrid w:val="0"/>
          <w:kern w:val="0"/>
          <w:szCs w:val="21"/>
        </w:rPr>
        <w:t>掌握计数器在数字系统中的作用，掌握用</w:t>
      </w:r>
      <w:r>
        <w:rPr>
          <w:rFonts w:hint="eastAsia"/>
          <w:szCs w:val="21"/>
        </w:rPr>
        <w:t>硬件描述语言</w:t>
      </w:r>
      <w:r>
        <w:rPr>
          <w:rFonts w:hint="eastAsia" w:cs="宋体"/>
          <w:kern w:val="0"/>
          <w:szCs w:val="21"/>
        </w:rPr>
        <w:t>设计时序逻辑电路——</w:t>
      </w:r>
      <w:r>
        <w:rPr>
          <w:rFonts w:hint="eastAsia" w:cs="宋体"/>
          <w:snapToGrid w:val="0"/>
          <w:kern w:val="0"/>
          <w:szCs w:val="21"/>
        </w:rPr>
        <w:t>计数器的</w:t>
      </w:r>
      <w:r>
        <w:rPr>
          <w:rFonts w:hint="eastAsia" w:cs="宋体"/>
          <w:kern w:val="0"/>
          <w:szCs w:val="21"/>
        </w:rPr>
        <w:t>思路与方法</w:t>
      </w:r>
      <w:r>
        <w:rPr>
          <w:rFonts w:hint="eastAsia"/>
          <w:szCs w:val="21"/>
        </w:rPr>
        <w:t>，通过软件进行电路的仿真和下载，最后在实验箱上实现设计的功能。</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1、掌握计数器的功能和设计方法；</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2、掌握同步复位和异步复位的实现方法；</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3、掌握设计时序逻辑电路——计数器</w:t>
      </w:r>
      <w:r>
        <w:rPr>
          <w:rFonts w:hint="eastAsia"/>
          <w:szCs w:val="21"/>
        </w:rPr>
        <w:t>的方法</w:t>
      </w:r>
      <w:r>
        <w:rPr>
          <w:rFonts w:hint="eastAsia" w:cs="宋体"/>
          <w:kern w:val="0"/>
          <w:szCs w:val="21"/>
        </w:rPr>
        <w:t>，并进行</w:t>
      </w:r>
      <w:r>
        <w:rPr>
          <w:rFonts w:hint="eastAsia"/>
          <w:szCs w:val="21"/>
        </w:rPr>
        <w:t>电路的仿真和下载，最后在实验箱上实现</w:t>
      </w:r>
      <w:r>
        <w:rPr>
          <w:rFonts w:hint="eastAsia" w:cs="宋体"/>
          <w:kern w:val="0"/>
          <w:szCs w:val="21"/>
        </w:rPr>
        <w:t>计数器的功能。</w:t>
      </w:r>
    </w:p>
    <w:p>
      <w:pPr>
        <w:widowControl/>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eastAsia="黑体"/>
          <w:szCs w:val="21"/>
        </w:rPr>
      </w:pPr>
      <w:r>
        <w:rPr>
          <w:rFonts w:hint="eastAsia" w:eastAsia="黑体" w:cs="宋体"/>
          <w:snapToGrid w:val="0"/>
          <w:kern w:val="0"/>
          <w:szCs w:val="21"/>
        </w:rPr>
        <w:t>实验三用</w:t>
      </w:r>
      <w:r>
        <w:rPr>
          <w:rFonts w:hint="eastAsia" w:eastAsia="黑体"/>
          <w:szCs w:val="21"/>
        </w:rPr>
        <w:t>硬件描述语言</w:t>
      </w:r>
      <w:r>
        <w:rPr>
          <w:rFonts w:hint="eastAsia" w:eastAsia="黑体" w:cs="宋体"/>
          <w:kern w:val="0"/>
          <w:szCs w:val="21"/>
        </w:rPr>
        <w:t>的</w:t>
      </w:r>
      <w:r>
        <w:rPr>
          <w:rFonts w:hint="eastAsia" w:eastAsia="黑体" w:cs="宋体"/>
          <w:snapToGrid w:val="0"/>
          <w:kern w:val="0"/>
          <w:szCs w:val="21"/>
        </w:rPr>
        <w:t>方法</w:t>
      </w:r>
      <w:r>
        <w:rPr>
          <w:rFonts w:hint="eastAsia" w:eastAsia="黑体"/>
          <w:szCs w:val="21"/>
        </w:rPr>
        <w:t>设计一个分频器</w:t>
      </w:r>
      <w:r>
        <w:rPr>
          <w:rFonts w:hint="eastAsia" w:eastAsia="黑体" w:cs="宋体"/>
          <w:snapToGrid w:val="0"/>
          <w:kern w:val="0"/>
          <w:szCs w:val="21"/>
        </w:rPr>
        <w:t>（2学时）</w:t>
      </w:r>
    </w:p>
    <w:p>
      <w:pPr>
        <w:widowControl/>
        <w:adjustRightInd w:val="0"/>
        <w:snapToGrid w:val="0"/>
        <w:spacing w:line="360" w:lineRule="auto"/>
        <w:ind w:firstLine="420" w:firstLineChars="200"/>
        <w:jc w:val="left"/>
        <w:rPr>
          <w:szCs w:val="21"/>
        </w:rPr>
      </w:pPr>
      <w:r>
        <w:rPr>
          <w:rFonts w:hint="eastAsia" w:cs="宋体"/>
          <w:kern w:val="0"/>
          <w:szCs w:val="21"/>
        </w:rPr>
        <w:t>内容：</w:t>
      </w:r>
      <w:r>
        <w:rPr>
          <w:rFonts w:hint="eastAsia"/>
          <w:szCs w:val="21"/>
        </w:rPr>
        <w:t>了解</w:t>
      </w:r>
      <w:r>
        <w:rPr>
          <w:rFonts w:hint="eastAsia" w:cs="宋体"/>
          <w:snapToGrid w:val="0"/>
          <w:kern w:val="0"/>
          <w:szCs w:val="21"/>
        </w:rPr>
        <w:t>分频器</w:t>
      </w:r>
      <w:r>
        <w:rPr>
          <w:rFonts w:hint="eastAsia"/>
          <w:szCs w:val="21"/>
        </w:rPr>
        <w:t>的功能，</w:t>
      </w:r>
      <w:r>
        <w:rPr>
          <w:rFonts w:hint="eastAsia" w:cs="宋体"/>
          <w:snapToGrid w:val="0"/>
          <w:kern w:val="0"/>
          <w:szCs w:val="21"/>
        </w:rPr>
        <w:t>掌握分频器在数字系统中的作用，掌握用</w:t>
      </w:r>
      <w:r>
        <w:rPr>
          <w:rFonts w:hint="eastAsia"/>
          <w:szCs w:val="21"/>
        </w:rPr>
        <w:t>硬件描述语言</w:t>
      </w:r>
      <w:r>
        <w:rPr>
          <w:rFonts w:hint="eastAsia" w:cs="宋体"/>
          <w:kern w:val="0"/>
          <w:szCs w:val="21"/>
        </w:rPr>
        <w:t>设计时序逻辑电路——</w:t>
      </w:r>
      <w:r>
        <w:rPr>
          <w:rFonts w:hint="eastAsia" w:cs="宋体"/>
          <w:snapToGrid w:val="0"/>
          <w:kern w:val="0"/>
          <w:szCs w:val="21"/>
        </w:rPr>
        <w:t>分频器的</w:t>
      </w:r>
      <w:r>
        <w:rPr>
          <w:rFonts w:hint="eastAsia" w:cs="宋体"/>
          <w:kern w:val="0"/>
          <w:szCs w:val="21"/>
        </w:rPr>
        <w:t>思路与方法</w:t>
      </w:r>
      <w:r>
        <w:rPr>
          <w:rFonts w:hint="eastAsia"/>
          <w:szCs w:val="21"/>
        </w:rPr>
        <w:t>，通过软件进行电路的仿真和下载，最后在实验箱上实现设计的功能。</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snapToGrid w:val="0"/>
          <w:kern w:val="0"/>
          <w:szCs w:val="21"/>
        </w:rPr>
      </w:pPr>
      <w:r>
        <w:rPr>
          <w:rFonts w:hint="eastAsia" w:cs="宋体"/>
          <w:kern w:val="0"/>
          <w:szCs w:val="21"/>
        </w:rPr>
        <w:t>1、掌握</w:t>
      </w:r>
      <w:r>
        <w:rPr>
          <w:rFonts w:hint="eastAsia" w:cs="宋体"/>
          <w:snapToGrid w:val="0"/>
          <w:kern w:val="0"/>
          <w:szCs w:val="21"/>
        </w:rPr>
        <w:t>分频器的基本概念和在数字系统中所起的作用；</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2、掌握</w:t>
      </w:r>
      <w:r>
        <w:rPr>
          <w:rFonts w:hint="eastAsia" w:cs="宋体"/>
          <w:snapToGrid w:val="0"/>
          <w:kern w:val="0"/>
          <w:szCs w:val="21"/>
        </w:rPr>
        <w:t>偶数分频器、奇数分频器</w:t>
      </w:r>
      <w:r>
        <w:rPr>
          <w:rFonts w:hint="eastAsia" w:cs="宋体"/>
          <w:kern w:val="0"/>
          <w:szCs w:val="21"/>
        </w:rPr>
        <w:t>的功能和设计方法；</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3、</w:t>
      </w:r>
      <w:r>
        <w:rPr>
          <w:rFonts w:hint="eastAsia" w:cs="宋体"/>
          <w:snapToGrid w:val="0"/>
          <w:kern w:val="0"/>
          <w:szCs w:val="21"/>
        </w:rPr>
        <w:t>用</w:t>
      </w:r>
      <w:r>
        <w:rPr>
          <w:rFonts w:hint="eastAsia"/>
          <w:szCs w:val="21"/>
        </w:rPr>
        <w:t>硬件描述语言</w:t>
      </w:r>
      <w:r>
        <w:rPr>
          <w:rFonts w:hint="eastAsia" w:cs="宋体"/>
          <w:kern w:val="0"/>
          <w:szCs w:val="21"/>
        </w:rPr>
        <w:t>的设计方法设计分频器——</w:t>
      </w:r>
      <w:r>
        <w:rPr>
          <w:rFonts w:hint="eastAsia" w:cs="宋体"/>
          <w:snapToGrid w:val="0"/>
          <w:kern w:val="0"/>
          <w:szCs w:val="21"/>
        </w:rPr>
        <w:t>偶数分频器和奇数分频器；</w:t>
      </w:r>
    </w:p>
    <w:p>
      <w:pPr>
        <w:widowControl/>
        <w:tabs>
          <w:tab w:val="left" w:pos="720"/>
        </w:tabs>
        <w:adjustRightInd w:val="0"/>
        <w:snapToGrid w:val="0"/>
        <w:spacing w:line="360" w:lineRule="auto"/>
        <w:ind w:firstLine="420" w:firstLineChars="200"/>
        <w:jc w:val="left"/>
        <w:rPr>
          <w:rFonts w:cs="宋体"/>
          <w:snapToGrid w:val="0"/>
          <w:kern w:val="0"/>
          <w:szCs w:val="21"/>
        </w:rPr>
      </w:pPr>
      <w:r>
        <w:rPr>
          <w:rFonts w:hint="eastAsia" w:cs="宋体"/>
          <w:kern w:val="0"/>
          <w:szCs w:val="21"/>
        </w:rPr>
        <w:t>4、</w:t>
      </w:r>
      <w:r>
        <w:rPr>
          <w:rFonts w:hint="eastAsia" w:cs="宋体"/>
          <w:snapToGrid w:val="0"/>
          <w:kern w:val="0"/>
          <w:szCs w:val="21"/>
        </w:rPr>
        <w:t>将编写好的</w:t>
      </w:r>
      <w:r>
        <w:rPr>
          <w:rFonts w:hint="eastAsia"/>
          <w:szCs w:val="21"/>
        </w:rPr>
        <w:t>硬件描述语言</w:t>
      </w:r>
      <w:r>
        <w:rPr>
          <w:rFonts w:hint="eastAsia" w:cs="宋体"/>
          <w:snapToGrid w:val="0"/>
          <w:kern w:val="0"/>
          <w:szCs w:val="21"/>
        </w:rPr>
        <w:t>程序进行仿真。</w:t>
      </w:r>
    </w:p>
    <w:p>
      <w:pPr>
        <w:widowControl/>
        <w:tabs>
          <w:tab w:val="left" w:pos="720"/>
        </w:tabs>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cs="宋体"/>
          <w:kern w:val="0"/>
          <w:szCs w:val="21"/>
        </w:rPr>
      </w:pPr>
      <w:r>
        <w:rPr>
          <w:rFonts w:hint="eastAsia" w:eastAsia="黑体" w:cs="宋体"/>
          <w:snapToGrid w:val="0"/>
          <w:kern w:val="0"/>
          <w:szCs w:val="21"/>
        </w:rPr>
        <w:t>实验四用</w:t>
      </w:r>
      <w:r>
        <w:rPr>
          <w:rFonts w:hint="eastAsia" w:eastAsia="黑体"/>
          <w:szCs w:val="21"/>
        </w:rPr>
        <w:t>硬件描述语言</w:t>
      </w:r>
      <w:r>
        <w:rPr>
          <w:rFonts w:hint="eastAsia" w:eastAsia="黑体" w:cs="宋体"/>
          <w:kern w:val="0"/>
          <w:szCs w:val="21"/>
        </w:rPr>
        <w:t>的</w:t>
      </w:r>
      <w:r>
        <w:rPr>
          <w:rFonts w:hint="eastAsia" w:eastAsia="黑体" w:cs="宋体"/>
          <w:snapToGrid w:val="0"/>
          <w:kern w:val="0"/>
          <w:szCs w:val="21"/>
        </w:rPr>
        <w:t>方法</w:t>
      </w:r>
      <w:r>
        <w:rPr>
          <w:rFonts w:hint="eastAsia" w:eastAsia="黑体"/>
          <w:szCs w:val="21"/>
        </w:rPr>
        <w:t>设计一个状态机（2学时）</w:t>
      </w:r>
    </w:p>
    <w:p>
      <w:pPr>
        <w:widowControl/>
        <w:adjustRightInd w:val="0"/>
        <w:snapToGrid w:val="0"/>
        <w:spacing w:line="360" w:lineRule="auto"/>
        <w:ind w:firstLine="420" w:firstLineChars="200"/>
        <w:rPr>
          <w:szCs w:val="21"/>
        </w:rPr>
      </w:pPr>
      <w:r>
        <w:rPr>
          <w:rFonts w:hint="eastAsia" w:cs="宋体"/>
          <w:kern w:val="0"/>
          <w:szCs w:val="21"/>
        </w:rPr>
        <w:t>内容：</w:t>
      </w:r>
      <w:r>
        <w:rPr>
          <w:rFonts w:hint="eastAsia"/>
          <w:szCs w:val="21"/>
        </w:rPr>
        <w:t>理解并</w:t>
      </w:r>
      <w:r>
        <w:rPr>
          <w:rFonts w:hint="eastAsia" w:cs="宋体"/>
          <w:snapToGrid w:val="0"/>
          <w:kern w:val="0"/>
          <w:szCs w:val="21"/>
        </w:rPr>
        <w:t>掌握状态机</w:t>
      </w:r>
      <w:r>
        <w:rPr>
          <w:rFonts w:hint="eastAsia"/>
          <w:szCs w:val="21"/>
        </w:rPr>
        <w:t>的功能和特点，</w:t>
      </w:r>
      <w:r>
        <w:rPr>
          <w:rFonts w:hint="eastAsia" w:cs="宋体"/>
          <w:snapToGrid w:val="0"/>
          <w:kern w:val="0"/>
          <w:szCs w:val="21"/>
        </w:rPr>
        <w:t>掌握用</w:t>
      </w:r>
      <w:r>
        <w:rPr>
          <w:rFonts w:hint="eastAsia"/>
          <w:szCs w:val="21"/>
        </w:rPr>
        <w:t>硬件描述语言</w:t>
      </w:r>
      <w:r>
        <w:rPr>
          <w:rFonts w:hint="eastAsia" w:cs="宋体"/>
          <w:kern w:val="0"/>
          <w:szCs w:val="21"/>
        </w:rPr>
        <w:t>设计</w:t>
      </w:r>
      <w:r>
        <w:rPr>
          <w:rFonts w:hint="eastAsia" w:cs="宋体"/>
          <w:snapToGrid w:val="0"/>
          <w:kern w:val="0"/>
          <w:szCs w:val="21"/>
        </w:rPr>
        <w:t>状态机的</w:t>
      </w:r>
      <w:r>
        <w:rPr>
          <w:rFonts w:hint="eastAsia" w:cs="宋体"/>
          <w:kern w:val="0"/>
          <w:szCs w:val="21"/>
        </w:rPr>
        <w:t>思路与方法</w:t>
      </w:r>
      <w:r>
        <w:rPr>
          <w:rFonts w:hint="eastAsia"/>
          <w:szCs w:val="21"/>
        </w:rPr>
        <w:t>，通过软件进行电路的仿真和下载，最后在实验箱上实现设计的功能。</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kern w:val="0"/>
          <w:szCs w:val="21"/>
        </w:rPr>
      </w:pPr>
      <w:r>
        <w:rPr>
          <w:rFonts w:hint="eastAsia" w:cs="宋体"/>
          <w:snapToGrid w:val="0"/>
          <w:kern w:val="0"/>
          <w:szCs w:val="21"/>
        </w:rPr>
        <w:t>1、掌握状态机</w:t>
      </w:r>
      <w:r>
        <w:rPr>
          <w:rFonts w:hint="eastAsia"/>
          <w:szCs w:val="21"/>
        </w:rPr>
        <w:t>的功能和特点；</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2、</w:t>
      </w:r>
      <w:r>
        <w:rPr>
          <w:rFonts w:hint="eastAsia" w:cs="宋体"/>
          <w:snapToGrid w:val="0"/>
          <w:kern w:val="0"/>
          <w:szCs w:val="21"/>
        </w:rPr>
        <w:t>掌握用</w:t>
      </w:r>
      <w:r>
        <w:rPr>
          <w:rFonts w:hint="eastAsia"/>
          <w:szCs w:val="21"/>
        </w:rPr>
        <w:t>硬件描述语言</w:t>
      </w:r>
      <w:r>
        <w:rPr>
          <w:rFonts w:hint="eastAsia" w:cs="宋体"/>
          <w:kern w:val="0"/>
          <w:szCs w:val="21"/>
        </w:rPr>
        <w:t>设计</w:t>
      </w:r>
      <w:r>
        <w:rPr>
          <w:rFonts w:hint="eastAsia" w:cs="宋体"/>
          <w:snapToGrid w:val="0"/>
          <w:kern w:val="0"/>
          <w:szCs w:val="21"/>
        </w:rPr>
        <w:t>状态机的</w:t>
      </w:r>
      <w:r>
        <w:rPr>
          <w:rFonts w:hint="eastAsia" w:cs="宋体"/>
          <w:kern w:val="0"/>
          <w:szCs w:val="21"/>
        </w:rPr>
        <w:t>方法；</w:t>
      </w:r>
    </w:p>
    <w:p>
      <w:pPr>
        <w:widowControl/>
        <w:adjustRightInd w:val="0"/>
        <w:snapToGrid w:val="0"/>
        <w:spacing w:line="360" w:lineRule="auto"/>
        <w:ind w:firstLine="420" w:firstLineChars="200"/>
        <w:jc w:val="left"/>
        <w:rPr>
          <w:rFonts w:cs="宋体"/>
          <w:snapToGrid w:val="0"/>
          <w:kern w:val="0"/>
          <w:szCs w:val="21"/>
        </w:rPr>
      </w:pPr>
      <w:r>
        <w:rPr>
          <w:rFonts w:hint="eastAsia" w:cs="宋体"/>
          <w:kern w:val="0"/>
          <w:szCs w:val="21"/>
        </w:rPr>
        <w:t>3、</w:t>
      </w:r>
      <w:r>
        <w:rPr>
          <w:rFonts w:hint="eastAsia" w:cs="宋体"/>
          <w:snapToGrid w:val="0"/>
          <w:kern w:val="0"/>
          <w:szCs w:val="21"/>
        </w:rPr>
        <w:t>将编写好的</w:t>
      </w:r>
      <w:r>
        <w:rPr>
          <w:rFonts w:hint="eastAsia"/>
          <w:szCs w:val="21"/>
        </w:rPr>
        <w:t>硬件描述语言</w:t>
      </w:r>
      <w:r>
        <w:rPr>
          <w:rFonts w:hint="eastAsia" w:cs="宋体"/>
          <w:snapToGrid w:val="0"/>
          <w:kern w:val="0"/>
          <w:szCs w:val="21"/>
        </w:rPr>
        <w:t>程序进行仿真。</w:t>
      </w:r>
    </w:p>
    <w:p>
      <w:pPr>
        <w:widowControl/>
        <w:adjustRightInd w:val="0"/>
        <w:snapToGrid w:val="0"/>
        <w:spacing w:line="360" w:lineRule="auto"/>
        <w:ind w:firstLine="420" w:firstLineChars="200"/>
        <w:jc w:val="left"/>
        <w:rPr>
          <w:rFonts w:cs="宋体"/>
          <w:snapToGrid w:val="0"/>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eastAsia="黑体" w:cs="宋体"/>
          <w:kern w:val="0"/>
          <w:szCs w:val="21"/>
        </w:rPr>
      </w:pPr>
      <w:r>
        <w:rPr>
          <w:rFonts w:hint="eastAsia" w:eastAsia="黑体" w:cs="宋体"/>
          <w:snapToGrid w:val="0"/>
          <w:kern w:val="0"/>
          <w:szCs w:val="21"/>
        </w:rPr>
        <w:t>实验五利用可编程逻辑器件进行</w:t>
      </w:r>
      <w:r>
        <w:rPr>
          <w:rFonts w:hint="eastAsia" w:eastAsia="黑体"/>
          <w:bCs/>
          <w:szCs w:val="21"/>
        </w:rPr>
        <w:t>7段</w:t>
      </w:r>
      <w:r>
        <w:rPr>
          <w:rFonts w:hint="eastAsia" w:eastAsia="黑体" w:cs="宋体"/>
          <w:snapToGrid w:val="0"/>
          <w:kern w:val="0"/>
          <w:szCs w:val="21"/>
        </w:rPr>
        <w:t>数码管控制接口的设计（2学时）</w:t>
      </w:r>
    </w:p>
    <w:p>
      <w:pPr>
        <w:adjustRightInd w:val="0"/>
        <w:snapToGrid w:val="0"/>
        <w:spacing w:line="360" w:lineRule="auto"/>
        <w:ind w:firstLine="420" w:firstLineChars="200"/>
        <w:rPr>
          <w:szCs w:val="21"/>
        </w:rPr>
      </w:pPr>
      <w:r>
        <w:rPr>
          <w:rFonts w:hint="eastAsia" w:cs="宋体"/>
          <w:kern w:val="0"/>
          <w:szCs w:val="21"/>
        </w:rPr>
        <w:t>内容：</w:t>
      </w:r>
      <w:r>
        <w:rPr>
          <w:rFonts w:hint="eastAsia"/>
          <w:szCs w:val="21"/>
        </w:rPr>
        <w:t>了解</w:t>
      </w:r>
      <w:r>
        <w:rPr>
          <w:rFonts w:hint="eastAsia"/>
          <w:bCs/>
          <w:szCs w:val="21"/>
        </w:rPr>
        <w:t>7段数码管</w:t>
      </w:r>
      <w:r>
        <w:rPr>
          <w:rFonts w:hint="eastAsia"/>
          <w:szCs w:val="21"/>
        </w:rPr>
        <w:t>的功能和</w:t>
      </w:r>
      <w:r>
        <w:rPr>
          <w:rFonts w:hint="eastAsia"/>
          <w:bCs/>
          <w:szCs w:val="21"/>
        </w:rPr>
        <w:t>7段数码管</w:t>
      </w:r>
      <w:r>
        <w:rPr>
          <w:rFonts w:hint="eastAsia" w:cs="宋体"/>
          <w:snapToGrid w:val="0"/>
          <w:kern w:val="0"/>
          <w:szCs w:val="21"/>
        </w:rPr>
        <w:t>控制接口的设计方法</w:t>
      </w:r>
      <w:r>
        <w:rPr>
          <w:rFonts w:hint="eastAsia"/>
          <w:szCs w:val="21"/>
        </w:rPr>
        <w:t>，用VHDL语言设计</w:t>
      </w:r>
      <w:r>
        <w:rPr>
          <w:rFonts w:hint="eastAsia" w:cs="宋体"/>
          <w:snapToGrid w:val="0"/>
          <w:kern w:val="0"/>
          <w:szCs w:val="21"/>
        </w:rPr>
        <w:t>控制</w:t>
      </w:r>
      <w:r>
        <w:rPr>
          <w:rFonts w:hint="eastAsia"/>
          <w:bCs/>
          <w:szCs w:val="21"/>
        </w:rPr>
        <w:t>7段数码管</w:t>
      </w:r>
      <w:r>
        <w:rPr>
          <w:rFonts w:hint="eastAsia" w:cs="宋体"/>
          <w:snapToGrid w:val="0"/>
          <w:kern w:val="0"/>
          <w:szCs w:val="21"/>
        </w:rPr>
        <w:t>的接口</w:t>
      </w:r>
      <w:r>
        <w:rPr>
          <w:rFonts w:hint="eastAsia"/>
          <w:szCs w:val="21"/>
        </w:rPr>
        <w:t>电路，通过软件进行电路的仿真和下载，最后在实验箱上实现设计的功能。</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1、掌握</w:t>
      </w:r>
      <w:r>
        <w:rPr>
          <w:rFonts w:hint="eastAsia"/>
          <w:bCs/>
          <w:szCs w:val="21"/>
        </w:rPr>
        <w:t>7段数码管</w:t>
      </w:r>
      <w:r>
        <w:rPr>
          <w:rFonts w:hint="eastAsia"/>
          <w:szCs w:val="21"/>
        </w:rPr>
        <w:t>的功能</w:t>
      </w:r>
      <w:r>
        <w:rPr>
          <w:rFonts w:hint="eastAsia" w:cs="宋体"/>
          <w:kern w:val="0"/>
          <w:szCs w:val="21"/>
        </w:rPr>
        <w:t>和</w:t>
      </w:r>
      <w:r>
        <w:rPr>
          <w:rFonts w:hint="eastAsia" w:cs="宋体"/>
          <w:snapToGrid w:val="0"/>
          <w:kern w:val="0"/>
          <w:szCs w:val="21"/>
        </w:rPr>
        <w:t>控制接口的</w:t>
      </w:r>
      <w:r>
        <w:rPr>
          <w:rFonts w:hint="eastAsia" w:cs="宋体"/>
          <w:kern w:val="0"/>
          <w:szCs w:val="21"/>
        </w:rPr>
        <w:t>设计方法；</w:t>
      </w:r>
    </w:p>
    <w:p>
      <w:pPr>
        <w:widowControl/>
        <w:tabs>
          <w:tab w:val="left" w:pos="720"/>
        </w:tabs>
        <w:adjustRightInd w:val="0"/>
        <w:snapToGrid w:val="0"/>
        <w:spacing w:line="360" w:lineRule="auto"/>
        <w:ind w:firstLine="420" w:firstLineChars="200"/>
        <w:jc w:val="left"/>
        <w:rPr>
          <w:rFonts w:cs="宋体"/>
          <w:kern w:val="0"/>
          <w:szCs w:val="21"/>
        </w:rPr>
      </w:pPr>
      <w:r>
        <w:rPr>
          <w:rFonts w:hint="eastAsia" w:cs="宋体"/>
          <w:kern w:val="0"/>
          <w:szCs w:val="21"/>
        </w:rPr>
        <w:t>2、掌握用</w:t>
      </w:r>
      <w:r>
        <w:rPr>
          <w:szCs w:val="21"/>
        </w:rPr>
        <w:t>VHDL</w:t>
      </w:r>
      <w:r>
        <w:rPr>
          <w:rFonts w:hint="eastAsia"/>
          <w:szCs w:val="21"/>
        </w:rPr>
        <w:t>语言的设计方法</w:t>
      </w:r>
      <w:r>
        <w:rPr>
          <w:rFonts w:hint="eastAsia" w:cs="宋体"/>
          <w:kern w:val="0"/>
          <w:szCs w:val="21"/>
        </w:rPr>
        <w:t>设计</w:t>
      </w:r>
      <w:r>
        <w:rPr>
          <w:rFonts w:hint="eastAsia"/>
          <w:bCs/>
          <w:szCs w:val="21"/>
        </w:rPr>
        <w:t>7段数码管</w:t>
      </w:r>
      <w:r>
        <w:rPr>
          <w:rFonts w:hint="eastAsia" w:cs="宋体"/>
          <w:snapToGrid w:val="0"/>
          <w:kern w:val="0"/>
          <w:szCs w:val="21"/>
        </w:rPr>
        <w:t>的控制接口，</w:t>
      </w:r>
      <w:r>
        <w:rPr>
          <w:rFonts w:hint="eastAsia" w:cs="宋体"/>
          <w:kern w:val="0"/>
          <w:szCs w:val="21"/>
        </w:rPr>
        <w:t>并进行</w:t>
      </w:r>
      <w:r>
        <w:rPr>
          <w:rFonts w:hint="eastAsia"/>
          <w:szCs w:val="21"/>
        </w:rPr>
        <w:t>电路的仿真和下载，最后在实验箱上实现</w:t>
      </w:r>
      <w:r>
        <w:rPr>
          <w:rFonts w:hint="eastAsia" w:cs="宋体"/>
          <w:kern w:val="0"/>
          <w:szCs w:val="21"/>
        </w:rPr>
        <w:t>设计</w:t>
      </w:r>
      <w:r>
        <w:rPr>
          <w:rFonts w:hint="eastAsia"/>
          <w:szCs w:val="21"/>
        </w:rPr>
        <w:t>的</w:t>
      </w:r>
      <w:r>
        <w:rPr>
          <w:rFonts w:hint="eastAsia" w:cs="宋体"/>
          <w:kern w:val="0"/>
          <w:szCs w:val="21"/>
        </w:rPr>
        <w:t>功能。</w:t>
      </w:r>
    </w:p>
    <w:p>
      <w:pPr>
        <w:widowControl/>
        <w:tabs>
          <w:tab w:val="left" w:pos="720"/>
        </w:tabs>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eastAsia="黑体"/>
          <w:szCs w:val="21"/>
        </w:rPr>
      </w:pPr>
      <w:r>
        <w:rPr>
          <w:rFonts w:hint="eastAsia" w:eastAsia="黑体" w:cs="宋体"/>
          <w:kern w:val="0"/>
          <w:szCs w:val="21"/>
        </w:rPr>
        <w:t>实验六</w:t>
      </w:r>
      <w:r>
        <w:rPr>
          <w:rFonts w:hint="eastAsia" w:eastAsia="黑体" w:cs="宋体"/>
          <w:snapToGrid w:val="0"/>
          <w:kern w:val="0"/>
          <w:szCs w:val="21"/>
        </w:rPr>
        <w:t>利用可编程逻辑器件进行D/A控制接口的设计（2学时）</w:t>
      </w:r>
    </w:p>
    <w:p>
      <w:pPr>
        <w:adjustRightInd w:val="0"/>
        <w:snapToGrid w:val="0"/>
        <w:spacing w:line="360" w:lineRule="auto"/>
        <w:ind w:firstLine="420" w:firstLineChars="200"/>
        <w:rPr>
          <w:szCs w:val="21"/>
        </w:rPr>
      </w:pPr>
      <w:r>
        <w:rPr>
          <w:rFonts w:hint="eastAsia" w:cs="宋体"/>
          <w:kern w:val="0"/>
          <w:szCs w:val="21"/>
        </w:rPr>
        <w:t>内容：</w:t>
      </w:r>
      <w:r>
        <w:rPr>
          <w:rFonts w:hint="eastAsia"/>
          <w:szCs w:val="21"/>
        </w:rPr>
        <w:t>了解</w:t>
      </w:r>
      <w:r>
        <w:rPr>
          <w:rFonts w:hint="eastAsia" w:cs="宋体"/>
          <w:snapToGrid w:val="0"/>
          <w:kern w:val="0"/>
          <w:szCs w:val="21"/>
        </w:rPr>
        <w:t>D/A</w:t>
      </w:r>
      <w:r>
        <w:rPr>
          <w:rFonts w:hint="eastAsia"/>
          <w:szCs w:val="21"/>
        </w:rPr>
        <w:t>的功能和</w:t>
      </w:r>
      <w:r>
        <w:rPr>
          <w:rFonts w:hint="eastAsia" w:cs="宋体"/>
          <w:snapToGrid w:val="0"/>
          <w:kern w:val="0"/>
          <w:szCs w:val="21"/>
        </w:rPr>
        <w:t>D/A控制接口的设计方法</w:t>
      </w:r>
      <w:r>
        <w:rPr>
          <w:rFonts w:hint="eastAsia"/>
          <w:szCs w:val="21"/>
        </w:rPr>
        <w:t>，用VHDL语言设计</w:t>
      </w:r>
      <w:r>
        <w:rPr>
          <w:rFonts w:hint="eastAsia" w:cs="宋体"/>
          <w:snapToGrid w:val="0"/>
          <w:kern w:val="0"/>
          <w:szCs w:val="21"/>
        </w:rPr>
        <w:t>控制D/A的接口</w:t>
      </w:r>
      <w:r>
        <w:rPr>
          <w:rFonts w:hint="eastAsia"/>
          <w:szCs w:val="21"/>
        </w:rPr>
        <w:t>电路，通过软件进行电路的仿真和下载，最后在实验箱上实现设计的功能。</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widowControl/>
        <w:adjustRightInd w:val="0"/>
        <w:snapToGrid w:val="0"/>
        <w:spacing w:line="360" w:lineRule="auto"/>
        <w:ind w:firstLine="420" w:firstLineChars="200"/>
        <w:jc w:val="left"/>
        <w:rPr>
          <w:rFonts w:cs="宋体"/>
          <w:kern w:val="0"/>
          <w:szCs w:val="21"/>
        </w:rPr>
      </w:pPr>
      <w:r>
        <w:rPr>
          <w:rFonts w:hint="eastAsia" w:cs="宋体"/>
          <w:kern w:val="0"/>
          <w:szCs w:val="21"/>
        </w:rPr>
        <w:t>1、掌握</w:t>
      </w:r>
      <w:r>
        <w:rPr>
          <w:rFonts w:hint="eastAsia" w:cs="宋体"/>
          <w:snapToGrid w:val="0"/>
          <w:kern w:val="0"/>
          <w:szCs w:val="21"/>
        </w:rPr>
        <w:t>D/A</w:t>
      </w:r>
      <w:r>
        <w:rPr>
          <w:rFonts w:hint="eastAsia"/>
          <w:szCs w:val="21"/>
        </w:rPr>
        <w:t>的功能</w:t>
      </w:r>
      <w:r>
        <w:rPr>
          <w:rFonts w:hint="eastAsia" w:cs="宋体"/>
          <w:kern w:val="0"/>
          <w:szCs w:val="21"/>
        </w:rPr>
        <w:t>和</w:t>
      </w:r>
      <w:r>
        <w:rPr>
          <w:rFonts w:hint="eastAsia" w:cs="宋体"/>
          <w:snapToGrid w:val="0"/>
          <w:kern w:val="0"/>
          <w:szCs w:val="21"/>
        </w:rPr>
        <w:t>控制接口的</w:t>
      </w:r>
      <w:r>
        <w:rPr>
          <w:rFonts w:hint="eastAsia" w:cs="宋体"/>
          <w:kern w:val="0"/>
          <w:szCs w:val="21"/>
        </w:rPr>
        <w:t>设计方法；</w:t>
      </w:r>
    </w:p>
    <w:p>
      <w:pPr>
        <w:widowControl/>
        <w:tabs>
          <w:tab w:val="left" w:pos="720"/>
        </w:tabs>
        <w:adjustRightInd w:val="0"/>
        <w:snapToGrid w:val="0"/>
        <w:spacing w:line="360" w:lineRule="auto"/>
        <w:ind w:firstLine="420" w:firstLineChars="200"/>
        <w:jc w:val="left"/>
        <w:rPr>
          <w:rFonts w:cs="宋体"/>
          <w:kern w:val="0"/>
          <w:szCs w:val="21"/>
        </w:rPr>
      </w:pPr>
      <w:r>
        <w:rPr>
          <w:rFonts w:hint="eastAsia" w:cs="宋体"/>
          <w:kern w:val="0"/>
          <w:szCs w:val="21"/>
        </w:rPr>
        <w:t>2、掌握用</w:t>
      </w:r>
      <w:r>
        <w:rPr>
          <w:szCs w:val="21"/>
        </w:rPr>
        <w:t>VHDL</w:t>
      </w:r>
      <w:r>
        <w:rPr>
          <w:rFonts w:hint="eastAsia"/>
          <w:szCs w:val="21"/>
        </w:rPr>
        <w:t>语言的设计方法</w:t>
      </w:r>
      <w:r>
        <w:rPr>
          <w:rFonts w:hint="eastAsia" w:cs="宋体"/>
          <w:kern w:val="0"/>
          <w:szCs w:val="21"/>
        </w:rPr>
        <w:t>设计</w:t>
      </w:r>
      <w:r>
        <w:rPr>
          <w:rFonts w:hint="eastAsia" w:cs="宋体"/>
          <w:snapToGrid w:val="0"/>
          <w:kern w:val="0"/>
          <w:szCs w:val="21"/>
        </w:rPr>
        <w:t>D/A的控制接口，</w:t>
      </w:r>
      <w:r>
        <w:rPr>
          <w:rFonts w:hint="eastAsia" w:cs="宋体"/>
          <w:kern w:val="0"/>
          <w:szCs w:val="21"/>
        </w:rPr>
        <w:t>并进行</w:t>
      </w:r>
      <w:r>
        <w:rPr>
          <w:rFonts w:hint="eastAsia"/>
          <w:szCs w:val="21"/>
        </w:rPr>
        <w:t>电路的仿真和下载，最后在实验箱上实现</w:t>
      </w:r>
      <w:r>
        <w:rPr>
          <w:rFonts w:hint="eastAsia" w:cs="宋体"/>
          <w:kern w:val="0"/>
          <w:szCs w:val="21"/>
        </w:rPr>
        <w:t>设计</w:t>
      </w:r>
      <w:r>
        <w:rPr>
          <w:rFonts w:hint="eastAsia"/>
          <w:szCs w:val="21"/>
        </w:rPr>
        <w:t>的</w:t>
      </w:r>
      <w:r>
        <w:rPr>
          <w:rFonts w:hint="eastAsia" w:cs="宋体"/>
          <w:kern w:val="0"/>
          <w:szCs w:val="21"/>
        </w:rPr>
        <w:t>功能。</w:t>
      </w:r>
    </w:p>
    <w:p>
      <w:pPr>
        <w:widowControl/>
        <w:tabs>
          <w:tab w:val="left" w:pos="720"/>
        </w:tabs>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3。</w:t>
      </w:r>
    </w:p>
    <w:p>
      <w:pPr>
        <w:widowControl/>
        <w:adjustRightInd w:val="0"/>
        <w:snapToGrid w:val="0"/>
        <w:spacing w:line="360" w:lineRule="auto"/>
        <w:ind w:firstLine="420" w:firstLineChars="200"/>
        <w:jc w:val="left"/>
        <w:rPr>
          <w:rFonts w:eastAsia="黑体"/>
          <w:szCs w:val="21"/>
        </w:rPr>
      </w:pPr>
      <w:r>
        <w:rPr>
          <w:rFonts w:hint="eastAsia" w:eastAsia="黑体" w:cs="宋体"/>
          <w:kern w:val="0"/>
          <w:szCs w:val="21"/>
        </w:rPr>
        <w:t>实验七</w:t>
      </w:r>
      <w:r>
        <w:rPr>
          <w:rFonts w:hint="eastAsia" w:eastAsia="黑体" w:cs="宋体"/>
          <w:snapToGrid w:val="0"/>
          <w:kern w:val="0"/>
          <w:szCs w:val="21"/>
        </w:rPr>
        <w:t>利</w:t>
      </w:r>
      <w:r>
        <w:rPr>
          <w:rFonts w:hint="eastAsia" w:eastAsia="黑体"/>
          <w:szCs w:val="21"/>
        </w:rPr>
        <w:t>用</w:t>
      </w:r>
      <w:r>
        <w:rPr>
          <w:rFonts w:hint="eastAsia" w:eastAsia="黑体" w:cs="宋体"/>
          <w:snapToGrid w:val="0"/>
          <w:kern w:val="0"/>
          <w:szCs w:val="21"/>
        </w:rPr>
        <w:t>可编程逻辑器件进行A/D控制接口的设计（4学时，分组实验）</w:t>
      </w:r>
    </w:p>
    <w:p>
      <w:pPr>
        <w:adjustRightInd w:val="0"/>
        <w:snapToGrid w:val="0"/>
        <w:spacing w:line="360" w:lineRule="auto"/>
        <w:ind w:firstLine="420" w:firstLineChars="200"/>
        <w:rPr>
          <w:szCs w:val="21"/>
        </w:rPr>
      </w:pPr>
      <w:r>
        <w:rPr>
          <w:rFonts w:hint="eastAsia" w:cs="宋体"/>
          <w:kern w:val="0"/>
          <w:szCs w:val="21"/>
        </w:rPr>
        <w:t>内容：</w:t>
      </w:r>
      <w:r>
        <w:rPr>
          <w:rFonts w:hint="eastAsia"/>
          <w:szCs w:val="21"/>
        </w:rPr>
        <w:t>了解</w:t>
      </w:r>
      <w:r>
        <w:rPr>
          <w:rFonts w:hint="eastAsia" w:cs="宋体"/>
          <w:snapToGrid w:val="0"/>
          <w:kern w:val="0"/>
          <w:szCs w:val="21"/>
        </w:rPr>
        <w:t>A/D</w:t>
      </w:r>
      <w:r>
        <w:rPr>
          <w:rFonts w:hint="eastAsia"/>
          <w:szCs w:val="21"/>
        </w:rPr>
        <w:t>的功能和</w:t>
      </w:r>
      <w:r>
        <w:rPr>
          <w:rFonts w:hint="eastAsia" w:cs="宋体"/>
          <w:snapToGrid w:val="0"/>
          <w:kern w:val="0"/>
          <w:szCs w:val="21"/>
        </w:rPr>
        <w:t>A/D控制接口的设计方法</w:t>
      </w:r>
      <w:r>
        <w:rPr>
          <w:rFonts w:hint="eastAsia"/>
          <w:szCs w:val="21"/>
        </w:rPr>
        <w:t>，用VHDL语言设计</w:t>
      </w:r>
      <w:r>
        <w:rPr>
          <w:rFonts w:hint="eastAsia" w:cs="宋体"/>
          <w:snapToGrid w:val="0"/>
          <w:kern w:val="0"/>
          <w:szCs w:val="21"/>
        </w:rPr>
        <w:t>控制A/D的接口</w:t>
      </w:r>
      <w:r>
        <w:rPr>
          <w:rFonts w:hint="eastAsia"/>
          <w:szCs w:val="21"/>
        </w:rPr>
        <w:t>电路，同时设计信号输入电路、A/D转换结果显示验证电路，通过软件进行电路的仿真和下载，最后在实验箱上实现设计的功能。</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pStyle w:val="45"/>
        <w:widowControl/>
        <w:adjustRightInd w:val="0"/>
        <w:snapToGrid w:val="0"/>
        <w:spacing w:line="360" w:lineRule="auto"/>
        <w:ind w:firstLineChars="0"/>
        <w:jc w:val="left"/>
        <w:rPr>
          <w:rFonts w:cs="宋体"/>
          <w:kern w:val="0"/>
          <w:szCs w:val="21"/>
        </w:rPr>
      </w:pPr>
      <w:r>
        <w:rPr>
          <w:rFonts w:hint="eastAsia" w:cs="宋体"/>
          <w:kern w:val="0"/>
          <w:szCs w:val="21"/>
        </w:rPr>
        <w:t>1、掌握</w:t>
      </w:r>
      <w:r>
        <w:rPr>
          <w:rFonts w:hint="eastAsia" w:cs="宋体"/>
          <w:snapToGrid w:val="0"/>
          <w:kern w:val="0"/>
          <w:szCs w:val="21"/>
        </w:rPr>
        <w:t>A/D</w:t>
      </w:r>
      <w:r>
        <w:rPr>
          <w:rFonts w:hint="eastAsia"/>
          <w:szCs w:val="21"/>
        </w:rPr>
        <w:t>的功能</w:t>
      </w:r>
      <w:r>
        <w:rPr>
          <w:rFonts w:hint="eastAsia" w:cs="宋体"/>
          <w:kern w:val="0"/>
          <w:szCs w:val="21"/>
        </w:rPr>
        <w:t>和</w:t>
      </w:r>
      <w:r>
        <w:rPr>
          <w:rFonts w:hint="eastAsia" w:cs="宋体"/>
          <w:snapToGrid w:val="0"/>
          <w:kern w:val="0"/>
          <w:szCs w:val="21"/>
        </w:rPr>
        <w:t>控制接口的</w:t>
      </w:r>
      <w:r>
        <w:rPr>
          <w:rFonts w:hint="eastAsia" w:cs="宋体"/>
          <w:kern w:val="0"/>
          <w:szCs w:val="21"/>
        </w:rPr>
        <w:t>设计方法；</w:t>
      </w:r>
    </w:p>
    <w:p>
      <w:pPr>
        <w:pStyle w:val="45"/>
        <w:widowControl/>
        <w:adjustRightInd w:val="0"/>
        <w:snapToGrid w:val="0"/>
        <w:spacing w:line="360" w:lineRule="auto"/>
        <w:ind w:firstLineChars="0"/>
        <w:jc w:val="left"/>
        <w:rPr>
          <w:rFonts w:cs="宋体"/>
          <w:kern w:val="0"/>
          <w:szCs w:val="21"/>
        </w:rPr>
      </w:pPr>
      <w:r>
        <w:rPr>
          <w:rFonts w:hint="eastAsia" w:cs="宋体"/>
          <w:kern w:val="0"/>
          <w:szCs w:val="21"/>
        </w:rPr>
        <w:t>2、</w:t>
      </w:r>
      <w:r>
        <w:rPr>
          <w:rFonts w:cs="宋体"/>
          <w:kern w:val="0"/>
          <w:szCs w:val="21"/>
        </w:rPr>
        <w:t>能够产生可调的电压输入信号；</w:t>
      </w:r>
    </w:p>
    <w:p>
      <w:pPr>
        <w:pStyle w:val="45"/>
        <w:widowControl/>
        <w:adjustRightInd w:val="0"/>
        <w:snapToGrid w:val="0"/>
        <w:spacing w:line="360" w:lineRule="auto"/>
        <w:ind w:firstLineChars="0"/>
        <w:jc w:val="left"/>
        <w:rPr>
          <w:rFonts w:cs="宋体"/>
          <w:kern w:val="0"/>
          <w:szCs w:val="21"/>
        </w:rPr>
      </w:pPr>
      <w:r>
        <w:rPr>
          <w:rFonts w:hint="eastAsia" w:cs="宋体"/>
          <w:kern w:val="0"/>
          <w:szCs w:val="21"/>
        </w:rPr>
        <w:t>3、</w:t>
      </w:r>
      <w:r>
        <w:rPr>
          <w:rFonts w:cs="宋体"/>
          <w:kern w:val="0"/>
          <w:szCs w:val="21"/>
        </w:rPr>
        <w:t>能够基于实验箱和电脑采用直观的方式显示A/D转换结果，进行验证</w:t>
      </w:r>
      <w:r>
        <w:rPr>
          <w:rFonts w:hint="eastAsia" w:cs="宋体"/>
          <w:kern w:val="0"/>
          <w:szCs w:val="21"/>
        </w:rPr>
        <w:t>；</w:t>
      </w:r>
    </w:p>
    <w:p>
      <w:pPr>
        <w:pStyle w:val="45"/>
        <w:widowControl/>
        <w:adjustRightInd w:val="0"/>
        <w:snapToGrid w:val="0"/>
        <w:spacing w:line="360" w:lineRule="auto"/>
        <w:ind w:firstLineChars="0"/>
        <w:jc w:val="left"/>
        <w:rPr>
          <w:rFonts w:cs="宋体"/>
          <w:kern w:val="0"/>
          <w:szCs w:val="21"/>
        </w:rPr>
      </w:pPr>
      <w:r>
        <w:rPr>
          <w:rFonts w:hint="eastAsia" w:cs="宋体"/>
          <w:kern w:val="0"/>
          <w:szCs w:val="21"/>
        </w:rPr>
        <w:t>4、本实验为课外分组实验。两个学时用来提出实验要求并进行讲解，然后要求学生2或3人一组，分工明确，利用课后时间，协同完成实验的设计、仿真和验证，需要学生自己设计出验证方法。最后两个小时，教师要检查实际电路，测试其正确性，完成验收。最后每位学生独立提交规范的实验报告；</w:t>
      </w:r>
    </w:p>
    <w:p>
      <w:pPr>
        <w:pStyle w:val="45"/>
        <w:widowControl/>
        <w:adjustRightInd w:val="0"/>
        <w:snapToGrid w:val="0"/>
        <w:spacing w:line="360" w:lineRule="auto"/>
        <w:ind w:firstLineChars="0"/>
        <w:jc w:val="left"/>
        <w:rPr>
          <w:rFonts w:cs="宋体"/>
          <w:kern w:val="0"/>
          <w:szCs w:val="21"/>
        </w:rPr>
      </w:pPr>
      <w:r>
        <w:rPr>
          <w:rFonts w:hint="eastAsia" w:cs="宋体"/>
          <w:kern w:val="0"/>
          <w:szCs w:val="21"/>
        </w:rPr>
        <w:t>5、在分组实验中要注重培养学生的协作精神、包容意识和创新精神等。</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w:t>
      </w:r>
      <w:r>
        <w:rPr>
          <w:rFonts w:hint="eastAsia" w:cs="宋体"/>
          <w:bCs/>
          <w:snapToGrid w:val="0"/>
          <w:kern w:val="0"/>
          <w:szCs w:val="21"/>
        </w:rPr>
        <w:t>2、3。</w:t>
      </w:r>
    </w:p>
    <w:p>
      <w:pPr>
        <w:adjustRightInd w:val="0"/>
        <w:snapToGrid w:val="0"/>
        <w:spacing w:line="360" w:lineRule="auto"/>
        <w:ind w:firstLine="420" w:firstLineChars="200"/>
        <w:rPr>
          <w:szCs w:val="21"/>
        </w:rPr>
      </w:pPr>
    </w:p>
    <w:p>
      <w:pPr>
        <w:widowControl/>
        <w:adjustRightInd w:val="0"/>
        <w:snapToGrid w:val="0"/>
        <w:spacing w:line="360" w:lineRule="auto"/>
        <w:jc w:val="left"/>
        <w:rPr>
          <w:rFonts w:eastAsia="黑体" w:cs="宋体"/>
          <w:kern w:val="0"/>
          <w:szCs w:val="21"/>
        </w:rPr>
      </w:pPr>
      <w:r>
        <w:rPr>
          <w:rFonts w:hint="eastAsia"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987"/>
        <w:gridCol w:w="1561"/>
        <w:gridCol w:w="12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2" w:type="pct"/>
            <w:vAlign w:val="center"/>
          </w:tcPr>
          <w:p>
            <w:pPr>
              <w:jc w:val="center"/>
              <w:rPr>
                <w:sz w:val="18"/>
                <w:szCs w:val="18"/>
              </w:rPr>
            </w:pPr>
            <w:r>
              <w:rPr>
                <w:rFonts w:hint="eastAsia"/>
                <w:sz w:val="18"/>
                <w:szCs w:val="18"/>
              </w:rPr>
              <w:t>讲授的知识点及内容</w:t>
            </w:r>
          </w:p>
        </w:tc>
        <w:tc>
          <w:tcPr>
            <w:tcW w:w="1195" w:type="pct"/>
            <w:vAlign w:val="center"/>
          </w:tcPr>
          <w:p>
            <w:pPr>
              <w:jc w:val="center"/>
              <w:rPr>
                <w:sz w:val="18"/>
                <w:szCs w:val="18"/>
              </w:rPr>
            </w:pPr>
            <w:r>
              <w:rPr>
                <w:rFonts w:hint="eastAsia"/>
                <w:sz w:val="18"/>
                <w:szCs w:val="18"/>
              </w:rPr>
              <w:t>讲授（学时）</w:t>
            </w:r>
          </w:p>
        </w:tc>
        <w:tc>
          <w:tcPr>
            <w:tcW w:w="939" w:type="pct"/>
            <w:vAlign w:val="center"/>
          </w:tcPr>
          <w:p>
            <w:pPr>
              <w:jc w:val="center"/>
              <w:rPr>
                <w:sz w:val="18"/>
                <w:szCs w:val="18"/>
              </w:rPr>
            </w:pPr>
            <w:r>
              <w:rPr>
                <w:rFonts w:hint="eastAsia"/>
                <w:sz w:val="18"/>
                <w:szCs w:val="18"/>
              </w:rPr>
              <w:t>实验（学时）</w:t>
            </w:r>
          </w:p>
        </w:tc>
        <w:tc>
          <w:tcPr>
            <w:tcW w:w="734" w:type="pct"/>
            <w:vAlign w:val="center"/>
          </w:tcPr>
          <w:p>
            <w:pPr>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snapToGrid w:val="0"/>
                <w:kern w:val="0"/>
                <w:sz w:val="18"/>
                <w:szCs w:val="18"/>
              </w:rPr>
            </w:pPr>
            <w:r>
              <w:rPr>
                <w:rFonts w:hint="eastAsia" w:cs="宋体"/>
                <w:bCs/>
                <w:snapToGrid w:val="0"/>
                <w:kern w:val="0"/>
                <w:sz w:val="18"/>
                <w:szCs w:val="18"/>
              </w:rPr>
              <w:t>1绪论</w:t>
            </w:r>
          </w:p>
        </w:tc>
        <w:tc>
          <w:tcPr>
            <w:tcW w:w="1195" w:type="pct"/>
            <w:vAlign w:val="center"/>
          </w:tcPr>
          <w:p>
            <w:pPr>
              <w:widowControl/>
              <w:jc w:val="center"/>
              <w:rPr>
                <w:rFonts w:cs="宋体"/>
                <w:kern w:val="0"/>
                <w:sz w:val="18"/>
                <w:szCs w:val="18"/>
              </w:rPr>
            </w:pPr>
            <w:r>
              <w:rPr>
                <w:rFonts w:hint="eastAsia" w:cs="宋体"/>
                <w:kern w:val="0"/>
                <w:sz w:val="18"/>
                <w:szCs w:val="18"/>
              </w:rPr>
              <w:t>1</w:t>
            </w:r>
          </w:p>
        </w:tc>
        <w:tc>
          <w:tcPr>
            <w:tcW w:w="939" w:type="pct"/>
            <w:vAlign w:val="center"/>
          </w:tcPr>
          <w:p>
            <w:pPr>
              <w:widowControl/>
              <w:jc w:val="center"/>
              <w:rPr>
                <w:rFonts w:cs="宋体"/>
                <w:kern w:val="0"/>
                <w:sz w:val="18"/>
                <w:szCs w:val="18"/>
              </w:rPr>
            </w:pPr>
            <w:r>
              <w:rPr>
                <w:rFonts w:hint="eastAsia" w:cs="宋体"/>
                <w:kern w:val="0"/>
                <w:sz w:val="18"/>
                <w:szCs w:val="18"/>
              </w:rPr>
              <w:t>0</w:t>
            </w:r>
          </w:p>
        </w:tc>
        <w:tc>
          <w:tcPr>
            <w:tcW w:w="734" w:type="pct"/>
            <w:vAlign w:val="center"/>
          </w:tcPr>
          <w:p>
            <w:pPr>
              <w:widowControl/>
              <w:jc w:val="center"/>
              <w:rPr>
                <w:rFonts w:cs="宋体"/>
                <w:kern w:val="0"/>
                <w:sz w:val="18"/>
                <w:szCs w:val="18"/>
              </w:rPr>
            </w:pPr>
            <w:r>
              <w:rPr>
                <w:rFonts w:hint="eastAsia" w:cs="宋体"/>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snapToGrid w:val="0"/>
                <w:kern w:val="0"/>
                <w:sz w:val="18"/>
                <w:szCs w:val="18"/>
              </w:rPr>
            </w:pPr>
            <w:r>
              <w:rPr>
                <w:rFonts w:hint="eastAsia" w:cs="宋体"/>
                <w:bCs/>
                <w:snapToGrid w:val="0"/>
                <w:kern w:val="0"/>
                <w:sz w:val="18"/>
                <w:szCs w:val="18"/>
              </w:rPr>
              <w:t>2可编程逻辑器件的原理与结构</w:t>
            </w:r>
          </w:p>
        </w:tc>
        <w:tc>
          <w:tcPr>
            <w:tcW w:w="1195" w:type="pct"/>
            <w:vAlign w:val="center"/>
          </w:tcPr>
          <w:p>
            <w:pPr>
              <w:widowControl/>
              <w:jc w:val="center"/>
              <w:rPr>
                <w:rFonts w:cs="宋体"/>
                <w:kern w:val="0"/>
                <w:sz w:val="18"/>
                <w:szCs w:val="18"/>
              </w:rPr>
            </w:pPr>
            <w:r>
              <w:rPr>
                <w:rFonts w:hint="eastAsia" w:cs="宋体"/>
                <w:kern w:val="0"/>
                <w:sz w:val="18"/>
                <w:szCs w:val="18"/>
              </w:rPr>
              <w:t>3</w:t>
            </w:r>
          </w:p>
        </w:tc>
        <w:tc>
          <w:tcPr>
            <w:tcW w:w="939" w:type="pct"/>
            <w:vAlign w:val="center"/>
          </w:tcPr>
          <w:p>
            <w:pPr>
              <w:widowControl/>
              <w:jc w:val="center"/>
              <w:rPr>
                <w:rFonts w:cs="宋体"/>
                <w:kern w:val="0"/>
                <w:sz w:val="18"/>
                <w:szCs w:val="18"/>
              </w:rPr>
            </w:pPr>
            <w:r>
              <w:rPr>
                <w:rFonts w:hint="eastAsia" w:cs="宋体"/>
                <w:kern w:val="0"/>
                <w:sz w:val="18"/>
                <w:szCs w:val="18"/>
              </w:rPr>
              <w:t>0</w:t>
            </w:r>
          </w:p>
        </w:tc>
        <w:tc>
          <w:tcPr>
            <w:tcW w:w="734" w:type="pct"/>
            <w:vAlign w:val="center"/>
          </w:tcPr>
          <w:p>
            <w:pPr>
              <w:widowControl/>
              <w:jc w:val="center"/>
              <w:rPr>
                <w:rFonts w:cs="宋体"/>
                <w:kern w:val="0"/>
                <w:sz w:val="18"/>
                <w:szCs w:val="18"/>
              </w:rPr>
            </w:pPr>
            <w:r>
              <w:rPr>
                <w:rFonts w:hint="eastAsia" w:cs="宋体"/>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cs="宋体"/>
                <w:snapToGrid w:val="0"/>
                <w:kern w:val="0"/>
                <w:sz w:val="18"/>
                <w:szCs w:val="18"/>
              </w:rPr>
              <w:t>3硬件描述语言的基本结构、数据类型和运算操作符</w:t>
            </w:r>
          </w:p>
        </w:tc>
        <w:tc>
          <w:tcPr>
            <w:tcW w:w="1195" w:type="pct"/>
            <w:vAlign w:val="center"/>
          </w:tcPr>
          <w:p>
            <w:pPr>
              <w:widowControl/>
              <w:jc w:val="center"/>
              <w:rPr>
                <w:rFonts w:cs="宋体"/>
                <w:kern w:val="0"/>
                <w:sz w:val="18"/>
                <w:szCs w:val="18"/>
              </w:rPr>
            </w:pPr>
            <w:r>
              <w:rPr>
                <w:rFonts w:hint="eastAsia" w:cs="宋体"/>
                <w:kern w:val="0"/>
                <w:sz w:val="18"/>
                <w:szCs w:val="18"/>
              </w:rPr>
              <w:t>6</w:t>
            </w:r>
          </w:p>
        </w:tc>
        <w:tc>
          <w:tcPr>
            <w:tcW w:w="939" w:type="pct"/>
            <w:vAlign w:val="center"/>
          </w:tcPr>
          <w:p>
            <w:pPr>
              <w:widowControl/>
              <w:jc w:val="center"/>
              <w:rPr>
                <w:rFonts w:cs="宋体"/>
                <w:kern w:val="0"/>
                <w:sz w:val="18"/>
                <w:szCs w:val="18"/>
              </w:rPr>
            </w:pPr>
            <w:r>
              <w:rPr>
                <w:rFonts w:hint="eastAsia" w:cs="宋体"/>
                <w:kern w:val="0"/>
                <w:sz w:val="18"/>
                <w:szCs w:val="18"/>
              </w:rPr>
              <w:t>0</w:t>
            </w:r>
          </w:p>
        </w:tc>
        <w:tc>
          <w:tcPr>
            <w:tcW w:w="734" w:type="pct"/>
            <w:vAlign w:val="center"/>
          </w:tcPr>
          <w:p>
            <w:pPr>
              <w:widowControl/>
              <w:jc w:val="center"/>
              <w:rPr>
                <w:rFonts w:cs="宋体"/>
                <w:kern w:val="0"/>
                <w:sz w:val="18"/>
                <w:szCs w:val="18"/>
              </w:rPr>
            </w:pPr>
            <w:r>
              <w:rPr>
                <w:rFonts w:hint="eastAsia"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cs="宋体"/>
                <w:snapToGrid w:val="0"/>
                <w:kern w:val="0"/>
                <w:sz w:val="18"/>
                <w:szCs w:val="18"/>
              </w:rPr>
              <w:t>4 硬件描述语言的</w:t>
            </w:r>
            <w:r>
              <w:rPr>
                <w:rFonts w:hint="eastAsia"/>
                <w:snapToGrid w:val="0"/>
                <w:kern w:val="0"/>
                <w:sz w:val="18"/>
                <w:szCs w:val="18"/>
              </w:rPr>
              <w:t>主要描述语句</w:t>
            </w:r>
          </w:p>
        </w:tc>
        <w:tc>
          <w:tcPr>
            <w:tcW w:w="1195" w:type="pct"/>
            <w:vAlign w:val="center"/>
          </w:tcPr>
          <w:p>
            <w:pPr>
              <w:widowControl/>
              <w:jc w:val="center"/>
              <w:rPr>
                <w:rFonts w:cs="宋体"/>
                <w:kern w:val="0"/>
                <w:sz w:val="18"/>
                <w:szCs w:val="18"/>
              </w:rPr>
            </w:pPr>
            <w:r>
              <w:rPr>
                <w:rFonts w:hint="eastAsia" w:cs="宋体"/>
                <w:kern w:val="0"/>
                <w:sz w:val="18"/>
                <w:szCs w:val="18"/>
              </w:rPr>
              <w:t>6</w:t>
            </w:r>
          </w:p>
        </w:tc>
        <w:tc>
          <w:tcPr>
            <w:tcW w:w="939" w:type="pct"/>
            <w:vAlign w:val="center"/>
          </w:tcPr>
          <w:p>
            <w:pPr>
              <w:widowControl/>
              <w:jc w:val="center"/>
              <w:rPr>
                <w:rFonts w:cs="宋体"/>
                <w:kern w:val="0"/>
                <w:sz w:val="18"/>
                <w:szCs w:val="18"/>
              </w:rPr>
            </w:pPr>
            <w:r>
              <w:rPr>
                <w:rFonts w:hint="eastAsia" w:cs="宋体"/>
                <w:kern w:val="0"/>
                <w:sz w:val="18"/>
                <w:szCs w:val="18"/>
              </w:rPr>
              <w:t>0</w:t>
            </w:r>
          </w:p>
        </w:tc>
        <w:tc>
          <w:tcPr>
            <w:tcW w:w="734" w:type="pct"/>
            <w:vAlign w:val="center"/>
          </w:tcPr>
          <w:p>
            <w:pPr>
              <w:widowControl/>
              <w:jc w:val="center"/>
              <w:rPr>
                <w:rFonts w:cs="宋体"/>
                <w:kern w:val="0"/>
                <w:sz w:val="18"/>
                <w:szCs w:val="18"/>
              </w:rPr>
            </w:pPr>
            <w:r>
              <w:rPr>
                <w:rFonts w:hint="eastAsia"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snapToGrid w:val="0"/>
                <w:kern w:val="0"/>
                <w:sz w:val="18"/>
                <w:szCs w:val="18"/>
              </w:rPr>
              <w:t>5 基本逻辑设计</w:t>
            </w:r>
          </w:p>
        </w:tc>
        <w:tc>
          <w:tcPr>
            <w:tcW w:w="1195" w:type="pct"/>
            <w:vAlign w:val="center"/>
          </w:tcPr>
          <w:p>
            <w:pPr>
              <w:widowControl/>
              <w:jc w:val="center"/>
              <w:rPr>
                <w:rFonts w:cs="宋体"/>
                <w:kern w:val="0"/>
                <w:sz w:val="18"/>
                <w:szCs w:val="18"/>
              </w:rPr>
            </w:pPr>
            <w:r>
              <w:rPr>
                <w:rFonts w:hint="eastAsia" w:cs="宋体"/>
                <w:kern w:val="0"/>
                <w:sz w:val="18"/>
                <w:szCs w:val="18"/>
              </w:rPr>
              <w:t>6</w:t>
            </w:r>
          </w:p>
        </w:tc>
        <w:tc>
          <w:tcPr>
            <w:tcW w:w="939" w:type="pct"/>
            <w:vAlign w:val="center"/>
          </w:tcPr>
          <w:p>
            <w:pPr>
              <w:widowControl/>
              <w:jc w:val="center"/>
              <w:rPr>
                <w:rFonts w:cs="宋体"/>
                <w:kern w:val="0"/>
                <w:sz w:val="18"/>
                <w:szCs w:val="18"/>
              </w:rPr>
            </w:pPr>
            <w:r>
              <w:rPr>
                <w:rFonts w:hint="eastAsia" w:cs="宋体"/>
                <w:kern w:val="0"/>
                <w:sz w:val="18"/>
                <w:szCs w:val="18"/>
              </w:rPr>
              <w:t>6</w:t>
            </w:r>
          </w:p>
        </w:tc>
        <w:tc>
          <w:tcPr>
            <w:tcW w:w="734" w:type="pct"/>
            <w:vAlign w:val="center"/>
          </w:tcPr>
          <w:p>
            <w:pPr>
              <w:widowControl/>
              <w:jc w:val="center"/>
              <w:rPr>
                <w:rFonts w:cs="宋体"/>
                <w:kern w:val="0"/>
                <w:sz w:val="18"/>
                <w:szCs w:val="18"/>
              </w:rPr>
            </w:pPr>
            <w:r>
              <w:rPr>
                <w:rFonts w:hint="eastAsia" w:cs="宋体"/>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cs="宋体"/>
                <w:kern w:val="0"/>
                <w:sz w:val="18"/>
                <w:szCs w:val="18"/>
              </w:rPr>
              <w:t>6 状态机设计</w:t>
            </w:r>
          </w:p>
        </w:tc>
        <w:tc>
          <w:tcPr>
            <w:tcW w:w="1195" w:type="pct"/>
            <w:vAlign w:val="center"/>
          </w:tcPr>
          <w:p>
            <w:pPr>
              <w:widowControl/>
              <w:jc w:val="center"/>
              <w:rPr>
                <w:rFonts w:cs="宋体"/>
                <w:kern w:val="0"/>
                <w:sz w:val="18"/>
                <w:szCs w:val="18"/>
              </w:rPr>
            </w:pPr>
            <w:r>
              <w:rPr>
                <w:rFonts w:hint="eastAsia" w:cs="宋体"/>
                <w:kern w:val="0"/>
                <w:sz w:val="18"/>
                <w:szCs w:val="18"/>
              </w:rPr>
              <w:t>4</w:t>
            </w:r>
          </w:p>
        </w:tc>
        <w:tc>
          <w:tcPr>
            <w:tcW w:w="939" w:type="pct"/>
            <w:vAlign w:val="center"/>
          </w:tcPr>
          <w:p>
            <w:pPr>
              <w:widowControl/>
              <w:jc w:val="center"/>
              <w:rPr>
                <w:rFonts w:cs="宋体"/>
                <w:kern w:val="0"/>
                <w:sz w:val="18"/>
                <w:szCs w:val="18"/>
              </w:rPr>
            </w:pPr>
            <w:r>
              <w:rPr>
                <w:rFonts w:hint="eastAsia" w:cs="宋体"/>
                <w:kern w:val="0"/>
                <w:sz w:val="18"/>
                <w:szCs w:val="18"/>
              </w:rPr>
              <w:t>2</w:t>
            </w:r>
          </w:p>
        </w:tc>
        <w:tc>
          <w:tcPr>
            <w:tcW w:w="734" w:type="pct"/>
            <w:vAlign w:val="center"/>
          </w:tcPr>
          <w:p>
            <w:pPr>
              <w:widowControl/>
              <w:jc w:val="center"/>
              <w:rPr>
                <w:rFonts w:cs="宋体"/>
                <w:kern w:val="0"/>
                <w:sz w:val="18"/>
                <w:szCs w:val="18"/>
              </w:rPr>
            </w:pPr>
            <w:r>
              <w:rPr>
                <w:rFonts w:hint="eastAsia"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cs="宋体"/>
                <w:kern w:val="0"/>
                <w:sz w:val="18"/>
                <w:szCs w:val="18"/>
              </w:rPr>
              <w:t>7 综合性设计</w:t>
            </w:r>
          </w:p>
        </w:tc>
        <w:tc>
          <w:tcPr>
            <w:tcW w:w="1195" w:type="pct"/>
            <w:vAlign w:val="center"/>
          </w:tcPr>
          <w:p>
            <w:pPr>
              <w:widowControl/>
              <w:jc w:val="center"/>
              <w:rPr>
                <w:rFonts w:cs="宋体"/>
                <w:kern w:val="0"/>
                <w:sz w:val="18"/>
                <w:szCs w:val="18"/>
              </w:rPr>
            </w:pPr>
            <w:r>
              <w:rPr>
                <w:rFonts w:hint="eastAsia" w:cs="宋体"/>
                <w:kern w:val="0"/>
                <w:sz w:val="18"/>
                <w:szCs w:val="18"/>
              </w:rPr>
              <w:t>6</w:t>
            </w:r>
          </w:p>
        </w:tc>
        <w:tc>
          <w:tcPr>
            <w:tcW w:w="939" w:type="pct"/>
            <w:vAlign w:val="center"/>
          </w:tcPr>
          <w:p>
            <w:pPr>
              <w:widowControl/>
              <w:jc w:val="center"/>
              <w:rPr>
                <w:rFonts w:cs="宋体"/>
                <w:kern w:val="0"/>
                <w:sz w:val="18"/>
                <w:szCs w:val="18"/>
              </w:rPr>
            </w:pPr>
            <w:r>
              <w:rPr>
                <w:rFonts w:hint="eastAsia" w:cs="宋体"/>
                <w:kern w:val="0"/>
                <w:sz w:val="18"/>
                <w:szCs w:val="18"/>
              </w:rPr>
              <w:t>8</w:t>
            </w:r>
          </w:p>
        </w:tc>
        <w:tc>
          <w:tcPr>
            <w:tcW w:w="734" w:type="pct"/>
            <w:vAlign w:val="center"/>
          </w:tcPr>
          <w:p>
            <w:pPr>
              <w:widowControl/>
              <w:jc w:val="center"/>
              <w:rPr>
                <w:rFonts w:cs="宋体"/>
                <w:kern w:val="0"/>
                <w:sz w:val="18"/>
                <w:szCs w:val="18"/>
              </w:rPr>
            </w:pPr>
            <w:r>
              <w:rPr>
                <w:rFonts w:hint="eastAsia" w:cs="宋体"/>
                <w:kern w:val="0"/>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2" w:type="pct"/>
            <w:vAlign w:val="center"/>
          </w:tcPr>
          <w:p>
            <w:pPr>
              <w:widowControl/>
              <w:jc w:val="center"/>
              <w:rPr>
                <w:rFonts w:cs="宋体"/>
                <w:kern w:val="0"/>
                <w:sz w:val="18"/>
                <w:szCs w:val="18"/>
              </w:rPr>
            </w:pPr>
            <w:r>
              <w:rPr>
                <w:rFonts w:hint="eastAsia" w:cs="宋体"/>
                <w:kern w:val="0"/>
                <w:sz w:val="18"/>
                <w:szCs w:val="18"/>
              </w:rPr>
              <w:t>合计</w:t>
            </w:r>
          </w:p>
        </w:tc>
        <w:tc>
          <w:tcPr>
            <w:tcW w:w="1195" w:type="pct"/>
            <w:vAlign w:val="center"/>
          </w:tcPr>
          <w:p>
            <w:pPr>
              <w:widowControl/>
              <w:jc w:val="center"/>
              <w:rPr>
                <w:rFonts w:cs="宋体"/>
                <w:kern w:val="0"/>
                <w:sz w:val="18"/>
                <w:szCs w:val="18"/>
              </w:rPr>
            </w:pPr>
            <w:r>
              <w:rPr>
                <w:rFonts w:hint="eastAsia" w:cs="宋体"/>
                <w:kern w:val="0"/>
                <w:sz w:val="18"/>
                <w:szCs w:val="18"/>
              </w:rPr>
              <w:t>32</w:t>
            </w:r>
          </w:p>
        </w:tc>
        <w:tc>
          <w:tcPr>
            <w:tcW w:w="939" w:type="pct"/>
            <w:vAlign w:val="center"/>
          </w:tcPr>
          <w:p>
            <w:pPr>
              <w:widowControl/>
              <w:jc w:val="center"/>
              <w:rPr>
                <w:rFonts w:cs="宋体"/>
                <w:kern w:val="0"/>
                <w:sz w:val="18"/>
                <w:szCs w:val="18"/>
              </w:rPr>
            </w:pPr>
            <w:r>
              <w:rPr>
                <w:rFonts w:hint="eastAsia" w:cs="宋体"/>
                <w:kern w:val="0"/>
                <w:sz w:val="18"/>
                <w:szCs w:val="18"/>
              </w:rPr>
              <w:t>16</w:t>
            </w:r>
          </w:p>
        </w:tc>
        <w:tc>
          <w:tcPr>
            <w:tcW w:w="734" w:type="pct"/>
            <w:vAlign w:val="center"/>
          </w:tcPr>
          <w:p>
            <w:pPr>
              <w:widowControl/>
              <w:jc w:val="center"/>
              <w:rPr>
                <w:rFonts w:cs="宋体"/>
                <w:kern w:val="0"/>
                <w:sz w:val="18"/>
                <w:szCs w:val="18"/>
              </w:rPr>
            </w:pPr>
            <w:r>
              <w:rPr>
                <w:rFonts w:hint="eastAsia" w:cs="宋体"/>
                <w:kern w:val="0"/>
                <w:sz w:val="18"/>
                <w:szCs w:val="18"/>
              </w:rPr>
              <w:t>48</w:t>
            </w:r>
          </w:p>
        </w:tc>
      </w:tr>
    </w:tbl>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七、教材、补充教材及参考资料</w:t>
      </w:r>
    </w:p>
    <w:p>
      <w:pPr>
        <w:adjustRightInd w:val="0"/>
        <w:snapToGrid w:val="0"/>
        <w:spacing w:line="360" w:lineRule="auto"/>
        <w:ind w:firstLine="420" w:firstLineChars="200"/>
        <w:rPr>
          <w:szCs w:val="21"/>
        </w:rPr>
      </w:pPr>
      <w:r>
        <w:rPr>
          <w:rFonts w:hint="eastAsia"/>
          <w:szCs w:val="21"/>
        </w:rPr>
        <w:t>1、侯伯亨，《VHDL硬件描述语言与数字逻辑电路设计（第五版）》，ISBN 9787560649122，西安电子科技大学出版社。</w:t>
      </w:r>
    </w:p>
    <w:p>
      <w:pPr>
        <w:adjustRightInd w:val="0"/>
        <w:snapToGrid w:val="0"/>
        <w:spacing w:line="360" w:lineRule="auto"/>
        <w:ind w:firstLine="420" w:firstLineChars="200"/>
        <w:rPr>
          <w:szCs w:val="21"/>
        </w:rPr>
      </w:pPr>
      <w:r>
        <w:rPr>
          <w:rFonts w:hint="eastAsia"/>
          <w:szCs w:val="21"/>
        </w:rPr>
        <w:t>2、Volnei A. Pedroni（沃尔尼A.佩德罗尼），《VHDL数字电路设计教程》，ISBN 9787121186721，电子工业出版社。</w:t>
      </w:r>
    </w:p>
    <w:p>
      <w:pPr>
        <w:adjustRightInd w:val="0"/>
        <w:snapToGrid w:val="0"/>
        <w:spacing w:line="360" w:lineRule="auto"/>
        <w:ind w:firstLine="420" w:firstLineChars="200"/>
        <w:rPr>
          <w:szCs w:val="21"/>
        </w:rPr>
      </w:pPr>
      <w:r>
        <w:rPr>
          <w:rFonts w:hint="eastAsia"/>
          <w:szCs w:val="21"/>
        </w:rPr>
        <w:t>3、（加拿大）布朗，（加拿大）弗拉内奇著，伍微译，《数字逻辑基础与VHDL设计（第3版）》（配光盘）（国外电子信息经典教材），ISBN 9787302240990清华大学出版社。</w:t>
      </w:r>
    </w:p>
    <w:p>
      <w:pPr>
        <w:adjustRightInd w:val="0"/>
        <w:snapToGrid w:val="0"/>
        <w:spacing w:line="360" w:lineRule="auto"/>
        <w:ind w:firstLine="420" w:firstLineChars="200"/>
        <w:rPr>
          <w:szCs w:val="21"/>
        </w:rPr>
      </w:pPr>
      <w:r>
        <w:rPr>
          <w:rFonts w:hint="eastAsia"/>
          <w:szCs w:val="21"/>
        </w:rPr>
        <w:t>4、赵曙光等编著，《可编程逻辑器件原理、开发与应用（第二版）》-21世纪高等学校电子信息类系列教材，ISBN 9787560609003, 西安电子科技大学出版社。</w:t>
      </w:r>
    </w:p>
    <w:p>
      <w:pPr>
        <w:adjustRightInd w:val="0"/>
        <w:snapToGrid w:val="0"/>
        <w:spacing w:line="360" w:lineRule="auto"/>
        <w:ind w:firstLine="420" w:firstLineChars="200"/>
        <w:rPr>
          <w:szCs w:val="21"/>
        </w:rPr>
      </w:pPr>
      <w:r>
        <w:rPr>
          <w:rFonts w:hint="eastAsia"/>
          <w:szCs w:val="21"/>
        </w:rPr>
        <w:t>5、朱明程等编著，《可编程逻辑器件原理及应用》-面向21世纪高等学校信息工程类专业系列教材， ISBN 9787560613468，西安电子科技大学出版社。</w:t>
      </w:r>
    </w:p>
    <w:p>
      <w:pPr>
        <w:adjustRightInd w:val="0"/>
        <w:snapToGrid w:val="0"/>
        <w:spacing w:line="360" w:lineRule="auto"/>
        <w:ind w:firstLine="420" w:firstLineChars="200"/>
        <w:rPr>
          <w:szCs w:val="21"/>
        </w:rPr>
      </w:pPr>
      <w:r>
        <w:rPr>
          <w:rFonts w:hint="eastAsia"/>
          <w:szCs w:val="21"/>
        </w:rPr>
        <w:t>6、网上资源：</w:t>
      </w:r>
    </w:p>
    <w:p>
      <w:pPr>
        <w:adjustRightInd w:val="0"/>
        <w:snapToGrid w:val="0"/>
        <w:spacing w:line="360" w:lineRule="auto"/>
        <w:ind w:left="1155" w:leftChars="300" w:hanging="525" w:hangingChars="250"/>
        <w:jc w:val="left"/>
      </w:pPr>
      <w:r>
        <w:rPr>
          <w:rFonts w:hint="eastAsia"/>
          <w:szCs w:val="21"/>
        </w:rPr>
        <w:t>（1）</w:t>
      </w:r>
      <w:r>
        <w:rPr>
          <w:szCs w:val="21"/>
        </w:rPr>
        <w:t>同济大学</w:t>
      </w:r>
      <w:r>
        <w:rPr>
          <w:rFonts w:hint="eastAsia"/>
          <w:szCs w:val="21"/>
        </w:rPr>
        <w:t>，徐和根，</w:t>
      </w:r>
      <w:r>
        <w:rPr>
          <w:szCs w:val="21"/>
        </w:rPr>
        <w:t>FPGA/VHDL视频教程</w:t>
      </w:r>
      <w:r>
        <w:rPr>
          <w:rFonts w:hint="eastAsia"/>
          <w:szCs w:val="21"/>
        </w:rPr>
        <w:t>，</w:t>
      </w:r>
      <w:r>
        <w:fldChar w:fldCharType="begin"/>
      </w:r>
      <w:r>
        <w:instrText xml:space="preserve"> HYPERLINK "http://www.moore8.com/courses/647" \l "/lecture Modal-1" </w:instrText>
      </w:r>
      <w:r>
        <w:fldChar w:fldCharType="separate"/>
      </w:r>
      <w:r>
        <w:rPr>
          <w:rStyle w:val="27"/>
          <w:color w:val="auto"/>
          <w:szCs w:val="21"/>
        </w:rPr>
        <w:t>http://www.moore8.com/courses/647#/lectureModal-1</w:t>
      </w:r>
      <w:r>
        <w:rPr>
          <w:rStyle w:val="27"/>
          <w:color w:val="auto"/>
          <w:szCs w:val="21"/>
        </w:rPr>
        <w:fldChar w:fldCharType="end"/>
      </w:r>
      <w:r>
        <w:rPr>
          <w:rFonts w:hint="eastAsia"/>
          <w:szCs w:val="21"/>
        </w:rPr>
        <w:t>。</w:t>
      </w:r>
    </w:p>
    <w:p>
      <w:pPr>
        <w:adjustRightInd w:val="0"/>
        <w:snapToGrid w:val="0"/>
        <w:spacing w:line="360" w:lineRule="auto"/>
        <w:ind w:left="1155" w:leftChars="300" w:hanging="525" w:hangingChars="250"/>
        <w:jc w:val="left"/>
        <w:rPr>
          <w:szCs w:val="21"/>
          <w:u w:val="single"/>
        </w:rPr>
      </w:pPr>
      <w:r>
        <w:rPr>
          <w:rFonts w:hint="eastAsia"/>
          <w:szCs w:val="21"/>
        </w:rPr>
        <w:t>（2）北京航空航天大学，夏宇闻，硬件描述语言与数字系统结构设计系列视频教程，</w:t>
      </w:r>
      <w:r>
        <w:fldChar w:fldCharType="begin"/>
      </w:r>
      <w:r>
        <w:instrText xml:space="preserve"> HYPERLINK "http://v.eepw.com.cn/video/playlist/id/4076" </w:instrText>
      </w:r>
      <w:r>
        <w:fldChar w:fldCharType="separate"/>
      </w:r>
      <w:r>
        <w:rPr>
          <w:rStyle w:val="27"/>
          <w:color w:val="auto"/>
          <w:szCs w:val="21"/>
        </w:rPr>
        <w:t>http://v.eepw.com.cn/video/playlist/id/4076</w:t>
      </w:r>
      <w:r>
        <w:rPr>
          <w:rStyle w:val="27"/>
          <w:color w:val="auto"/>
          <w:szCs w:val="21"/>
        </w:rPr>
        <w:fldChar w:fldCharType="end"/>
      </w:r>
      <w:r>
        <w:rPr>
          <w:rFonts w:hint="eastAsia"/>
          <w:szCs w:val="21"/>
        </w:rPr>
        <w:t>。</w:t>
      </w:r>
    </w:p>
    <w:p>
      <w:pPr>
        <w:adjustRightInd w:val="0"/>
        <w:snapToGrid w:val="0"/>
        <w:spacing w:line="360" w:lineRule="auto"/>
        <w:ind w:left="1155" w:leftChars="300" w:hanging="525" w:hangingChars="250"/>
        <w:jc w:val="left"/>
        <w:rPr>
          <w:szCs w:val="21"/>
        </w:rPr>
      </w:pPr>
      <w:r>
        <w:rPr>
          <w:rFonts w:hint="eastAsia"/>
          <w:szCs w:val="21"/>
        </w:rPr>
        <w:t>（3)《EDN China.com电子工程师社区，</w:t>
      </w:r>
      <w:r>
        <w:rPr>
          <w:szCs w:val="21"/>
        </w:rPr>
        <w:t>吴厚航</w:t>
      </w:r>
      <w:r>
        <w:rPr>
          <w:rFonts w:hint="eastAsia"/>
          <w:szCs w:val="21"/>
        </w:rPr>
        <w:t>，FPGA/CPLD实践教程》</w:t>
      </w:r>
      <w:r>
        <w:fldChar w:fldCharType="begin"/>
      </w:r>
      <w:r>
        <w:instrText xml:space="preserve"> HYPERLINK "http://i.youku.com/u/UMTgxODg5NjEy" </w:instrText>
      </w:r>
      <w:r>
        <w:fldChar w:fldCharType="separate"/>
      </w:r>
      <w:r>
        <w:rPr>
          <w:rStyle w:val="27"/>
          <w:color w:val="auto"/>
          <w:szCs w:val="21"/>
        </w:rPr>
        <w:t>http://i.youku.com/u/UMTgxODg5NjEy</w:t>
      </w:r>
      <w:r>
        <w:rPr>
          <w:rStyle w:val="27"/>
          <w:color w:val="auto"/>
          <w:szCs w:val="21"/>
        </w:rPr>
        <w:fldChar w:fldCharType="end"/>
      </w:r>
      <w:r>
        <w:rPr>
          <w:rFonts w:hint="eastAsia"/>
          <w:szCs w:val="21"/>
        </w:rPr>
        <w:t>。</w:t>
      </w:r>
    </w:p>
    <w:p>
      <w:pPr>
        <w:adjustRightInd w:val="0"/>
        <w:snapToGrid w:val="0"/>
        <w:spacing w:line="360" w:lineRule="auto"/>
        <w:ind w:firstLine="630" w:firstLineChars="300"/>
        <w:jc w:val="left"/>
        <w:rPr>
          <w:szCs w:val="21"/>
        </w:rPr>
      </w:pPr>
      <w:r>
        <w:rPr>
          <w:rFonts w:hint="eastAsia"/>
          <w:szCs w:val="21"/>
        </w:rPr>
        <w:t>（4）明德扬科技教育集团，潘文明，FPGA/CPLD系列视频教程，</w:t>
      </w:r>
      <w:r>
        <w:rPr>
          <w:rFonts w:hint="eastAsia"/>
        </w:rPr>
        <w:fldChar w:fldCharType="begin"/>
      </w:r>
      <w:r>
        <w:instrText xml:space="preserve"> HYPERLINK "http://www.mdy-edu.com" </w:instrText>
      </w:r>
      <w:r>
        <w:rPr>
          <w:rFonts w:hint="eastAsia"/>
        </w:rPr>
        <w:fldChar w:fldCharType="separate"/>
      </w:r>
      <w:r>
        <w:rPr>
          <w:rStyle w:val="27"/>
          <w:color w:val="auto"/>
          <w:szCs w:val="21"/>
        </w:rPr>
        <w:t>http://</w:t>
      </w:r>
      <w:r>
        <w:rPr>
          <w:rStyle w:val="27"/>
          <w:rFonts w:hint="eastAsia"/>
          <w:color w:val="auto"/>
          <w:szCs w:val="21"/>
        </w:rPr>
        <w:t>www.mdy-edu.com</w:t>
      </w:r>
      <w:r>
        <w:rPr>
          <w:rStyle w:val="27"/>
          <w:rFonts w:hint="eastAsia"/>
          <w:color w:val="auto"/>
          <w:szCs w:val="21"/>
        </w:rPr>
        <w:fldChar w:fldCharType="end"/>
      </w:r>
      <w:r>
        <w:rPr>
          <w:rFonts w:hint="eastAsia"/>
          <w:szCs w:val="21"/>
        </w:rPr>
        <w:t>。</w:t>
      </w:r>
    </w:p>
    <w:p>
      <w:pPr>
        <w:adjustRightInd w:val="0"/>
        <w:snapToGrid w:val="0"/>
        <w:spacing w:line="360" w:lineRule="auto"/>
        <w:ind w:firstLine="630" w:firstLineChars="300"/>
        <w:jc w:val="left"/>
        <w:rPr>
          <w:szCs w:val="21"/>
        </w:rPr>
      </w:pPr>
    </w:p>
    <w:p>
      <w:pPr>
        <w:tabs>
          <w:tab w:val="left" w:pos="420"/>
        </w:tabs>
        <w:adjustRightInd w:val="0"/>
        <w:snapToGrid w:val="0"/>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、考核目标：在考核学生对可编程逻辑器件基本知识、基本原理和方法的基础上，重点考核学生的可编程器件选择能力、语言掌握程度、基础逻辑设计能力和工具使用方法的掌握程度。</w:t>
      </w:r>
    </w:p>
    <w:p>
      <w:pPr>
        <w:spacing w:line="360" w:lineRule="auto"/>
        <w:ind w:firstLine="420" w:firstLineChars="200"/>
        <w:rPr>
          <w:szCs w:val="21"/>
        </w:rPr>
      </w:pPr>
      <w:r>
        <w:rPr>
          <w:szCs w:val="21"/>
        </w:rPr>
        <w:t>2</w:t>
      </w:r>
      <w:r>
        <w:rPr>
          <w:rFonts w:hint="eastAsia"/>
          <w:szCs w:val="21"/>
        </w:rPr>
        <w:t>、考核方式：期末考试、分组实验、课内实验、作业及课堂情况。</w:t>
      </w:r>
    </w:p>
    <w:p>
      <w:pPr>
        <w:spacing w:line="360" w:lineRule="auto"/>
        <w:ind w:firstLine="420" w:firstLineChars="200"/>
      </w:pPr>
      <w:r>
        <w:rPr>
          <w:szCs w:val="21"/>
        </w:rPr>
        <w:t>3、</w:t>
      </w:r>
      <w:r>
        <w:rPr>
          <w:rFonts w:hint="eastAsia"/>
          <w:szCs w:val="21"/>
        </w:rPr>
        <w:t>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1489"/>
        <w:gridCol w:w="1381"/>
        <w:gridCol w:w="1381"/>
        <w:gridCol w:w="1519"/>
        <w:gridCol w:w="1383"/>
        <w:gridCol w:w="1159"/>
      </w:tblGrid>
      <w:tr>
        <w:tblPrEx>
          <w:tblCellMar>
            <w:top w:w="0" w:type="dxa"/>
            <w:left w:w="108" w:type="dxa"/>
            <w:bottom w:w="0" w:type="dxa"/>
            <w:right w:w="108" w:type="dxa"/>
          </w:tblCellMar>
        </w:tblPrEx>
        <w:trPr>
          <w:trHeight w:val="436" w:hRule="atLeast"/>
          <w:jc w:val="center"/>
        </w:trPr>
        <w:tc>
          <w:tcPr>
            <w:tcW w:w="895"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考察环节</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课堂情况</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课内实验</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分组实验</w:t>
            </w:r>
          </w:p>
        </w:tc>
        <w:tc>
          <w:tcPr>
            <w:tcW w:w="697" w:type="pct"/>
            <w:tcBorders>
              <w:top w:val="single" w:color="auto" w:sz="4" w:space="0"/>
              <w:left w:val="single" w:color="auto" w:sz="4" w:space="0"/>
              <w:bottom w:val="single" w:color="auto" w:sz="4" w:space="0"/>
            </w:tcBorders>
            <w:shd w:val="clear" w:color="auto" w:fill="auto"/>
            <w:vAlign w:val="center"/>
          </w:tcPr>
          <w:p>
            <w:pPr>
              <w:widowControl/>
              <w:jc w:val="center"/>
              <w:rPr>
                <w:kern w:val="0"/>
                <w:sz w:val="18"/>
                <w:szCs w:val="18"/>
              </w:rPr>
            </w:pPr>
            <w:r>
              <w:rPr>
                <w:kern w:val="0"/>
                <w:sz w:val="18"/>
                <w:szCs w:val="18"/>
              </w:rPr>
              <w:t>期末考试</w:t>
            </w:r>
          </w:p>
        </w:tc>
      </w:tr>
      <w:tr>
        <w:tblPrEx>
          <w:tblCellMar>
            <w:top w:w="0" w:type="dxa"/>
            <w:left w:w="108" w:type="dxa"/>
            <w:bottom w:w="0" w:type="dxa"/>
            <w:right w:w="108" w:type="dxa"/>
          </w:tblCellMar>
        </w:tblPrEx>
        <w:trPr>
          <w:trHeight w:val="700" w:hRule="atLeast"/>
          <w:jc w:val="center"/>
        </w:trPr>
        <w:tc>
          <w:tcPr>
            <w:tcW w:w="895"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83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0.10</w:t>
            </w:r>
          </w:p>
        </w:tc>
        <w:tc>
          <w:tcPr>
            <w:tcW w:w="83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0.10</w:t>
            </w:r>
          </w:p>
        </w:tc>
        <w:tc>
          <w:tcPr>
            <w:tcW w:w="91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697" w:type="pct"/>
            <w:tcBorders>
              <w:top w:val="single" w:color="auto" w:sz="4" w:space="0"/>
              <w:left w:val="single" w:color="auto" w:sz="4" w:space="0"/>
              <w:bottom w:val="single" w:color="auto" w:sz="4" w:space="0"/>
            </w:tcBorders>
            <w:shd w:val="clear" w:color="auto" w:fill="auto"/>
            <w:noWrap/>
            <w:vAlign w:val="center"/>
          </w:tcPr>
          <w:p>
            <w:pPr>
              <w:jc w:val="center"/>
              <w:rPr>
                <w:sz w:val="18"/>
                <w:szCs w:val="18"/>
              </w:rPr>
            </w:pPr>
            <w:r>
              <w:rPr>
                <w:sz w:val="18"/>
                <w:szCs w:val="18"/>
              </w:rPr>
              <w:t>0.50</w:t>
            </w:r>
          </w:p>
        </w:tc>
      </w:tr>
      <w:tr>
        <w:tblPrEx>
          <w:tblCellMar>
            <w:top w:w="0" w:type="dxa"/>
            <w:left w:w="108" w:type="dxa"/>
            <w:bottom w:w="0" w:type="dxa"/>
            <w:right w:w="108" w:type="dxa"/>
          </w:tblCellMar>
        </w:tblPrEx>
        <w:trPr>
          <w:trHeight w:val="1134" w:hRule="atLeast"/>
          <w:jc w:val="center"/>
        </w:trPr>
        <w:tc>
          <w:tcPr>
            <w:tcW w:w="895"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支撑材料</w:t>
            </w:r>
          </w:p>
        </w:tc>
        <w:tc>
          <w:tcPr>
            <w:tcW w:w="8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课堂评价标准，课堂提问记录或随堂考试，结合出勤率等</w:t>
            </w:r>
          </w:p>
        </w:tc>
        <w:tc>
          <w:tcPr>
            <w:tcW w:w="8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作业评价标准，典型作业拍照，或电子版</w:t>
            </w:r>
          </w:p>
        </w:tc>
        <w:tc>
          <w:tcPr>
            <w:tcW w:w="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课内实验评价标准，实验课堂记录记录，典型实验报告</w:t>
            </w:r>
          </w:p>
        </w:tc>
        <w:tc>
          <w:tcPr>
            <w:tcW w:w="8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分组实验评价标准，验收记录，实验报告</w:t>
            </w:r>
          </w:p>
        </w:tc>
        <w:tc>
          <w:tcPr>
            <w:tcW w:w="697" w:type="pct"/>
            <w:tcBorders>
              <w:top w:val="single" w:color="auto" w:sz="4" w:space="0"/>
              <w:left w:val="single" w:color="auto" w:sz="4" w:space="0"/>
              <w:bottom w:val="single" w:color="auto" w:sz="4" w:space="0"/>
            </w:tcBorders>
            <w:shd w:val="clear" w:color="auto" w:fill="auto"/>
            <w:noWrap/>
            <w:vAlign w:val="center"/>
          </w:tcPr>
          <w:p>
            <w:pPr>
              <w:widowControl/>
              <w:jc w:val="center"/>
              <w:rPr>
                <w:kern w:val="0"/>
                <w:sz w:val="18"/>
                <w:szCs w:val="18"/>
              </w:rPr>
            </w:pPr>
            <w:r>
              <w:rPr>
                <w:kern w:val="0"/>
                <w:sz w:val="18"/>
                <w:szCs w:val="18"/>
              </w:rPr>
              <w:t>试题评分标准，试卷</w:t>
            </w:r>
          </w:p>
        </w:tc>
      </w:tr>
    </w:tbl>
    <w:p>
      <w:pPr>
        <w:adjustRightInd w:val="0"/>
        <w:snapToGrid w:val="0"/>
        <w:spacing w:line="360" w:lineRule="auto"/>
        <w:rPr>
          <w:b/>
          <w:sz w:val="24"/>
          <w:szCs w:val="24"/>
        </w:rPr>
        <w:sectPr>
          <w:pgSz w:w="11906" w:h="16838"/>
          <w:pgMar w:top="1440" w:right="1797" w:bottom="1440" w:left="1797" w:header="851" w:footer="992" w:gutter="0"/>
          <w:cols w:space="425" w:num="1"/>
          <w:docGrid w:type="lines" w:linePitch="312" w:charSpace="0"/>
        </w:sectPr>
      </w:pPr>
    </w:p>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9"/>
        <w:gridCol w:w="1491"/>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jc w:val="center"/>
              <w:rPr>
                <w:sz w:val="18"/>
                <w:szCs w:val="18"/>
                <w:highlight w:val="yellow"/>
              </w:rPr>
            </w:pPr>
            <w:r>
              <w:rPr>
                <w:sz w:val="18"/>
                <w:szCs w:val="18"/>
              </w:rPr>
              <w:t>知识点</w:t>
            </w:r>
          </w:p>
        </w:tc>
        <w:tc>
          <w:tcPr>
            <w:tcW w:w="897"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snapToGrid w:val="0"/>
                <w:kern w:val="0"/>
                <w:sz w:val="18"/>
                <w:szCs w:val="18"/>
              </w:rPr>
            </w:pPr>
            <w:r>
              <w:rPr>
                <w:snapToGrid w:val="0"/>
                <w:kern w:val="0"/>
                <w:sz w:val="18"/>
                <w:szCs w:val="18"/>
              </w:rPr>
              <w:t>1</w:t>
            </w:r>
            <w:r>
              <w:rPr>
                <w:rFonts w:hint="eastAsia"/>
                <w:snapToGrid w:val="0"/>
                <w:kern w:val="0"/>
                <w:sz w:val="18"/>
                <w:szCs w:val="18"/>
              </w:rPr>
              <w:t>可编程逻辑器件的发展历史及状况</w:t>
            </w:r>
          </w:p>
        </w:tc>
        <w:tc>
          <w:tcPr>
            <w:tcW w:w="897" w:type="pct"/>
            <w:vAlign w:val="center"/>
          </w:tcPr>
          <w:p>
            <w:pPr>
              <w:jc w:val="center"/>
              <w:rPr>
                <w:sz w:val="18"/>
                <w:szCs w:val="18"/>
              </w:rPr>
            </w:pPr>
            <w:r>
              <w:rPr>
                <w:sz w:val="18"/>
                <w:szCs w:val="18"/>
              </w:rPr>
              <w:t>0.05</w:t>
            </w:r>
          </w:p>
        </w:tc>
        <w:tc>
          <w:tcPr>
            <w:tcW w:w="1048"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snapToGrid w:val="0"/>
                <w:kern w:val="0"/>
                <w:sz w:val="18"/>
                <w:szCs w:val="18"/>
              </w:rPr>
            </w:pPr>
            <w:r>
              <w:rPr>
                <w:snapToGrid w:val="0"/>
                <w:kern w:val="0"/>
                <w:sz w:val="18"/>
                <w:szCs w:val="18"/>
              </w:rPr>
              <w:t>2可编程逻辑器件的原理与结构</w:t>
            </w:r>
          </w:p>
        </w:tc>
        <w:tc>
          <w:tcPr>
            <w:tcW w:w="897" w:type="pct"/>
            <w:vAlign w:val="center"/>
          </w:tcPr>
          <w:p>
            <w:pPr>
              <w:jc w:val="center"/>
              <w:rPr>
                <w:sz w:val="18"/>
                <w:szCs w:val="18"/>
              </w:rPr>
            </w:pPr>
            <w:r>
              <w:rPr>
                <w:sz w:val="18"/>
                <w:szCs w:val="18"/>
              </w:rPr>
              <w:t>0.15</w:t>
            </w:r>
          </w:p>
        </w:tc>
        <w:tc>
          <w:tcPr>
            <w:tcW w:w="1048" w:type="pct"/>
            <w:vAlign w:val="center"/>
          </w:tcPr>
          <w:p>
            <w:pPr>
              <w:jc w:val="center"/>
              <w:rPr>
                <w:sz w:val="18"/>
                <w:szCs w:val="18"/>
              </w:rPr>
            </w:pPr>
            <w:r>
              <w:rPr>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kern w:val="0"/>
                <w:sz w:val="18"/>
                <w:szCs w:val="18"/>
              </w:rPr>
            </w:pPr>
            <w:r>
              <w:rPr>
                <w:snapToGrid w:val="0"/>
                <w:kern w:val="0"/>
                <w:sz w:val="18"/>
                <w:szCs w:val="18"/>
              </w:rPr>
              <w:t>3硬件描述语言的基本结构、数据类型和运算操作符</w:t>
            </w:r>
          </w:p>
        </w:tc>
        <w:tc>
          <w:tcPr>
            <w:tcW w:w="897"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kern w:val="0"/>
                <w:sz w:val="18"/>
                <w:szCs w:val="18"/>
              </w:rPr>
            </w:pPr>
            <w:r>
              <w:rPr>
                <w:snapToGrid w:val="0"/>
                <w:kern w:val="0"/>
                <w:sz w:val="18"/>
                <w:szCs w:val="18"/>
              </w:rPr>
              <w:t>4 硬件描述语言的主要描述语句</w:t>
            </w:r>
          </w:p>
        </w:tc>
        <w:tc>
          <w:tcPr>
            <w:tcW w:w="897" w:type="pct"/>
            <w:vAlign w:val="center"/>
          </w:tcPr>
          <w:p>
            <w:pPr>
              <w:jc w:val="center"/>
              <w:rPr>
                <w:sz w:val="18"/>
                <w:szCs w:val="18"/>
              </w:rPr>
            </w:pPr>
            <w:r>
              <w:rPr>
                <w:sz w:val="18"/>
                <w:szCs w:val="18"/>
              </w:rPr>
              <w:t>0.20</w:t>
            </w:r>
          </w:p>
        </w:tc>
        <w:tc>
          <w:tcPr>
            <w:tcW w:w="1048" w:type="pct"/>
            <w:vAlign w:val="center"/>
          </w:tcPr>
          <w:p>
            <w:pPr>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kern w:val="0"/>
                <w:sz w:val="18"/>
                <w:szCs w:val="18"/>
              </w:rPr>
            </w:pPr>
            <w:r>
              <w:rPr>
                <w:snapToGrid w:val="0"/>
                <w:kern w:val="0"/>
                <w:sz w:val="18"/>
                <w:szCs w:val="18"/>
              </w:rPr>
              <w:t>5 基本逻辑设计</w:t>
            </w:r>
          </w:p>
        </w:tc>
        <w:tc>
          <w:tcPr>
            <w:tcW w:w="897" w:type="pct"/>
            <w:vAlign w:val="center"/>
          </w:tcPr>
          <w:p>
            <w:pPr>
              <w:jc w:val="center"/>
              <w:rPr>
                <w:sz w:val="18"/>
                <w:szCs w:val="18"/>
              </w:rPr>
            </w:pPr>
            <w:r>
              <w:rPr>
                <w:sz w:val="18"/>
                <w:szCs w:val="18"/>
              </w:rPr>
              <w:t>0.30</w:t>
            </w:r>
          </w:p>
        </w:tc>
        <w:tc>
          <w:tcPr>
            <w:tcW w:w="1048" w:type="pct"/>
            <w:vAlign w:val="center"/>
          </w:tcPr>
          <w:p>
            <w:pPr>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kern w:val="0"/>
                <w:sz w:val="18"/>
                <w:szCs w:val="18"/>
              </w:rPr>
            </w:pPr>
            <w:r>
              <w:rPr>
                <w:kern w:val="0"/>
                <w:sz w:val="18"/>
                <w:szCs w:val="18"/>
              </w:rPr>
              <w:t>6 状态机设计</w:t>
            </w:r>
          </w:p>
        </w:tc>
        <w:tc>
          <w:tcPr>
            <w:tcW w:w="897"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5" w:type="pct"/>
            <w:vAlign w:val="center"/>
          </w:tcPr>
          <w:p>
            <w:pPr>
              <w:widowControl/>
              <w:ind w:left="174" w:leftChars="83"/>
              <w:rPr>
                <w:kern w:val="0"/>
                <w:sz w:val="18"/>
                <w:szCs w:val="18"/>
              </w:rPr>
            </w:pPr>
            <w:r>
              <w:rPr>
                <w:kern w:val="0"/>
                <w:sz w:val="18"/>
                <w:szCs w:val="18"/>
              </w:rPr>
              <w:t>7 综合性设计</w:t>
            </w:r>
          </w:p>
        </w:tc>
        <w:tc>
          <w:tcPr>
            <w:tcW w:w="897"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1、3</w:t>
            </w:r>
          </w:p>
        </w:tc>
      </w:tr>
    </w:tbl>
    <w:p>
      <w:pPr>
        <w:spacing w:line="360" w:lineRule="auto"/>
        <w:ind w:firstLine="420" w:firstLineChars="200"/>
        <w:rPr>
          <w:szCs w:val="21"/>
        </w:rPr>
      </w:pPr>
      <w:r>
        <w:rPr>
          <w:rFonts w:hAnsi="宋体"/>
          <w:szCs w:val="21"/>
        </w:rPr>
        <w:t>学生可以依据仪器与电子学院相关文件，以允许的第二课堂成果折算单项成绩，与对应知识点加权累计达到</w:t>
      </w:r>
      <w:r>
        <w:rPr>
          <w:szCs w:val="21"/>
        </w:rPr>
        <w:t>75</w:t>
      </w:r>
      <w:r>
        <w:rPr>
          <w:rFonts w:hAnsi="宋体"/>
          <w:szCs w:val="21"/>
        </w:rPr>
        <w:t>（含）以上，且对所有课程目标的支撑不能有缺项，即可申请本门课程免修。</w:t>
      </w:r>
    </w:p>
    <w:p>
      <w:pPr>
        <w:adjustRightInd w:val="0"/>
        <w:snapToGrid w:val="0"/>
        <w:spacing w:line="360" w:lineRule="auto"/>
        <w:ind w:left="707" w:leftChars="337"/>
        <w:rPr>
          <w:sz w:val="18"/>
          <w:szCs w:val="18"/>
        </w:rPr>
        <w:sectPr>
          <w:type w:val="continuous"/>
          <w:pgSz w:w="11906" w:h="16838"/>
          <w:pgMar w:top="1440" w:right="1797" w:bottom="1440" w:left="1797" w:header="851" w:footer="992" w:gutter="0"/>
          <w:cols w:space="425" w:num="1"/>
          <w:docGrid w:type="linesAndChars"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1397"/>
        <w:gridCol w:w="1513"/>
        <w:gridCol w:w="715"/>
        <w:gridCol w:w="678"/>
        <w:gridCol w:w="715"/>
        <w:gridCol w:w="678"/>
        <w:gridCol w:w="641"/>
        <w:gridCol w:w="704"/>
        <w:gridCol w:w="688"/>
        <w:gridCol w:w="688"/>
        <w:gridCol w:w="688"/>
        <w:gridCol w:w="688"/>
        <w:gridCol w:w="715"/>
        <w:gridCol w:w="659"/>
        <w:gridCol w:w="688"/>
        <w:gridCol w:w="688"/>
        <w:gridCol w:w="691"/>
      </w:tblGrid>
      <w:tr>
        <w:tblPrEx>
          <w:tblCellMar>
            <w:top w:w="0" w:type="dxa"/>
            <w:left w:w="108" w:type="dxa"/>
            <w:bottom w:w="0" w:type="dxa"/>
            <w:right w:w="108" w:type="dxa"/>
          </w:tblCellMar>
        </w:tblPrEx>
        <w:trPr>
          <w:trHeight w:val="1015" w:hRule="atLeast"/>
          <w:jc w:val="center"/>
        </w:trPr>
        <w:tc>
          <w:tcPr>
            <w:tcW w:w="52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5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294"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306" w:type="pct"/>
            <w:gridSpan w:val="5"/>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00"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52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57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7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25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7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课内实验</w:t>
            </w:r>
          </w:p>
        </w:tc>
        <w:tc>
          <w:tcPr>
            <w:tcW w:w="25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24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266"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26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6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课内实验</w:t>
            </w:r>
          </w:p>
        </w:tc>
        <w:tc>
          <w:tcPr>
            <w:tcW w:w="26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260" w:type="pc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27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24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6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课内实验</w:t>
            </w:r>
          </w:p>
        </w:tc>
        <w:tc>
          <w:tcPr>
            <w:tcW w:w="26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26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r>
      <w:tr>
        <w:tblPrEx>
          <w:tblCellMar>
            <w:top w:w="0" w:type="dxa"/>
            <w:left w:w="108" w:type="dxa"/>
            <w:bottom w:w="0" w:type="dxa"/>
            <w:right w:w="108" w:type="dxa"/>
          </w:tblCellMar>
        </w:tblPrEx>
        <w:trPr>
          <w:trHeight w:val="702" w:hRule="atLeast"/>
          <w:jc w:val="center"/>
        </w:trPr>
        <w:tc>
          <w:tcPr>
            <w:tcW w:w="52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 xml:space="preserve">1 </w:t>
            </w:r>
          </w:p>
        </w:tc>
        <w:tc>
          <w:tcPr>
            <w:tcW w:w="57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0.80 </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56"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70"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0.15 </w:t>
            </w:r>
          </w:p>
        </w:tc>
        <w:tc>
          <w:tcPr>
            <w:tcW w:w="256"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4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0.55 </w:t>
            </w:r>
          </w:p>
        </w:tc>
        <w:tc>
          <w:tcPr>
            <w:tcW w:w="266"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0.08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0.08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0.12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0.08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0.44 </w:t>
            </w:r>
          </w:p>
        </w:tc>
        <w:tc>
          <w:tcPr>
            <w:tcW w:w="27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0.80 </w:t>
            </w:r>
          </w:p>
        </w:tc>
        <w:tc>
          <w:tcPr>
            <w:tcW w:w="24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0.80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0.80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0.54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0.88 </w:t>
            </w:r>
          </w:p>
        </w:tc>
      </w:tr>
      <w:tr>
        <w:tblPrEx>
          <w:tblCellMar>
            <w:top w:w="0" w:type="dxa"/>
            <w:left w:w="108" w:type="dxa"/>
            <w:bottom w:w="0" w:type="dxa"/>
            <w:right w:w="108" w:type="dxa"/>
          </w:tblCellMar>
        </w:tblPrEx>
        <w:trPr>
          <w:trHeight w:val="694" w:hRule="atLeast"/>
          <w:jc w:val="center"/>
        </w:trPr>
        <w:tc>
          <w:tcPr>
            <w:tcW w:w="52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 xml:space="preserve">2 </w:t>
            </w:r>
          </w:p>
        </w:tc>
        <w:tc>
          <w:tcPr>
            <w:tcW w:w="572"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7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5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7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0.00 </w:t>
            </w:r>
          </w:p>
        </w:tc>
        <w:tc>
          <w:tcPr>
            <w:tcW w:w="25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0.50 </w:t>
            </w:r>
          </w:p>
        </w:tc>
        <w:tc>
          <w:tcPr>
            <w:tcW w:w="24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0.30 </w:t>
            </w:r>
          </w:p>
        </w:tc>
        <w:tc>
          <w:tcPr>
            <w:tcW w:w="266"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0.01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0.01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0.00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0.05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0.03 </w:t>
            </w:r>
          </w:p>
        </w:tc>
        <w:tc>
          <w:tcPr>
            <w:tcW w:w="27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0.10 </w:t>
            </w:r>
          </w:p>
        </w:tc>
        <w:tc>
          <w:tcPr>
            <w:tcW w:w="24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0.10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0.00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0.33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0.06 </w:t>
            </w:r>
          </w:p>
        </w:tc>
      </w:tr>
      <w:tr>
        <w:tblPrEx>
          <w:tblCellMar>
            <w:top w:w="0" w:type="dxa"/>
            <w:left w:w="108" w:type="dxa"/>
            <w:bottom w:w="0" w:type="dxa"/>
            <w:right w:w="108" w:type="dxa"/>
          </w:tblCellMar>
        </w:tblPrEx>
        <w:trPr>
          <w:trHeight w:val="690" w:hRule="atLeast"/>
          <w:jc w:val="center"/>
        </w:trPr>
        <w:tc>
          <w:tcPr>
            <w:tcW w:w="52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 xml:space="preserve">3 </w:t>
            </w:r>
          </w:p>
        </w:tc>
        <w:tc>
          <w:tcPr>
            <w:tcW w:w="572"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7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5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0.10 </w:t>
            </w:r>
          </w:p>
        </w:tc>
        <w:tc>
          <w:tcPr>
            <w:tcW w:w="27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0.30 </w:t>
            </w:r>
          </w:p>
        </w:tc>
        <w:tc>
          <w:tcPr>
            <w:tcW w:w="256"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0.20 </w:t>
            </w:r>
          </w:p>
        </w:tc>
        <w:tc>
          <w:tcPr>
            <w:tcW w:w="24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xml:space="preserve">0.30 </w:t>
            </w:r>
          </w:p>
        </w:tc>
        <w:tc>
          <w:tcPr>
            <w:tcW w:w="266"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0.01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0.01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0.03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0.02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0.03 </w:t>
            </w:r>
          </w:p>
        </w:tc>
        <w:tc>
          <w:tcPr>
            <w:tcW w:w="27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0.10 </w:t>
            </w:r>
          </w:p>
        </w:tc>
        <w:tc>
          <w:tcPr>
            <w:tcW w:w="24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0.10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0.20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0.13 </w:t>
            </w:r>
          </w:p>
        </w:tc>
        <w:tc>
          <w:tcPr>
            <w:tcW w:w="26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 xml:space="preserve">0.06 </w:t>
            </w:r>
          </w:p>
        </w:tc>
      </w:tr>
      <w:tr>
        <w:tblPrEx>
          <w:tblCellMar>
            <w:top w:w="0" w:type="dxa"/>
            <w:left w:w="108" w:type="dxa"/>
            <w:bottom w:w="0" w:type="dxa"/>
            <w:right w:w="108" w:type="dxa"/>
          </w:tblCellMar>
        </w:tblPrEx>
        <w:trPr>
          <w:trHeight w:val="1026" w:hRule="atLeast"/>
          <w:jc w:val="center"/>
        </w:trPr>
        <w:tc>
          <w:tcPr>
            <w:tcW w:w="2394"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266"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0.10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0.10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0.15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0.15 </w:t>
            </w:r>
          </w:p>
        </w:tc>
        <w:tc>
          <w:tcPr>
            <w:tcW w:w="260" w:type="pct"/>
            <w:tcBorders>
              <w:top w:val="single" w:color="auto" w:sz="4" w:space="0"/>
              <w:left w:val="single" w:color="auto" w:sz="4" w:space="0"/>
              <w:bottom w:val="single" w:color="auto" w:sz="4" w:space="0"/>
              <w:right w:val="single" w:color="auto" w:sz="4" w:space="0"/>
            </w:tcBorders>
            <w:shd w:val="clear" w:color="auto" w:fill="FFFFFF"/>
            <w:noWrap/>
            <w:vAlign w:val="center"/>
          </w:tcPr>
          <w:p>
            <w:pPr>
              <w:jc w:val="center"/>
              <w:rPr>
                <w:sz w:val="18"/>
                <w:szCs w:val="18"/>
              </w:rPr>
            </w:pPr>
            <w:r>
              <w:rPr>
                <w:sz w:val="18"/>
                <w:szCs w:val="18"/>
              </w:rPr>
              <w:t xml:space="preserve">0.50 </w:t>
            </w:r>
          </w:p>
        </w:tc>
        <w:tc>
          <w:tcPr>
            <w:tcW w:w="1300" w:type="pct"/>
            <w:gridSpan w:val="5"/>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sectPr>
          <w:pgSz w:w="16838" w:h="11906" w:orient="landscape"/>
          <w:pgMar w:top="1440" w:right="1797" w:bottom="1440" w:left="1797"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096" o:spt="75" type="#_x0000_t75" style="height:36pt;width:165.35pt;" o:ole="t" filled="f" o:preferrelative="t" stroked="f" coordsize="21600,21600">
            <v:path/>
            <v:fill on="f" focussize="0,0"/>
            <v:stroke on="f" joinstyle="miter"/>
            <v:imagedata r:id="rId201" o:title=""/>
            <o:lock v:ext="edit" aspectratio="t"/>
            <w10:wrap type="none"/>
            <w10:anchorlock/>
          </v:shape>
          <o:OLEObject Type="Embed" ProgID="Equation.3" ShapeID="_x0000_i1096" DrawAspect="Content" ObjectID="_1468075796" r:id="rId254">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097" o:spt="75" type="#_x0000_t75" style="height:36pt;width:151.35pt;" o:ole="t" filled="f" o:preferrelative="t" stroked="f" coordsize="21600,21600">
            <v:path/>
            <v:fill on="f" focussize="0,0"/>
            <v:stroke on="f" joinstyle="miter"/>
            <v:imagedata r:id="rId203" o:title=""/>
            <o:lock v:ext="edit" aspectratio="t"/>
            <w10:wrap type="none"/>
            <w10:anchorlock/>
          </v:shape>
          <o:OLEObject Type="Embed" ProgID="Equation.3" ShapeID="_x0000_i1097" DrawAspect="Content" ObjectID="_1468075797" r:id="rId255">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098" o:spt="75" type="#_x0000_t75" style="height:21.45pt;width:14.55pt;" o:ole="t" filled="f" o:preferrelative="t" stroked="f" coordsize="21600,21600">
            <v:path/>
            <v:fill on="f" focussize="0,0"/>
            <v:stroke on="f" joinstyle="miter"/>
            <v:imagedata r:id="rId205" o:title=""/>
            <o:lock v:ext="edit" aspectratio="t"/>
            <w10:wrap type="none"/>
            <w10:anchorlock/>
          </v:shape>
          <o:OLEObject Type="Embed" ProgID="Equation.3" ShapeID="_x0000_i1098" DrawAspect="Content" ObjectID="_1468075798" r:id="rId256">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099" o:spt="75" type="#_x0000_t75" style="height:21.45pt;width:72.05pt;" o:ole="t" filled="f" o:preferrelative="t" stroked="f" coordsize="21600,21600">
            <v:path/>
            <v:fill on="f" focussize="0,0"/>
            <v:stroke on="f" joinstyle="miter"/>
            <v:imagedata r:id="rId207" o:title=""/>
            <o:lock v:ext="edit" aspectratio="t"/>
            <w10:wrap type="none"/>
            <w10:anchorlock/>
          </v:shape>
          <o:OLEObject Type="Embed" ProgID="Equation.3" ShapeID="_x0000_i1099" DrawAspect="Content" ObjectID="_1468075799" r:id="rId257">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00" o:spt="75" type="#_x0000_t75" style="height:21.45pt;width:21.45pt;" o:ole="t" filled="f" o:preferrelative="t" stroked="f" coordsize="21600,21600">
            <v:path/>
            <v:fill on="f" focussize="0,0"/>
            <v:stroke on="f" joinstyle="miter"/>
            <v:imagedata r:id="rId209" o:title=""/>
            <o:lock v:ext="edit" aspectratio="t"/>
            <w10:wrap type="none"/>
            <w10:anchorlock/>
          </v:shape>
          <o:OLEObject Type="Embed" ProgID="Equation.3" ShapeID="_x0000_i1100" DrawAspect="Content" ObjectID="_1468075800" r:id="rId258">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01" o:spt="75" type="#_x0000_t75" style="height:21.45pt;width:14.55pt;" o:ole="t" filled="f" o:preferrelative="t" stroked="f" coordsize="21600,21600">
            <v:path/>
            <v:fill on="f" focussize="0,0"/>
            <v:stroke on="f" joinstyle="miter"/>
            <v:imagedata r:id="rId211" o:title=""/>
            <o:lock v:ext="edit" aspectratio="t"/>
            <w10:wrap type="none"/>
            <w10:anchorlock/>
          </v:shape>
          <o:OLEObject Type="Embed" ProgID="Equation.3" ShapeID="_x0000_i1101" DrawAspect="Content" ObjectID="_1468075801" r:id="rId259">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81" w:name="_Toc13407"/>
      <w:bookmarkStart w:id="182" w:name="_Toc46996566"/>
      <w:r>
        <w:t>《Y03060035-半导体集成电路基础》教学大纲</w:t>
      </w:r>
      <w:bookmarkEnd w:id="181"/>
      <w:bookmarkEnd w:id="182"/>
    </w:p>
    <w:p>
      <w:pPr>
        <w:adjustRightInd w:val="0"/>
        <w:snapToGrid w:val="0"/>
        <w:spacing w:line="360" w:lineRule="auto"/>
        <w:rPr>
          <w:bCs/>
          <w:kern w:val="0"/>
        </w:rPr>
      </w:pPr>
      <w:r>
        <w:rPr>
          <w:rFonts w:eastAsia="黑体"/>
          <w:szCs w:val="21"/>
        </w:rPr>
        <w:t>课程编号：</w:t>
      </w:r>
      <w:r>
        <w:rPr>
          <w:bCs/>
          <w:kern w:val="0"/>
        </w:rPr>
        <w:t>Y03060035</w:t>
      </w:r>
    </w:p>
    <w:p>
      <w:pPr>
        <w:adjustRightInd w:val="0"/>
        <w:snapToGrid w:val="0"/>
        <w:spacing w:line="360" w:lineRule="auto"/>
        <w:rPr>
          <w:snapToGrid w:val="0"/>
          <w:kern w:val="0"/>
          <w:szCs w:val="21"/>
        </w:rPr>
      </w:pPr>
      <w:r>
        <w:rPr>
          <w:rFonts w:eastAsia="黑体"/>
          <w:szCs w:val="21"/>
        </w:rPr>
        <w:t>课程名称：</w:t>
      </w:r>
      <w:r>
        <w:rPr>
          <w:szCs w:val="21"/>
        </w:rPr>
        <w:t>半导体集成电路基础</w:t>
      </w:r>
      <w:r>
        <w:rPr>
          <w:szCs w:val="21"/>
        </w:rPr>
        <w:tab/>
      </w:r>
      <w:r>
        <w:rPr>
          <w:szCs w:val="21"/>
        </w:rPr>
        <w:tab/>
      </w:r>
      <w:r>
        <w:rPr>
          <w:szCs w:val="21"/>
        </w:rPr>
        <w:tab/>
      </w:r>
      <w:r>
        <w:rPr>
          <w:rFonts w:eastAsia="黑体"/>
          <w:szCs w:val="21"/>
        </w:rPr>
        <w:t>开课单位：</w:t>
      </w:r>
      <w:r>
        <w:rPr>
          <w:szCs w:val="21"/>
        </w:rPr>
        <w:t>仪器与电子学院</w:t>
      </w:r>
      <w:r>
        <w:rPr>
          <w:rFonts w:eastAsia="黑体"/>
          <w:szCs w:val="21"/>
        </w:rPr>
        <w:tab/>
      </w:r>
    </w:p>
    <w:p>
      <w:pPr>
        <w:adjustRightInd w:val="0"/>
        <w:snapToGrid w:val="0"/>
        <w:spacing w:line="360" w:lineRule="auto"/>
        <w:rPr>
          <w:rFonts w:eastAsia="黑体"/>
          <w:szCs w:val="21"/>
        </w:rPr>
      </w:pPr>
      <w:r>
        <w:rPr>
          <w:rFonts w:eastAsia="黑体"/>
          <w:szCs w:val="21"/>
        </w:rPr>
        <w:t>总 学 时：</w:t>
      </w:r>
      <w:r>
        <w:rPr>
          <w:szCs w:val="21"/>
        </w:rPr>
        <w:t xml:space="preserve">32          </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学    分：2</w:t>
      </w:r>
    </w:p>
    <w:p>
      <w:pPr>
        <w:adjustRightInd w:val="0"/>
        <w:snapToGrid w:val="0"/>
        <w:spacing w:line="360" w:lineRule="auto"/>
        <w:rPr>
          <w:rFonts w:eastAsia="黑体"/>
          <w:szCs w:val="21"/>
        </w:rPr>
      </w:pPr>
      <w:r>
        <w:rPr>
          <w:rFonts w:eastAsia="黑体"/>
          <w:szCs w:val="21"/>
        </w:rPr>
        <w:t>适用专业：</w:t>
      </w:r>
      <w:r>
        <w:rPr>
          <w:szCs w:val="21"/>
        </w:rPr>
        <w:t>电子科学与技术专业</w:t>
      </w:r>
      <w:r>
        <w:drawing>
          <wp:anchor distT="0" distB="0" distL="114300" distR="114300" simplePos="0" relativeHeight="251712512" behindDoc="0" locked="0" layoutInCell="1" allowOverlap="1">
            <wp:simplePos x="0" y="0"/>
            <wp:positionH relativeFrom="character">
              <wp:posOffset>1047750</wp:posOffset>
            </wp:positionH>
            <wp:positionV relativeFrom="line">
              <wp:posOffset>170815</wp:posOffset>
            </wp:positionV>
            <wp:extent cx="16510" cy="8255"/>
            <wp:effectExtent l="19050" t="19050" r="21590" b="10795"/>
            <wp:wrapNone/>
            <wp:docPr id="374" name="图片 374"/>
            <wp:cNvGraphicFramePr/>
            <a:graphic xmlns:a="http://schemas.openxmlformats.org/drawingml/2006/main">
              <a:graphicData uri="http://schemas.openxmlformats.org/drawingml/2006/picture">
                <pic:pic xmlns:pic="http://schemas.openxmlformats.org/drawingml/2006/picture">
                  <pic:nvPicPr>
                    <pic:cNvPr id="374" name="图片 374"/>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16510" cy="8255"/>
                    </a:xfrm>
                    <a:prstGeom prst="rect">
                      <a:avLst/>
                    </a:prstGeom>
                    <a:solidFill>
                      <a:srgbClr val="FFFFFF"/>
                    </a:solidFill>
                    <a:ln w="9525">
                      <a:solidFill>
                        <a:srgbClr val="000000"/>
                      </a:solidFill>
                      <a:round/>
                    </a:ln>
                  </pic:spPr>
                </pic:pic>
              </a:graphicData>
            </a:graphic>
          </wp:anchor>
        </w:drawing>
      </w:r>
    </w:p>
    <w:p>
      <w:pPr>
        <w:adjustRightInd w:val="0"/>
        <w:snapToGrid w:val="0"/>
        <w:spacing w:line="360" w:lineRule="auto"/>
        <w:rPr>
          <w:szCs w:val="21"/>
        </w:rPr>
      </w:pPr>
      <w:r>
        <w:rPr>
          <w:rFonts w:eastAsia="黑体"/>
          <w:szCs w:val="21"/>
        </w:rPr>
        <w:t>先修课程：</w:t>
      </w:r>
      <w:r>
        <w:rPr>
          <w:szCs w:val="21"/>
        </w:rPr>
        <w:t xml:space="preserve">电路原理、模拟电子技术A、数字电子技术A </w:t>
      </w:r>
    </w:p>
    <w:p>
      <w:pPr>
        <w:adjustRightInd w:val="0"/>
        <w:snapToGrid w:val="0"/>
        <w:spacing w:line="360" w:lineRule="auto"/>
        <w:rPr>
          <w:szCs w:val="21"/>
        </w:rPr>
      </w:pPr>
      <w:r>
        <w:rPr>
          <w:rFonts w:eastAsia="黑体"/>
          <w:szCs w:val="21"/>
        </w:rPr>
        <w:t>大纲撰写人：</w:t>
      </w:r>
      <w:r>
        <w:rPr>
          <w:szCs w:val="21"/>
        </w:rPr>
        <w:t>郭靖</w:t>
      </w:r>
      <w:r>
        <w:rPr>
          <w:rFonts w:hint="eastAsia"/>
          <w:szCs w:val="21"/>
        </w:rPr>
        <w:t>、</w:t>
      </w:r>
      <w:r>
        <w:rPr>
          <w:szCs w:val="21"/>
        </w:rPr>
        <w:t>梁涛</w:t>
      </w:r>
      <w:r>
        <w:rPr>
          <w:rFonts w:hint="eastAsia"/>
          <w:szCs w:val="21"/>
        </w:rPr>
        <w:t>、朱平</w:t>
      </w:r>
    </w:p>
    <w:p>
      <w:pPr>
        <w:adjustRightInd w:val="0"/>
        <w:snapToGrid w:val="0"/>
        <w:spacing w:line="360" w:lineRule="auto"/>
        <w:rPr>
          <w:szCs w:val="21"/>
        </w:rPr>
      </w:pPr>
      <w:r>
        <w:rPr>
          <w:rFonts w:eastAsia="黑体"/>
          <w:szCs w:val="21"/>
        </w:rPr>
        <w:t>大纲编写（修订）时间：</w:t>
      </w:r>
      <w:r>
        <w:rPr>
          <w:szCs w:val="21"/>
        </w:rPr>
        <w:t>2019年5月</w:t>
      </w:r>
    </w:p>
    <w:p>
      <w:pPr>
        <w:rPr>
          <w:b/>
          <w:szCs w:val="21"/>
        </w:rPr>
      </w:pPr>
    </w:p>
    <w:p>
      <w:pPr>
        <w:tabs>
          <w:tab w:val="left" w:pos="420"/>
        </w:tabs>
        <w:adjustRightInd w:val="0"/>
        <w:snapToGrid w:val="0"/>
        <w:spacing w:line="360" w:lineRule="auto"/>
        <w:rPr>
          <w:rFonts w:eastAsia="黑体"/>
          <w:szCs w:val="21"/>
        </w:rPr>
      </w:pPr>
      <w:r>
        <w:rPr>
          <w:rFonts w:eastAsia="黑体"/>
          <w:szCs w:val="21"/>
        </w:rPr>
        <w:t>一、课程在教学计划中的地位、作用</w:t>
      </w:r>
    </w:p>
    <w:p>
      <w:pPr>
        <w:spacing w:line="360" w:lineRule="auto"/>
        <w:ind w:firstLine="420" w:firstLineChars="200"/>
        <w:rPr>
          <w:szCs w:val="21"/>
        </w:rPr>
      </w:pPr>
      <w:r>
        <w:rPr>
          <w:szCs w:val="21"/>
        </w:rPr>
        <w:t>本课程是一门属于集成电路专业方向的专业教育课程，是微电子专业培养集成电路方向的核心课程。本课程的任务是使学生获得</w:t>
      </w:r>
      <w:r>
        <w:rPr>
          <w:rStyle w:val="58"/>
          <w:rFonts w:hint="default" w:ascii="Times New Roman" w:hAnsi="Times New Roman"/>
          <w:sz w:val="21"/>
          <w:szCs w:val="21"/>
        </w:rPr>
        <w:t>集成电路的基本概念</w:t>
      </w:r>
      <w:r>
        <w:rPr>
          <w:szCs w:val="21"/>
        </w:rPr>
        <w:t>、掌握 MOS 晶体管的结构与特性、基本数字集成电路和典型模拟集成电路的结构与特点、了解VLSI设计流程等，以适应集成电路发展的形势，为学生今后从事半导体集成电路的生产、制造和设计打下坚实基础。本课程是我校微电子专业集成电路方向本科生的必修课。</w:t>
      </w:r>
    </w:p>
    <w:p>
      <w:pPr>
        <w:spacing w:line="360" w:lineRule="auto"/>
        <w:ind w:firstLine="420" w:firstLineChars="200"/>
        <w:rPr>
          <w:szCs w:val="21"/>
        </w:rPr>
      </w:pPr>
    </w:p>
    <w:p>
      <w:pPr>
        <w:tabs>
          <w:tab w:val="left" w:pos="420"/>
        </w:tabs>
        <w:adjustRightInd w:val="0"/>
        <w:snapToGrid w:val="0"/>
        <w:spacing w:line="360" w:lineRule="auto"/>
        <w:rPr>
          <w:rFonts w:eastAsia="黑体"/>
          <w:szCs w:val="21"/>
        </w:rPr>
      </w:pPr>
      <w:r>
        <w:rPr>
          <w:rFonts w:eastAsia="黑体"/>
          <w:szCs w:val="21"/>
        </w:rPr>
        <w:t>二、课程目</w:t>
      </w:r>
      <w:r>
        <w:rPr>
          <w:rFonts w:hint="eastAsia" w:eastAsia="黑体"/>
          <w:szCs w:val="21"/>
        </w:rPr>
        <w:t>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345"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88"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1</w:t>
            </w:r>
            <w:r>
              <w:rPr>
                <w:rFonts w:ascii="宋体" w:hAnsi="宋体"/>
                <w:sz w:val="18"/>
                <w:szCs w:val="18"/>
              </w:rPr>
              <w:drawing>
                <wp:anchor distT="0" distB="0" distL="114300" distR="114300" simplePos="0" relativeHeight="251713536" behindDoc="0" locked="0" layoutInCell="1" allowOverlap="1">
                  <wp:simplePos x="0" y="0"/>
                  <wp:positionH relativeFrom="character">
                    <wp:posOffset>699770</wp:posOffset>
                  </wp:positionH>
                  <wp:positionV relativeFrom="line">
                    <wp:posOffset>95250</wp:posOffset>
                  </wp:positionV>
                  <wp:extent cx="31750" cy="19050"/>
                  <wp:effectExtent l="19050" t="19050" r="25400" b="19050"/>
                  <wp:wrapNone/>
                  <wp:docPr id="373" name="图片 373"/>
                  <wp:cNvGraphicFramePr/>
                  <a:graphic xmlns:a="http://schemas.openxmlformats.org/drawingml/2006/main">
                    <a:graphicData uri="http://schemas.openxmlformats.org/drawingml/2006/picture">
                      <pic:pic xmlns:pic="http://schemas.openxmlformats.org/drawingml/2006/picture">
                        <pic:nvPicPr>
                          <pic:cNvPr id="373" name="图片 373"/>
                          <pic:cNvPicPr preferRelativeResize="0">
                            <a:picLocks noChangeArrowheads="1"/>
                          </pic:cNvPicPr>
                        </pic:nvPicPr>
                        <pic:blipFill>
                          <a:blip r:embed="rId261">
                            <a:extLst>
                              <a:ext uri="{28A0092B-C50C-407E-A947-70E740481C1C}">
                                <a14:useLocalDpi xmlns:a14="http://schemas.microsoft.com/office/drawing/2010/main" val="0"/>
                              </a:ext>
                            </a:extLst>
                          </a:blip>
                          <a:srcRect/>
                          <a:stretch>
                            <a:fillRect/>
                          </a:stretch>
                        </pic:blipFill>
                        <pic:spPr>
                          <a:xfrm>
                            <a:off x="0" y="0"/>
                            <a:ext cx="31750" cy="19050"/>
                          </a:xfrm>
                          <a:prstGeom prst="rect">
                            <a:avLst/>
                          </a:prstGeom>
                          <a:solidFill>
                            <a:srgbClr val="FFFFFF"/>
                          </a:solidFill>
                          <a:ln w="9525">
                            <a:solidFill>
                              <a:srgbClr val="000000"/>
                            </a:solidFill>
                            <a:round/>
                          </a:ln>
                        </pic:spPr>
                      </pic:pic>
                    </a:graphicData>
                  </a:graphic>
                </wp:anchor>
              </w:drawing>
            </w:r>
          </w:p>
        </w:tc>
        <w:tc>
          <w:tcPr>
            <w:tcW w:w="2345" w:type="pct"/>
          </w:tcPr>
          <w:p>
            <w:pPr>
              <w:adjustRightInd w:val="0"/>
              <w:snapToGrid w:val="0"/>
              <w:spacing w:line="360" w:lineRule="auto"/>
              <w:rPr>
                <w:rFonts w:ascii="宋体" w:hAnsi="宋体"/>
                <w:sz w:val="18"/>
                <w:szCs w:val="18"/>
              </w:rPr>
            </w:pPr>
            <w:r>
              <w:rPr>
                <w:rFonts w:ascii="宋体" w:hAnsi="宋体"/>
                <w:sz w:val="18"/>
                <w:szCs w:val="18"/>
              </w:rPr>
              <w:t>通过本课程的学习，培养学生将相关工程问题转化为技术问题</w:t>
            </w:r>
            <w:r>
              <w:rPr>
                <w:rFonts w:hint="eastAsia" w:ascii="宋体" w:hAnsi="宋体"/>
                <w:sz w:val="18"/>
                <w:szCs w:val="18"/>
              </w:rPr>
              <w:t>，</w:t>
            </w:r>
            <w:r>
              <w:rPr>
                <w:rFonts w:ascii="宋体" w:hAnsi="宋体"/>
                <w:sz w:val="18"/>
                <w:szCs w:val="18"/>
              </w:rPr>
              <w:t>掌握半导体集成电路的基本原理、基本分析方法</w:t>
            </w:r>
            <w:r>
              <w:rPr>
                <w:rFonts w:hint="eastAsia" w:ascii="宋体" w:hAnsi="宋体"/>
                <w:sz w:val="18"/>
                <w:szCs w:val="18"/>
              </w:rPr>
              <w:t>。</w:t>
            </w:r>
          </w:p>
        </w:tc>
        <w:tc>
          <w:tcPr>
            <w:tcW w:w="2288" w:type="pct"/>
          </w:tcPr>
          <w:p>
            <w:pPr>
              <w:adjustRightInd w:val="0"/>
              <w:snapToGrid w:val="0"/>
              <w:spacing w:line="360" w:lineRule="auto"/>
              <w:rPr>
                <w:rFonts w:ascii="宋体" w:hAnsi="宋体"/>
                <w:sz w:val="18"/>
                <w:szCs w:val="18"/>
              </w:rPr>
            </w:pPr>
            <w:r>
              <w:rPr>
                <w:rFonts w:ascii="宋体" w:hAnsi="宋体"/>
                <w:b/>
                <w:sz w:val="18"/>
                <w:szCs w:val="18"/>
              </w:rPr>
              <w:t>指标点1-1知识体系：</w:t>
            </w:r>
            <w:r>
              <w:rPr>
                <w:rFonts w:hint="eastAsia" w:ascii="宋体" w:hAnsi="宋体"/>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2</w:t>
            </w:r>
          </w:p>
        </w:tc>
        <w:tc>
          <w:tcPr>
            <w:tcW w:w="2345" w:type="pct"/>
          </w:tcPr>
          <w:p>
            <w:pPr>
              <w:adjustRightInd w:val="0"/>
              <w:snapToGrid w:val="0"/>
              <w:spacing w:line="360" w:lineRule="auto"/>
              <w:rPr>
                <w:rFonts w:ascii="宋体" w:hAnsi="宋体"/>
                <w:sz w:val="18"/>
                <w:szCs w:val="18"/>
              </w:rPr>
            </w:pPr>
            <w:r>
              <w:rPr>
                <w:rFonts w:ascii="宋体" w:hAnsi="宋体"/>
                <w:sz w:val="18"/>
                <w:szCs w:val="18"/>
              </w:rPr>
              <w:t>通过该课程的学习，学生应具有灵活运用知识的能力，能对</w:t>
            </w:r>
            <w:r>
              <w:rPr>
                <w:rFonts w:hint="eastAsia" w:ascii="宋体" w:hAnsi="宋体"/>
                <w:sz w:val="18"/>
                <w:szCs w:val="18"/>
              </w:rPr>
              <w:t>半导体集成电路领域专业复杂工程问题进行分解，并能识别数字集成电路和模拟集成电路的关键特征和参数</w:t>
            </w:r>
          </w:p>
        </w:tc>
        <w:tc>
          <w:tcPr>
            <w:tcW w:w="2288" w:type="pct"/>
          </w:tcPr>
          <w:p>
            <w:pPr>
              <w:adjustRightInd w:val="0"/>
              <w:snapToGrid w:val="0"/>
              <w:spacing w:line="360" w:lineRule="auto"/>
              <w:rPr>
                <w:rFonts w:ascii="宋体" w:hAnsi="宋体"/>
                <w:sz w:val="18"/>
                <w:szCs w:val="18"/>
              </w:rPr>
            </w:pPr>
            <w:r>
              <w:rPr>
                <w:rFonts w:hint="eastAsia" w:ascii="宋体" w:hAnsi="宋体"/>
                <w:b/>
                <w:bCs/>
                <w:sz w:val="18"/>
                <w:szCs w:val="18"/>
              </w:rPr>
              <w:t>指标点2-1 问题识别</w:t>
            </w:r>
            <w:r>
              <w:rPr>
                <w:rFonts w:hint="eastAsia" w:ascii="宋体" w:hAnsi="宋体"/>
                <w:sz w:val="18"/>
                <w:szCs w:val="18"/>
              </w:rPr>
              <w:t>：能应用科学原理对电路系统、物联网及现场总线等领域专业复杂工程问题进行分解，并识别其中的关键特征和参数。</w:t>
            </w: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了解国家在集成电路产业方面的布局与困境，了解集成电路为什么会上升为国家利益层面上的博弈，</w:t>
      </w:r>
      <w:r>
        <w:rPr>
          <w:szCs w:val="21"/>
        </w:rPr>
        <w:t>充分理解</w:t>
      </w:r>
      <w:r>
        <w:rPr>
          <w:rFonts w:hint="eastAsia"/>
          <w:szCs w:val="21"/>
        </w:rPr>
        <w:t>不同</w:t>
      </w:r>
      <w:r>
        <w:rPr>
          <w:szCs w:val="21"/>
        </w:rPr>
        <w:t>制度下民主与自由的特点，保持坚定正确的政治方向，明确自己的服务对象和历史使命；</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eastAsia="黑体"/>
          <w:szCs w:val="21"/>
        </w:rPr>
        <w:t>三、基本要求</w:t>
      </w:r>
    </w:p>
    <w:p>
      <w:pPr>
        <w:spacing w:line="360" w:lineRule="auto"/>
        <w:ind w:firstLine="420" w:firstLineChars="200"/>
        <w:rPr>
          <w:szCs w:val="21"/>
        </w:rPr>
      </w:pPr>
      <w:r>
        <w:rPr>
          <w:szCs w:val="21"/>
        </w:rPr>
        <w:t>1、本课程为专业教育课程，要求先修《电路原理》、《模拟电子技术A》和《数字电子技术A》课程，在教学中应注重基本概念、基本工作原理和基本分析方法的传授，力求解决学生学习集成电路入门难和学习难的问题，使学生掌握集成电路自顶向下和自下向上的设计和分析思路和方法。</w:t>
      </w:r>
    </w:p>
    <w:p>
      <w:pPr>
        <w:spacing w:line="360" w:lineRule="auto"/>
        <w:ind w:firstLine="420" w:firstLineChars="200"/>
        <w:rPr>
          <w:szCs w:val="21"/>
        </w:rPr>
      </w:pPr>
      <w:r>
        <w:rPr>
          <w:szCs w:val="21"/>
        </w:rPr>
        <w:t>2、教师运用类比式和启发式教学，结合经典的实例，使学生学会典型模拟和数字集成电路等重点内容。</w:t>
      </w:r>
    </w:p>
    <w:p>
      <w:pPr>
        <w:spacing w:line="360" w:lineRule="auto"/>
        <w:ind w:firstLine="420" w:firstLineChars="200"/>
        <w:rPr>
          <w:szCs w:val="21"/>
        </w:rPr>
      </w:pPr>
      <w:r>
        <w:rPr>
          <w:szCs w:val="21"/>
        </w:rPr>
        <w:t>3、在教学中适当引入新概念、新技术，新思想，新趋势，做到经典与现代融合，与实验融合，与工程应用融合，有利于培养学生的实践能力、创新能力；</w:t>
      </w:r>
    </w:p>
    <w:p>
      <w:pPr>
        <w:spacing w:line="360" w:lineRule="auto"/>
        <w:ind w:firstLine="420" w:firstLineChars="200"/>
        <w:rPr>
          <w:szCs w:val="21"/>
        </w:rPr>
      </w:pPr>
      <w:r>
        <w:rPr>
          <w:szCs w:val="21"/>
        </w:rPr>
        <w:t>4、本课程要求在CAI教室进行授课，教师应通过向学生列举大量实例、以及丰富的习题，使学生深入掌握所学理论知识。</w:t>
      </w:r>
    </w:p>
    <w:p>
      <w:pPr>
        <w:spacing w:line="360" w:lineRule="auto"/>
        <w:ind w:firstLine="420" w:firstLineChars="200"/>
        <w:rPr>
          <w:szCs w:val="21"/>
        </w:rPr>
      </w:pPr>
      <w:r>
        <w:rPr>
          <w:szCs w:val="21"/>
        </w:rPr>
        <w:t>5、深度和广度说明：学习双极性晶体管和MOS管，重点是它们的特性和利用这些管子组成各种模拟和数字电路，因此教学中除了必要的内容以外，不必过多深入剖析管子内部的一些导电机理和物理过程（这些机理性的过程将会在半导体物理和器件中详细讲解，这里只需简单介绍下过程即可）。</w:t>
      </w:r>
    </w:p>
    <w:p>
      <w:pPr>
        <w:spacing w:line="360" w:lineRule="auto"/>
        <w:ind w:firstLine="420" w:firstLineChars="200"/>
        <w:rPr>
          <w:szCs w:val="21"/>
        </w:rPr>
      </w:pPr>
      <w:r>
        <w:rPr>
          <w:szCs w:val="21"/>
        </w:rPr>
        <w:t>6、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eastAsia="黑体"/>
          <w:szCs w:val="21"/>
        </w:rPr>
        <w:t>四、教学内容和教学方法</w:t>
      </w:r>
    </w:p>
    <w:p>
      <w:pPr>
        <w:spacing w:line="360" w:lineRule="auto"/>
        <w:ind w:firstLine="420" w:firstLineChars="200"/>
        <w:rPr>
          <w:szCs w:val="21"/>
        </w:rPr>
      </w:pPr>
      <w:r>
        <w:rPr>
          <w:szCs w:val="21"/>
        </w:rPr>
        <w:t>本课程重点讲授的内容包括：集成电路的基本概念、集成电路的发展趋势、集成电路的主要制造工艺、CMOS 工艺流程、MOSFET 的结构与特性、按比例缩小理论、CMOS 反相器、典型组合逻辑电路、典型 CMOS 时序逻辑电路、双极性集成电路中TTL、ECL、I2L电路、电流源和电压基准源、典型运算放大器、集成电路设计方法、主流集成电路设计工具、集成电路版图设计。</w:t>
      </w:r>
    </w:p>
    <w:p>
      <w:pPr>
        <w:widowControl/>
        <w:spacing w:line="360" w:lineRule="auto"/>
        <w:ind w:firstLine="420" w:firstLineChars="200"/>
        <w:rPr>
          <w:szCs w:val="21"/>
        </w:rPr>
      </w:pPr>
      <w:r>
        <w:rPr>
          <w:szCs w:val="21"/>
        </w:rPr>
        <w:t>本课程在教学方法上，充分利用各种媒体教学手段，采取课堂教学、多媒体课件等有机结合，提高教学效率。教学中既要体现成熟、经典内容，又要适当引入新器件、新技术、新方法、新趋势。</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1 绪论（4学时）</w:t>
      </w:r>
    </w:p>
    <w:p>
      <w:pPr>
        <w:widowControl/>
        <w:spacing w:line="360" w:lineRule="auto"/>
        <w:ind w:firstLine="420" w:firstLineChars="200"/>
        <w:jc w:val="left"/>
        <w:rPr>
          <w:szCs w:val="21"/>
        </w:rPr>
      </w:pPr>
      <w:r>
        <w:rPr>
          <w:rFonts w:hint="eastAsia"/>
          <w:szCs w:val="21"/>
        </w:rPr>
        <w:t>1</w:t>
      </w:r>
      <w:r>
        <w:rPr>
          <w:szCs w:val="21"/>
        </w:rPr>
        <w:t>.1</w:t>
      </w:r>
      <w:r>
        <w:rPr>
          <w:rFonts w:hint="eastAsia"/>
          <w:szCs w:val="21"/>
        </w:rPr>
        <w:t>、</w:t>
      </w:r>
      <w:r>
        <w:rPr>
          <w:szCs w:val="21"/>
        </w:rPr>
        <w:t>集成电路的基本概念</w:t>
      </w:r>
    </w:p>
    <w:p>
      <w:pPr>
        <w:widowControl/>
        <w:spacing w:line="360" w:lineRule="auto"/>
        <w:ind w:firstLine="420" w:firstLineChars="200"/>
        <w:jc w:val="left"/>
        <w:rPr>
          <w:szCs w:val="21"/>
        </w:rPr>
      </w:pPr>
      <w:r>
        <w:rPr>
          <w:rFonts w:hint="eastAsia"/>
          <w:szCs w:val="21"/>
        </w:rPr>
        <w:t>1</w:t>
      </w:r>
      <w:r>
        <w:rPr>
          <w:szCs w:val="21"/>
        </w:rPr>
        <w:t>.2</w:t>
      </w:r>
      <w:r>
        <w:rPr>
          <w:rFonts w:hint="eastAsia"/>
          <w:szCs w:val="21"/>
        </w:rPr>
        <w:t>、</w:t>
      </w:r>
      <w:r>
        <w:rPr>
          <w:szCs w:val="21"/>
        </w:rPr>
        <w:t>集成电路的设计与制造流程</w:t>
      </w:r>
    </w:p>
    <w:p>
      <w:pPr>
        <w:widowControl/>
        <w:spacing w:line="360" w:lineRule="auto"/>
        <w:ind w:firstLine="420" w:firstLineChars="200"/>
        <w:jc w:val="left"/>
        <w:rPr>
          <w:szCs w:val="21"/>
        </w:rPr>
      </w:pPr>
      <w:r>
        <w:rPr>
          <w:rFonts w:hint="eastAsia"/>
          <w:szCs w:val="21"/>
        </w:rPr>
        <w:t>1</w:t>
      </w:r>
      <w:r>
        <w:rPr>
          <w:szCs w:val="21"/>
        </w:rPr>
        <w:t>.3</w:t>
      </w:r>
      <w:r>
        <w:rPr>
          <w:rFonts w:hint="eastAsia"/>
          <w:szCs w:val="21"/>
        </w:rPr>
        <w:t>、</w:t>
      </w:r>
      <w:r>
        <w:rPr>
          <w:szCs w:val="21"/>
        </w:rPr>
        <w:t>集成电路的设计内容</w:t>
      </w:r>
    </w:p>
    <w:p>
      <w:pPr>
        <w:widowControl/>
        <w:spacing w:line="360" w:lineRule="auto"/>
        <w:ind w:firstLine="420" w:firstLineChars="200"/>
        <w:jc w:val="left"/>
        <w:rPr>
          <w:szCs w:val="21"/>
        </w:rPr>
      </w:pPr>
      <w:r>
        <w:rPr>
          <w:rFonts w:hint="eastAsia"/>
          <w:szCs w:val="21"/>
        </w:rPr>
        <w:t>1</w:t>
      </w:r>
      <w:r>
        <w:rPr>
          <w:szCs w:val="21"/>
        </w:rPr>
        <w:t>.4</w:t>
      </w:r>
      <w:r>
        <w:rPr>
          <w:rFonts w:hint="eastAsia"/>
          <w:szCs w:val="21"/>
        </w:rPr>
        <w:t>、</w:t>
      </w:r>
      <w:r>
        <w:rPr>
          <w:szCs w:val="21"/>
        </w:rPr>
        <w:t>集成电路的发展趋势和VLSI 设计实现策略</w:t>
      </w:r>
    </w:p>
    <w:p>
      <w:pPr>
        <w:widowControl/>
        <w:spacing w:line="360" w:lineRule="auto"/>
        <w:ind w:left="426"/>
        <w:jc w:val="left"/>
        <w:rPr>
          <w:szCs w:val="21"/>
        </w:rPr>
      </w:pPr>
      <w:r>
        <w:rPr>
          <w:szCs w:val="21"/>
        </w:rPr>
        <w:t>集成电路设计挑战</w:t>
      </w:r>
    </w:p>
    <w:p>
      <w:pPr>
        <w:widowControl/>
        <w:spacing w:line="360" w:lineRule="auto"/>
        <w:ind w:left="426"/>
        <w:jc w:val="left"/>
        <w:rPr>
          <w:szCs w:val="21"/>
        </w:rPr>
      </w:pPr>
      <w:r>
        <w:rPr>
          <w:szCs w:val="21"/>
        </w:rPr>
        <w:t>重点：（1）集成电路的基本概念；（2）集成电路的发展趋势。</w:t>
      </w:r>
    </w:p>
    <w:p>
      <w:pPr>
        <w:widowControl/>
        <w:spacing w:line="360" w:lineRule="auto"/>
        <w:ind w:left="426"/>
        <w:jc w:val="left"/>
        <w:rPr>
          <w:szCs w:val="21"/>
        </w:rPr>
      </w:pPr>
      <w:r>
        <w:rPr>
          <w:szCs w:val="21"/>
        </w:rPr>
        <w:t>难点：集成电路的设计与制造流程。</w:t>
      </w:r>
    </w:p>
    <w:p>
      <w:pPr>
        <w:adjustRightInd w:val="0"/>
        <w:snapToGrid w:val="0"/>
        <w:spacing w:line="360" w:lineRule="auto"/>
        <w:ind w:left="426"/>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adjustRightInd w:val="0"/>
        <w:snapToGrid w:val="0"/>
        <w:spacing w:line="360" w:lineRule="auto"/>
        <w:ind w:left="426"/>
        <w:rPr>
          <w:rFonts w:cs="宋体"/>
          <w:b/>
          <w:snapToGrid w:val="0"/>
          <w:kern w:val="0"/>
          <w:szCs w:val="21"/>
        </w:rPr>
      </w:pPr>
      <w:r>
        <w:rPr>
          <w:rFonts w:hint="eastAsia" w:cs="宋体"/>
          <w:b/>
          <w:snapToGrid w:val="0"/>
          <w:kern w:val="0"/>
          <w:szCs w:val="21"/>
        </w:rPr>
        <w:t>思政元素：了解国家在集成电路产业方面的布局与困境，了解集成电路为什么会上升为国家利益层面上的博弈，充分理解不同制度下民主与自由的特点，保持坚定正确的政治方向，明确自己的服务对象和历史使命；</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2 CMOS集成电路工艺流程（2 学时）</w:t>
      </w:r>
    </w:p>
    <w:p>
      <w:pPr>
        <w:widowControl/>
        <w:spacing w:line="360" w:lineRule="auto"/>
        <w:ind w:firstLine="420" w:firstLineChars="200"/>
        <w:jc w:val="left"/>
        <w:rPr>
          <w:szCs w:val="21"/>
        </w:rPr>
      </w:pPr>
      <w:r>
        <w:rPr>
          <w:szCs w:val="21"/>
        </w:rPr>
        <w:t>2.1</w:t>
      </w:r>
      <w:r>
        <w:rPr>
          <w:rFonts w:hint="eastAsia"/>
          <w:szCs w:val="21"/>
        </w:rPr>
        <w:t>、</w:t>
      </w:r>
      <w:r>
        <w:rPr>
          <w:szCs w:val="21"/>
        </w:rPr>
        <w:t>集成电路制造的基本要素</w:t>
      </w:r>
    </w:p>
    <w:p>
      <w:pPr>
        <w:widowControl/>
        <w:spacing w:line="360" w:lineRule="auto"/>
        <w:ind w:firstLine="420" w:firstLineChars="200"/>
        <w:jc w:val="left"/>
        <w:rPr>
          <w:szCs w:val="21"/>
        </w:rPr>
      </w:pPr>
      <w:r>
        <w:rPr>
          <w:szCs w:val="21"/>
        </w:rPr>
        <w:t>2.2</w:t>
      </w:r>
      <w:r>
        <w:rPr>
          <w:rFonts w:hint="eastAsia"/>
          <w:szCs w:val="21"/>
        </w:rPr>
        <w:t>、</w:t>
      </w:r>
      <w:r>
        <w:rPr>
          <w:szCs w:val="21"/>
        </w:rPr>
        <w:t>主要制造工艺和CMOS工艺流程</w:t>
      </w:r>
    </w:p>
    <w:p>
      <w:pPr>
        <w:widowControl/>
        <w:spacing w:line="360" w:lineRule="auto"/>
        <w:ind w:left="426"/>
        <w:jc w:val="left"/>
        <w:rPr>
          <w:szCs w:val="21"/>
        </w:rPr>
      </w:pPr>
      <w:r>
        <w:rPr>
          <w:szCs w:val="21"/>
        </w:rPr>
        <w:t>重点：（1）集成电路的主要制造工艺，（2）CMOS 工艺流程。</w:t>
      </w:r>
    </w:p>
    <w:p>
      <w:pPr>
        <w:widowControl/>
        <w:spacing w:line="360" w:lineRule="auto"/>
        <w:ind w:left="426"/>
        <w:jc w:val="left"/>
        <w:rPr>
          <w:szCs w:val="21"/>
        </w:rPr>
      </w:pPr>
      <w:r>
        <w:rPr>
          <w:szCs w:val="21"/>
        </w:rPr>
        <w:t>难点： CMOS 工艺流程。</w:t>
      </w:r>
    </w:p>
    <w:p>
      <w:pPr>
        <w:adjustRightInd w:val="0"/>
        <w:snapToGrid w:val="0"/>
        <w:spacing w:line="360" w:lineRule="auto"/>
        <w:ind w:left="426"/>
        <w:rPr>
          <w:rFonts w:eastAsia="黑体"/>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3 MOSFET 晶体管（4 学时）</w:t>
      </w:r>
    </w:p>
    <w:p>
      <w:pPr>
        <w:widowControl/>
        <w:spacing w:line="360" w:lineRule="auto"/>
        <w:ind w:firstLine="420" w:firstLineChars="200"/>
        <w:jc w:val="left"/>
        <w:rPr>
          <w:szCs w:val="21"/>
        </w:rPr>
      </w:pPr>
      <w:r>
        <w:rPr>
          <w:szCs w:val="21"/>
        </w:rPr>
        <w:t>3.1</w:t>
      </w:r>
      <w:r>
        <w:rPr>
          <w:rFonts w:hint="eastAsia"/>
          <w:szCs w:val="21"/>
        </w:rPr>
        <w:t>、</w:t>
      </w:r>
      <w:r>
        <w:rPr>
          <w:szCs w:val="21"/>
        </w:rPr>
        <w:t>MOSFET的结构与特性</w:t>
      </w:r>
    </w:p>
    <w:p>
      <w:pPr>
        <w:widowControl/>
        <w:spacing w:line="360" w:lineRule="auto"/>
        <w:ind w:left="420"/>
        <w:jc w:val="left"/>
        <w:rPr>
          <w:szCs w:val="21"/>
        </w:rPr>
      </w:pPr>
      <w:r>
        <w:rPr>
          <w:szCs w:val="21"/>
        </w:rPr>
        <w:t>3.2</w:t>
      </w:r>
      <w:r>
        <w:rPr>
          <w:rFonts w:hint="eastAsia"/>
          <w:szCs w:val="21"/>
        </w:rPr>
        <w:t>、</w:t>
      </w:r>
      <w:r>
        <w:rPr>
          <w:szCs w:val="21"/>
        </w:rPr>
        <w:t>短沟道效应、按比例缩小理论</w:t>
      </w:r>
    </w:p>
    <w:p>
      <w:pPr>
        <w:widowControl/>
        <w:spacing w:line="360" w:lineRule="auto"/>
        <w:ind w:firstLine="420" w:firstLineChars="200"/>
        <w:jc w:val="left"/>
        <w:rPr>
          <w:szCs w:val="21"/>
        </w:rPr>
      </w:pPr>
      <w:r>
        <w:rPr>
          <w:szCs w:val="21"/>
        </w:rPr>
        <w:t>3.3</w:t>
      </w:r>
      <w:r>
        <w:rPr>
          <w:rFonts w:hint="eastAsia"/>
          <w:szCs w:val="21"/>
        </w:rPr>
        <w:t>、</w:t>
      </w:r>
      <w:r>
        <w:rPr>
          <w:szCs w:val="21"/>
        </w:rPr>
        <w:t>MOS 器件的SPICE模型</w:t>
      </w:r>
    </w:p>
    <w:p>
      <w:pPr>
        <w:widowControl/>
        <w:spacing w:line="360" w:lineRule="auto"/>
        <w:ind w:left="420"/>
        <w:jc w:val="left"/>
        <w:rPr>
          <w:szCs w:val="21"/>
        </w:rPr>
      </w:pPr>
      <w:r>
        <w:rPr>
          <w:szCs w:val="21"/>
        </w:rPr>
        <w:t>重点：（1） MOSFET的结构与特性，（2）按比例缩小理论。</w:t>
      </w:r>
    </w:p>
    <w:p>
      <w:pPr>
        <w:widowControl/>
        <w:spacing w:line="360" w:lineRule="auto"/>
        <w:ind w:left="426"/>
        <w:jc w:val="left"/>
        <w:rPr>
          <w:szCs w:val="21"/>
        </w:rPr>
      </w:pPr>
      <w:r>
        <w:rPr>
          <w:szCs w:val="21"/>
        </w:rPr>
        <w:t>难点：（1） MOSFET的结构与特性，（2）短沟道效应。</w:t>
      </w:r>
    </w:p>
    <w:p>
      <w:pPr>
        <w:widowControl/>
        <w:spacing w:line="360" w:lineRule="auto"/>
        <w:ind w:left="426"/>
        <w:jc w:val="left"/>
        <w:rPr>
          <w:szCs w:val="21"/>
        </w:rPr>
      </w:pPr>
      <w:r>
        <w:rPr>
          <w:bCs/>
          <w:snapToGrid w:val="0"/>
          <w:kern w:val="0"/>
          <w:szCs w:val="21"/>
        </w:rPr>
        <w:t>本章内容支撑课程目标1。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4基本数字集成电路（6学时）</w:t>
      </w:r>
    </w:p>
    <w:p>
      <w:pPr>
        <w:widowControl/>
        <w:spacing w:line="360" w:lineRule="auto"/>
        <w:ind w:left="420"/>
        <w:jc w:val="left"/>
        <w:rPr>
          <w:szCs w:val="21"/>
        </w:rPr>
      </w:pPr>
      <w:r>
        <w:rPr>
          <w:szCs w:val="21"/>
        </w:rPr>
        <w:t>4.1</w:t>
      </w:r>
      <w:r>
        <w:rPr>
          <w:rFonts w:hint="eastAsia"/>
          <w:szCs w:val="21"/>
        </w:rPr>
        <w:t>、</w:t>
      </w:r>
      <w:r>
        <w:rPr>
          <w:szCs w:val="21"/>
        </w:rPr>
        <w:t>CMOS 反相器</w:t>
      </w:r>
    </w:p>
    <w:p>
      <w:pPr>
        <w:widowControl/>
        <w:spacing w:line="360" w:lineRule="auto"/>
        <w:ind w:firstLine="420" w:firstLineChars="200"/>
        <w:jc w:val="left"/>
        <w:rPr>
          <w:szCs w:val="21"/>
        </w:rPr>
      </w:pPr>
      <w:r>
        <w:rPr>
          <w:szCs w:val="21"/>
        </w:rPr>
        <w:t>4.2</w:t>
      </w:r>
      <w:r>
        <w:rPr>
          <w:rFonts w:hint="eastAsia"/>
          <w:szCs w:val="21"/>
        </w:rPr>
        <w:t>、</w:t>
      </w:r>
      <w:r>
        <w:rPr>
          <w:szCs w:val="21"/>
        </w:rPr>
        <w:t>典型组合逻辑电路</w:t>
      </w:r>
    </w:p>
    <w:p>
      <w:pPr>
        <w:widowControl/>
        <w:spacing w:line="360" w:lineRule="auto"/>
        <w:ind w:firstLine="420" w:firstLineChars="200"/>
        <w:jc w:val="left"/>
        <w:rPr>
          <w:szCs w:val="21"/>
        </w:rPr>
      </w:pPr>
      <w:r>
        <w:rPr>
          <w:szCs w:val="21"/>
        </w:rPr>
        <w:t>4.3</w:t>
      </w:r>
      <w:r>
        <w:rPr>
          <w:rFonts w:hint="eastAsia"/>
          <w:szCs w:val="21"/>
        </w:rPr>
        <w:t>、</w:t>
      </w:r>
      <w:r>
        <w:rPr>
          <w:szCs w:val="21"/>
        </w:rPr>
        <w:t>典型 CMOS 时序逻辑电路</w:t>
      </w:r>
    </w:p>
    <w:p>
      <w:pPr>
        <w:widowControl/>
        <w:spacing w:line="360" w:lineRule="auto"/>
        <w:ind w:firstLine="420" w:firstLineChars="200"/>
        <w:jc w:val="left"/>
        <w:rPr>
          <w:szCs w:val="21"/>
        </w:rPr>
      </w:pPr>
      <w:r>
        <w:rPr>
          <w:szCs w:val="21"/>
        </w:rPr>
        <w:t>4.4</w:t>
      </w:r>
      <w:r>
        <w:rPr>
          <w:rFonts w:hint="eastAsia"/>
          <w:szCs w:val="21"/>
        </w:rPr>
        <w:t>、</w:t>
      </w:r>
      <w:r>
        <w:rPr>
          <w:szCs w:val="21"/>
        </w:rPr>
        <w:t>存储器</w:t>
      </w:r>
    </w:p>
    <w:p>
      <w:pPr>
        <w:widowControl/>
        <w:spacing w:line="360" w:lineRule="auto"/>
        <w:ind w:firstLine="420" w:firstLineChars="200"/>
        <w:jc w:val="left"/>
        <w:rPr>
          <w:szCs w:val="21"/>
        </w:rPr>
      </w:pPr>
      <w:r>
        <w:rPr>
          <w:szCs w:val="21"/>
        </w:rPr>
        <w:t>4.5</w:t>
      </w:r>
      <w:r>
        <w:rPr>
          <w:rFonts w:hint="eastAsia"/>
          <w:szCs w:val="21"/>
        </w:rPr>
        <w:t>、</w:t>
      </w:r>
      <w:r>
        <w:rPr>
          <w:szCs w:val="21"/>
        </w:rPr>
        <w:t>数字集成电路设计基本步骤</w:t>
      </w:r>
    </w:p>
    <w:p>
      <w:pPr>
        <w:widowControl/>
        <w:spacing w:line="360" w:lineRule="auto"/>
        <w:ind w:firstLine="420" w:firstLineChars="200"/>
        <w:jc w:val="left"/>
        <w:rPr>
          <w:szCs w:val="21"/>
        </w:rPr>
      </w:pPr>
      <w:r>
        <w:rPr>
          <w:szCs w:val="21"/>
        </w:rPr>
        <w:t>4.6</w:t>
      </w:r>
      <w:r>
        <w:rPr>
          <w:rFonts w:hint="eastAsia"/>
          <w:szCs w:val="21"/>
        </w:rPr>
        <w:t>、</w:t>
      </w:r>
      <w:r>
        <w:rPr>
          <w:szCs w:val="21"/>
        </w:rPr>
        <w:t>Verilog HDL介绍</w:t>
      </w:r>
    </w:p>
    <w:p>
      <w:pPr>
        <w:widowControl/>
        <w:spacing w:line="360" w:lineRule="auto"/>
        <w:ind w:firstLine="420" w:firstLineChars="200"/>
        <w:jc w:val="left"/>
        <w:rPr>
          <w:szCs w:val="21"/>
        </w:rPr>
      </w:pPr>
      <w:r>
        <w:rPr>
          <w:szCs w:val="21"/>
        </w:rPr>
        <w:t>4.7</w:t>
      </w:r>
      <w:r>
        <w:rPr>
          <w:rFonts w:hint="eastAsia"/>
          <w:szCs w:val="21"/>
        </w:rPr>
        <w:t>、</w:t>
      </w:r>
      <w:r>
        <w:rPr>
          <w:szCs w:val="21"/>
        </w:rPr>
        <w:t>集成电路专用设计工具简介</w:t>
      </w:r>
    </w:p>
    <w:p>
      <w:pPr>
        <w:widowControl/>
        <w:spacing w:line="360" w:lineRule="auto"/>
        <w:ind w:left="426"/>
        <w:jc w:val="left"/>
        <w:rPr>
          <w:szCs w:val="21"/>
        </w:rPr>
      </w:pPr>
      <w:r>
        <w:rPr>
          <w:szCs w:val="21"/>
        </w:rPr>
        <w:t>重点：（1）CMOS反相器，（2）典型组合逻辑电路，（3）典型 CMOS时序逻辑电路，（4）数字集成电路设计基本步骤。</w:t>
      </w:r>
    </w:p>
    <w:p>
      <w:pPr>
        <w:widowControl/>
        <w:spacing w:line="360" w:lineRule="auto"/>
        <w:ind w:left="426"/>
        <w:jc w:val="left"/>
        <w:rPr>
          <w:szCs w:val="21"/>
        </w:rPr>
      </w:pPr>
      <w:r>
        <w:rPr>
          <w:szCs w:val="21"/>
        </w:rPr>
        <w:t>难点：（1）典型 CMOS 时序逻辑电路， (2) 存储器。</w:t>
      </w:r>
    </w:p>
    <w:p>
      <w:pPr>
        <w:widowControl/>
        <w:spacing w:line="360" w:lineRule="auto"/>
        <w:ind w:left="426"/>
        <w:jc w:val="left"/>
        <w:rPr>
          <w:szCs w:val="21"/>
        </w:rPr>
      </w:pPr>
      <w:r>
        <w:rPr>
          <w:bCs/>
          <w:snapToGrid w:val="0"/>
          <w:kern w:val="0"/>
          <w:szCs w:val="21"/>
        </w:rPr>
        <w:t>本章内容支撑课程目标1</w:t>
      </w:r>
      <w:r>
        <w:rPr>
          <w:rFonts w:hint="eastAsia"/>
          <w:bCs/>
          <w:snapToGrid w:val="0"/>
          <w:kern w:val="0"/>
          <w:szCs w:val="21"/>
        </w:rPr>
        <w:t>、2</w:t>
      </w:r>
      <w:r>
        <w:rPr>
          <w:bCs/>
          <w:snapToGrid w:val="0"/>
          <w:kern w:val="0"/>
          <w:szCs w:val="21"/>
        </w:rPr>
        <w:t>。</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5模拟集成电路（12 学时）</w:t>
      </w:r>
    </w:p>
    <w:p>
      <w:pPr>
        <w:widowControl/>
        <w:spacing w:line="360" w:lineRule="auto"/>
        <w:ind w:firstLine="420" w:firstLineChars="200"/>
        <w:jc w:val="left"/>
        <w:rPr>
          <w:szCs w:val="21"/>
        </w:rPr>
      </w:pPr>
      <w:r>
        <w:rPr>
          <w:szCs w:val="21"/>
        </w:rPr>
        <w:t>5.1</w:t>
      </w:r>
      <w:r>
        <w:rPr>
          <w:rFonts w:hint="eastAsia"/>
          <w:szCs w:val="21"/>
        </w:rPr>
        <w:t>、</w:t>
      </w:r>
      <w:r>
        <w:rPr>
          <w:szCs w:val="21"/>
        </w:rPr>
        <w:t>模拟集成电路种类及应用</w:t>
      </w:r>
    </w:p>
    <w:p>
      <w:pPr>
        <w:widowControl/>
        <w:spacing w:line="360" w:lineRule="auto"/>
        <w:ind w:firstLine="420" w:firstLineChars="200"/>
        <w:jc w:val="left"/>
        <w:rPr>
          <w:szCs w:val="21"/>
        </w:rPr>
      </w:pPr>
      <w:r>
        <w:rPr>
          <w:szCs w:val="21"/>
        </w:rPr>
        <w:t>5.2</w:t>
      </w:r>
      <w:r>
        <w:rPr>
          <w:rFonts w:hint="eastAsia"/>
          <w:szCs w:val="21"/>
        </w:rPr>
        <w:t>、</w:t>
      </w:r>
      <w:r>
        <w:rPr>
          <w:szCs w:val="21"/>
        </w:rPr>
        <w:t>双极性集成电路</w:t>
      </w:r>
    </w:p>
    <w:p>
      <w:pPr>
        <w:widowControl/>
        <w:spacing w:line="360" w:lineRule="auto"/>
        <w:ind w:firstLine="420" w:firstLineChars="200"/>
        <w:jc w:val="left"/>
        <w:rPr>
          <w:szCs w:val="21"/>
        </w:rPr>
      </w:pPr>
      <w:r>
        <w:rPr>
          <w:szCs w:val="21"/>
        </w:rPr>
        <w:t>5.3</w:t>
      </w:r>
      <w:r>
        <w:rPr>
          <w:rFonts w:hint="eastAsia"/>
          <w:szCs w:val="21"/>
        </w:rPr>
        <w:t>、</w:t>
      </w:r>
      <w:r>
        <w:rPr>
          <w:szCs w:val="21"/>
        </w:rPr>
        <w:t>电流源和电压基准源</w:t>
      </w:r>
    </w:p>
    <w:p>
      <w:pPr>
        <w:widowControl/>
        <w:spacing w:line="360" w:lineRule="auto"/>
        <w:ind w:firstLine="420" w:firstLineChars="200"/>
        <w:jc w:val="left"/>
        <w:rPr>
          <w:szCs w:val="21"/>
        </w:rPr>
      </w:pPr>
      <w:r>
        <w:rPr>
          <w:szCs w:val="21"/>
        </w:rPr>
        <w:t>5.4</w:t>
      </w:r>
      <w:r>
        <w:rPr>
          <w:rFonts w:hint="eastAsia"/>
          <w:szCs w:val="21"/>
        </w:rPr>
        <w:t>、</w:t>
      </w:r>
      <w:r>
        <w:rPr>
          <w:szCs w:val="21"/>
        </w:rPr>
        <w:t>典型运算放大器</w:t>
      </w:r>
    </w:p>
    <w:p>
      <w:pPr>
        <w:widowControl/>
        <w:spacing w:line="360" w:lineRule="auto"/>
        <w:ind w:firstLine="420" w:firstLineChars="200"/>
        <w:jc w:val="left"/>
        <w:rPr>
          <w:szCs w:val="21"/>
        </w:rPr>
      </w:pPr>
      <w:r>
        <w:rPr>
          <w:szCs w:val="21"/>
        </w:rPr>
        <w:t>5.5</w:t>
      </w:r>
      <w:r>
        <w:rPr>
          <w:rFonts w:hint="eastAsia"/>
          <w:szCs w:val="21"/>
        </w:rPr>
        <w:t>、</w:t>
      </w:r>
      <w:r>
        <w:rPr>
          <w:szCs w:val="21"/>
        </w:rPr>
        <w:t>模拟集成电路设计基本步骤</w:t>
      </w:r>
    </w:p>
    <w:p>
      <w:pPr>
        <w:widowControl/>
        <w:spacing w:line="360" w:lineRule="auto"/>
        <w:ind w:left="426"/>
        <w:jc w:val="left"/>
        <w:rPr>
          <w:szCs w:val="21"/>
        </w:rPr>
      </w:pPr>
      <w:r>
        <w:rPr>
          <w:szCs w:val="21"/>
        </w:rPr>
        <w:t>重点：（1）双极性集成电路，（2）电流源和电压基准源。</w:t>
      </w:r>
    </w:p>
    <w:p>
      <w:pPr>
        <w:widowControl/>
        <w:spacing w:line="360" w:lineRule="auto"/>
        <w:ind w:left="426"/>
        <w:jc w:val="left"/>
        <w:rPr>
          <w:szCs w:val="21"/>
        </w:rPr>
      </w:pPr>
      <w:r>
        <w:rPr>
          <w:szCs w:val="21"/>
        </w:rPr>
        <w:t>难点：（1）双极性集成电路，（2）电流源和电压基准源， (3) 典型运算放大器。</w:t>
      </w:r>
    </w:p>
    <w:p>
      <w:pPr>
        <w:widowControl/>
        <w:spacing w:line="360" w:lineRule="auto"/>
        <w:ind w:left="426"/>
        <w:jc w:val="left"/>
        <w:rPr>
          <w:szCs w:val="21"/>
        </w:rPr>
      </w:pPr>
      <w:r>
        <w:rPr>
          <w:bCs/>
          <w:snapToGrid w:val="0"/>
          <w:kern w:val="0"/>
          <w:szCs w:val="21"/>
        </w:rPr>
        <w:t>本章内容支撑课程目标1</w:t>
      </w:r>
      <w:r>
        <w:rPr>
          <w:rFonts w:hint="eastAsia"/>
          <w:bCs/>
          <w:snapToGrid w:val="0"/>
          <w:kern w:val="0"/>
          <w:szCs w:val="21"/>
        </w:rPr>
        <w:t>、2</w:t>
      </w:r>
      <w:r>
        <w:rPr>
          <w:bCs/>
          <w:snapToGrid w:val="0"/>
          <w:kern w:val="0"/>
          <w:szCs w:val="21"/>
        </w:rPr>
        <w:t>。</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6 集成电路版图设计（4 学时）</w:t>
      </w:r>
    </w:p>
    <w:p>
      <w:pPr>
        <w:widowControl/>
        <w:tabs>
          <w:tab w:val="left" w:pos="420"/>
        </w:tabs>
        <w:spacing w:line="360" w:lineRule="auto"/>
        <w:ind w:firstLine="420" w:firstLineChars="200"/>
        <w:jc w:val="left"/>
        <w:rPr>
          <w:szCs w:val="21"/>
        </w:rPr>
      </w:pPr>
      <w:r>
        <w:rPr>
          <w:szCs w:val="21"/>
        </w:rPr>
        <w:t>6.1</w:t>
      </w:r>
      <w:r>
        <w:rPr>
          <w:rFonts w:hint="eastAsia"/>
          <w:szCs w:val="21"/>
        </w:rPr>
        <w:t>、</w:t>
      </w:r>
      <w:r>
        <w:rPr>
          <w:szCs w:val="21"/>
        </w:rPr>
        <w:t>全定制版图设计</w:t>
      </w:r>
    </w:p>
    <w:p>
      <w:pPr>
        <w:widowControl/>
        <w:tabs>
          <w:tab w:val="left" w:pos="420"/>
        </w:tabs>
        <w:spacing w:line="360" w:lineRule="auto"/>
        <w:ind w:firstLine="420" w:firstLineChars="200"/>
        <w:jc w:val="left"/>
        <w:rPr>
          <w:szCs w:val="21"/>
        </w:rPr>
      </w:pPr>
      <w:r>
        <w:rPr>
          <w:szCs w:val="21"/>
        </w:rPr>
        <w:t>6.2</w:t>
      </w:r>
      <w:r>
        <w:rPr>
          <w:rFonts w:hint="eastAsia"/>
          <w:szCs w:val="21"/>
        </w:rPr>
        <w:t>、</w:t>
      </w:r>
      <w:r>
        <w:rPr>
          <w:szCs w:val="21"/>
        </w:rPr>
        <w:t>版图设计规则</w:t>
      </w:r>
    </w:p>
    <w:p>
      <w:pPr>
        <w:widowControl/>
        <w:tabs>
          <w:tab w:val="left" w:pos="420"/>
        </w:tabs>
        <w:spacing w:line="360" w:lineRule="auto"/>
        <w:ind w:firstLine="420" w:firstLineChars="200"/>
        <w:jc w:val="left"/>
        <w:rPr>
          <w:szCs w:val="21"/>
        </w:rPr>
      </w:pPr>
      <w:r>
        <w:rPr>
          <w:szCs w:val="21"/>
        </w:rPr>
        <w:t>6.3</w:t>
      </w:r>
      <w:r>
        <w:rPr>
          <w:rFonts w:hint="eastAsia"/>
          <w:szCs w:val="21"/>
        </w:rPr>
        <w:t>、</w:t>
      </w:r>
      <w:r>
        <w:rPr>
          <w:szCs w:val="21"/>
        </w:rPr>
        <w:t>版图验证</w:t>
      </w:r>
    </w:p>
    <w:p>
      <w:pPr>
        <w:widowControl/>
        <w:spacing w:line="360" w:lineRule="auto"/>
        <w:ind w:left="426"/>
        <w:jc w:val="left"/>
        <w:rPr>
          <w:szCs w:val="21"/>
        </w:rPr>
      </w:pPr>
      <w:r>
        <w:rPr>
          <w:szCs w:val="21"/>
        </w:rPr>
        <w:t>重点：（1）版图设计规则，（2）版图验证，（3）全定制版图设计。</w:t>
      </w:r>
    </w:p>
    <w:p>
      <w:pPr>
        <w:widowControl/>
        <w:spacing w:line="360" w:lineRule="auto"/>
        <w:ind w:left="426"/>
        <w:jc w:val="left"/>
        <w:rPr>
          <w:szCs w:val="21"/>
        </w:rPr>
      </w:pPr>
      <w:r>
        <w:rPr>
          <w:szCs w:val="21"/>
        </w:rPr>
        <w:t>难点：（1）版图设计规则。</w:t>
      </w:r>
    </w:p>
    <w:p>
      <w:pPr>
        <w:widowControl/>
        <w:spacing w:line="360" w:lineRule="auto"/>
        <w:ind w:left="426"/>
        <w:jc w:val="left"/>
        <w:rPr>
          <w:bCs/>
          <w:snapToGrid w:val="0"/>
          <w:kern w:val="0"/>
          <w:szCs w:val="21"/>
        </w:rPr>
      </w:pPr>
      <w:r>
        <w:rPr>
          <w:bCs/>
          <w:snapToGrid w:val="0"/>
          <w:kern w:val="0"/>
          <w:szCs w:val="21"/>
        </w:rPr>
        <w:t>本章内容支撑课程目标1</w:t>
      </w:r>
      <w:r>
        <w:rPr>
          <w:rFonts w:hint="eastAsia"/>
          <w:bCs/>
          <w:snapToGrid w:val="0"/>
          <w:kern w:val="0"/>
          <w:szCs w:val="21"/>
        </w:rPr>
        <w:t>、2</w:t>
      </w:r>
      <w:r>
        <w:rPr>
          <w:bCs/>
          <w:snapToGrid w:val="0"/>
          <w:kern w:val="0"/>
          <w:szCs w:val="21"/>
        </w:rPr>
        <w:t>。</w:t>
      </w:r>
    </w:p>
    <w:p>
      <w:pPr>
        <w:widowControl/>
        <w:spacing w:line="360" w:lineRule="auto"/>
        <w:ind w:left="426"/>
        <w:jc w:val="left"/>
        <w:rPr>
          <w:szCs w:val="21"/>
        </w:rPr>
      </w:pPr>
    </w:p>
    <w:p>
      <w:pPr>
        <w:tabs>
          <w:tab w:val="left" w:pos="420"/>
        </w:tabs>
        <w:adjustRightInd w:val="0"/>
        <w:snapToGrid w:val="0"/>
        <w:spacing w:line="360" w:lineRule="auto"/>
        <w:ind w:left="420" w:hanging="420"/>
        <w:rPr>
          <w:rFonts w:eastAsia="黑体"/>
          <w:szCs w:val="24"/>
        </w:rPr>
      </w:pPr>
      <w:r>
        <w:rPr>
          <w:rFonts w:eastAsia="黑体"/>
          <w:szCs w:val="24"/>
        </w:rPr>
        <w:t>五、实验内容</w:t>
      </w:r>
    </w:p>
    <w:p>
      <w:pPr>
        <w:adjustRightInd w:val="0"/>
        <w:snapToGrid w:val="0"/>
        <w:spacing w:line="360" w:lineRule="auto"/>
        <w:ind w:firstLine="420" w:firstLineChars="200"/>
        <w:rPr>
          <w:bCs/>
          <w:snapToGrid w:val="0"/>
          <w:kern w:val="0"/>
          <w:szCs w:val="21"/>
        </w:rPr>
      </w:pPr>
      <w:r>
        <w:rPr>
          <w:kern w:val="0"/>
          <w:szCs w:val="21"/>
        </w:rPr>
        <w:t>无</w:t>
      </w:r>
    </w:p>
    <w:p>
      <w:pPr>
        <w:spacing w:line="360" w:lineRule="auto"/>
        <w:ind w:left="422" w:leftChars="201" w:firstLine="420" w:firstLineChars="200"/>
        <w:rPr>
          <w:szCs w:val="21"/>
        </w:rPr>
      </w:pPr>
    </w:p>
    <w:p>
      <w:pPr>
        <w:widowControl/>
        <w:spacing w:line="360" w:lineRule="auto"/>
        <w:jc w:val="left"/>
        <w:rPr>
          <w:rFonts w:eastAsia="黑体"/>
          <w:kern w:val="0"/>
          <w:szCs w:val="21"/>
        </w:rPr>
      </w:pPr>
      <w:r>
        <w:rPr>
          <w:rFonts w:eastAsia="黑体"/>
          <w:kern w:val="0"/>
          <w:szCs w:val="21"/>
        </w:rPr>
        <w:t>六、学时分配</w:t>
      </w:r>
      <w:r>
        <w:rPr>
          <w:rFonts w:eastAsia="黑体"/>
          <w:szCs w:val="21"/>
        </w:rPr>
        <w:t>（表中数字横向纵向计算要正确）</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165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adjustRightInd w:val="0"/>
              <w:snapToGrid w:val="0"/>
              <w:jc w:val="center"/>
              <w:rPr>
                <w:sz w:val="18"/>
                <w:szCs w:val="18"/>
              </w:rPr>
            </w:pPr>
            <w:r>
              <w:rPr>
                <w:sz w:val="18"/>
                <w:szCs w:val="18"/>
              </w:rPr>
              <w:t>讲授的知识点及内容</w:t>
            </w:r>
          </w:p>
        </w:tc>
        <w:tc>
          <w:tcPr>
            <w:tcW w:w="996" w:type="pct"/>
            <w:vAlign w:val="center"/>
          </w:tcPr>
          <w:p>
            <w:pPr>
              <w:adjustRightInd w:val="0"/>
              <w:snapToGrid w:val="0"/>
              <w:jc w:val="center"/>
              <w:rPr>
                <w:sz w:val="18"/>
                <w:szCs w:val="18"/>
              </w:rPr>
            </w:pPr>
            <w:r>
              <w:rPr>
                <w:sz w:val="18"/>
                <w:szCs w:val="18"/>
              </w:rPr>
              <w:t>讲授（学时）</w:t>
            </w:r>
          </w:p>
        </w:tc>
        <w:tc>
          <w:tcPr>
            <w:tcW w:w="983" w:type="pct"/>
            <w:vAlign w:val="center"/>
          </w:tcPr>
          <w:p>
            <w:pPr>
              <w:adjustRightInd w:val="0"/>
              <w:snapToGrid w:val="0"/>
              <w:jc w:val="center"/>
              <w:rPr>
                <w:sz w:val="18"/>
                <w:szCs w:val="18"/>
              </w:rPr>
            </w:pPr>
            <w:r>
              <w:rPr>
                <w:sz w:val="18"/>
                <w:szCs w:val="18"/>
              </w:rPr>
              <w:t>实验（学时）</w:t>
            </w:r>
          </w:p>
        </w:tc>
        <w:tc>
          <w:tcPr>
            <w:tcW w:w="804"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adjustRightInd w:val="0"/>
              <w:snapToGrid w:val="0"/>
              <w:ind w:left="210" w:leftChars="100"/>
              <w:jc w:val="center"/>
              <w:rPr>
                <w:sz w:val="18"/>
                <w:szCs w:val="18"/>
              </w:rPr>
            </w:pPr>
            <w:r>
              <w:rPr>
                <w:sz w:val="18"/>
                <w:szCs w:val="18"/>
              </w:rPr>
              <w:t>1 绪论</w:t>
            </w:r>
          </w:p>
        </w:tc>
        <w:tc>
          <w:tcPr>
            <w:tcW w:w="996" w:type="pct"/>
            <w:vAlign w:val="center"/>
          </w:tcPr>
          <w:p>
            <w:pPr>
              <w:adjustRightInd w:val="0"/>
              <w:snapToGrid w:val="0"/>
              <w:jc w:val="center"/>
              <w:rPr>
                <w:sz w:val="18"/>
                <w:szCs w:val="18"/>
              </w:rPr>
            </w:pPr>
            <w:r>
              <w:rPr>
                <w:sz w:val="18"/>
                <w:szCs w:val="18"/>
              </w:rPr>
              <w:t>4</w:t>
            </w:r>
          </w:p>
        </w:tc>
        <w:tc>
          <w:tcPr>
            <w:tcW w:w="983" w:type="pct"/>
            <w:vAlign w:val="center"/>
          </w:tcPr>
          <w:p>
            <w:pPr>
              <w:adjustRightInd w:val="0"/>
              <w:snapToGrid w:val="0"/>
              <w:jc w:val="center"/>
              <w:rPr>
                <w:sz w:val="18"/>
                <w:szCs w:val="18"/>
              </w:rPr>
            </w:pPr>
            <w:r>
              <w:rPr>
                <w:sz w:val="18"/>
                <w:szCs w:val="18"/>
              </w:rPr>
              <w:t>0</w:t>
            </w:r>
          </w:p>
        </w:tc>
        <w:tc>
          <w:tcPr>
            <w:tcW w:w="804"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ind w:left="210" w:leftChars="100"/>
              <w:jc w:val="center"/>
              <w:rPr>
                <w:snapToGrid w:val="0"/>
                <w:kern w:val="0"/>
                <w:sz w:val="18"/>
                <w:szCs w:val="18"/>
              </w:rPr>
            </w:pPr>
            <w:r>
              <w:rPr>
                <w:sz w:val="18"/>
                <w:szCs w:val="18"/>
              </w:rPr>
              <w:t>2 CMOS集成电路工艺流程</w:t>
            </w:r>
          </w:p>
        </w:tc>
        <w:tc>
          <w:tcPr>
            <w:tcW w:w="996" w:type="pct"/>
            <w:vAlign w:val="center"/>
          </w:tcPr>
          <w:p>
            <w:pPr>
              <w:widowControl/>
              <w:adjustRightInd w:val="0"/>
              <w:snapToGrid w:val="0"/>
              <w:jc w:val="center"/>
              <w:rPr>
                <w:kern w:val="0"/>
                <w:sz w:val="18"/>
                <w:szCs w:val="18"/>
              </w:rPr>
            </w:pPr>
            <w:r>
              <w:rPr>
                <w:kern w:val="0"/>
                <w:sz w:val="18"/>
                <w:szCs w:val="18"/>
              </w:rPr>
              <w:t>2</w:t>
            </w:r>
          </w:p>
        </w:tc>
        <w:tc>
          <w:tcPr>
            <w:tcW w:w="983" w:type="pct"/>
            <w:vAlign w:val="center"/>
          </w:tcPr>
          <w:p>
            <w:pPr>
              <w:widowControl/>
              <w:adjustRightInd w:val="0"/>
              <w:snapToGrid w:val="0"/>
              <w:jc w:val="center"/>
              <w:rPr>
                <w:kern w:val="0"/>
                <w:sz w:val="18"/>
                <w:szCs w:val="18"/>
              </w:rPr>
            </w:pPr>
            <w:r>
              <w:rPr>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ind w:left="210" w:leftChars="100"/>
              <w:jc w:val="center"/>
              <w:rPr>
                <w:snapToGrid w:val="0"/>
                <w:kern w:val="0"/>
                <w:sz w:val="18"/>
                <w:szCs w:val="18"/>
              </w:rPr>
            </w:pPr>
            <w:r>
              <w:rPr>
                <w:sz w:val="18"/>
                <w:szCs w:val="18"/>
              </w:rPr>
              <w:t>3 MOSFET 晶体管</w:t>
            </w:r>
          </w:p>
        </w:tc>
        <w:tc>
          <w:tcPr>
            <w:tcW w:w="996" w:type="pct"/>
            <w:vAlign w:val="center"/>
          </w:tcPr>
          <w:p>
            <w:pPr>
              <w:widowControl/>
              <w:adjustRightInd w:val="0"/>
              <w:snapToGrid w:val="0"/>
              <w:jc w:val="center"/>
              <w:rPr>
                <w:kern w:val="0"/>
                <w:sz w:val="18"/>
                <w:szCs w:val="18"/>
              </w:rPr>
            </w:pPr>
            <w:r>
              <w:rPr>
                <w:kern w:val="0"/>
                <w:sz w:val="18"/>
                <w:szCs w:val="18"/>
              </w:rPr>
              <w:t>4</w:t>
            </w:r>
          </w:p>
        </w:tc>
        <w:tc>
          <w:tcPr>
            <w:tcW w:w="983" w:type="pct"/>
            <w:vAlign w:val="center"/>
          </w:tcPr>
          <w:p>
            <w:pPr>
              <w:widowControl/>
              <w:adjustRightInd w:val="0"/>
              <w:snapToGrid w:val="0"/>
              <w:jc w:val="center"/>
              <w:rPr>
                <w:kern w:val="0"/>
                <w:sz w:val="18"/>
                <w:szCs w:val="18"/>
              </w:rPr>
            </w:pPr>
            <w:r>
              <w:rPr>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ind w:left="210" w:leftChars="100"/>
              <w:jc w:val="center"/>
              <w:rPr>
                <w:kern w:val="0"/>
                <w:sz w:val="18"/>
                <w:szCs w:val="18"/>
              </w:rPr>
            </w:pPr>
            <w:r>
              <w:rPr>
                <w:sz w:val="18"/>
                <w:szCs w:val="18"/>
              </w:rPr>
              <w:t>4基本数字集成电路</w:t>
            </w:r>
          </w:p>
        </w:tc>
        <w:tc>
          <w:tcPr>
            <w:tcW w:w="996" w:type="pct"/>
            <w:vAlign w:val="center"/>
          </w:tcPr>
          <w:p>
            <w:pPr>
              <w:widowControl/>
              <w:adjustRightInd w:val="0"/>
              <w:snapToGrid w:val="0"/>
              <w:jc w:val="center"/>
              <w:rPr>
                <w:kern w:val="0"/>
                <w:sz w:val="18"/>
                <w:szCs w:val="18"/>
              </w:rPr>
            </w:pPr>
            <w:r>
              <w:rPr>
                <w:kern w:val="0"/>
                <w:sz w:val="18"/>
                <w:szCs w:val="18"/>
              </w:rPr>
              <w:t>6</w:t>
            </w:r>
          </w:p>
        </w:tc>
        <w:tc>
          <w:tcPr>
            <w:tcW w:w="983" w:type="pct"/>
            <w:vAlign w:val="center"/>
          </w:tcPr>
          <w:p>
            <w:pPr>
              <w:widowControl/>
              <w:adjustRightInd w:val="0"/>
              <w:snapToGrid w:val="0"/>
              <w:jc w:val="center"/>
              <w:rPr>
                <w:kern w:val="0"/>
                <w:sz w:val="18"/>
                <w:szCs w:val="18"/>
              </w:rPr>
            </w:pPr>
            <w:r>
              <w:rPr>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ind w:left="210" w:leftChars="100"/>
              <w:jc w:val="center"/>
              <w:rPr>
                <w:kern w:val="0"/>
                <w:sz w:val="18"/>
                <w:szCs w:val="18"/>
              </w:rPr>
            </w:pPr>
            <w:r>
              <w:rPr>
                <w:sz w:val="18"/>
                <w:szCs w:val="18"/>
              </w:rPr>
              <w:t>5模拟集成电路</w:t>
            </w:r>
          </w:p>
        </w:tc>
        <w:tc>
          <w:tcPr>
            <w:tcW w:w="996" w:type="pct"/>
            <w:vAlign w:val="center"/>
          </w:tcPr>
          <w:p>
            <w:pPr>
              <w:widowControl/>
              <w:adjustRightInd w:val="0"/>
              <w:snapToGrid w:val="0"/>
              <w:jc w:val="center"/>
              <w:rPr>
                <w:kern w:val="0"/>
                <w:sz w:val="18"/>
                <w:szCs w:val="18"/>
              </w:rPr>
            </w:pPr>
            <w:r>
              <w:rPr>
                <w:kern w:val="0"/>
                <w:sz w:val="18"/>
                <w:szCs w:val="18"/>
              </w:rPr>
              <w:t>12</w:t>
            </w:r>
          </w:p>
        </w:tc>
        <w:tc>
          <w:tcPr>
            <w:tcW w:w="983" w:type="pct"/>
            <w:vAlign w:val="center"/>
          </w:tcPr>
          <w:p>
            <w:pPr>
              <w:widowControl/>
              <w:adjustRightInd w:val="0"/>
              <w:snapToGrid w:val="0"/>
              <w:jc w:val="center"/>
              <w:rPr>
                <w:kern w:val="0"/>
                <w:sz w:val="18"/>
                <w:szCs w:val="18"/>
              </w:rPr>
            </w:pPr>
            <w:r>
              <w:rPr>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ind w:left="210" w:leftChars="100"/>
              <w:jc w:val="center"/>
              <w:rPr>
                <w:kern w:val="0"/>
                <w:sz w:val="18"/>
                <w:szCs w:val="18"/>
              </w:rPr>
            </w:pPr>
            <w:r>
              <w:rPr>
                <w:sz w:val="18"/>
                <w:szCs w:val="18"/>
              </w:rPr>
              <w:t>6 集成电路版图设计</w:t>
            </w:r>
          </w:p>
        </w:tc>
        <w:tc>
          <w:tcPr>
            <w:tcW w:w="996" w:type="pct"/>
            <w:vAlign w:val="center"/>
          </w:tcPr>
          <w:p>
            <w:pPr>
              <w:widowControl/>
              <w:adjustRightInd w:val="0"/>
              <w:snapToGrid w:val="0"/>
              <w:jc w:val="center"/>
              <w:rPr>
                <w:kern w:val="0"/>
                <w:sz w:val="18"/>
                <w:szCs w:val="18"/>
              </w:rPr>
            </w:pPr>
            <w:r>
              <w:rPr>
                <w:kern w:val="0"/>
                <w:sz w:val="18"/>
                <w:szCs w:val="18"/>
              </w:rPr>
              <w:t>4</w:t>
            </w:r>
          </w:p>
        </w:tc>
        <w:tc>
          <w:tcPr>
            <w:tcW w:w="983" w:type="pct"/>
            <w:vAlign w:val="center"/>
          </w:tcPr>
          <w:p>
            <w:pPr>
              <w:widowControl/>
              <w:adjustRightInd w:val="0"/>
              <w:snapToGrid w:val="0"/>
              <w:jc w:val="center"/>
              <w:rPr>
                <w:kern w:val="0"/>
                <w:sz w:val="18"/>
                <w:szCs w:val="18"/>
              </w:rPr>
            </w:pPr>
            <w:r>
              <w:rPr>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vAlign w:val="center"/>
          </w:tcPr>
          <w:p>
            <w:pPr>
              <w:widowControl/>
              <w:adjustRightInd w:val="0"/>
              <w:snapToGrid w:val="0"/>
              <w:jc w:val="center"/>
              <w:rPr>
                <w:kern w:val="0"/>
                <w:sz w:val="18"/>
                <w:szCs w:val="18"/>
              </w:rPr>
            </w:pPr>
            <w:r>
              <w:rPr>
                <w:kern w:val="0"/>
                <w:sz w:val="18"/>
                <w:szCs w:val="18"/>
              </w:rPr>
              <w:t>合计</w:t>
            </w:r>
          </w:p>
        </w:tc>
        <w:tc>
          <w:tcPr>
            <w:tcW w:w="996" w:type="pct"/>
            <w:vAlign w:val="center"/>
          </w:tcPr>
          <w:p>
            <w:pPr>
              <w:widowControl/>
              <w:adjustRightInd w:val="0"/>
              <w:snapToGrid w:val="0"/>
              <w:jc w:val="center"/>
              <w:rPr>
                <w:kern w:val="0"/>
                <w:sz w:val="18"/>
                <w:szCs w:val="18"/>
              </w:rPr>
            </w:pPr>
            <w:r>
              <w:rPr>
                <w:kern w:val="0"/>
                <w:sz w:val="18"/>
                <w:szCs w:val="18"/>
              </w:rPr>
              <w:t>32</w:t>
            </w:r>
          </w:p>
        </w:tc>
        <w:tc>
          <w:tcPr>
            <w:tcW w:w="983" w:type="pct"/>
            <w:vAlign w:val="center"/>
          </w:tcPr>
          <w:p>
            <w:pPr>
              <w:widowControl/>
              <w:adjustRightInd w:val="0"/>
              <w:snapToGrid w:val="0"/>
              <w:jc w:val="center"/>
              <w:rPr>
                <w:kern w:val="0"/>
                <w:sz w:val="18"/>
                <w:szCs w:val="18"/>
              </w:rPr>
            </w:pPr>
            <w:r>
              <w:rPr>
                <w:kern w:val="0"/>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eastAsia="黑体"/>
          <w:szCs w:val="24"/>
        </w:rPr>
        <w:t>七、教材、补充教材及参考资料</w:t>
      </w:r>
    </w:p>
    <w:p>
      <w:pPr>
        <w:numPr>
          <w:ilvl w:val="0"/>
          <w:numId w:val="26"/>
        </w:numPr>
        <w:tabs>
          <w:tab w:val="left" w:pos="420"/>
        </w:tabs>
        <w:spacing w:line="360" w:lineRule="auto"/>
        <w:ind w:left="780" w:hanging="360"/>
        <w:rPr>
          <w:szCs w:val="21"/>
        </w:rPr>
      </w:pPr>
      <w:r>
        <w:rPr>
          <w:szCs w:val="21"/>
        </w:rPr>
        <w:t>《集成电路设计导论》，罗萍、张为编著，清华大学出版社，2010年。</w:t>
      </w:r>
    </w:p>
    <w:p>
      <w:pPr>
        <w:numPr>
          <w:ilvl w:val="0"/>
          <w:numId w:val="26"/>
        </w:numPr>
        <w:tabs>
          <w:tab w:val="left" w:pos="420"/>
        </w:tabs>
        <w:spacing w:line="360" w:lineRule="auto"/>
        <w:ind w:left="780" w:hanging="360"/>
        <w:rPr>
          <w:szCs w:val="21"/>
        </w:rPr>
      </w:pPr>
      <w:r>
        <w:rPr>
          <w:szCs w:val="21"/>
        </w:rPr>
        <w:t>《半导体集成电路》，朱正涌编著，清华大学出版社，2001年；</w:t>
      </w:r>
    </w:p>
    <w:p>
      <w:pPr>
        <w:numPr>
          <w:ilvl w:val="0"/>
          <w:numId w:val="26"/>
        </w:numPr>
        <w:tabs>
          <w:tab w:val="left" w:pos="420"/>
        </w:tabs>
        <w:spacing w:line="360" w:lineRule="auto"/>
        <w:ind w:left="780" w:hanging="360"/>
        <w:rPr>
          <w:szCs w:val="21"/>
        </w:rPr>
      </w:pPr>
      <w:r>
        <w:rPr>
          <w:szCs w:val="21"/>
        </w:rPr>
        <w:t>《集成电路设计》，王志功、朱恩、陈莹梅编著，电子工业出版社，2006年。</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eastAsia="黑体"/>
          <w:szCs w:val="24"/>
        </w:rPr>
        <w:t>八、课程目标达成的途径和措施</w:t>
      </w:r>
    </w:p>
    <w:p>
      <w:pPr>
        <w:spacing w:line="360" w:lineRule="auto"/>
        <w:ind w:firstLine="420" w:firstLineChars="200"/>
        <w:rPr>
          <w:szCs w:val="21"/>
        </w:rPr>
      </w:pPr>
      <w:r>
        <w:rPr>
          <w:szCs w:val="21"/>
        </w:rPr>
        <w:t>1、考核目标：在考核学生对集成电路器件、模拟集成电路和数字集成电路基本知识、基本原理和分析方法的基础上，重点考核典型模拟和数字电路的识别、设计、分析和优化能力，以及识别和绘制版图的能力。</w:t>
      </w:r>
    </w:p>
    <w:p>
      <w:pPr>
        <w:spacing w:line="360" w:lineRule="auto"/>
        <w:ind w:firstLine="420" w:firstLineChars="200"/>
        <w:rPr>
          <w:szCs w:val="21"/>
        </w:rPr>
      </w:pPr>
      <w:r>
        <w:rPr>
          <w:szCs w:val="21"/>
        </w:rPr>
        <w:t>2、考核方式：考试、作业及随堂点名提问。</w:t>
      </w:r>
    </w:p>
    <w:p>
      <w:pPr>
        <w:spacing w:line="360" w:lineRule="auto"/>
        <w:ind w:firstLine="420" w:firstLineChars="200"/>
        <w:rPr>
          <w:szCs w:val="21"/>
        </w:rPr>
      </w:pPr>
      <w:r>
        <w:rPr>
          <w:szCs w:val="21"/>
        </w:rPr>
        <w:t>3、评价环节对课程目标达成贡献率及支撑材料：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2040"/>
        <w:gridCol w:w="2627"/>
        <w:gridCol w:w="2199"/>
        <w:gridCol w:w="1446"/>
      </w:tblGrid>
      <w:tr>
        <w:tblPrEx>
          <w:tblCellMar>
            <w:top w:w="0" w:type="dxa"/>
            <w:left w:w="108" w:type="dxa"/>
            <w:bottom w:w="0" w:type="dxa"/>
            <w:right w:w="108" w:type="dxa"/>
          </w:tblCellMar>
        </w:tblPrEx>
        <w:trPr>
          <w:trHeight w:val="352" w:hRule="atLeast"/>
          <w:jc w:val="center"/>
        </w:trPr>
        <w:tc>
          <w:tcPr>
            <w:tcW w:w="1227" w:type="pct"/>
            <w:tcBorders>
              <w:top w:val="single" w:color="auto" w:sz="4" w:space="0"/>
              <w:bottom w:val="single" w:color="auto" w:sz="4" w:space="0"/>
              <w:right w:val="single" w:color="auto" w:sz="4" w:space="0"/>
            </w:tcBorders>
            <w:vAlign w:val="center"/>
          </w:tcPr>
          <w:p>
            <w:pPr>
              <w:jc w:val="center"/>
              <w:rPr>
                <w:sz w:val="18"/>
                <w:szCs w:val="18"/>
              </w:rPr>
            </w:pPr>
            <w:r>
              <w:rPr>
                <w:sz w:val="18"/>
                <w:szCs w:val="18"/>
              </w:rPr>
              <w:t>考察环节</w:t>
            </w:r>
          </w:p>
        </w:tc>
        <w:tc>
          <w:tcPr>
            <w:tcW w:w="158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课堂情况</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作业</w:t>
            </w:r>
          </w:p>
        </w:tc>
        <w:tc>
          <w:tcPr>
            <w:tcW w:w="871" w:type="pct"/>
            <w:tcBorders>
              <w:top w:val="single" w:color="auto" w:sz="4" w:space="0"/>
              <w:left w:val="single" w:color="auto" w:sz="4" w:space="0"/>
              <w:bottom w:val="single" w:color="auto" w:sz="4" w:space="0"/>
            </w:tcBorders>
            <w:vAlign w:val="center"/>
          </w:tcPr>
          <w:p>
            <w:pPr>
              <w:jc w:val="center"/>
              <w:rPr>
                <w:sz w:val="18"/>
                <w:szCs w:val="18"/>
              </w:rPr>
            </w:pPr>
            <w:r>
              <w:rPr>
                <w:sz w:val="18"/>
                <w:szCs w:val="18"/>
              </w:rPr>
              <w:t>期末考试</w:t>
            </w:r>
          </w:p>
        </w:tc>
      </w:tr>
      <w:tr>
        <w:tblPrEx>
          <w:tblCellMar>
            <w:top w:w="0" w:type="dxa"/>
            <w:left w:w="108" w:type="dxa"/>
            <w:bottom w:w="0" w:type="dxa"/>
            <w:right w:w="108" w:type="dxa"/>
          </w:tblCellMar>
        </w:tblPrEx>
        <w:trPr>
          <w:trHeight w:val="255" w:hRule="atLeast"/>
          <w:jc w:val="center"/>
        </w:trPr>
        <w:tc>
          <w:tcPr>
            <w:tcW w:w="1227" w:type="pct"/>
            <w:tcBorders>
              <w:top w:val="single" w:color="auto" w:sz="4" w:space="0"/>
              <w:bottom w:val="single" w:color="auto" w:sz="4" w:space="0"/>
              <w:right w:val="single" w:color="auto" w:sz="4" w:space="0"/>
            </w:tcBorders>
            <w:vAlign w:val="center"/>
          </w:tcPr>
          <w:p>
            <w:pPr>
              <w:jc w:val="center"/>
              <w:rPr>
                <w:sz w:val="18"/>
                <w:szCs w:val="18"/>
              </w:rPr>
            </w:pPr>
            <w:r>
              <w:rPr>
                <w:sz w:val="18"/>
                <w:szCs w:val="18"/>
              </w:rPr>
              <w:t>课程目标达成</w:t>
            </w:r>
          </w:p>
          <w:p>
            <w:pPr>
              <w:jc w:val="center"/>
              <w:rPr>
                <w:sz w:val="18"/>
                <w:szCs w:val="18"/>
              </w:rPr>
            </w:pPr>
            <w:r>
              <w:rPr>
                <w:sz w:val="18"/>
                <w:szCs w:val="18"/>
              </w:rPr>
              <w:t>的贡献率</w:t>
            </w:r>
          </w:p>
        </w:tc>
        <w:tc>
          <w:tcPr>
            <w:tcW w:w="158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0.20</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0.30</w:t>
            </w:r>
          </w:p>
        </w:tc>
        <w:tc>
          <w:tcPr>
            <w:tcW w:w="871" w:type="pct"/>
            <w:tcBorders>
              <w:top w:val="single" w:color="auto" w:sz="4" w:space="0"/>
              <w:left w:val="single" w:color="auto" w:sz="4" w:space="0"/>
              <w:bottom w:val="single" w:color="auto" w:sz="4" w:space="0"/>
            </w:tcBorders>
            <w:vAlign w:val="center"/>
          </w:tcPr>
          <w:p>
            <w:pPr>
              <w:jc w:val="center"/>
              <w:rPr>
                <w:sz w:val="18"/>
                <w:szCs w:val="18"/>
              </w:rPr>
            </w:pPr>
            <w:r>
              <w:rPr>
                <w:sz w:val="18"/>
                <w:szCs w:val="18"/>
              </w:rPr>
              <w:t>0.50</w:t>
            </w:r>
          </w:p>
        </w:tc>
      </w:tr>
      <w:tr>
        <w:tblPrEx>
          <w:tblCellMar>
            <w:top w:w="0" w:type="dxa"/>
            <w:left w:w="108" w:type="dxa"/>
            <w:bottom w:w="0" w:type="dxa"/>
            <w:right w:w="108" w:type="dxa"/>
          </w:tblCellMar>
        </w:tblPrEx>
        <w:trPr>
          <w:trHeight w:val="577" w:hRule="atLeast"/>
          <w:jc w:val="center"/>
        </w:trPr>
        <w:tc>
          <w:tcPr>
            <w:tcW w:w="1227" w:type="pct"/>
            <w:tcBorders>
              <w:top w:val="single" w:color="auto" w:sz="4" w:space="0"/>
              <w:bottom w:val="single" w:color="auto" w:sz="4" w:space="0"/>
              <w:right w:val="single" w:color="auto" w:sz="4" w:space="0"/>
            </w:tcBorders>
            <w:vAlign w:val="center"/>
          </w:tcPr>
          <w:p>
            <w:pPr>
              <w:jc w:val="center"/>
              <w:rPr>
                <w:sz w:val="18"/>
                <w:szCs w:val="18"/>
              </w:rPr>
            </w:pPr>
            <w:r>
              <w:rPr>
                <w:sz w:val="18"/>
                <w:szCs w:val="18"/>
              </w:rPr>
              <w:t>支撑材料</w:t>
            </w:r>
          </w:p>
        </w:tc>
        <w:tc>
          <w:tcPr>
            <w:tcW w:w="1580"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课堂评价标准，课堂提问记录或随堂考试，结合出勤率等</w:t>
            </w:r>
          </w:p>
        </w:tc>
        <w:tc>
          <w:tcPr>
            <w:tcW w:w="1323"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作业评价标准，典型作业拍照，或电子版</w:t>
            </w:r>
          </w:p>
        </w:tc>
        <w:tc>
          <w:tcPr>
            <w:tcW w:w="871" w:type="pct"/>
            <w:tcBorders>
              <w:top w:val="single" w:color="auto" w:sz="4" w:space="0"/>
              <w:left w:val="single" w:color="auto" w:sz="4" w:space="0"/>
              <w:bottom w:val="single" w:color="auto" w:sz="4" w:space="0"/>
            </w:tcBorders>
            <w:vAlign w:val="center"/>
          </w:tcPr>
          <w:p>
            <w:pPr>
              <w:jc w:val="center"/>
              <w:rPr>
                <w:sz w:val="18"/>
                <w:szCs w:val="18"/>
              </w:rPr>
            </w:pPr>
            <w:r>
              <w:rPr>
                <w:sz w:val="18"/>
                <w:szCs w:val="18"/>
              </w:rPr>
              <w:t>试题评分标准，试卷</w:t>
            </w:r>
          </w:p>
        </w:tc>
      </w:tr>
    </w:tbl>
    <w:p>
      <w:pPr>
        <w:pStyle w:val="31"/>
        <w:widowControl/>
        <w:spacing w:line="360" w:lineRule="auto"/>
        <w:ind w:left="360" w:firstLine="0" w:firstLineChars="0"/>
        <w:jc w:val="left"/>
        <w:rPr>
          <w:rFonts w:eastAsia="黑体"/>
          <w:szCs w:val="24"/>
        </w:rPr>
      </w:pPr>
    </w:p>
    <w:p>
      <w:pPr>
        <w:tabs>
          <w:tab w:val="left" w:pos="420"/>
        </w:tabs>
        <w:adjustRightInd w:val="0"/>
        <w:snapToGrid w:val="0"/>
        <w:spacing w:line="360" w:lineRule="auto"/>
        <w:ind w:left="420" w:hanging="420"/>
        <w:rPr>
          <w:sz w:val="18"/>
          <w:szCs w:val="18"/>
        </w:rPr>
      </w:pPr>
      <w:r>
        <w:rPr>
          <w:rFonts w:eastAsia="黑体"/>
          <w:szCs w:val="24"/>
        </w:rPr>
        <w:t>九、覆盖课程目标达成评价的知识点及权重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1、集成电路的基本概念、设计流程等</w:t>
            </w:r>
            <w:r>
              <w:rPr>
                <w:rFonts w:hint="eastAsia"/>
                <w:sz w:val="18"/>
                <w:szCs w:val="18"/>
              </w:rPr>
              <w:t>；</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2、CMOS工艺流程；</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3、MOSFET晶体管基本知识；</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4、基本数字集成电路知识；</w:t>
            </w:r>
          </w:p>
        </w:tc>
        <w:tc>
          <w:tcPr>
            <w:tcW w:w="691" w:type="pct"/>
            <w:vAlign w:val="center"/>
          </w:tcPr>
          <w:p>
            <w:pPr>
              <w:jc w:val="center"/>
              <w:rPr>
                <w:sz w:val="18"/>
                <w:szCs w:val="18"/>
              </w:rPr>
            </w:pPr>
            <w:r>
              <w:rPr>
                <w:sz w:val="18"/>
                <w:szCs w:val="18"/>
              </w:rPr>
              <w:t>0.30</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5、模拟集成电路知识；</w:t>
            </w:r>
          </w:p>
        </w:tc>
        <w:tc>
          <w:tcPr>
            <w:tcW w:w="691" w:type="pct"/>
            <w:vAlign w:val="center"/>
          </w:tcPr>
          <w:p>
            <w:pPr>
              <w:jc w:val="center"/>
              <w:rPr>
                <w:sz w:val="18"/>
                <w:szCs w:val="18"/>
              </w:rPr>
            </w:pPr>
            <w:r>
              <w:rPr>
                <w:sz w:val="18"/>
                <w:szCs w:val="18"/>
              </w:rPr>
              <w:t>0.30</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6、集成电路版图设计；</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w:t>
            </w:r>
            <w:r>
              <w:rPr>
                <w:rFonts w:hint="eastAsia"/>
                <w:sz w:val="18"/>
                <w:szCs w:val="18"/>
              </w:rPr>
              <w:t>2</w:t>
            </w:r>
          </w:p>
        </w:tc>
      </w:tr>
    </w:tbl>
    <w:p>
      <w:pPr>
        <w:spacing w:before="120" w:beforeLines="50" w:line="360" w:lineRule="auto"/>
        <w:ind w:firstLine="420" w:firstLineChars="200"/>
        <w:rPr>
          <w:color w:val="000000"/>
          <w:sz w:val="24"/>
          <w:szCs w:val="24"/>
        </w:rPr>
      </w:pPr>
      <w:r>
        <w:rPr>
          <w:rFonts w:hint="eastAsia" w:ascii="宋体" w:hAnsi="宋体" w:cs="宋体"/>
          <w:szCs w:val="21"/>
        </w:rPr>
        <w:t>本课程不可以申请免修。</w:t>
      </w:r>
    </w:p>
    <w:p>
      <w:pPr>
        <w:spacing w:line="360" w:lineRule="auto"/>
        <w:ind w:firstLine="420" w:firstLineChars="200"/>
        <w:rPr>
          <w:szCs w:val="21"/>
        </w:rPr>
        <w:sectPr>
          <w:headerReference r:id="rId42" w:type="first"/>
          <w:footerReference r:id="rId45" w:type="first"/>
          <w:headerReference r:id="rId40" w:type="default"/>
          <w:footerReference r:id="rId43" w:type="default"/>
          <w:headerReference r:id="rId41" w:type="even"/>
          <w:footerReference r:id="rId44"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eastAsia="黑体"/>
          <w:szCs w:val="24"/>
        </w:rPr>
        <w:t>十、课程目标达成评价</w:t>
      </w:r>
    </w:p>
    <w:p>
      <w:pPr>
        <w:spacing w:line="360" w:lineRule="auto"/>
        <w:ind w:firstLine="420" w:firstLineChars="200"/>
        <w:jc w:val="center"/>
      </w:pPr>
      <w:r>
        <w:t>各环节对课程目标达成评价所使用到的权重占比分配及考核权重分配</w:t>
      </w:r>
    </w:p>
    <w:p>
      <w:pPr>
        <w:spacing w:line="360" w:lineRule="auto"/>
      </w:pPr>
    </w:p>
    <w:tbl>
      <w:tblPr>
        <w:tblStyle w:val="22"/>
        <w:tblpPr w:leftFromText="180" w:rightFromText="180" w:vertAnchor="text" w:horzAnchor="margin" w:tblpY="-39"/>
        <w:tblW w:w="4999" w:type="pct"/>
        <w:tblInd w:w="0" w:type="dxa"/>
        <w:tblLayout w:type="autofit"/>
        <w:tblCellMar>
          <w:top w:w="0" w:type="dxa"/>
          <w:left w:w="108" w:type="dxa"/>
          <w:bottom w:w="0" w:type="dxa"/>
          <w:right w:w="108" w:type="dxa"/>
        </w:tblCellMar>
      </w:tblPr>
      <w:tblGrid>
        <w:gridCol w:w="1019"/>
        <w:gridCol w:w="1677"/>
        <w:gridCol w:w="1382"/>
        <w:gridCol w:w="1153"/>
        <w:gridCol w:w="1161"/>
        <w:gridCol w:w="1322"/>
        <w:gridCol w:w="1286"/>
        <w:gridCol w:w="1503"/>
        <w:gridCol w:w="1191"/>
        <w:gridCol w:w="1191"/>
        <w:gridCol w:w="1060"/>
      </w:tblGrid>
      <w:tr>
        <w:tblPrEx>
          <w:tblCellMar>
            <w:top w:w="0" w:type="dxa"/>
            <w:left w:w="108" w:type="dxa"/>
            <w:bottom w:w="0" w:type="dxa"/>
            <w:right w:w="108" w:type="dxa"/>
          </w:tblCellMar>
        </w:tblPrEx>
        <w:trPr>
          <w:trHeight w:val="1015" w:hRule="atLeast"/>
        </w:trPr>
        <w:tc>
          <w:tcPr>
            <w:tcW w:w="3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6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32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474" w:type="pct"/>
            <w:gridSpan w:val="3"/>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23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trPr>
        <w:tc>
          <w:tcPr>
            <w:tcW w:w="3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6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49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13"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6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1020" w:hRule="atLeast"/>
        </w:trPr>
        <w:tc>
          <w:tcPr>
            <w:tcW w:w="36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6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495"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41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41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47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46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53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w:t>
            </w:r>
          </w:p>
        </w:tc>
      </w:tr>
      <w:tr>
        <w:tblPrEx>
          <w:tblCellMar>
            <w:top w:w="0" w:type="dxa"/>
            <w:left w:w="108" w:type="dxa"/>
            <w:bottom w:w="0" w:type="dxa"/>
            <w:right w:w="108" w:type="dxa"/>
          </w:tblCellMar>
        </w:tblPrEx>
        <w:trPr>
          <w:trHeight w:val="694" w:hRule="atLeast"/>
        </w:trPr>
        <w:tc>
          <w:tcPr>
            <w:tcW w:w="36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601"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0.6</w:t>
            </w:r>
          </w:p>
        </w:tc>
        <w:tc>
          <w:tcPr>
            <w:tcW w:w="49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41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41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47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46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0.18</w:t>
            </w:r>
          </w:p>
        </w:tc>
        <w:tc>
          <w:tcPr>
            <w:tcW w:w="53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0.7</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w:t>
            </w:r>
          </w:p>
        </w:tc>
      </w:tr>
      <w:tr>
        <w:tblPrEx>
          <w:tblCellMar>
            <w:top w:w="0" w:type="dxa"/>
            <w:left w:w="108" w:type="dxa"/>
            <w:bottom w:w="0" w:type="dxa"/>
            <w:right w:w="108" w:type="dxa"/>
          </w:tblCellMar>
        </w:tblPrEx>
        <w:trPr>
          <w:trHeight w:val="1026" w:hRule="atLeast"/>
        </w:trPr>
        <w:tc>
          <w:tcPr>
            <w:tcW w:w="229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各环节对课程目标达成的贡献率（</w:t>
            </w:r>
            <w:r>
              <w:rPr>
                <w:bCs/>
                <w:i/>
                <w:kern w:val="0"/>
                <w:sz w:val="18"/>
                <w:szCs w:val="18"/>
              </w:rPr>
              <w:t>M</w:t>
            </w:r>
            <w:r>
              <w:rPr>
                <w:bCs/>
                <w:i/>
                <w:kern w:val="0"/>
                <w:sz w:val="18"/>
                <w:szCs w:val="18"/>
                <w:vertAlign w:val="subscript"/>
              </w:rPr>
              <w:t>k</w:t>
            </w:r>
            <w:r>
              <w:rPr>
                <w:bCs/>
                <w:kern w:val="0"/>
                <w:sz w:val="18"/>
                <w:szCs w:val="18"/>
              </w:rPr>
              <w:t>）</w:t>
            </w:r>
          </w:p>
        </w:tc>
        <w:tc>
          <w:tcPr>
            <w:tcW w:w="47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46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53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123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教师出题或布置作业时</w:t>
            </w:r>
          </w:p>
          <w:p>
            <w:pPr>
              <w:jc w:val="center"/>
              <w:rPr>
                <w:bCs/>
                <w:sz w:val="18"/>
                <w:szCs w:val="18"/>
              </w:rPr>
            </w:pPr>
            <w:r>
              <w:rPr>
                <w:bCs/>
                <w:sz w:val="18"/>
                <w:szCs w:val="18"/>
              </w:rPr>
              <w:t>要尽量做到按照以上比例布局</w:t>
            </w:r>
          </w:p>
        </w:tc>
      </w:tr>
    </w:tbl>
    <w:p>
      <w:pPr>
        <w:spacing w:line="360" w:lineRule="auto"/>
        <w:jc w:val="left"/>
      </w:pPr>
    </w:p>
    <w:p>
      <w:pPr>
        <w:spacing w:line="360" w:lineRule="auto"/>
      </w:pPr>
    </w:p>
    <w:p>
      <w:pPr>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10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02" DrawAspect="Content" ObjectID="_1468075802" r:id="rId262">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10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03" DrawAspect="Content" ObjectID="_1468075803" r:id="rId263">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10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04" DrawAspect="Content" ObjectID="_1468075804" r:id="rId264">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10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05" DrawAspect="Content" ObjectID="_1468075805" r:id="rId265">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10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06" DrawAspect="Content" ObjectID="_1468075806" r:id="rId266">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10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07" DrawAspect="Content" ObjectID="_1468075807" r:id="rId267">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312" w:after="468"/>
      </w:pPr>
      <w:bookmarkStart w:id="183" w:name="_Toc46996567"/>
      <w:bookmarkStart w:id="184" w:name="_Toc493673167"/>
      <w:bookmarkStart w:id="185" w:name="_Toc9073"/>
      <w:bookmarkStart w:id="186" w:name="_Toc31804"/>
      <w:r>
        <w:t>《</w:t>
      </w:r>
      <w:bookmarkStart w:id="187" w:name="OLE_LINK27"/>
      <w:r>
        <w:t>Y06060005-嵌入式系统</w:t>
      </w:r>
      <w:bookmarkEnd w:id="187"/>
      <w:r>
        <w:t>》教学大纲</w:t>
      </w:r>
      <w:bookmarkEnd w:id="183"/>
      <w:bookmarkEnd w:id="184"/>
      <w:bookmarkEnd w:id="185"/>
      <w:bookmarkEnd w:id="186"/>
    </w:p>
    <w:p>
      <w:pPr>
        <w:adjustRightInd w:val="0"/>
        <w:snapToGrid w:val="0"/>
        <w:spacing w:line="360" w:lineRule="auto"/>
        <w:rPr>
          <w:rFonts w:eastAsia="黑体"/>
        </w:rPr>
      </w:pPr>
      <w:r>
        <w:rPr>
          <w:rFonts w:eastAsia="黑体"/>
        </w:rPr>
        <w:t>课程编号：Y06060005</w:t>
      </w:r>
    </w:p>
    <w:p>
      <w:pPr>
        <w:adjustRightInd w:val="0"/>
        <w:snapToGrid w:val="0"/>
        <w:spacing w:line="360" w:lineRule="auto"/>
        <w:rPr>
          <w:rFonts w:eastAsia="黑体"/>
        </w:rPr>
      </w:pPr>
      <w:r>
        <w:rPr>
          <w:rFonts w:eastAsia="黑体"/>
        </w:rPr>
        <w:t>课程名称：</w:t>
      </w:r>
      <w:r>
        <w:rPr>
          <w:rFonts w:ascii="宋体" w:hAnsi="宋体"/>
        </w:rPr>
        <w:t>嵌入式系统</w:t>
      </w:r>
      <w:r>
        <w:rPr>
          <w:rFonts w:eastAsia="黑体"/>
        </w:rPr>
        <w:tab/>
      </w:r>
      <w:r>
        <w:rPr>
          <w:rFonts w:eastAsia="黑体"/>
        </w:rPr>
        <w:tab/>
      </w:r>
      <w:r>
        <w:rPr>
          <w:rFonts w:eastAsia="黑体"/>
        </w:rPr>
        <w:tab/>
      </w:r>
      <w:r>
        <w:rPr>
          <w:rFonts w:eastAsia="黑体"/>
        </w:rPr>
        <w:tab/>
      </w:r>
      <w:r>
        <w:rPr>
          <w:rFonts w:eastAsia="黑体"/>
        </w:rPr>
        <w:tab/>
      </w:r>
      <w:r>
        <w:rPr>
          <w:rFonts w:eastAsia="黑体"/>
        </w:rPr>
        <w:t>开课单位：</w:t>
      </w:r>
      <w:r>
        <w:t>仪器与电子学院</w:t>
      </w:r>
    </w:p>
    <w:p>
      <w:pPr>
        <w:adjustRightInd w:val="0"/>
        <w:snapToGrid w:val="0"/>
        <w:spacing w:line="360" w:lineRule="auto"/>
        <w:rPr>
          <w:rFonts w:eastAsia="黑体"/>
        </w:rPr>
      </w:pPr>
      <w:r>
        <w:rPr>
          <w:rFonts w:eastAsia="黑体"/>
        </w:rPr>
        <w:t>总 学 时：</w:t>
      </w:r>
      <w:r>
        <w:t>40 (实验16学时)</w:t>
      </w:r>
      <w:r>
        <w:rPr>
          <w:color w:val="000000"/>
        </w:rPr>
        <w:tab/>
      </w:r>
      <w:r>
        <w:rPr>
          <w:color w:val="000000"/>
        </w:rPr>
        <w:tab/>
      </w:r>
      <w:r>
        <w:rPr>
          <w:color w:val="000000"/>
        </w:rPr>
        <w:tab/>
      </w:r>
      <w:r>
        <w:rPr>
          <w:color w:val="000000"/>
        </w:rPr>
        <w:tab/>
      </w:r>
      <w:r>
        <w:rPr>
          <w:rFonts w:eastAsia="黑体"/>
        </w:rPr>
        <w:t>学    分：</w:t>
      </w:r>
      <w:r>
        <w:t>2.5</w:t>
      </w:r>
    </w:p>
    <w:p>
      <w:pPr>
        <w:adjustRightInd w:val="0"/>
        <w:snapToGrid w:val="0"/>
        <w:spacing w:line="360" w:lineRule="auto"/>
        <w:rPr>
          <w:rFonts w:eastAsia="黑体"/>
          <w:szCs w:val="21"/>
        </w:rPr>
      </w:pPr>
      <w:r>
        <w:rPr>
          <w:rFonts w:eastAsia="黑体"/>
        </w:rPr>
        <w:t>适用专业：</w:t>
      </w:r>
      <w:r>
        <w:rPr>
          <w:rFonts w:ascii="宋体" w:hAnsi="宋体"/>
          <w:szCs w:val="21"/>
        </w:rPr>
        <w:t>电子科学与技术</w:t>
      </w:r>
      <w:r>
        <w:rPr>
          <w:rFonts w:hint="eastAsia" w:ascii="宋体" w:hAnsi="宋体"/>
          <w:szCs w:val="21"/>
        </w:rPr>
        <w:t>专业</w:t>
      </w:r>
    </w:p>
    <w:p>
      <w:pPr>
        <w:adjustRightInd w:val="0"/>
        <w:snapToGrid w:val="0"/>
        <w:spacing w:line="360" w:lineRule="auto"/>
      </w:pPr>
      <w:r>
        <w:rPr>
          <w:rFonts w:eastAsia="黑体"/>
        </w:rPr>
        <w:t>先修课程：</w:t>
      </w:r>
      <w:r>
        <w:t>C语言程序设计基础</w:t>
      </w:r>
      <w:r>
        <w:rPr>
          <w:rFonts w:hint="eastAsia"/>
        </w:rPr>
        <w:t>、</w:t>
      </w:r>
      <w:r>
        <w:t>微机原理及接口技术</w:t>
      </w:r>
    </w:p>
    <w:p>
      <w:pPr>
        <w:adjustRightInd w:val="0"/>
        <w:snapToGrid w:val="0"/>
        <w:spacing w:line="360" w:lineRule="auto"/>
      </w:pPr>
      <w:r>
        <w:rPr>
          <w:rFonts w:eastAsia="黑体"/>
        </w:rPr>
        <w:t>大纲撰写人</w:t>
      </w:r>
      <w:r>
        <w:t>：孟令军</w:t>
      </w:r>
    </w:p>
    <w:p>
      <w:pPr>
        <w:adjustRightInd w:val="0"/>
        <w:snapToGrid w:val="0"/>
        <w:spacing w:line="360" w:lineRule="auto"/>
      </w:pPr>
      <w:r>
        <w:rPr>
          <w:rFonts w:eastAsia="黑体"/>
        </w:rPr>
        <w:t>大纲编写（修订）时间：</w:t>
      </w:r>
      <w:r>
        <w:t>2019年5月</w:t>
      </w:r>
    </w:p>
    <w:p>
      <w:pPr>
        <w:adjustRightInd w:val="0"/>
        <w:snapToGrid w:val="0"/>
        <w:spacing w:line="360" w:lineRule="auto"/>
      </w:pPr>
    </w:p>
    <w:p>
      <w:pPr>
        <w:tabs>
          <w:tab w:val="left" w:pos="420"/>
        </w:tabs>
        <w:adjustRightInd w:val="0"/>
        <w:snapToGrid w:val="0"/>
        <w:spacing w:line="360" w:lineRule="auto"/>
        <w:rPr>
          <w:rFonts w:eastAsia="黑体"/>
          <w:color w:val="000000"/>
        </w:rPr>
      </w:pPr>
      <w:r>
        <w:rPr>
          <w:rFonts w:eastAsia="黑体"/>
          <w:color w:val="000000"/>
        </w:rPr>
        <w:t>一、课程在教学计划中的地位、作用</w:t>
      </w:r>
    </w:p>
    <w:p>
      <w:pPr>
        <w:adjustRightInd w:val="0"/>
        <w:snapToGrid w:val="0"/>
        <w:spacing w:line="360" w:lineRule="auto"/>
        <w:ind w:firstLine="420" w:firstLineChars="200"/>
        <w:rPr>
          <w:color w:val="000000"/>
          <w:szCs w:val="21"/>
        </w:rPr>
      </w:pPr>
      <w:r>
        <w:rPr>
          <w:color w:val="000000"/>
          <w:szCs w:val="21"/>
        </w:rPr>
        <w:t>本课程是高年级电子类本科学生开设的专业选修课。嵌入式系统是以现代计算机技术为基础，以应用为中心，软硬件可裁剪，对体积、可靠性、成本、功能等有特殊要求的专用计算机系统。它是物联网、现代机电控制、机器人、汽车、消费电子及人工智能领域的核心技术。该课程以提高学生实际工程设计能力为目的，其主要任务是讲授基于ARM9-S3C2410微处理器嵌入式系统的设计方法和典型应用方案设计。通过本课程学习，学生将了解嵌入式系统的基本思想、概念和系统组成，掌握基于ARM汇编和C语言的软件开发技术，初步具备利用嵌入式系统进行应用设计的能力。</w:t>
      </w:r>
    </w:p>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rPr>
          <w:rFonts w:eastAsia="黑体"/>
          <w:color w:val="000000"/>
          <w:szCs w:val="21"/>
        </w:rPr>
      </w:pPr>
      <w:r>
        <w:rPr>
          <w:rFonts w:eastAsia="黑体"/>
          <w:color w:val="000000"/>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345" w:type="pct"/>
          </w:tcPr>
          <w:p>
            <w:pPr>
              <w:adjustRightInd w:val="0"/>
              <w:snapToGrid w:val="0"/>
              <w:spacing w:line="360" w:lineRule="auto"/>
              <w:rPr>
                <w:sz w:val="18"/>
                <w:szCs w:val="18"/>
              </w:rPr>
            </w:pPr>
            <w:r>
              <w:rPr>
                <w:rFonts w:hint="eastAsia"/>
                <w:sz w:val="18"/>
                <w:szCs w:val="18"/>
              </w:rPr>
              <w:t>能够通过分析将相关工程问题转化为技术问题、并采用C语言和嵌入式系统硬件进行相应的嵌入式应用电路设计；</w:t>
            </w:r>
          </w:p>
        </w:tc>
        <w:tc>
          <w:tcPr>
            <w:tcW w:w="2288" w:type="pct"/>
          </w:tcPr>
          <w:p>
            <w:pPr>
              <w:adjustRightInd w:val="0"/>
              <w:snapToGrid w:val="0"/>
              <w:spacing w:line="360" w:lineRule="auto"/>
              <w:rPr>
                <w:sz w:val="18"/>
                <w:szCs w:val="18"/>
              </w:rPr>
            </w:pPr>
            <w:r>
              <w:rPr>
                <w:rFonts w:hint="eastAsia"/>
                <w:b/>
                <w:sz w:val="18"/>
                <w:szCs w:val="18"/>
              </w:rPr>
              <w:t>指标点3-1 按需设计：</w:t>
            </w:r>
            <w:r>
              <w:rPr>
                <w:rFonts w:hint="eastAsia"/>
                <w:sz w:val="18"/>
                <w:szCs w:val="18"/>
              </w:rPr>
              <w:t>能够根据用户特定需求设计复杂工程问题的解决方案，设计相关的电路系统及工艺流程，并能够针对方案进行优化选择。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345" w:type="pct"/>
          </w:tcPr>
          <w:p>
            <w:pPr>
              <w:adjustRightInd w:val="0"/>
              <w:snapToGrid w:val="0"/>
              <w:spacing w:line="360" w:lineRule="auto"/>
              <w:rPr>
                <w:sz w:val="18"/>
                <w:szCs w:val="18"/>
              </w:rPr>
            </w:pPr>
            <w:r>
              <w:rPr>
                <w:rFonts w:hint="eastAsia"/>
                <w:sz w:val="18"/>
                <w:szCs w:val="18"/>
              </w:rPr>
              <w:t>了解不同的嵌入式系统产品及其开发环境的性能特点，能够根据项目需求合理选择嵌入式系统ARM器件的生产厂家、型号，并合理选择其开发环境；</w:t>
            </w:r>
          </w:p>
        </w:tc>
        <w:tc>
          <w:tcPr>
            <w:tcW w:w="2288" w:type="pct"/>
          </w:tcPr>
          <w:p>
            <w:pPr>
              <w:adjustRightInd w:val="0"/>
              <w:snapToGrid w:val="0"/>
              <w:spacing w:line="360" w:lineRule="auto"/>
              <w:rPr>
                <w:sz w:val="18"/>
                <w:szCs w:val="18"/>
              </w:rPr>
            </w:pPr>
            <w:r>
              <w:rPr>
                <w:rFonts w:hint="eastAsia"/>
                <w:b/>
                <w:sz w:val="18"/>
                <w:szCs w:val="18"/>
              </w:rPr>
              <w:t>指标点5-1 工具选择与开发：</w:t>
            </w:r>
            <w:r>
              <w:rPr>
                <w:rFonts w:hint="eastAsia"/>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3</w:t>
            </w:r>
          </w:p>
        </w:tc>
        <w:tc>
          <w:tcPr>
            <w:tcW w:w="2345" w:type="pct"/>
          </w:tcPr>
          <w:p>
            <w:pPr>
              <w:adjustRightInd w:val="0"/>
              <w:snapToGrid w:val="0"/>
              <w:spacing w:line="360" w:lineRule="auto"/>
              <w:rPr>
                <w:sz w:val="18"/>
                <w:szCs w:val="18"/>
              </w:rPr>
            </w:pPr>
            <w:r>
              <w:rPr>
                <w:rFonts w:hint="eastAsia"/>
                <w:sz w:val="18"/>
                <w:szCs w:val="18"/>
              </w:rPr>
              <w:t>能够熟练使用C或ARM汇编等语言在ADS1.2等ARM集成开发环境下进行设计。</w:t>
            </w:r>
          </w:p>
        </w:tc>
        <w:tc>
          <w:tcPr>
            <w:tcW w:w="2288" w:type="pct"/>
          </w:tcPr>
          <w:p>
            <w:pPr>
              <w:adjustRightInd w:val="0"/>
              <w:snapToGrid w:val="0"/>
              <w:spacing w:line="360" w:lineRule="auto"/>
              <w:rPr>
                <w:sz w:val="18"/>
                <w:szCs w:val="18"/>
              </w:rPr>
            </w:pPr>
            <w:r>
              <w:rPr>
                <w:rFonts w:hint="eastAsia"/>
                <w:b/>
                <w:sz w:val="18"/>
                <w:szCs w:val="18"/>
              </w:rPr>
              <w:t>指标点5-2 专业工具使用：</w:t>
            </w:r>
            <w:r>
              <w:rPr>
                <w:rFonts w:hint="eastAsia"/>
                <w:sz w:val="18"/>
                <w:szCs w:val="18"/>
              </w:rPr>
              <w:t>能使用工具对电路系统、协议等进行设计和仿真，确定功能和相关设计参数。</w:t>
            </w:r>
          </w:p>
        </w:tc>
      </w:tr>
    </w:tbl>
    <w:p>
      <w:pPr>
        <w:adjustRightInd w:val="0"/>
        <w:snapToGrid w:val="0"/>
        <w:spacing w:line="360" w:lineRule="auto"/>
        <w:ind w:firstLine="420" w:firstLineChars="200"/>
        <w:rPr>
          <w:color w:val="000000"/>
          <w:szCs w:val="21"/>
        </w:rPr>
      </w:pPr>
    </w:p>
    <w:p>
      <w:pPr>
        <w:adjustRightInd w:val="0"/>
        <w:snapToGrid w:val="0"/>
        <w:spacing w:line="360" w:lineRule="auto"/>
        <w:ind w:firstLine="420" w:firstLineChars="200"/>
        <w:rPr>
          <w:color w:val="000000"/>
          <w:szCs w:val="21"/>
        </w:rPr>
      </w:pPr>
      <w:r>
        <w:rPr>
          <w:rFonts w:hint="eastAsia"/>
          <w:color w:val="000000"/>
          <w:szCs w:val="21"/>
        </w:rPr>
        <w:t>思政目标：</w:t>
      </w:r>
    </w:p>
    <w:p>
      <w:pPr>
        <w:adjustRightInd w:val="0"/>
        <w:snapToGrid w:val="0"/>
        <w:spacing w:line="360" w:lineRule="auto"/>
        <w:ind w:firstLine="420" w:firstLineChars="200"/>
        <w:rPr>
          <w:color w:val="000000"/>
          <w:szCs w:val="21"/>
        </w:rPr>
      </w:pPr>
      <w:r>
        <w:rPr>
          <w:rFonts w:hint="eastAsia"/>
          <w:color w:val="000000"/>
          <w:szCs w:val="21"/>
        </w:rPr>
        <w:t>嵌入式技术是当前得到广泛应用的技术。通过了解国内外该技术的发展现状和差距，激发学生重视技术进步与创新，为国民经济发展和国家进步贡献力量的意识。</w:t>
      </w:r>
    </w:p>
    <w:p>
      <w:pPr>
        <w:adjustRightInd w:val="0"/>
        <w:snapToGrid w:val="0"/>
        <w:spacing w:line="360" w:lineRule="auto"/>
        <w:ind w:firstLine="420" w:firstLineChars="200"/>
        <w:rPr>
          <w:color w:val="000000"/>
          <w:szCs w:val="21"/>
        </w:rPr>
      </w:pPr>
      <w:r>
        <w:rPr>
          <w:rFonts w:hint="eastAsia"/>
          <w:color w:val="000000"/>
          <w:szCs w:val="21"/>
        </w:rPr>
        <w:t>结合中美芯片技术竞争中出现的各种制约手段和方法，理解中国技术崛起的困难，理解资本主义市场贪婪的本质，保持坚定正确的政治方向，明确自己的服务对象和历史使命；</w:t>
      </w:r>
    </w:p>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三、</w:t>
      </w:r>
      <w:r>
        <w:rPr>
          <w:rFonts w:eastAsia="黑体"/>
          <w:color w:val="000000"/>
          <w:szCs w:val="24"/>
        </w:rPr>
        <w:t>基本要求</w:t>
      </w:r>
    </w:p>
    <w:p>
      <w:pPr>
        <w:adjustRightInd w:val="0"/>
        <w:snapToGrid w:val="0"/>
        <w:spacing w:line="360" w:lineRule="auto"/>
        <w:ind w:firstLine="420" w:firstLineChars="200"/>
        <w:rPr>
          <w:color w:val="000000"/>
          <w:szCs w:val="21"/>
        </w:rPr>
      </w:pPr>
      <w:r>
        <w:rPr>
          <w:color w:val="000000"/>
          <w:szCs w:val="21"/>
        </w:rPr>
        <w:t>1、本课程为专业选修课，要求先修C语言程序设计基础及微机原理等课程。教师在教学中应注重基础知识、基本概念和思维方法的传授，同时结合应用实例开展类比式和启发式教学，使学生掌握最重要的ARM微处理器程序设计概念，掌握相关设计方法与手段，以培养利用嵌入式技术手段解决工程问题的分析与设计能力。</w:t>
      </w:r>
    </w:p>
    <w:p>
      <w:pPr>
        <w:adjustRightInd w:val="0"/>
        <w:snapToGrid w:val="0"/>
        <w:spacing w:line="360" w:lineRule="auto"/>
        <w:ind w:firstLine="420" w:firstLineChars="200"/>
        <w:rPr>
          <w:color w:val="000000"/>
          <w:szCs w:val="21"/>
        </w:rPr>
      </w:pPr>
      <w:r>
        <w:rPr>
          <w:color w:val="000000"/>
          <w:szCs w:val="21"/>
        </w:rPr>
        <w:t>2、教师通过EDA软件语言的教学，结合经典的实例，提高学生编程设计能力。</w:t>
      </w:r>
    </w:p>
    <w:p>
      <w:pPr>
        <w:adjustRightInd w:val="0"/>
        <w:snapToGrid w:val="0"/>
        <w:spacing w:line="360" w:lineRule="auto"/>
        <w:ind w:firstLine="420" w:firstLineChars="200"/>
        <w:rPr>
          <w:color w:val="000000"/>
          <w:szCs w:val="21"/>
        </w:rPr>
      </w:pPr>
      <w:r>
        <w:rPr>
          <w:color w:val="000000"/>
          <w:szCs w:val="21"/>
        </w:rPr>
        <w:t>3、学生通过上机操作，掌握至少1种ARM微处理器集成开发软件的使用方法，会选择、运用EDA软件工具来设计具体的软件模块，掌握ARM软件设计技巧。</w:t>
      </w:r>
    </w:p>
    <w:p>
      <w:pPr>
        <w:adjustRightInd w:val="0"/>
        <w:snapToGrid w:val="0"/>
        <w:spacing w:line="360" w:lineRule="auto"/>
        <w:ind w:firstLine="420" w:firstLineChars="200"/>
        <w:rPr>
          <w:color w:val="000000"/>
          <w:szCs w:val="21"/>
        </w:rPr>
      </w:pPr>
      <w:r>
        <w:rPr>
          <w:color w:val="000000"/>
          <w:szCs w:val="21"/>
        </w:rPr>
        <w:t>4、利用软件手段来控制硬件电路，许多嵌入式应用的设计与具体应用密切相关，因此应重点培养学生实际操作、灵活运用知识的能力，把理论知识运用到实际案例设计中去的技能。</w:t>
      </w:r>
    </w:p>
    <w:p>
      <w:pPr>
        <w:adjustRightInd w:val="0"/>
        <w:snapToGrid w:val="0"/>
        <w:spacing w:line="360" w:lineRule="auto"/>
        <w:ind w:firstLine="420" w:firstLineChars="200"/>
        <w:rPr>
          <w:color w:val="000000"/>
          <w:szCs w:val="21"/>
        </w:rPr>
      </w:pPr>
      <w:r>
        <w:rPr>
          <w:color w:val="000000"/>
          <w:szCs w:val="21"/>
        </w:rPr>
        <w:t>5、本课程是一门实践性很强的课程，要求学生通过实验环节把所学的内容巩固和掌握，要求在CAI教室进行授课，并且教学和实验交替进行。</w:t>
      </w:r>
    </w:p>
    <w:p>
      <w:pPr>
        <w:adjustRightInd w:val="0"/>
        <w:snapToGrid w:val="0"/>
        <w:spacing w:line="360" w:lineRule="auto"/>
        <w:ind w:firstLine="420" w:firstLineChars="200"/>
        <w:rPr>
          <w:color w:val="000000"/>
          <w:szCs w:val="21"/>
        </w:rPr>
      </w:pPr>
      <w:r>
        <w:rPr>
          <w:color w:val="000000"/>
          <w:szCs w:val="21"/>
        </w:rPr>
        <w:t>深度和广度说明：对ARM微处理器结构只做简单介绍，对ARM硬件系统及接口设计、ARM汇编程序设计、C程序设计要深入讲解，</w:t>
      </w:r>
      <w:r>
        <w:rPr>
          <w:rFonts w:hint="eastAsia"/>
          <w:color w:val="000000"/>
          <w:szCs w:val="21"/>
        </w:rPr>
        <w:t>ARM</w:t>
      </w:r>
      <w:r>
        <w:rPr>
          <w:color w:val="000000"/>
          <w:szCs w:val="21"/>
        </w:rPr>
        <w:t>最小硬件系统设计和软件程序编程的掌握和使用是重点。</w:t>
      </w:r>
    </w:p>
    <w:p>
      <w:pPr>
        <w:adjustRightInd w:val="0"/>
        <w:snapToGrid w:val="0"/>
        <w:spacing w:line="360" w:lineRule="auto"/>
        <w:ind w:firstLine="420" w:firstLineChars="200"/>
        <w:rPr>
          <w:color w:val="000000"/>
          <w:szCs w:val="21"/>
        </w:rPr>
      </w:pPr>
      <w:r>
        <w:rPr>
          <w:color w:val="000000"/>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rPr>
          <w:color w:val="000000"/>
          <w:szCs w:val="21"/>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四、</w:t>
      </w:r>
      <w:r>
        <w:rPr>
          <w:rFonts w:eastAsia="黑体"/>
          <w:color w:val="000000"/>
          <w:szCs w:val="24"/>
        </w:rPr>
        <w:t>教学内容和教学方法</w:t>
      </w:r>
    </w:p>
    <w:p>
      <w:pPr>
        <w:adjustRightInd w:val="0"/>
        <w:snapToGrid w:val="0"/>
        <w:spacing w:line="360" w:lineRule="auto"/>
        <w:ind w:firstLine="420" w:firstLineChars="200"/>
        <w:rPr>
          <w:color w:val="000000"/>
          <w:szCs w:val="21"/>
        </w:rPr>
      </w:pPr>
      <w:r>
        <w:rPr>
          <w:color w:val="000000"/>
          <w:szCs w:val="21"/>
        </w:rPr>
        <w:t>本课程重点讲授的内容包括：嵌入式系统的基本概念和系统结构、ARM微处理器硬件结构、ARM汇编程序设计、ARMC程序设计。</w:t>
      </w:r>
    </w:p>
    <w:p>
      <w:pPr>
        <w:adjustRightInd w:val="0"/>
        <w:snapToGrid w:val="0"/>
        <w:spacing w:line="360" w:lineRule="auto"/>
        <w:ind w:firstLine="420" w:firstLineChars="200"/>
        <w:rPr>
          <w:color w:val="000000"/>
          <w:szCs w:val="21"/>
        </w:rPr>
      </w:pPr>
      <w:r>
        <w:rPr>
          <w:color w:val="000000"/>
          <w:szCs w:val="21"/>
        </w:rPr>
        <w:t>《嵌入式系统》属于软件、硬件结合的应用设计型课程，教师要结合实际应用进行重点讲授，使学生掌握利用ARM微处理器实现的嵌入式系统设计方法及技能。</w:t>
      </w:r>
    </w:p>
    <w:p>
      <w:pPr>
        <w:adjustRightInd w:val="0"/>
        <w:snapToGrid w:val="0"/>
        <w:spacing w:line="360" w:lineRule="auto"/>
        <w:ind w:firstLine="420" w:firstLineChars="200"/>
        <w:rPr>
          <w:color w:val="000000"/>
          <w:szCs w:val="21"/>
        </w:rPr>
      </w:pPr>
      <w:r>
        <w:rPr>
          <w:color w:val="000000"/>
          <w:szCs w:val="21"/>
        </w:rPr>
        <w:t>ARM汇编及C语言编程在嵌入式系统设计中占有非常重要的地位，因此教师要重点讲授以使学生完全掌握。</w:t>
      </w:r>
    </w:p>
    <w:p>
      <w:pPr>
        <w:adjustRightInd w:val="0"/>
        <w:snapToGrid w:val="0"/>
        <w:spacing w:line="360" w:lineRule="auto"/>
        <w:ind w:firstLine="420" w:firstLineChars="200"/>
        <w:rPr>
          <w:color w:val="000000"/>
          <w:szCs w:val="21"/>
        </w:rPr>
      </w:pPr>
      <w:r>
        <w:rPr>
          <w:color w:val="000000"/>
          <w:szCs w:val="21"/>
        </w:rPr>
        <w:t>课程在教学方法上，充分利用各种媒体教学手段，采取课堂教学、多媒体课件、验证性实验、课外分组实验方式有机结合，提高教学效率。</w:t>
      </w:r>
    </w:p>
    <w:p>
      <w:pPr>
        <w:adjustRightInd w:val="0"/>
        <w:snapToGrid w:val="0"/>
        <w:spacing w:line="360" w:lineRule="auto"/>
        <w:ind w:firstLine="420" w:firstLineChars="200"/>
        <w:rPr>
          <w:color w:val="000000"/>
          <w:szCs w:val="21"/>
        </w:rPr>
      </w:pPr>
      <w:r>
        <w:rPr>
          <w:color w:val="000000"/>
          <w:szCs w:val="21"/>
        </w:rPr>
        <w:t>为了提高学生的学习兴趣，并取得良好的教学效果，教师在知识讲解的过程中要充分利用</w:t>
      </w:r>
      <w:r>
        <w:rPr>
          <w:rFonts w:hint="eastAsia"/>
          <w:color w:val="000000"/>
          <w:szCs w:val="21"/>
        </w:rPr>
        <w:t>项目实例</w:t>
      </w:r>
      <w:r>
        <w:rPr>
          <w:color w:val="000000"/>
          <w:szCs w:val="21"/>
        </w:rPr>
        <w:t>问题引导、实例分析等多种教学方法，以进一步提高教学质量。</w:t>
      </w:r>
    </w:p>
    <w:p>
      <w:pPr>
        <w:adjustRightInd w:val="0"/>
        <w:snapToGrid w:val="0"/>
        <w:spacing w:line="360" w:lineRule="auto"/>
        <w:ind w:firstLine="420" w:firstLineChars="200"/>
        <w:rPr>
          <w:color w:val="000000"/>
          <w:szCs w:val="21"/>
        </w:rPr>
      </w:pP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1 嵌入式系统概述（2学时）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1.1、本课程在专业课程体系中的地位和作用介绍；</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1.2、课程内容、学习方法、讲授方式、评价方式介绍；</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1.3、嵌入式系统的基本概念、系统组成、发展历程及设计方法；（难点、重点）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1.4、ARM处理器及其在嵌入式系统中的应用；（重点）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1.5、嵌入式操作系统介绍。</w:t>
      </w:r>
    </w:p>
    <w:p>
      <w:pPr>
        <w:widowControl/>
        <w:adjustRightInd w:val="0"/>
        <w:snapToGrid w:val="0"/>
        <w:spacing w:line="360" w:lineRule="auto"/>
        <w:ind w:left="426"/>
        <w:jc w:val="left"/>
        <w:rPr>
          <w:b/>
          <w:bCs/>
          <w:snapToGrid w:val="0"/>
          <w:color w:val="000000"/>
          <w:kern w:val="0"/>
          <w:szCs w:val="21"/>
        </w:rPr>
      </w:pPr>
      <w:r>
        <w:rPr>
          <w:rFonts w:hint="eastAsia"/>
          <w:b/>
          <w:bCs/>
          <w:snapToGrid w:val="0"/>
          <w:color w:val="000000"/>
          <w:kern w:val="0"/>
          <w:szCs w:val="21"/>
        </w:rPr>
        <w:t>思政元素：（1）嵌入式技术是当前得到广泛应用的技术。通过了解国内外该技术的发展现状和差距，激发学生重视技术进步与创新，为国民经济发展和国家进步贡献力量的意识。</w:t>
      </w:r>
    </w:p>
    <w:p>
      <w:pPr>
        <w:widowControl/>
        <w:adjustRightInd w:val="0"/>
        <w:snapToGrid w:val="0"/>
        <w:spacing w:line="360" w:lineRule="auto"/>
        <w:ind w:left="426"/>
        <w:jc w:val="left"/>
        <w:rPr>
          <w:b/>
          <w:bCs/>
          <w:snapToGrid w:val="0"/>
          <w:color w:val="000000"/>
          <w:kern w:val="0"/>
          <w:szCs w:val="21"/>
        </w:rPr>
      </w:pPr>
      <w:r>
        <w:rPr>
          <w:rFonts w:hint="eastAsia"/>
          <w:b/>
          <w:bCs/>
          <w:snapToGrid w:val="0"/>
          <w:color w:val="000000"/>
          <w:kern w:val="0"/>
          <w:szCs w:val="21"/>
        </w:rPr>
        <w:t>（2）结合中美芯片技术竞争中出现的各种制约手段和方法，理解中国技术崛起的困难，理解资本主义市场贪婪的本质，保持坚定正确的政治方向，明确自己的服务对象和历史使命。</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2 S3C2410微处理器体系结构（4学时）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2.1、ARM微处理器及其硬件体系结构；（难点、重点）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2.2、S3C2410微处理器及片上硬件资源介绍；（难点、重点）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2.3、S3C2410微处理器最小系统。</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3 ARM汇编程序设计基础（4学时）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3.1、ARM程序设计基本概念与方法；</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3.2、ARM920T汇编指令系统；（难点、重点）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3.3、ADS1.2集成开发环境的使用方法。（难点、重点）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2、3。</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4 S3C2410功能模块与C程序设计（4学时）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4.1、S3C2410接口C程序编程方法；</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4.2、S3C2410的GPIO程序设计；（难点、重点）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4.3、S3C2410的串口、A/D转换器程序设计；（重点）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4.4、S3C2410外部总线接口及其应用设计。</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3。</w:t>
      </w:r>
    </w:p>
    <w:p>
      <w:pPr>
        <w:widowControl/>
        <w:adjustRightInd w:val="0"/>
        <w:snapToGrid w:val="0"/>
        <w:spacing w:line="360" w:lineRule="auto"/>
        <w:ind w:left="426"/>
        <w:jc w:val="left"/>
        <w:rPr>
          <w:rFonts w:eastAsia="黑体"/>
          <w:color w:val="000000"/>
        </w:rPr>
      </w:pPr>
      <w:r>
        <w:rPr>
          <w:rFonts w:eastAsia="黑体"/>
          <w:snapToGrid w:val="0"/>
          <w:color w:val="000000"/>
          <w:kern w:val="0"/>
          <w:szCs w:val="21"/>
        </w:rPr>
        <w:t>5 S3C2410的存储器系统（2学时）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5.1、了解嵌入式系统存储器系统的相关知识；</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5.2、掌握S3C2410存储设备-SRAM、SDRAM、Nand Flash、Nor Flash、SD卡等接口电路设计及编程方法（重点）。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3。</w:t>
      </w:r>
    </w:p>
    <w:p>
      <w:pPr>
        <w:widowControl/>
        <w:adjustRightInd w:val="0"/>
        <w:snapToGrid w:val="0"/>
        <w:spacing w:line="360" w:lineRule="auto"/>
        <w:ind w:left="426"/>
        <w:jc w:val="left"/>
        <w:rPr>
          <w:color w:val="000000"/>
        </w:rPr>
      </w:pPr>
      <w:r>
        <w:rPr>
          <w:rFonts w:eastAsia="黑体"/>
          <w:snapToGrid w:val="0"/>
          <w:color w:val="000000"/>
          <w:kern w:val="0"/>
          <w:szCs w:val="21"/>
        </w:rPr>
        <w:t>6 S3C2410中断与DMA控制（4学时）</w:t>
      </w:r>
      <w:r>
        <w:rPr>
          <w:rFonts w:eastAsia="黑体"/>
          <w:color w:val="000000"/>
        </w:rPr>
        <w:tab/>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6.1、S3C2410中断源与中断处理；</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6.2、S3C2410中断控制与软件编程；（难点、重点）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6.3、S3C2410 DMA控制与软件编程。（难点、重点）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3。</w:t>
      </w:r>
    </w:p>
    <w:p>
      <w:pPr>
        <w:widowControl/>
        <w:adjustRightInd w:val="0"/>
        <w:snapToGrid w:val="0"/>
        <w:spacing w:line="360" w:lineRule="auto"/>
        <w:ind w:left="426"/>
        <w:jc w:val="left"/>
        <w:rPr>
          <w:color w:val="000000"/>
        </w:rPr>
      </w:pPr>
      <w:r>
        <w:rPr>
          <w:rFonts w:eastAsia="黑体"/>
          <w:snapToGrid w:val="0"/>
          <w:color w:val="000000"/>
          <w:kern w:val="0"/>
          <w:szCs w:val="21"/>
        </w:rPr>
        <w:t>7 嵌入式操作系统开发介绍（2学时）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7.1、嵌入式Linux操作系统介绍；</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7.2、嵌入式Linux系统开发与编译介绍；（难点、重点）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7.</w:t>
      </w:r>
      <w:r>
        <w:fldChar w:fldCharType="begin"/>
      </w:r>
      <w:r>
        <w:instrText xml:space="preserve"> HYPERLINK \l "_Toc196055530" </w:instrText>
      </w:r>
      <w:r>
        <w:fldChar w:fldCharType="separate"/>
      </w:r>
      <w:r>
        <w:rPr>
          <w:snapToGrid w:val="0"/>
          <w:color w:val="000000"/>
          <w:kern w:val="0"/>
          <w:szCs w:val="21"/>
        </w:rPr>
        <w:t>3、Bootloader</w:t>
      </w:r>
      <w:r>
        <w:rPr>
          <w:snapToGrid w:val="0"/>
          <w:color w:val="000000"/>
          <w:kern w:val="0"/>
          <w:szCs w:val="21"/>
        </w:rPr>
        <w:fldChar w:fldCharType="end"/>
      </w:r>
      <w:r>
        <w:rPr>
          <w:snapToGrid w:val="0"/>
          <w:color w:val="000000"/>
          <w:kern w:val="0"/>
          <w:szCs w:val="21"/>
        </w:rPr>
        <w:t>程序介绍；（重点）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7.</w:t>
      </w:r>
      <w:r>
        <w:fldChar w:fldCharType="begin"/>
      </w:r>
      <w:r>
        <w:instrText xml:space="preserve"> HYPERLINK \l "_Toc196055535" </w:instrText>
      </w:r>
      <w:r>
        <w:fldChar w:fldCharType="separate"/>
      </w:r>
      <w:r>
        <w:rPr>
          <w:snapToGrid w:val="0"/>
          <w:color w:val="000000"/>
          <w:kern w:val="0"/>
          <w:szCs w:val="21"/>
        </w:rPr>
        <w:t>4、S3C2410操</w:t>
      </w:r>
      <w:r>
        <w:rPr>
          <w:snapToGrid w:val="0"/>
          <w:color w:val="000000"/>
          <w:kern w:val="0"/>
          <w:szCs w:val="21"/>
        </w:rPr>
        <w:fldChar w:fldCharType="end"/>
      </w:r>
      <w:r>
        <w:rPr>
          <w:snapToGrid w:val="0"/>
          <w:color w:val="000000"/>
          <w:kern w:val="0"/>
          <w:szCs w:val="21"/>
        </w:rPr>
        <w:t>作系统固件烧写。</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1、2。</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8 嵌入式系统典型应用设计（2学时）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8.1、常用嵌入式微处理器及开发工具的选用；（重点）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8.2、基于S3C2410的嵌入式应用案例介绍。（重点）</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widowControl/>
        <w:adjustRightInd w:val="0"/>
        <w:snapToGrid w:val="0"/>
        <w:spacing w:line="360" w:lineRule="auto"/>
        <w:ind w:left="426"/>
        <w:jc w:val="left"/>
        <w:rPr>
          <w:snapToGrid w:val="0"/>
          <w:color w:val="000000"/>
          <w:kern w:val="0"/>
          <w:szCs w:val="21"/>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五、</w:t>
      </w:r>
      <w:r>
        <w:rPr>
          <w:rFonts w:eastAsia="黑体"/>
          <w:color w:val="000000"/>
          <w:szCs w:val="24"/>
        </w:rPr>
        <w:t>实验内容</w:t>
      </w:r>
    </w:p>
    <w:p>
      <w:pPr>
        <w:adjustRightInd w:val="0"/>
        <w:snapToGrid w:val="0"/>
        <w:spacing w:line="360" w:lineRule="auto"/>
        <w:ind w:firstLine="420" w:firstLineChars="200"/>
        <w:rPr>
          <w:color w:val="000000"/>
          <w:kern w:val="0"/>
          <w:szCs w:val="21"/>
        </w:rPr>
      </w:pPr>
      <w:r>
        <w:rPr>
          <w:color w:val="000000"/>
          <w:kern w:val="0"/>
          <w:szCs w:val="21"/>
        </w:rPr>
        <w:t>实验环节主要是上机操作，要求保证上机条件，即具备ARM软件开发用的EDA软件工具和硬件实验箱；要求学生熟炼掌握ARM软件开发EDA软件-ADS1.2的使用方法；掌握在ADS1.2集成开发环境下排查常见的语法错误和编译错误的方法；掌握使用实验箱进行ARM软件调试的方法；动手实现汇编、IO端口、DMA、串口、ADC等模块的C程序设计。</w:t>
      </w:r>
    </w:p>
    <w:p>
      <w:pPr>
        <w:adjustRightInd w:val="0"/>
        <w:snapToGrid w:val="0"/>
        <w:spacing w:line="360" w:lineRule="auto"/>
        <w:ind w:firstLine="420" w:firstLineChars="200"/>
        <w:rPr>
          <w:color w:val="000000"/>
          <w:kern w:val="0"/>
          <w:szCs w:val="21"/>
        </w:rPr>
      </w:pPr>
      <w:r>
        <w:rPr>
          <w:color w:val="000000"/>
          <w:kern w:val="0"/>
          <w:szCs w:val="21"/>
        </w:rPr>
        <w:t>16个学时共完成7个实验，其中，2学时用于讲解实验箱软件硬件系统。7个为正常课内实验，占用14学时。</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实验一 ADS1.2开发环境操作（2学时）</w:t>
      </w:r>
    </w:p>
    <w:p>
      <w:pPr>
        <w:adjustRightInd w:val="0"/>
        <w:snapToGrid w:val="0"/>
        <w:spacing w:line="360" w:lineRule="auto"/>
        <w:ind w:firstLine="420" w:firstLineChars="200"/>
        <w:rPr>
          <w:color w:val="000000"/>
          <w:kern w:val="0"/>
          <w:szCs w:val="21"/>
        </w:rPr>
      </w:pPr>
      <w:r>
        <w:rPr>
          <w:color w:val="000000"/>
          <w:kern w:val="0"/>
          <w:szCs w:val="21"/>
        </w:rPr>
        <w:t>内容：熟悉ADS1.2开发环境的使用及实验箱的基本操作。</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1、掌握ADS1.2软件的安装、新建ARM软件工程的配置与调试操作方法；</w:t>
      </w:r>
    </w:p>
    <w:p>
      <w:pPr>
        <w:adjustRightInd w:val="0"/>
        <w:snapToGrid w:val="0"/>
        <w:spacing w:line="360" w:lineRule="auto"/>
        <w:ind w:firstLine="420" w:firstLineChars="200"/>
        <w:rPr>
          <w:color w:val="000000"/>
          <w:kern w:val="0"/>
          <w:szCs w:val="21"/>
        </w:rPr>
      </w:pPr>
      <w:r>
        <w:rPr>
          <w:color w:val="000000"/>
          <w:kern w:val="0"/>
          <w:szCs w:val="21"/>
        </w:rPr>
        <w:t>2、掌握实验箱的结构和操作方法。</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实验二 ARM汇编与C编程实验（2学时）</w:t>
      </w:r>
    </w:p>
    <w:p>
      <w:pPr>
        <w:adjustRightInd w:val="0"/>
        <w:snapToGrid w:val="0"/>
        <w:spacing w:line="360" w:lineRule="auto"/>
        <w:ind w:firstLine="420" w:firstLineChars="200"/>
        <w:rPr>
          <w:color w:val="000000"/>
          <w:kern w:val="0"/>
          <w:szCs w:val="21"/>
        </w:rPr>
      </w:pPr>
      <w:r>
        <w:rPr>
          <w:color w:val="000000"/>
          <w:kern w:val="0"/>
          <w:szCs w:val="21"/>
        </w:rPr>
        <w:t>内容：学习使用ADS1.2进行汇编及C语言编程。</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1、掌握利用ADS1.2建立汇编程序工程及编译、调试的方法；</w:t>
      </w:r>
    </w:p>
    <w:p>
      <w:pPr>
        <w:adjustRightInd w:val="0"/>
        <w:snapToGrid w:val="0"/>
        <w:spacing w:line="360" w:lineRule="auto"/>
        <w:ind w:firstLine="420" w:firstLineChars="200"/>
        <w:rPr>
          <w:rStyle w:val="27"/>
          <w:color w:val="000000"/>
          <w:kern w:val="0"/>
          <w:szCs w:val="21"/>
        </w:rPr>
      </w:pPr>
      <w:r>
        <w:rPr>
          <w:color w:val="000000"/>
          <w:kern w:val="0"/>
          <w:szCs w:val="21"/>
        </w:rPr>
        <w:t>2、掌握利用ADS1.2建立C程序工程及编译、调试的方法。</w:t>
      </w:r>
    </w:p>
    <w:p>
      <w:pPr>
        <w:adjustRightInd w:val="0"/>
        <w:snapToGrid w:val="0"/>
        <w:spacing w:line="360" w:lineRule="auto"/>
        <w:ind w:firstLine="420" w:firstLineChars="200"/>
        <w:rPr>
          <w:rFonts w:eastAsia="黑体"/>
          <w:snapToGrid w:val="0"/>
          <w:color w:val="000000"/>
          <w:kern w:val="0"/>
          <w:szCs w:val="21"/>
        </w:rPr>
      </w:pPr>
      <w:r>
        <w:rPr>
          <w:color w:val="000000"/>
          <w:kern w:val="0"/>
          <w:szCs w:val="21"/>
        </w:rPr>
        <w:t>本实验支撑课程目标</w:t>
      </w:r>
      <w:r>
        <w:rPr>
          <w:rFonts w:hint="eastAsia"/>
          <w:color w:val="000000"/>
          <w:kern w:val="0"/>
          <w:szCs w:val="21"/>
        </w:rPr>
        <w:t>3。</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实验三 I/O端口实验（2学时）</w:t>
      </w:r>
    </w:p>
    <w:p>
      <w:pPr>
        <w:adjustRightInd w:val="0"/>
        <w:snapToGrid w:val="0"/>
        <w:spacing w:line="360" w:lineRule="auto"/>
        <w:ind w:firstLine="420" w:firstLineChars="200"/>
        <w:rPr>
          <w:color w:val="000000"/>
          <w:kern w:val="0"/>
          <w:szCs w:val="21"/>
        </w:rPr>
      </w:pPr>
      <w:r>
        <w:rPr>
          <w:color w:val="000000"/>
          <w:kern w:val="0"/>
          <w:szCs w:val="21"/>
        </w:rPr>
        <w:t>内容：学习使用C语言实现S3C2410的IO端口控制编程。</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1、掌握利用ADS1.2建立C程序工程及编译、调试的方法；</w:t>
      </w:r>
    </w:p>
    <w:p>
      <w:pPr>
        <w:adjustRightInd w:val="0"/>
        <w:snapToGrid w:val="0"/>
        <w:spacing w:line="360" w:lineRule="auto"/>
        <w:ind w:firstLine="420" w:firstLineChars="200"/>
        <w:rPr>
          <w:color w:val="000000"/>
          <w:kern w:val="0"/>
          <w:szCs w:val="21"/>
        </w:rPr>
      </w:pPr>
      <w:r>
        <w:rPr>
          <w:color w:val="000000"/>
          <w:kern w:val="0"/>
          <w:szCs w:val="21"/>
        </w:rPr>
        <w:t>2、掌握S3C2410 C语言开发库的IO控制函数及其编程方法；</w:t>
      </w:r>
    </w:p>
    <w:p>
      <w:pPr>
        <w:adjustRightInd w:val="0"/>
        <w:snapToGrid w:val="0"/>
        <w:spacing w:line="360" w:lineRule="auto"/>
        <w:ind w:firstLine="420" w:firstLineChars="200"/>
        <w:rPr>
          <w:color w:val="000000"/>
          <w:kern w:val="0"/>
          <w:szCs w:val="21"/>
        </w:rPr>
      </w:pPr>
      <w:r>
        <w:rPr>
          <w:color w:val="000000"/>
          <w:kern w:val="0"/>
          <w:szCs w:val="21"/>
        </w:rPr>
        <w:t>3、掌握利用C语言实现实验箱CPU板点亮LED灯LED1、LED2，并轮流闪烁。</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、3。</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实验四中断实验（2学时）</w:t>
      </w:r>
    </w:p>
    <w:p>
      <w:pPr>
        <w:adjustRightInd w:val="0"/>
        <w:snapToGrid w:val="0"/>
        <w:spacing w:line="360" w:lineRule="auto"/>
        <w:ind w:firstLine="420" w:firstLineChars="200"/>
        <w:rPr>
          <w:color w:val="000000"/>
          <w:kern w:val="0"/>
          <w:szCs w:val="21"/>
        </w:rPr>
      </w:pPr>
      <w:r>
        <w:rPr>
          <w:color w:val="000000"/>
          <w:kern w:val="0"/>
          <w:szCs w:val="21"/>
        </w:rPr>
        <w:t>内容：学习使用C语言实现S3C2410的中断控制编程。</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1、掌握利用C语言实现S3C2410的中断控制编程；</w:t>
      </w:r>
    </w:p>
    <w:p>
      <w:pPr>
        <w:adjustRightInd w:val="0"/>
        <w:snapToGrid w:val="0"/>
        <w:spacing w:line="360" w:lineRule="auto"/>
        <w:ind w:firstLine="420" w:firstLineChars="200"/>
        <w:rPr>
          <w:color w:val="000000"/>
          <w:kern w:val="0"/>
          <w:szCs w:val="21"/>
        </w:rPr>
      </w:pPr>
      <w:r>
        <w:rPr>
          <w:color w:val="000000"/>
          <w:kern w:val="0"/>
          <w:szCs w:val="21"/>
        </w:rPr>
        <w:t>2、掌握响应外部IO中断请求的配置方法，并通过响应定时器中断,执行中断服务子程序使CPU板上的LED指示灯LED1、LED2闪烁。</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实验五 UART实验（2学时）</w:t>
      </w:r>
    </w:p>
    <w:p>
      <w:pPr>
        <w:adjustRightInd w:val="0"/>
        <w:snapToGrid w:val="0"/>
        <w:spacing w:line="360" w:lineRule="auto"/>
        <w:ind w:firstLine="420" w:firstLineChars="200"/>
        <w:rPr>
          <w:color w:val="000000"/>
          <w:kern w:val="0"/>
          <w:szCs w:val="21"/>
        </w:rPr>
      </w:pPr>
      <w:r>
        <w:rPr>
          <w:color w:val="000000"/>
          <w:kern w:val="0"/>
          <w:szCs w:val="21"/>
        </w:rPr>
        <w:t>内容：学习使用C语言实现S3C2410的串行通信编程。</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1、掌握S3C2410的UART相关寄存器及数据通信编程方法；</w:t>
      </w:r>
    </w:p>
    <w:p>
      <w:pPr>
        <w:adjustRightInd w:val="0"/>
        <w:snapToGrid w:val="0"/>
        <w:spacing w:line="360" w:lineRule="auto"/>
        <w:ind w:firstLine="420" w:firstLineChars="200"/>
        <w:rPr>
          <w:color w:val="000000"/>
          <w:kern w:val="0"/>
          <w:szCs w:val="21"/>
        </w:rPr>
      </w:pPr>
      <w:r>
        <w:rPr>
          <w:color w:val="000000"/>
          <w:kern w:val="0"/>
          <w:szCs w:val="21"/>
        </w:rPr>
        <w:t>2、掌握用C程序实现在超级终端上回显发送的数据。</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实验六 A/D接口实验（2学时）</w:t>
      </w:r>
    </w:p>
    <w:p>
      <w:pPr>
        <w:adjustRightInd w:val="0"/>
        <w:snapToGrid w:val="0"/>
        <w:spacing w:line="360" w:lineRule="auto"/>
        <w:ind w:firstLine="420" w:firstLineChars="200"/>
        <w:rPr>
          <w:color w:val="000000"/>
          <w:kern w:val="0"/>
          <w:szCs w:val="21"/>
        </w:rPr>
      </w:pPr>
      <w:r>
        <w:rPr>
          <w:color w:val="000000"/>
          <w:kern w:val="0"/>
          <w:szCs w:val="21"/>
        </w:rPr>
        <w:t>1、掌握S3C2410A/D控制器及其寄存器编程方法；</w:t>
      </w:r>
    </w:p>
    <w:p>
      <w:pPr>
        <w:adjustRightInd w:val="0"/>
        <w:snapToGrid w:val="0"/>
        <w:spacing w:line="360" w:lineRule="auto"/>
        <w:ind w:firstLine="420" w:firstLineChars="200"/>
        <w:rPr>
          <w:color w:val="000000"/>
          <w:kern w:val="0"/>
          <w:szCs w:val="21"/>
        </w:rPr>
      </w:pPr>
      <w:r>
        <w:rPr>
          <w:color w:val="000000"/>
          <w:kern w:val="0"/>
          <w:szCs w:val="21"/>
        </w:rPr>
        <w:t>2、掌握实现多路模拟量采集的C编程方法；</w:t>
      </w:r>
    </w:p>
    <w:p>
      <w:pPr>
        <w:adjustRightInd w:val="0"/>
        <w:snapToGrid w:val="0"/>
        <w:spacing w:line="360" w:lineRule="auto"/>
        <w:ind w:firstLine="420" w:firstLineChars="200"/>
        <w:rPr>
          <w:color w:val="000000"/>
          <w:kern w:val="0"/>
          <w:szCs w:val="21"/>
        </w:rPr>
      </w:pPr>
      <w:r>
        <w:rPr>
          <w:color w:val="000000"/>
          <w:kern w:val="0"/>
          <w:szCs w:val="21"/>
        </w:rPr>
        <w:t>3、在实验箱的CPU板上运行程序,在超级终端上显示采集到的数据值。</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w:t>
      </w:r>
    </w:p>
    <w:p>
      <w:pPr>
        <w:widowControl/>
        <w:adjustRightInd w:val="0"/>
        <w:snapToGrid w:val="0"/>
        <w:spacing w:line="360" w:lineRule="auto"/>
        <w:ind w:firstLine="420" w:firstLineChars="200"/>
        <w:jc w:val="left"/>
        <w:rPr>
          <w:rFonts w:eastAsia="黑体"/>
          <w:snapToGrid w:val="0"/>
          <w:color w:val="000000"/>
          <w:kern w:val="0"/>
          <w:szCs w:val="21"/>
        </w:rPr>
      </w:pPr>
      <w:r>
        <w:rPr>
          <w:rFonts w:eastAsia="黑体"/>
          <w:snapToGrid w:val="0"/>
          <w:color w:val="000000"/>
          <w:kern w:val="0"/>
          <w:szCs w:val="21"/>
        </w:rPr>
        <w:t>实验七 DMA实验（2学时）</w:t>
      </w:r>
    </w:p>
    <w:p>
      <w:pPr>
        <w:adjustRightInd w:val="0"/>
        <w:snapToGrid w:val="0"/>
        <w:spacing w:line="360" w:lineRule="auto"/>
        <w:ind w:firstLine="420" w:firstLineChars="200"/>
        <w:rPr>
          <w:color w:val="000000"/>
          <w:kern w:val="0"/>
          <w:szCs w:val="21"/>
        </w:rPr>
      </w:pPr>
      <w:r>
        <w:rPr>
          <w:color w:val="000000"/>
          <w:kern w:val="0"/>
          <w:szCs w:val="21"/>
        </w:rPr>
        <w:t>内容：掌握S3C2410DMA控制器及编程方法。</w:t>
      </w:r>
    </w:p>
    <w:p>
      <w:pPr>
        <w:adjustRightInd w:val="0"/>
        <w:snapToGrid w:val="0"/>
        <w:spacing w:line="360" w:lineRule="auto"/>
        <w:ind w:firstLine="420" w:firstLineChars="200"/>
        <w:rPr>
          <w:color w:val="000000"/>
          <w:kern w:val="0"/>
          <w:szCs w:val="21"/>
        </w:rPr>
      </w:pPr>
      <w:r>
        <w:rPr>
          <w:color w:val="000000"/>
          <w:kern w:val="0"/>
          <w:szCs w:val="21"/>
        </w:rPr>
        <w:t>基本要求：</w:t>
      </w:r>
    </w:p>
    <w:p>
      <w:pPr>
        <w:adjustRightInd w:val="0"/>
        <w:snapToGrid w:val="0"/>
        <w:spacing w:line="360" w:lineRule="auto"/>
        <w:ind w:firstLine="420" w:firstLineChars="200"/>
        <w:rPr>
          <w:color w:val="000000"/>
          <w:kern w:val="0"/>
          <w:szCs w:val="21"/>
        </w:rPr>
      </w:pPr>
      <w:r>
        <w:rPr>
          <w:color w:val="000000"/>
          <w:kern w:val="0"/>
          <w:szCs w:val="21"/>
        </w:rPr>
        <w:t>1、掌握S3C2410 DMA寄存器及配置；</w:t>
      </w:r>
    </w:p>
    <w:p>
      <w:pPr>
        <w:adjustRightInd w:val="0"/>
        <w:snapToGrid w:val="0"/>
        <w:spacing w:line="360" w:lineRule="auto"/>
        <w:ind w:firstLine="420" w:firstLineChars="200"/>
        <w:rPr>
          <w:color w:val="000000"/>
          <w:kern w:val="0"/>
          <w:szCs w:val="21"/>
        </w:rPr>
      </w:pPr>
      <w:r>
        <w:rPr>
          <w:color w:val="000000"/>
          <w:kern w:val="0"/>
          <w:szCs w:val="21"/>
        </w:rPr>
        <w:t>2、掌握利用DMA实现UART数据传输的C语言编程。</w:t>
      </w:r>
    </w:p>
    <w:p>
      <w:pPr>
        <w:adjustRightInd w:val="0"/>
        <w:snapToGrid w:val="0"/>
        <w:spacing w:line="360" w:lineRule="auto"/>
        <w:ind w:firstLine="420" w:firstLineChars="200"/>
        <w:rPr>
          <w:color w:val="000000"/>
          <w:kern w:val="0"/>
          <w:szCs w:val="21"/>
        </w:rPr>
      </w:pPr>
      <w:r>
        <w:rPr>
          <w:color w:val="000000"/>
          <w:kern w:val="0"/>
          <w:szCs w:val="21"/>
        </w:rPr>
        <w:t>本实验支撑课程目标2</w:t>
      </w:r>
      <w:r>
        <w:rPr>
          <w:rFonts w:hint="eastAsia"/>
          <w:color w:val="000000"/>
          <w:kern w:val="0"/>
          <w:szCs w:val="21"/>
        </w:rPr>
        <w:t>。</w:t>
      </w:r>
    </w:p>
    <w:p>
      <w:pPr>
        <w:tabs>
          <w:tab w:val="left" w:pos="420"/>
        </w:tabs>
        <w:adjustRightInd w:val="0"/>
        <w:snapToGrid w:val="0"/>
        <w:spacing w:line="360" w:lineRule="auto"/>
        <w:rPr>
          <w:rFonts w:eastAsia="黑体"/>
          <w:color w:val="000000"/>
          <w:szCs w:val="24"/>
        </w:rPr>
      </w:pPr>
      <w:r>
        <w:rPr>
          <w:rFonts w:hint="eastAsia" w:eastAsia="黑体"/>
          <w:color w:val="000000"/>
          <w:szCs w:val="24"/>
        </w:rPr>
        <w:t>六、</w:t>
      </w:r>
      <w:r>
        <w:rPr>
          <w:rFonts w:eastAsia="黑体"/>
          <w:color w:val="000000"/>
          <w:szCs w:val="24"/>
        </w:rPr>
        <w:t>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1727"/>
        <w:gridCol w:w="1747"/>
        <w:gridCol w:w="14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adjustRightInd w:val="0"/>
              <w:snapToGrid w:val="0"/>
              <w:jc w:val="center"/>
              <w:rPr>
                <w:bCs/>
                <w:snapToGrid w:val="0"/>
                <w:color w:val="000000"/>
                <w:kern w:val="0"/>
                <w:sz w:val="18"/>
                <w:szCs w:val="18"/>
              </w:rPr>
            </w:pPr>
            <w:r>
              <w:rPr>
                <w:bCs/>
                <w:snapToGrid w:val="0"/>
                <w:color w:val="000000"/>
                <w:kern w:val="0"/>
                <w:sz w:val="18"/>
                <w:szCs w:val="18"/>
              </w:rPr>
              <w:t>讲授的知识点及内容</w:t>
            </w:r>
          </w:p>
        </w:tc>
        <w:tc>
          <w:tcPr>
            <w:tcW w:w="1039" w:type="pct"/>
            <w:vAlign w:val="center"/>
          </w:tcPr>
          <w:p>
            <w:pPr>
              <w:adjustRightInd w:val="0"/>
              <w:snapToGrid w:val="0"/>
              <w:jc w:val="center"/>
              <w:rPr>
                <w:bCs/>
                <w:snapToGrid w:val="0"/>
                <w:color w:val="000000"/>
                <w:kern w:val="0"/>
                <w:sz w:val="18"/>
                <w:szCs w:val="18"/>
              </w:rPr>
            </w:pPr>
            <w:r>
              <w:rPr>
                <w:bCs/>
                <w:snapToGrid w:val="0"/>
                <w:color w:val="000000"/>
                <w:kern w:val="0"/>
                <w:sz w:val="18"/>
                <w:szCs w:val="18"/>
              </w:rPr>
              <w:t>讲授（学时）</w:t>
            </w:r>
          </w:p>
        </w:tc>
        <w:tc>
          <w:tcPr>
            <w:tcW w:w="1051" w:type="pct"/>
            <w:vAlign w:val="center"/>
          </w:tcPr>
          <w:p>
            <w:pPr>
              <w:adjustRightInd w:val="0"/>
              <w:snapToGrid w:val="0"/>
              <w:jc w:val="center"/>
              <w:rPr>
                <w:bCs/>
                <w:snapToGrid w:val="0"/>
                <w:color w:val="000000"/>
                <w:kern w:val="0"/>
                <w:sz w:val="18"/>
                <w:szCs w:val="18"/>
              </w:rPr>
            </w:pPr>
            <w:r>
              <w:rPr>
                <w:bCs/>
                <w:snapToGrid w:val="0"/>
                <w:color w:val="000000"/>
                <w:kern w:val="0"/>
                <w:sz w:val="18"/>
                <w:szCs w:val="18"/>
              </w:rPr>
              <w:t>实验（学时）</w:t>
            </w:r>
          </w:p>
        </w:tc>
        <w:tc>
          <w:tcPr>
            <w:tcW w:w="859" w:type="pct"/>
            <w:vAlign w:val="center"/>
          </w:tcPr>
          <w:p>
            <w:pPr>
              <w:adjustRightInd w:val="0"/>
              <w:snapToGrid w:val="0"/>
              <w:jc w:val="center"/>
              <w:rPr>
                <w:bCs/>
                <w:snapToGrid w:val="0"/>
                <w:color w:val="000000"/>
                <w:kern w:val="0"/>
                <w:sz w:val="18"/>
                <w:szCs w:val="18"/>
              </w:rPr>
            </w:pPr>
            <w:r>
              <w:rPr>
                <w:bCs/>
                <w:snapToGrid w:val="0"/>
                <w:color w:val="000000"/>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1 嵌入式系统概述</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2 S3C2410微处理器体系结构</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3 ARM汇编程序设计基础</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4 S3C2410功能模块与程序设计</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5 S3C2410存储器系统</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6 S3C2410中断与DMA控制</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7 嵌入式系统操作系统介绍</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ind w:left="174" w:leftChars="83"/>
              <w:jc w:val="left"/>
              <w:rPr>
                <w:bCs/>
                <w:snapToGrid w:val="0"/>
                <w:color w:val="000000"/>
                <w:kern w:val="0"/>
                <w:sz w:val="18"/>
                <w:szCs w:val="18"/>
              </w:rPr>
            </w:pPr>
            <w:r>
              <w:rPr>
                <w:bCs/>
                <w:snapToGrid w:val="0"/>
                <w:color w:val="000000"/>
                <w:kern w:val="0"/>
                <w:sz w:val="18"/>
                <w:szCs w:val="18"/>
              </w:rPr>
              <w:t>8 嵌入式系统典型应用设计</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051" w:type="pct"/>
            <w:vAlign w:val="center"/>
          </w:tcPr>
          <w:p>
            <w:pPr>
              <w:widowControl/>
              <w:adjustRightInd w:val="0"/>
              <w:snapToGrid w:val="0"/>
              <w:jc w:val="center"/>
              <w:rPr>
                <w:snapToGrid w:val="0"/>
                <w:color w:val="000000"/>
                <w:kern w:val="0"/>
                <w:sz w:val="18"/>
                <w:szCs w:val="18"/>
              </w:rPr>
            </w:pPr>
            <w:r>
              <w:rPr>
                <w:color w:val="000000"/>
                <w:kern w:val="0"/>
                <w:sz w:val="18"/>
                <w:szCs w:val="18"/>
              </w:rPr>
              <w:t>合计</w:t>
            </w:r>
          </w:p>
        </w:tc>
        <w:tc>
          <w:tcPr>
            <w:tcW w:w="103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24</w:t>
            </w:r>
          </w:p>
        </w:tc>
        <w:tc>
          <w:tcPr>
            <w:tcW w:w="1051"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16</w:t>
            </w:r>
          </w:p>
        </w:tc>
        <w:tc>
          <w:tcPr>
            <w:tcW w:w="859" w:type="pct"/>
            <w:vAlign w:val="center"/>
          </w:tcPr>
          <w:p>
            <w:pPr>
              <w:widowControl/>
              <w:adjustRightInd w:val="0"/>
              <w:snapToGrid w:val="0"/>
              <w:spacing w:before="100" w:beforeAutospacing="1" w:after="100" w:afterAutospacing="1"/>
              <w:jc w:val="center"/>
              <w:rPr>
                <w:color w:val="000000"/>
                <w:kern w:val="0"/>
                <w:sz w:val="18"/>
                <w:szCs w:val="18"/>
              </w:rPr>
            </w:pPr>
            <w:r>
              <w:rPr>
                <w:color w:val="000000"/>
                <w:kern w:val="0"/>
                <w:sz w:val="18"/>
                <w:szCs w:val="18"/>
              </w:rPr>
              <w:t>40</w:t>
            </w:r>
          </w:p>
        </w:tc>
      </w:tr>
    </w:tbl>
    <w:p>
      <w:pPr>
        <w:adjustRightInd w:val="0"/>
        <w:snapToGrid w:val="0"/>
        <w:spacing w:line="360" w:lineRule="auto"/>
        <w:rPr>
          <w:b/>
          <w:color w:val="000000"/>
          <w:sz w:val="24"/>
          <w:szCs w:val="24"/>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七、</w:t>
      </w:r>
      <w:r>
        <w:rPr>
          <w:rFonts w:eastAsia="黑体"/>
          <w:color w:val="000000"/>
          <w:szCs w:val="24"/>
        </w:rPr>
        <w:t>教材、补充教材及参考资料</w:t>
      </w:r>
    </w:p>
    <w:p>
      <w:pPr>
        <w:adjustRightInd w:val="0"/>
        <w:snapToGrid w:val="0"/>
        <w:spacing w:line="360" w:lineRule="auto"/>
        <w:ind w:firstLine="420" w:firstLineChars="200"/>
        <w:rPr>
          <w:color w:val="000000"/>
          <w:szCs w:val="21"/>
        </w:rPr>
      </w:pPr>
      <w:r>
        <w:rPr>
          <w:color w:val="000000"/>
          <w:szCs w:val="21"/>
        </w:rPr>
        <w:t>1、</w:t>
      </w:r>
      <w:r>
        <w:fldChar w:fldCharType="begin"/>
      </w:r>
      <w:r>
        <w:instrText xml:space="preserve"> HYPERLINK "http://www.dangdang.com/author/%BB%C6%D6%C7%CE%B0_1" \t "http://product.dangdang.com/_blank" </w:instrText>
      </w:r>
      <w:r>
        <w:fldChar w:fldCharType="separate"/>
      </w:r>
      <w:r>
        <w:rPr>
          <w:color w:val="000000"/>
          <w:szCs w:val="21"/>
        </w:rPr>
        <w:t>黄智伟</w:t>
      </w:r>
      <w:r>
        <w:rPr>
          <w:color w:val="000000"/>
          <w:szCs w:val="21"/>
        </w:rPr>
        <w:fldChar w:fldCharType="end"/>
      </w:r>
      <w:r>
        <w:rPr>
          <w:color w:val="000000"/>
          <w:szCs w:val="21"/>
        </w:rPr>
        <w:t>等，《ARM9嵌入式系统设计基础教程（第2版）》，ISBN：9787512410886，</w:t>
      </w:r>
      <w:r>
        <w:fldChar w:fldCharType="begin"/>
      </w:r>
      <w:r>
        <w:instrText xml:space="preserve"> HYPERLINK "http://www.dangdang.com/publish/%B1%B1%BE%A9%BA%BD%BF%D5%BA%BD%CC%EC%B4%F3%D1%A7%B3%F6%B0%E6%C9%E7_1" \t "http://product.dangdang.com/_blank" </w:instrText>
      </w:r>
      <w:r>
        <w:fldChar w:fldCharType="separate"/>
      </w:r>
      <w:r>
        <w:rPr>
          <w:color w:val="000000"/>
          <w:szCs w:val="21"/>
        </w:rPr>
        <w:t>北京航空航天大学出版社</w:t>
      </w:r>
      <w:r>
        <w:rPr>
          <w:color w:val="000000"/>
          <w:szCs w:val="21"/>
        </w:rPr>
        <w:fldChar w:fldCharType="end"/>
      </w:r>
      <w:r>
        <w:rPr>
          <w:color w:val="000000"/>
          <w:szCs w:val="21"/>
        </w:rPr>
        <w:t>。</w:t>
      </w:r>
    </w:p>
    <w:p>
      <w:pPr>
        <w:adjustRightInd w:val="0"/>
        <w:snapToGrid w:val="0"/>
        <w:spacing w:line="360" w:lineRule="auto"/>
        <w:ind w:firstLine="420" w:firstLineChars="200"/>
        <w:rPr>
          <w:color w:val="000000"/>
          <w:szCs w:val="21"/>
        </w:rPr>
      </w:pPr>
      <w:r>
        <w:rPr>
          <w:color w:val="000000"/>
          <w:szCs w:val="21"/>
        </w:rPr>
        <w:t>2、</w:t>
      </w:r>
      <w:r>
        <w:fldChar w:fldCharType="begin"/>
      </w:r>
      <w:r>
        <w:instrText xml:space="preserve"> HYPERLINK "http://www.dangdang.com/author/%BA%EE%B5%EE%D3%D0_1" \t "http://product.dangdang.com/_blank" </w:instrText>
      </w:r>
      <w:r>
        <w:fldChar w:fldCharType="separate"/>
      </w:r>
      <w:r>
        <w:rPr>
          <w:color w:val="000000"/>
          <w:szCs w:val="21"/>
        </w:rPr>
        <w:t>侯殿有</w:t>
      </w:r>
      <w:r>
        <w:rPr>
          <w:color w:val="000000"/>
          <w:szCs w:val="21"/>
        </w:rPr>
        <w:fldChar w:fldCharType="end"/>
      </w:r>
      <w:r>
        <w:rPr>
          <w:color w:val="000000"/>
          <w:szCs w:val="21"/>
        </w:rPr>
        <w:t>，《嵌入式系统开发基础——基于ARM9微处理器C语言程序设计（第3版）》ISBN：9787302356592，</w:t>
      </w:r>
      <w:r>
        <w:fldChar w:fldCharType="begin"/>
      </w:r>
      <w:r>
        <w:instrText xml:space="preserve"> HYPERLINK "http://www.dangdang.com/publish/%C7%E5%BB%AA%B4%F3%D1%A7%B3%F6%B0%E6%C9%E7_1" \t "http://product.dangdang.com/_blank" </w:instrText>
      </w:r>
      <w:r>
        <w:fldChar w:fldCharType="separate"/>
      </w:r>
      <w:r>
        <w:rPr>
          <w:color w:val="000000"/>
          <w:szCs w:val="21"/>
        </w:rPr>
        <w:t>清华大学出版社</w:t>
      </w:r>
      <w:r>
        <w:rPr>
          <w:color w:val="000000"/>
          <w:szCs w:val="21"/>
        </w:rPr>
        <w:fldChar w:fldCharType="end"/>
      </w:r>
      <w:r>
        <w:rPr>
          <w:color w:val="000000"/>
          <w:szCs w:val="21"/>
        </w:rPr>
        <w:t>。</w:t>
      </w:r>
    </w:p>
    <w:p>
      <w:pPr>
        <w:adjustRightInd w:val="0"/>
        <w:snapToGrid w:val="0"/>
        <w:spacing w:line="360" w:lineRule="auto"/>
        <w:ind w:firstLine="420" w:firstLineChars="200"/>
        <w:rPr>
          <w:color w:val="000000"/>
          <w:szCs w:val="21"/>
        </w:rPr>
      </w:pPr>
      <w:r>
        <w:rPr>
          <w:color w:val="000000"/>
          <w:szCs w:val="21"/>
        </w:rPr>
        <w:t>3、</w:t>
      </w:r>
      <w:r>
        <w:fldChar w:fldCharType="begin"/>
      </w:r>
      <w:r>
        <w:instrText xml:space="preserve"> HYPERLINK "http://www.dangdang.com/author/%D0%EC%D3%A2%BB%DB_1" \t "http://product.dangdang.com/_blank" </w:instrText>
      </w:r>
      <w:r>
        <w:fldChar w:fldCharType="separate"/>
      </w:r>
      <w:r>
        <w:rPr>
          <w:color w:val="000000"/>
          <w:szCs w:val="21"/>
        </w:rPr>
        <w:t>徐英慧</w:t>
      </w:r>
      <w:r>
        <w:rPr>
          <w:color w:val="000000"/>
          <w:szCs w:val="21"/>
        </w:rPr>
        <w:fldChar w:fldCharType="end"/>
      </w:r>
      <w:r>
        <w:rPr>
          <w:color w:val="000000"/>
          <w:szCs w:val="21"/>
        </w:rPr>
        <w:t>，《ARM9嵌入式系统设计--基于S3C2410与Linux(第2版）》，ISBN：9787512401945，</w:t>
      </w:r>
      <w:r>
        <w:fldChar w:fldCharType="begin"/>
      </w:r>
      <w:r>
        <w:instrText xml:space="preserve"> HYPERLINK "http://www.dangdang.com/publish/%B1%B1%BE%A9%BA%BD%BF%D5%BA%BD%CC%EC%B4%F3%D1%A7%B3%F6%B0%E6%C9%E7_1" \t "http://product.dangdang.com/_blank" </w:instrText>
      </w:r>
      <w:r>
        <w:fldChar w:fldCharType="separate"/>
      </w:r>
      <w:r>
        <w:rPr>
          <w:color w:val="000000"/>
          <w:szCs w:val="21"/>
        </w:rPr>
        <w:t>北京航空航天大学出版社</w:t>
      </w:r>
      <w:r>
        <w:rPr>
          <w:color w:val="000000"/>
          <w:szCs w:val="21"/>
        </w:rPr>
        <w:fldChar w:fldCharType="end"/>
      </w:r>
      <w:r>
        <w:rPr>
          <w:color w:val="000000"/>
          <w:szCs w:val="21"/>
        </w:rPr>
        <w:t>。</w:t>
      </w:r>
    </w:p>
    <w:p>
      <w:pPr>
        <w:adjustRightInd w:val="0"/>
        <w:snapToGrid w:val="0"/>
        <w:spacing w:line="360" w:lineRule="auto"/>
        <w:ind w:firstLine="420" w:firstLineChars="200"/>
        <w:rPr>
          <w:color w:val="000000"/>
          <w:szCs w:val="21"/>
        </w:rPr>
      </w:pPr>
      <w:r>
        <w:rPr>
          <w:color w:val="000000"/>
          <w:szCs w:val="21"/>
        </w:rPr>
        <w:t>4、</w:t>
      </w:r>
      <w:r>
        <w:fldChar w:fldCharType="begin"/>
      </w:r>
      <w:r>
        <w:instrText xml:space="preserve"> HYPERLINK "http://www.dangdang.com/author/%D0%DC%C3%AF%BB%AA_1" \t "http://product.dangdang.com/_blank" </w:instrText>
      </w:r>
      <w:r>
        <w:fldChar w:fldCharType="separate"/>
      </w:r>
      <w:r>
        <w:rPr>
          <w:color w:val="000000"/>
          <w:szCs w:val="21"/>
        </w:rPr>
        <w:t>熊茂华</w:t>
      </w:r>
      <w:r>
        <w:rPr>
          <w:color w:val="000000"/>
          <w:szCs w:val="21"/>
        </w:rPr>
        <w:fldChar w:fldCharType="end"/>
      </w:r>
      <w:r>
        <w:rPr>
          <w:color w:val="000000"/>
          <w:szCs w:val="21"/>
        </w:rPr>
        <w:t>，</w:t>
      </w:r>
      <w:r>
        <w:fldChar w:fldCharType="begin"/>
      </w:r>
      <w:r>
        <w:instrText xml:space="preserve"> HYPERLINK "http://www.dangdang.com/author/%D1%EE%D5%F0%C2%D7_1" \t "http://product.dangdang.com/_blank" </w:instrText>
      </w:r>
      <w:r>
        <w:fldChar w:fldCharType="separate"/>
      </w:r>
      <w:r>
        <w:rPr>
          <w:color w:val="000000"/>
          <w:szCs w:val="21"/>
        </w:rPr>
        <w:t>杨震伦</w:t>
      </w:r>
      <w:r>
        <w:rPr>
          <w:color w:val="000000"/>
          <w:szCs w:val="21"/>
        </w:rPr>
        <w:fldChar w:fldCharType="end"/>
      </w:r>
      <w:r>
        <w:rPr>
          <w:color w:val="000000"/>
          <w:szCs w:val="21"/>
        </w:rPr>
        <w:t>，《ARM9嵌入式系统设计与开发应用》，ISBN：9787302162988，</w:t>
      </w:r>
      <w:r>
        <w:fldChar w:fldCharType="begin"/>
      </w:r>
      <w:r>
        <w:instrText xml:space="preserve"> HYPERLINK "http://www.dangdang.com/publish/%C7%E5%BB%AA%B4%F3%D1%A7%B3%F6%B0%E6%C9%E7_1" \t "http://product.dangdang.com/_blank" </w:instrText>
      </w:r>
      <w:r>
        <w:fldChar w:fldCharType="separate"/>
      </w:r>
      <w:r>
        <w:rPr>
          <w:color w:val="000000"/>
          <w:szCs w:val="21"/>
        </w:rPr>
        <w:t>清华大学出版社</w:t>
      </w:r>
      <w:r>
        <w:rPr>
          <w:color w:val="000000"/>
          <w:szCs w:val="21"/>
        </w:rPr>
        <w:fldChar w:fldCharType="end"/>
      </w:r>
      <w:r>
        <w:rPr>
          <w:color w:val="000000"/>
          <w:szCs w:val="21"/>
        </w:rPr>
        <w:t>。</w:t>
      </w:r>
    </w:p>
    <w:p>
      <w:pPr>
        <w:adjustRightInd w:val="0"/>
        <w:snapToGrid w:val="0"/>
        <w:spacing w:line="360" w:lineRule="auto"/>
        <w:ind w:firstLine="420" w:firstLineChars="200"/>
        <w:rPr>
          <w:color w:val="000000"/>
          <w:szCs w:val="21"/>
        </w:rPr>
      </w:pPr>
      <w:r>
        <w:rPr>
          <w:color w:val="000000"/>
          <w:szCs w:val="21"/>
        </w:rPr>
        <w:t>5、</w:t>
      </w:r>
      <w:r>
        <w:fldChar w:fldCharType="begin"/>
      </w:r>
      <w:r>
        <w:instrText xml:space="preserve"> HYPERLINK "http://www.dangdang.com/author/%CC%EF%D4%F3_1" \t "http://product.dangdang.com/_blank" </w:instrText>
      </w:r>
      <w:r>
        <w:fldChar w:fldCharType="separate"/>
      </w:r>
      <w:r>
        <w:rPr>
          <w:color w:val="000000"/>
          <w:szCs w:val="21"/>
        </w:rPr>
        <w:t>田泽</w:t>
      </w:r>
      <w:r>
        <w:rPr>
          <w:color w:val="000000"/>
          <w:szCs w:val="21"/>
        </w:rPr>
        <w:fldChar w:fldCharType="end"/>
      </w:r>
      <w:r>
        <w:rPr>
          <w:color w:val="000000"/>
          <w:szCs w:val="21"/>
        </w:rPr>
        <w:t>，《ARM9嵌入式开发实验与实践》，ISBN：9787810778800，</w:t>
      </w:r>
      <w:r>
        <w:fldChar w:fldCharType="begin"/>
      </w:r>
      <w:r>
        <w:instrText xml:space="preserve"> HYPERLINK "http://www.dangdang.com/publish/%B1%B1%BE%A9%BA%BD%CC%EC%BA%BD%BF%D5%B4%F3%D1%A7%B3%F6%B0%E6%C9%E7_1" \t "http://product.dangdang.com/_blank" </w:instrText>
      </w:r>
      <w:r>
        <w:fldChar w:fldCharType="separate"/>
      </w:r>
      <w:r>
        <w:rPr>
          <w:color w:val="000000"/>
          <w:szCs w:val="21"/>
        </w:rPr>
        <w:t>北京航天航空大学出版社</w:t>
      </w:r>
      <w:r>
        <w:rPr>
          <w:color w:val="000000"/>
          <w:szCs w:val="21"/>
        </w:rPr>
        <w:fldChar w:fldCharType="end"/>
      </w:r>
      <w:r>
        <w:rPr>
          <w:color w:val="000000"/>
          <w:szCs w:val="21"/>
        </w:rPr>
        <w:t>。</w:t>
      </w:r>
    </w:p>
    <w:p>
      <w:pPr>
        <w:tabs>
          <w:tab w:val="left" w:pos="420"/>
        </w:tabs>
        <w:adjustRightInd w:val="0"/>
        <w:snapToGrid w:val="0"/>
        <w:spacing w:line="360" w:lineRule="auto"/>
        <w:ind w:firstLine="200"/>
        <w:rPr>
          <w:rFonts w:eastAsia="黑体"/>
          <w:color w:val="000000"/>
          <w:szCs w:val="24"/>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八、</w:t>
      </w:r>
      <w:r>
        <w:rPr>
          <w:rFonts w:eastAsia="黑体"/>
          <w:color w:val="000000"/>
          <w:szCs w:val="24"/>
        </w:rPr>
        <w:t>课程目标达成的途径和措施</w:t>
      </w:r>
    </w:p>
    <w:p>
      <w:pPr>
        <w:adjustRightInd w:val="0"/>
        <w:snapToGrid w:val="0"/>
        <w:spacing w:line="360" w:lineRule="auto"/>
        <w:ind w:firstLine="420" w:firstLineChars="200"/>
        <w:rPr>
          <w:color w:val="000000"/>
          <w:szCs w:val="21"/>
        </w:rPr>
      </w:pPr>
      <w:r>
        <w:rPr>
          <w:color w:val="000000"/>
          <w:szCs w:val="21"/>
        </w:rPr>
        <w:t>1、考核目标：在考核学生对可嵌入式系统基本知识、基本原理和方法的基础上，重点考核学生的S3C2410硬件结构及电路系统的掌握程度、ARM汇编/C语言软件编程能力、软件设计能力和开发工具使用方法的掌握程度。</w:t>
      </w:r>
    </w:p>
    <w:p>
      <w:pPr>
        <w:adjustRightInd w:val="0"/>
        <w:snapToGrid w:val="0"/>
        <w:spacing w:line="360" w:lineRule="auto"/>
        <w:ind w:firstLine="420" w:firstLineChars="200"/>
        <w:rPr>
          <w:color w:val="000000"/>
          <w:szCs w:val="21"/>
        </w:rPr>
      </w:pPr>
      <w:r>
        <w:rPr>
          <w:color w:val="000000"/>
          <w:szCs w:val="21"/>
        </w:rPr>
        <w:t>2、考核方式：大作业、课内实验、作业及课堂提问。</w:t>
      </w:r>
    </w:p>
    <w:p>
      <w:pPr>
        <w:adjustRightInd w:val="0"/>
        <w:snapToGrid w:val="0"/>
        <w:spacing w:line="360" w:lineRule="auto"/>
        <w:ind w:firstLine="420" w:firstLineChars="200"/>
        <w:rPr>
          <w:color w:val="000000"/>
          <w:szCs w:val="21"/>
        </w:rPr>
      </w:pPr>
      <w:r>
        <w:rPr>
          <w:color w:val="000000"/>
          <w:szCs w:val="21"/>
        </w:rPr>
        <w:t>3、评价环节对课程目标达成贡献率及支撑材料：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1663"/>
        <w:gridCol w:w="1759"/>
        <w:gridCol w:w="1797"/>
        <w:gridCol w:w="1519"/>
        <w:gridCol w:w="1574"/>
      </w:tblGrid>
      <w:tr>
        <w:tblPrEx>
          <w:tblCellMar>
            <w:top w:w="0" w:type="dxa"/>
            <w:left w:w="108" w:type="dxa"/>
            <w:bottom w:w="0" w:type="dxa"/>
            <w:right w:w="108" w:type="dxa"/>
          </w:tblCellMar>
        </w:tblPrEx>
        <w:trPr>
          <w:trHeight w:val="691"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考察环节</w:t>
            </w:r>
          </w:p>
        </w:tc>
        <w:tc>
          <w:tcPr>
            <w:tcW w:w="10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课堂情况</w:t>
            </w:r>
          </w:p>
        </w:tc>
        <w:tc>
          <w:tcPr>
            <w:tcW w:w="10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作业</w:t>
            </w:r>
          </w:p>
        </w:tc>
        <w:tc>
          <w:tcPr>
            <w:tcW w:w="9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实验</w:t>
            </w:r>
          </w:p>
        </w:tc>
        <w:tc>
          <w:tcPr>
            <w:tcW w:w="947"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olor w:val="000000"/>
                <w:kern w:val="0"/>
                <w:sz w:val="18"/>
                <w:szCs w:val="18"/>
              </w:rPr>
            </w:pPr>
            <w:r>
              <w:rPr>
                <w:rFonts w:ascii="宋体" w:hAnsi="宋体" w:cs="宋体"/>
                <w:color w:val="000000"/>
                <w:kern w:val="0"/>
                <w:sz w:val="18"/>
                <w:szCs w:val="18"/>
              </w:rPr>
              <w:t>大作业</w:t>
            </w:r>
          </w:p>
        </w:tc>
      </w:tr>
      <w:tr>
        <w:tblPrEx>
          <w:tblCellMar>
            <w:top w:w="0" w:type="dxa"/>
            <w:left w:w="108" w:type="dxa"/>
            <w:bottom w:w="0" w:type="dxa"/>
            <w:right w:w="108" w:type="dxa"/>
          </w:tblCellMar>
        </w:tblPrEx>
        <w:trPr>
          <w:trHeight w:val="665"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课程目标达成</w:t>
            </w:r>
          </w:p>
          <w:p>
            <w:pPr>
              <w:widowControl/>
              <w:jc w:val="center"/>
              <w:rPr>
                <w:rFonts w:ascii="宋体" w:hAnsi="宋体"/>
                <w:color w:val="000000"/>
                <w:kern w:val="0"/>
                <w:sz w:val="18"/>
                <w:szCs w:val="18"/>
              </w:rPr>
            </w:pPr>
            <w:r>
              <w:rPr>
                <w:rFonts w:hint="eastAsia" w:ascii="宋体" w:hAnsi="宋体" w:cs="宋体"/>
                <w:color w:val="000000"/>
                <w:kern w:val="0"/>
                <w:sz w:val="18"/>
                <w:szCs w:val="18"/>
              </w:rPr>
              <w:t>的贡献率</w:t>
            </w:r>
          </w:p>
        </w:tc>
        <w:tc>
          <w:tcPr>
            <w:tcW w:w="105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0.05</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0.23</w:t>
            </w:r>
          </w:p>
        </w:tc>
        <w:tc>
          <w:tcPr>
            <w:tcW w:w="91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0.28</w:t>
            </w:r>
          </w:p>
        </w:tc>
        <w:tc>
          <w:tcPr>
            <w:tcW w:w="947" w:type="pct"/>
            <w:tcBorders>
              <w:top w:val="single" w:color="auto" w:sz="4" w:space="0"/>
              <w:left w:val="single" w:color="auto" w:sz="4" w:space="0"/>
              <w:bottom w:val="single" w:color="auto" w:sz="4" w:space="0"/>
            </w:tcBorders>
            <w:shd w:val="clear" w:color="auto" w:fill="auto"/>
            <w:noWrap/>
            <w:vAlign w:val="center"/>
          </w:tcPr>
          <w:p>
            <w:pPr>
              <w:jc w:val="center"/>
              <w:rPr>
                <w:sz w:val="18"/>
                <w:szCs w:val="18"/>
              </w:rPr>
            </w:pPr>
            <w:r>
              <w:rPr>
                <w:sz w:val="18"/>
                <w:szCs w:val="18"/>
              </w:rPr>
              <w:t>0.44</w:t>
            </w:r>
          </w:p>
        </w:tc>
      </w:tr>
      <w:tr>
        <w:tblPrEx>
          <w:tblCellMar>
            <w:top w:w="0" w:type="dxa"/>
            <w:left w:w="108" w:type="dxa"/>
            <w:bottom w:w="0" w:type="dxa"/>
            <w:right w:w="108" w:type="dxa"/>
          </w:tblCellMar>
        </w:tblPrEx>
        <w:trPr>
          <w:trHeight w:val="844"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rFonts w:ascii="宋体" w:hAnsi="宋体"/>
                <w:color w:val="000000"/>
                <w:kern w:val="0"/>
                <w:sz w:val="18"/>
                <w:szCs w:val="18"/>
              </w:rPr>
            </w:pPr>
            <w:r>
              <w:rPr>
                <w:rFonts w:hint="eastAsia" w:ascii="宋体" w:hAnsi="宋体" w:cs="宋体"/>
                <w:color w:val="000000"/>
                <w:kern w:val="0"/>
                <w:sz w:val="18"/>
                <w:szCs w:val="18"/>
              </w:rPr>
              <w:t>支撑材料</w:t>
            </w:r>
          </w:p>
        </w:tc>
        <w:tc>
          <w:tcPr>
            <w:tcW w:w="105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18"/>
                <w:szCs w:val="18"/>
              </w:rPr>
            </w:pPr>
            <w:r>
              <w:rPr>
                <w:rFonts w:ascii="宋体" w:hAnsi="宋体" w:cs="宋体"/>
                <w:color w:val="000000"/>
                <w:kern w:val="0"/>
                <w:sz w:val="18"/>
                <w:szCs w:val="18"/>
              </w:rPr>
              <w:t>课堂评价标准，</w:t>
            </w:r>
            <w:r>
              <w:rPr>
                <w:rFonts w:hint="eastAsia" w:ascii="宋体" w:hAnsi="宋体" w:cs="宋体"/>
                <w:color w:val="000000"/>
                <w:kern w:val="0"/>
                <w:sz w:val="18"/>
                <w:szCs w:val="18"/>
              </w:rPr>
              <w:t>课堂提问记录</w:t>
            </w:r>
            <w:r>
              <w:rPr>
                <w:rFonts w:ascii="宋体" w:hAnsi="宋体" w:cs="宋体"/>
                <w:color w:val="000000"/>
                <w:kern w:val="0"/>
                <w:sz w:val="18"/>
                <w:szCs w:val="18"/>
              </w:rPr>
              <w:t>或随堂考试，结合出勤率等</w:t>
            </w:r>
          </w:p>
        </w:tc>
        <w:tc>
          <w:tcPr>
            <w:tcW w:w="10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18"/>
                <w:szCs w:val="18"/>
              </w:rPr>
            </w:pPr>
            <w:r>
              <w:rPr>
                <w:rFonts w:ascii="宋体" w:hAnsi="宋体" w:cs="宋体"/>
                <w:color w:val="000000"/>
                <w:kern w:val="0"/>
                <w:sz w:val="18"/>
                <w:szCs w:val="18"/>
              </w:rPr>
              <w:t>作业评价标准，</w:t>
            </w:r>
            <w:r>
              <w:rPr>
                <w:rFonts w:hint="eastAsia" w:ascii="宋体" w:hAnsi="宋体" w:cs="宋体"/>
                <w:color w:val="000000"/>
                <w:kern w:val="0"/>
                <w:sz w:val="18"/>
                <w:szCs w:val="18"/>
              </w:rPr>
              <w:t>典型作业</w:t>
            </w:r>
            <w:r>
              <w:rPr>
                <w:rFonts w:ascii="宋体" w:hAnsi="宋体" w:cs="宋体"/>
                <w:color w:val="000000"/>
                <w:kern w:val="0"/>
                <w:sz w:val="18"/>
                <w:szCs w:val="18"/>
              </w:rPr>
              <w:t>拍照，或电子版</w:t>
            </w:r>
          </w:p>
        </w:tc>
        <w:tc>
          <w:tcPr>
            <w:tcW w:w="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olor w:val="000000"/>
                <w:kern w:val="0"/>
                <w:sz w:val="18"/>
                <w:szCs w:val="18"/>
              </w:rPr>
            </w:pPr>
            <w:r>
              <w:rPr>
                <w:rFonts w:ascii="宋体" w:hAnsi="宋体" w:cs="宋体"/>
                <w:color w:val="000000"/>
                <w:kern w:val="0"/>
                <w:sz w:val="18"/>
                <w:szCs w:val="18"/>
              </w:rPr>
              <w:t>课内实验评价标准，</w:t>
            </w:r>
            <w:r>
              <w:rPr>
                <w:rFonts w:hint="eastAsia" w:ascii="宋体" w:hAnsi="宋体" w:cs="宋体"/>
                <w:color w:val="000000"/>
                <w:kern w:val="0"/>
                <w:sz w:val="18"/>
                <w:szCs w:val="18"/>
              </w:rPr>
              <w:t>实验课堂记录记录，典型实验报告</w:t>
            </w:r>
          </w:p>
        </w:tc>
        <w:tc>
          <w:tcPr>
            <w:tcW w:w="947" w:type="pct"/>
            <w:tcBorders>
              <w:top w:val="single" w:color="auto" w:sz="4" w:space="0"/>
              <w:left w:val="single" w:color="auto" w:sz="4" w:space="0"/>
              <w:bottom w:val="single" w:color="auto" w:sz="4" w:space="0"/>
            </w:tcBorders>
            <w:shd w:val="clear" w:color="auto" w:fill="auto"/>
            <w:noWrap/>
            <w:vAlign w:val="center"/>
          </w:tcPr>
          <w:p>
            <w:pPr>
              <w:widowControl/>
              <w:jc w:val="center"/>
              <w:rPr>
                <w:rFonts w:ascii="宋体" w:hAnsi="宋体"/>
                <w:color w:val="000000"/>
                <w:kern w:val="0"/>
                <w:sz w:val="18"/>
                <w:szCs w:val="18"/>
              </w:rPr>
            </w:pPr>
            <w:r>
              <w:rPr>
                <w:rFonts w:ascii="宋体" w:hAnsi="宋体" w:cs="宋体"/>
                <w:color w:val="000000"/>
                <w:kern w:val="0"/>
                <w:sz w:val="18"/>
                <w:szCs w:val="18"/>
              </w:rPr>
              <w:t>大作业</w:t>
            </w:r>
            <w:r>
              <w:rPr>
                <w:rFonts w:hint="eastAsia" w:ascii="宋体" w:hAnsi="宋体" w:cs="宋体"/>
                <w:color w:val="000000"/>
                <w:kern w:val="0"/>
                <w:sz w:val="18"/>
                <w:szCs w:val="18"/>
              </w:rPr>
              <w:t>评分标准，典型作业</w:t>
            </w:r>
            <w:r>
              <w:rPr>
                <w:rFonts w:ascii="宋体" w:hAnsi="宋体" w:cs="宋体"/>
                <w:color w:val="000000"/>
                <w:kern w:val="0"/>
                <w:sz w:val="18"/>
                <w:szCs w:val="18"/>
              </w:rPr>
              <w:t>拍照，或电子版</w:t>
            </w:r>
          </w:p>
        </w:tc>
      </w:tr>
    </w:tbl>
    <w:p>
      <w:pPr>
        <w:tabs>
          <w:tab w:val="left" w:pos="420"/>
        </w:tabs>
        <w:adjustRightInd w:val="0"/>
        <w:snapToGrid w:val="0"/>
        <w:spacing w:line="360" w:lineRule="auto"/>
        <w:rPr>
          <w:rFonts w:eastAsia="黑体"/>
          <w:color w:val="000000"/>
          <w:szCs w:val="24"/>
        </w:rPr>
      </w:pPr>
    </w:p>
    <w:p>
      <w:pPr>
        <w:tabs>
          <w:tab w:val="left" w:pos="420"/>
        </w:tabs>
        <w:adjustRightInd w:val="0"/>
        <w:snapToGrid w:val="0"/>
        <w:spacing w:line="360" w:lineRule="auto"/>
        <w:rPr>
          <w:rFonts w:eastAsia="黑体"/>
          <w:color w:val="000000"/>
          <w:szCs w:val="24"/>
        </w:rPr>
      </w:pPr>
      <w:r>
        <w:rPr>
          <w:rFonts w:hint="eastAsia" w:eastAsia="黑体"/>
          <w:color w:val="000000"/>
          <w:szCs w:val="24"/>
        </w:rPr>
        <w:t>九、覆盖课程目标达成评价的知识点及权重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1、嵌入式技术的特点、基本结构和原理，硬件选用原则。</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2、ADS1.2集成开发环境的使用；</w:t>
            </w:r>
          </w:p>
        </w:tc>
        <w:tc>
          <w:tcPr>
            <w:tcW w:w="691" w:type="pct"/>
            <w:vAlign w:val="center"/>
          </w:tcPr>
          <w:p>
            <w:pPr>
              <w:jc w:val="center"/>
              <w:rPr>
                <w:sz w:val="18"/>
                <w:szCs w:val="18"/>
              </w:rPr>
            </w:pPr>
            <w:r>
              <w:rPr>
                <w:rFonts w:hint="eastAsia"/>
                <w:sz w:val="18"/>
                <w:szCs w:val="18"/>
              </w:rPr>
              <w:t>0.</w:t>
            </w:r>
            <w:r>
              <w:rPr>
                <w:sz w:val="18"/>
                <w:szCs w:val="18"/>
              </w:rPr>
              <w:t>15</w:t>
            </w:r>
          </w:p>
        </w:tc>
        <w:tc>
          <w:tcPr>
            <w:tcW w:w="1048" w:type="pct"/>
            <w:vAlign w:val="center"/>
          </w:tcPr>
          <w:p>
            <w:pPr>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3、ARM汇编语言基本结构框架、基本要素、数据类型、基本语法；</w:t>
            </w:r>
          </w:p>
        </w:tc>
        <w:tc>
          <w:tcPr>
            <w:tcW w:w="691" w:type="pct"/>
            <w:vAlign w:val="center"/>
          </w:tcPr>
          <w:p>
            <w:pPr>
              <w:jc w:val="center"/>
              <w:rPr>
                <w:sz w:val="18"/>
                <w:szCs w:val="18"/>
              </w:rPr>
            </w:pPr>
            <w:r>
              <w:rPr>
                <w:rFonts w:hint="eastAsia"/>
                <w:sz w:val="18"/>
                <w:szCs w:val="18"/>
              </w:rPr>
              <w:t>0.</w:t>
            </w:r>
            <w:r>
              <w:rPr>
                <w:sz w:val="18"/>
                <w:szCs w:val="18"/>
              </w:rPr>
              <w:t>15</w:t>
            </w:r>
          </w:p>
        </w:tc>
        <w:tc>
          <w:tcPr>
            <w:tcW w:w="1048" w:type="pct"/>
            <w:vAlign w:val="center"/>
          </w:tcPr>
          <w:p>
            <w:pPr>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4、ARM的C语言编程特点；</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5、S3C2440最小硬件系统设计；</w:t>
            </w:r>
          </w:p>
        </w:tc>
        <w:tc>
          <w:tcPr>
            <w:tcW w:w="691" w:type="pct"/>
            <w:vAlign w:val="center"/>
          </w:tcPr>
          <w:p>
            <w:pPr>
              <w:jc w:val="center"/>
              <w:rPr>
                <w:sz w:val="18"/>
                <w:szCs w:val="18"/>
              </w:rPr>
            </w:pPr>
            <w:r>
              <w:rPr>
                <w:rFonts w:hint="eastAsia"/>
                <w:sz w:val="18"/>
                <w:szCs w:val="18"/>
              </w:rPr>
              <w:t>0.1</w:t>
            </w:r>
            <w:r>
              <w:rPr>
                <w:sz w:val="18"/>
                <w:szCs w:val="18"/>
              </w:rPr>
              <w:t>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6、S3C2440的功能模块程序设计；</w:t>
            </w:r>
          </w:p>
        </w:tc>
        <w:tc>
          <w:tcPr>
            <w:tcW w:w="691" w:type="pct"/>
            <w:vAlign w:val="center"/>
          </w:tcPr>
          <w:p>
            <w:pPr>
              <w:jc w:val="center"/>
              <w:rPr>
                <w:sz w:val="18"/>
                <w:szCs w:val="18"/>
              </w:rPr>
            </w:pPr>
            <w:r>
              <w:rPr>
                <w:rFonts w:hint="eastAsia"/>
                <w:sz w:val="18"/>
                <w:szCs w:val="18"/>
              </w:rPr>
              <w:t>0.3</w:t>
            </w:r>
            <w:r>
              <w:rPr>
                <w:sz w:val="18"/>
                <w:szCs w:val="18"/>
              </w:rPr>
              <w:t>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ind w:left="174" w:leftChars="83"/>
              <w:rPr>
                <w:sz w:val="18"/>
                <w:szCs w:val="18"/>
              </w:rPr>
            </w:pPr>
            <w:r>
              <w:rPr>
                <w:rFonts w:hint="eastAsia"/>
                <w:sz w:val="18"/>
                <w:szCs w:val="18"/>
              </w:rPr>
              <w:t>7、基于S3C2440的嵌入式应用设计。</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1</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adjustRightInd w:val="0"/>
        <w:snapToGrid w:val="0"/>
        <w:spacing w:line="360" w:lineRule="auto"/>
        <w:rPr>
          <w:color w:val="000000"/>
          <w:sz w:val="18"/>
          <w:szCs w:val="18"/>
        </w:rPr>
        <w:sectPr>
          <w:headerReference r:id="rId48" w:type="first"/>
          <w:footerReference r:id="rId51" w:type="first"/>
          <w:headerReference r:id="rId46" w:type="default"/>
          <w:footerReference r:id="rId49" w:type="default"/>
          <w:headerReference r:id="rId47" w:type="even"/>
          <w:footerReference r:id="rId50" w:type="even"/>
          <w:pgSz w:w="11906" w:h="16838"/>
          <w:pgMar w:top="1440" w:right="1797" w:bottom="1440" w:left="1797" w:header="851" w:footer="992" w:gutter="0"/>
          <w:cols w:space="0" w:num="1"/>
          <w:docGrid w:type="lines" w:linePitch="312" w:charSpace="0"/>
        </w:sectPr>
      </w:pPr>
    </w:p>
    <w:p>
      <w:pPr>
        <w:tabs>
          <w:tab w:val="left" w:pos="420"/>
        </w:tabs>
        <w:adjustRightInd w:val="0"/>
        <w:snapToGrid w:val="0"/>
        <w:spacing w:line="360" w:lineRule="auto"/>
        <w:rPr>
          <w:rFonts w:eastAsia="黑体"/>
          <w:color w:val="000000"/>
          <w:szCs w:val="24"/>
        </w:rPr>
      </w:pPr>
      <w:r>
        <w:rPr>
          <w:rFonts w:hint="eastAsia" w:eastAsia="黑体"/>
          <w:color w:val="000000"/>
          <w:szCs w:val="24"/>
        </w:rPr>
        <w:t>十、</w:t>
      </w:r>
      <w:r>
        <w:rPr>
          <w:rFonts w:eastAsia="黑体"/>
          <w:color w:val="000000"/>
          <w:szCs w:val="24"/>
        </w:rPr>
        <w:t>课程目标达成评价</w:t>
      </w:r>
    </w:p>
    <w:p>
      <w:pPr>
        <w:adjustRightInd w:val="0"/>
        <w:snapToGrid w:val="0"/>
        <w:spacing w:line="360" w:lineRule="auto"/>
        <w:jc w:val="center"/>
        <w:rPr>
          <w:color w:val="000000"/>
          <w:szCs w:val="21"/>
        </w:rP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6"/>
        <w:gridCol w:w="943"/>
        <w:gridCol w:w="778"/>
        <w:gridCol w:w="921"/>
        <w:gridCol w:w="1099"/>
        <w:gridCol w:w="1400"/>
        <w:gridCol w:w="915"/>
        <w:gridCol w:w="1155"/>
        <w:gridCol w:w="1172"/>
        <w:gridCol w:w="1121"/>
        <w:gridCol w:w="672"/>
        <w:gridCol w:w="937"/>
        <w:gridCol w:w="1099"/>
        <w:gridCol w:w="1160"/>
      </w:tblGrid>
      <w:tr>
        <w:tblPrEx>
          <w:tblCellMar>
            <w:top w:w="0" w:type="dxa"/>
            <w:left w:w="108" w:type="dxa"/>
            <w:bottom w:w="0" w:type="dxa"/>
            <w:right w:w="108" w:type="dxa"/>
          </w:tblCellMar>
        </w:tblPrEx>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50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FF0000"/>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64" w:type="pct"/>
            <w:gridSpan w:val="4"/>
            <w:tcBorders>
              <w:top w:val="single" w:color="auto" w:sz="4" w:space="0"/>
              <w:left w:val="nil"/>
              <w:bottom w:val="single" w:color="auto" w:sz="4" w:space="0"/>
              <w:right w:val="single" w:color="auto" w:sz="4" w:space="0"/>
            </w:tcBorders>
            <w:shd w:val="clear" w:color="auto" w:fill="auto"/>
            <w:vAlign w:val="center"/>
          </w:tcPr>
          <w:p>
            <w:pPr>
              <w:jc w:val="center"/>
              <w:rPr>
                <w:color w:val="FF0000"/>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38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color w:val="FF0000"/>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FF0000"/>
                <w:kern w:val="0"/>
                <w:sz w:val="18"/>
                <w:szCs w:val="18"/>
              </w:rPr>
            </w:pPr>
          </w:p>
        </w:tc>
        <w:tc>
          <w:tcPr>
            <w:tcW w:w="279"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3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9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大作业</w:t>
            </w:r>
          </w:p>
        </w:tc>
        <w:tc>
          <w:tcPr>
            <w:tcW w:w="32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1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2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02"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大作业</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大作业</w:t>
            </w:r>
          </w:p>
        </w:tc>
      </w:tr>
      <w:tr>
        <w:tblPrEx>
          <w:tblCellMar>
            <w:top w:w="0" w:type="dxa"/>
            <w:left w:w="108" w:type="dxa"/>
            <w:bottom w:w="0" w:type="dxa"/>
            <w:right w:w="108" w:type="dxa"/>
          </w:tblCellMar>
        </w:tblPrEx>
        <w:trPr>
          <w:trHeight w:val="1020"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279"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0.06</w:t>
            </w:r>
          </w:p>
        </w:tc>
        <w:tc>
          <w:tcPr>
            <w:tcW w:w="330"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0.14</w:t>
            </w:r>
          </w:p>
        </w:tc>
        <w:tc>
          <w:tcPr>
            <w:tcW w:w="39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w:t>
            </w:r>
          </w:p>
        </w:tc>
        <w:tc>
          <w:tcPr>
            <w:tcW w:w="501"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0.6</w:t>
            </w:r>
          </w:p>
        </w:tc>
        <w:tc>
          <w:tcPr>
            <w:tcW w:w="328"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0.03</w:t>
            </w:r>
          </w:p>
        </w:tc>
        <w:tc>
          <w:tcPr>
            <w:tcW w:w="41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0.07</w:t>
            </w:r>
          </w:p>
        </w:tc>
        <w:tc>
          <w:tcPr>
            <w:tcW w:w="420"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0.1</w:t>
            </w:r>
          </w:p>
        </w:tc>
        <w:tc>
          <w:tcPr>
            <w:tcW w:w="402"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0.3</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0.67</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0.3</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0.35</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0.68</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27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0.05</w:t>
            </w:r>
          </w:p>
        </w:tc>
        <w:tc>
          <w:tcPr>
            <w:tcW w:w="33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w:t>
            </w:r>
          </w:p>
        </w:tc>
        <w:tc>
          <w:tcPr>
            <w:tcW w:w="39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0.5</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0.25</w:t>
            </w:r>
          </w:p>
        </w:tc>
        <w:tc>
          <w:tcPr>
            <w:tcW w:w="32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0.04</w:t>
            </w:r>
          </w:p>
        </w:tc>
        <w:tc>
          <w:tcPr>
            <w:tcW w:w="42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0.1</w:t>
            </w:r>
          </w:p>
        </w:tc>
        <w:tc>
          <w:tcPr>
            <w:tcW w:w="40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0.05</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0.22</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0.18</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0.35</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0.12</w:t>
            </w:r>
          </w:p>
        </w:tc>
      </w:tr>
      <w:tr>
        <w:tblPrEx>
          <w:tblCellMar>
            <w:top w:w="0" w:type="dxa"/>
            <w:left w:w="108" w:type="dxa"/>
            <w:bottom w:w="0" w:type="dxa"/>
            <w:right w:w="108" w:type="dxa"/>
          </w:tblCellMar>
        </w:tblPrEx>
        <w:trPr>
          <w:trHeight w:val="690"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279"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33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0.3</w:t>
            </w:r>
          </w:p>
        </w:tc>
        <w:tc>
          <w:tcPr>
            <w:tcW w:w="39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0.3</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0.4</w:t>
            </w:r>
          </w:p>
        </w:tc>
        <w:tc>
          <w:tcPr>
            <w:tcW w:w="328"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0.06</w:t>
            </w:r>
          </w:p>
        </w:tc>
        <w:tc>
          <w:tcPr>
            <w:tcW w:w="42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0.06</w:t>
            </w:r>
          </w:p>
        </w:tc>
        <w:tc>
          <w:tcPr>
            <w:tcW w:w="40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0.08</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0.26</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0.21</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0.18</w:t>
            </w:r>
          </w:p>
        </w:tc>
      </w:tr>
      <w:tr>
        <w:tblPrEx>
          <w:tblCellMar>
            <w:top w:w="0" w:type="dxa"/>
            <w:left w:w="108" w:type="dxa"/>
            <w:bottom w:w="0" w:type="dxa"/>
            <w:right w:w="108" w:type="dxa"/>
          </w:tblCellMar>
        </w:tblPrEx>
        <w:trPr>
          <w:trHeight w:val="1092"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4</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279"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33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0.6</w:t>
            </w:r>
          </w:p>
        </w:tc>
        <w:tc>
          <w:tcPr>
            <w:tcW w:w="39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0.1</w:t>
            </w:r>
          </w:p>
        </w:tc>
        <w:tc>
          <w:tcPr>
            <w:tcW w:w="32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0.01</w:t>
            </w:r>
          </w:p>
        </w:tc>
        <w:tc>
          <w:tcPr>
            <w:tcW w:w="41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0.06</w:t>
            </w:r>
          </w:p>
        </w:tc>
        <w:tc>
          <w:tcPr>
            <w:tcW w:w="42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0.02</w:t>
            </w:r>
          </w:p>
        </w:tc>
        <w:tc>
          <w:tcPr>
            <w:tcW w:w="40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0.01</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0.11</w:t>
            </w:r>
          </w:p>
        </w:tc>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0.26</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0.09</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sz w:val="18"/>
                <w:szCs w:val="18"/>
              </w:rPr>
            </w:pPr>
            <w:r>
              <w:rPr>
                <w:color w:val="000000"/>
                <w:kern w:val="0"/>
                <w:sz w:val="18"/>
                <w:szCs w:val="18"/>
              </w:rPr>
              <w:t>0.02</w:t>
            </w:r>
          </w:p>
        </w:tc>
      </w:tr>
      <w:tr>
        <w:tblPrEx>
          <w:tblCellMar>
            <w:top w:w="0" w:type="dxa"/>
            <w:left w:w="108" w:type="dxa"/>
            <w:bottom w:w="0" w:type="dxa"/>
            <w:right w:w="108" w:type="dxa"/>
          </w:tblCellMar>
        </w:tblPrEx>
        <w:trPr>
          <w:trHeight w:val="1026" w:hRule="atLeast"/>
          <w:jc w:val="center"/>
        </w:trPr>
        <w:tc>
          <w:tcPr>
            <w:tcW w:w="2049"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2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0.05</w:t>
            </w:r>
          </w:p>
        </w:tc>
        <w:tc>
          <w:tcPr>
            <w:tcW w:w="41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0.23</w:t>
            </w:r>
          </w:p>
        </w:tc>
        <w:tc>
          <w:tcPr>
            <w:tcW w:w="420"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0.28</w:t>
            </w:r>
          </w:p>
        </w:tc>
        <w:tc>
          <w:tcPr>
            <w:tcW w:w="402"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color w:val="000000"/>
                <w:kern w:val="0"/>
                <w:sz w:val="18"/>
                <w:szCs w:val="18"/>
              </w:rPr>
              <w:t>0.44</w:t>
            </w:r>
          </w:p>
        </w:tc>
        <w:tc>
          <w:tcPr>
            <w:tcW w:w="138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color w:val="FF0000"/>
                <w:sz w:val="18"/>
                <w:szCs w:val="18"/>
              </w:rPr>
            </w:pPr>
            <w:r>
              <w:rPr>
                <w:sz w:val="18"/>
                <w:szCs w:val="18"/>
              </w:rPr>
              <w:t>要尽量做到按照以上比例布局</w:t>
            </w:r>
          </w:p>
        </w:tc>
      </w:tr>
    </w:tbl>
    <w:p>
      <w:pPr>
        <w:spacing w:line="360" w:lineRule="auto"/>
        <w:ind w:firstLine="210" w:firstLineChars="100"/>
        <w:jc w:val="left"/>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10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08" DrawAspect="Content" ObjectID="_1468075808" r:id="rId268">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10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09" DrawAspect="Content" ObjectID="_1468075809" r:id="rId269">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11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10" DrawAspect="Content" ObjectID="_1468075810" r:id="rId270">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11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11" DrawAspect="Content" ObjectID="_1468075811" r:id="rId271">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11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12" DrawAspect="Content" ObjectID="_1468075812" r:id="rId272">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11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13" DrawAspect="Content" ObjectID="_1468075813" r:id="rId273">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sectPr>
          <w:pgSz w:w="11906" w:h="16838"/>
          <w:pgMar w:top="1440" w:right="1797" w:bottom="1440" w:left="1797" w:header="851" w:footer="992" w:gutter="0"/>
          <w:cols w:space="425" w:num="1"/>
          <w:docGrid w:type="lines" w:linePitch="312" w:charSpace="0"/>
        </w:sect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312" w:after="468"/>
      </w:pPr>
      <w:bookmarkStart w:id="188" w:name="_Toc46996568"/>
      <w:bookmarkStart w:id="189" w:name="_Toc2613"/>
      <w:bookmarkStart w:id="190" w:name="_Toc6894"/>
      <w:r>
        <w:rPr>
          <w:rFonts w:hint="eastAsia"/>
        </w:rPr>
        <w:t>《</w:t>
      </w:r>
      <w:bookmarkStart w:id="191" w:name="OLE_LINK87"/>
      <w:bookmarkStart w:id="192" w:name="OLE_LINK86"/>
      <w:r>
        <w:t>Y06060011-</w:t>
      </w:r>
      <w:r>
        <w:rPr>
          <w:rFonts w:hint="eastAsia"/>
        </w:rPr>
        <w:t>光纤技术及应用</w:t>
      </w:r>
      <w:bookmarkEnd w:id="191"/>
      <w:bookmarkEnd w:id="192"/>
      <w:r>
        <w:rPr>
          <w:rFonts w:hint="eastAsia"/>
        </w:rPr>
        <w:t>》教学大纲</w:t>
      </w:r>
      <w:bookmarkEnd w:id="188"/>
      <w:bookmarkEnd w:id="189"/>
      <w:bookmarkEnd w:id="190"/>
    </w:p>
    <w:p>
      <w:pPr>
        <w:adjustRightInd w:val="0"/>
        <w:snapToGrid w:val="0"/>
        <w:spacing w:line="360" w:lineRule="auto"/>
        <w:rPr>
          <w:snapToGrid w:val="0"/>
          <w:kern w:val="0"/>
          <w:szCs w:val="21"/>
        </w:rPr>
      </w:pPr>
      <w:r>
        <w:rPr>
          <w:rFonts w:eastAsia="黑体"/>
          <w:szCs w:val="21"/>
        </w:rPr>
        <w:t>课程编号</w:t>
      </w:r>
      <w:r>
        <w:rPr>
          <w:szCs w:val="21"/>
        </w:rPr>
        <w:t>：</w:t>
      </w:r>
      <w:r>
        <w:t>Y06060011</w:t>
      </w:r>
    </w:p>
    <w:p>
      <w:pPr>
        <w:adjustRightInd w:val="0"/>
        <w:snapToGrid w:val="0"/>
        <w:spacing w:line="360" w:lineRule="auto"/>
        <w:rPr>
          <w:rFonts w:asciiTheme="minorEastAsia" w:hAnsiTheme="minorEastAsia" w:eastAsiaTheme="minorEastAsia" w:cstheme="minorEastAsia"/>
          <w:szCs w:val="21"/>
        </w:rPr>
      </w:pPr>
      <w:r>
        <w:rPr>
          <w:rFonts w:eastAsia="黑体"/>
          <w:szCs w:val="21"/>
        </w:rPr>
        <w:t>课程名称</w:t>
      </w:r>
      <w:r>
        <w:rPr>
          <w:szCs w:val="21"/>
        </w:rPr>
        <w:t>：</w:t>
      </w:r>
      <w:r>
        <w:rPr>
          <w:rFonts w:hint="eastAsia" w:ascii="宋体" w:hAnsi="宋体" w:cstheme="minorEastAsia"/>
        </w:rPr>
        <w:t>光纤技术及应用</w:t>
      </w:r>
      <w:r>
        <w:rPr>
          <w:rFonts w:ascii="宋体" w:hAnsi="宋体" w:cstheme="minorEastAsia"/>
        </w:rPr>
        <w:tab/>
      </w:r>
      <w:r>
        <w:rPr>
          <w:rFonts w:ascii="宋体" w:hAnsi="宋体" w:cstheme="minorEastAsia"/>
        </w:rPr>
        <w:tab/>
      </w:r>
      <w:r>
        <w:rPr>
          <w:rFonts w:ascii="宋体" w:hAnsi="宋体" w:cstheme="minorEastAsia"/>
        </w:rPr>
        <w:tab/>
      </w:r>
      <w:r>
        <w:rPr>
          <w:rFonts w:ascii="宋体" w:hAnsi="宋体" w:cstheme="minorEastAsia"/>
        </w:rPr>
        <w:tab/>
      </w:r>
      <w:r>
        <w:rPr>
          <w:rFonts w:ascii="宋体" w:hAnsi="宋体" w:cstheme="minorEastAsia"/>
        </w:rPr>
        <w:tab/>
      </w:r>
      <w:r>
        <w:rPr>
          <w:rFonts w:eastAsia="黑体"/>
          <w:szCs w:val="21"/>
        </w:rPr>
        <w:t>开课单位</w:t>
      </w:r>
      <w:r>
        <w:rPr>
          <w:szCs w:val="21"/>
        </w:rPr>
        <w:t>：</w:t>
      </w:r>
      <w:r>
        <w:rPr>
          <w:rFonts w:hint="eastAsia" w:ascii="宋体" w:hAnsi="宋体" w:cstheme="minorEastAsia"/>
          <w:szCs w:val="21"/>
        </w:rPr>
        <w:t>仪器与电子学院</w:t>
      </w:r>
    </w:p>
    <w:p>
      <w:pPr>
        <w:adjustRightInd w:val="0"/>
        <w:snapToGrid w:val="0"/>
        <w:spacing w:line="360" w:lineRule="auto"/>
        <w:rPr>
          <w:bCs/>
          <w:snapToGrid w:val="0"/>
          <w:kern w:val="0"/>
          <w:szCs w:val="21"/>
        </w:rPr>
      </w:pPr>
      <w:r>
        <w:rPr>
          <w:rFonts w:eastAsia="黑体"/>
          <w:szCs w:val="21"/>
        </w:rPr>
        <w:t>总 学 时：</w:t>
      </w:r>
      <w:r>
        <w:t>32</w:t>
      </w:r>
      <w:r>
        <w:rPr>
          <w:szCs w:val="21"/>
        </w:rPr>
        <w:t>（实验8学时）</w:t>
      </w:r>
      <w:r>
        <w:rPr>
          <w:szCs w:val="21"/>
        </w:rPr>
        <w:tab/>
      </w:r>
      <w:r>
        <w:rPr>
          <w:szCs w:val="21"/>
        </w:rPr>
        <w:tab/>
      </w:r>
      <w:r>
        <w:rPr>
          <w:szCs w:val="21"/>
        </w:rPr>
        <w:tab/>
      </w:r>
      <w:r>
        <w:rPr>
          <w:szCs w:val="21"/>
        </w:rPr>
        <w:tab/>
      </w:r>
      <w:r>
        <w:rPr>
          <w:szCs w:val="21"/>
        </w:rPr>
        <w:tab/>
      </w:r>
      <w:r>
        <w:rPr>
          <w:rFonts w:eastAsia="黑体"/>
          <w:szCs w:val="21"/>
        </w:rPr>
        <w:t>学    分：</w:t>
      </w:r>
      <w:r>
        <w:rPr>
          <w:rFonts w:hint="eastAsia"/>
          <w:bCs/>
          <w:snapToGrid w:val="0"/>
          <w:kern w:val="0"/>
          <w:szCs w:val="21"/>
        </w:rPr>
        <w:t>2</w:t>
      </w:r>
    </w:p>
    <w:p>
      <w:pPr>
        <w:adjustRightInd w:val="0"/>
        <w:snapToGrid w:val="0"/>
        <w:spacing w:line="360" w:lineRule="auto"/>
        <w:rPr>
          <w:rFonts w:ascii="宋体" w:hAnsi="宋体" w:cstheme="minorEastAsia"/>
        </w:rPr>
      </w:pPr>
      <w:r>
        <w:rPr>
          <w:rFonts w:eastAsia="黑体"/>
          <w:szCs w:val="21"/>
        </w:rPr>
        <w:t>适用专业：</w:t>
      </w:r>
      <w:r>
        <w:rPr>
          <w:rFonts w:hint="eastAsia" w:ascii="宋体" w:hAnsi="宋体" w:cstheme="minorEastAsia"/>
        </w:rPr>
        <w:t>电子科学与技术</w:t>
      </w:r>
    </w:p>
    <w:p>
      <w:pPr>
        <w:adjustRightInd w:val="0"/>
        <w:snapToGrid w:val="0"/>
        <w:spacing w:line="360" w:lineRule="auto"/>
        <w:rPr>
          <w:rFonts w:asciiTheme="minorEastAsia" w:hAnsiTheme="minorEastAsia" w:eastAsiaTheme="minorEastAsia" w:cstheme="minorEastAsia"/>
          <w:szCs w:val="21"/>
        </w:rPr>
      </w:pPr>
      <w:r>
        <w:rPr>
          <w:rFonts w:eastAsia="黑体"/>
          <w:szCs w:val="21"/>
        </w:rPr>
        <w:t>先修课程：</w:t>
      </w:r>
      <w:r>
        <w:rPr>
          <w:rFonts w:ascii="宋体" w:hAnsi="宋体"/>
        </w:rPr>
        <w:t>大学物理</w:t>
      </w:r>
      <w:r>
        <w:rPr>
          <w:rFonts w:ascii="宋体" w:hAnsi="宋体"/>
          <w:spacing w:val="6"/>
          <w:szCs w:val="289"/>
        </w:rPr>
        <w:t>、</w:t>
      </w:r>
      <w:r>
        <w:rPr>
          <w:rFonts w:ascii="宋体" w:hAnsi="宋体"/>
        </w:rPr>
        <w:t>光电子技术基础</w:t>
      </w:r>
    </w:p>
    <w:p>
      <w:pPr>
        <w:adjustRightInd w:val="0"/>
        <w:snapToGrid w:val="0"/>
        <w:spacing w:line="360" w:lineRule="auto"/>
        <w:rPr>
          <w:rFonts w:asciiTheme="minorEastAsia" w:hAnsiTheme="minorEastAsia" w:eastAsiaTheme="minorEastAsia" w:cstheme="minorEastAsia"/>
          <w:szCs w:val="21"/>
        </w:rPr>
      </w:pPr>
      <w:r>
        <w:rPr>
          <w:rFonts w:eastAsia="黑体"/>
          <w:szCs w:val="21"/>
        </w:rPr>
        <w:t>大纲执笔人</w:t>
      </w:r>
      <w:r>
        <w:rPr>
          <w:szCs w:val="21"/>
        </w:rPr>
        <w:t>：</w:t>
      </w:r>
      <w:r>
        <w:rPr>
          <w:rFonts w:hint="eastAsia" w:ascii="宋体" w:hAnsi="宋体" w:cstheme="minorEastAsia"/>
        </w:rPr>
        <w:t>贾平岗、侯钰龙</w:t>
      </w:r>
    </w:p>
    <w:p>
      <w:pPr>
        <w:adjustRightInd w:val="0"/>
        <w:snapToGrid w:val="0"/>
        <w:spacing w:line="360" w:lineRule="auto"/>
        <w:rPr>
          <w:rFonts w:asciiTheme="minorEastAsia" w:hAnsiTheme="minorEastAsia" w:eastAsiaTheme="minorEastAsia" w:cstheme="minorEastAsia"/>
          <w:szCs w:val="21"/>
        </w:rPr>
      </w:pPr>
      <w:r>
        <w:rPr>
          <w:rFonts w:eastAsia="黑体"/>
          <w:szCs w:val="21"/>
        </w:rPr>
        <w:t>大纲编写（修订）时间：</w:t>
      </w:r>
      <w:r>
        <w:rPr>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rPr>
      </w:pPr>
      <w:r>
        <w:rPr>
          <w:rFonts w:eastAsia="黑体"/>
        </w:rPr>
        <w:t>一、课程在教学计划中的地位、作用</w:t>
      </w:r>
    </w:p>
    <w:p>
      <w:pPr>
        <w:adjustRightInd w:val="0"/>
        <w:snapToGrid w:val="0"/>
        <w:spacing w:line="360" w:lineRule="auto"/>
        <w:ind w:firstLine="420" w:firstLineChars="200"/>
        <w:rPr>
          <w:rFonts w:ascii="宋体" w:hAnsi="宋体"/>
          <w:szCs w:val="21"/>
        </w:rPr>
      </w:pPr>
      <w:r>
        <w:rPr>
          <w:rFonts w:ascii="宋体" w:hAnsi="宋体"/>
          <w:szCs w:val="21"/>
        </w:rPr>
        <w:t>本课程是</w:t>
      </w:r>
      <w:r>
        <w:rPr>
          <w:rFonts w:ascii="宋体" w:hAnsi="宋体"/>
        </w:rPr>
        <w:t>电子科学与技术</w:t>
      </w:r>
      <w:r>
        <w:rPr>
          <w:rFonts w:ascii="宋体" w:hAnsi="宋体"/>
          <w:szCs w:val="21"/>
        </w:rPr>
        <w:t>专业光电子技术及应用方向的专业选修课。光纤技术作为一门日趋成熟的技术，已经广泛应用于国民经济的等各种领域。通过该课程的学习使学生系统掌握光纤基本特性、光纤器件、光纤通信技术和光纤传感技术的基本原理，探讨面向工程应用的新一代光纤技术及其发展趋势。培养学生掌握光纤基础理论及应用相关技术和器件的能力，为今后从事光纤技术等方面的研究和工作提供必要的基础知识。</w:t>
      </w:r>
    </w:p>
    <w:p>
      <w:pPr>
        <w:adjustRightInd w:val="0"/>
        <w:snapToGrid w:val="0"/>
        <w:spacing w:line="360" w:lineRule="auto"/>
        <w:ind w:firstLine="420" w:firstLineChars="200"/>
        <w:rPr>
          <w:szCs w:val="21"/>
        </w:rPr>
      </w:pPr>
    </w:p>
    <w:p>
      <w:pPr>
        <w:tabs>
          <w:tab w:val="left" w:pos="420"/>
        </w:tabs>
        <w:adjustRightInd w:val="0"/>
        <w:snapToGrid w:val="0"/>
        <w:spacing w:line="360" w:lineRule="auto"/>
        <w:rPr>
          <w:rFonts w:eastAsia="黑体"/>
          <w:szCs w:val="24"/>
        </w:rPr>
      </w:pPr>
      <w:r>
        <w:rPr>
          <w:rFonts w:eastAsia="黑体"/>
          <w:szCs w:val="24"/>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644"/>
        <w:gridCol w:w="40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kern w:val="0"/>
                <w:sz w:val="18"/>
                <w:szCs w:val="18"/>
              </w:rPr>
            </w:pPr>
            <w:r>
              <w:rPr>
                <w:kern w:val="0"/>
                <w:sz w:val="18"/>
                <w:szCs w:val="18"/>
              </w:rPr>
              <w:t>序号</w:t>
            </w:r>
          </w:p>
        </w:tc>
        <w:tc>
          <w:tcPr>
            <w:tcW w:w="2192" w:type="pct"/>
            <w:vAlign w:val="center"/>
          </w:tcPr>
          <w:p>
            <w:pPr>
              <w:spacing w:line="360" w:lineRule="auto"/>
              <w:jc w:val="center"/>
              <w:rPr>
                <w:kern w:val="0"/>
                <w:sz w:val="18"/>
                <w:szCs w:val="18"/>
              </w:rPr>
            </w:pPr>
            <w:r>
              <w:rPr>
                <w:kern w:val="0"/>
                <w:sz w:val="18"/>
                <w:szCs w:val="18"/>
              </w:rPr>
              <w:t>课程目标</w:t>
            </w:r>
          </w:p>
        </w:tc>
        <w:tc>
          <w:tcPr>
            <w:tcW w:w="2441" w:type="pct"/>
            <w:vAlign w:val="center"/>
          </w:tcPr>
          <w:p>
            <w:pPr>
              <w:spacing w:line="360" w:lineRule="auto"/>
              <w:jc w:val="center"/>
              <w:rPr>
                <w:kern w:val="0"/>
                <w:sz w:val="18"/>
                <w:szCs w:val="18"/>
              </w:rPr>
            </w:pPr>
            <w:r>
              <w:rPr>
                <w:kern w:val="0"/>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kern w:val="0"/>
                <w:sz w:val="18"/>
                <w:szCs w:val="18"/>
              </w:rPr>
            </w:pPr>
            <w:r>
              <w:rPr>
                <w:kern w:val="0"/>
                <w:sz w:val="18"/>
                <w:szCs w:val="18"/>
              </w:rPr>
              <w:t>1</w:t>
            </w:r>
          </w:p>
        </w:tc>
        <w:tc>
          <w:tcPr>
            <w:tcW w:w="2192" w:type="pct"/>
          </w:tcPr>
          <w:p>
            <w:pPr>
              <w:adjustRightInd w:val="0"/>
              <w:snapToGrid w:val="0"/>
              <w:spacing w:line="360" w:lineRule="auto"/>
              <w:rPr>
                <w:kern w:val="0"/>
                <w:sz w:val="18"/>
                <w:szCs w:val="18"/>
              </w:rPr>
            </w:pPr>
            <w:r>
              <w:rPr>
                <w:kern w:val="0"/>
                <w:sz w:val="18"/>
                <w:szCs w:val="18"/>
              </w:rPr>
              <w:t>能够运用光纤传感领域相关概念和背景知识，阐述各种有源或无源光纤器件的原理和功能，关键参数的含义。</w:t>
            </w:r>
          </w:p>
        </w:tc>
        <w:tc>
          <w:tcPr>
            <w:tcW w:w="2441" w:type="pct"/>
          </w:tcPr>
          <w:p>
            <w:pPr>
              <w:adjustRightInd w:val="0"/>
              <w:snapToGrid w:val="0"/>
              <w:spacing w:line="360" w:lineRule="auto"/>
              <w:rPr>
                <w:kern w:val="0"/>
                <w:sz w:val="18"/>
                <w:szCs w:val="18"/>
              </w:rPr>
            </w:pPr>
            <w:r>
              <w:rPr>
                <w:b/>
                <w:bCs/>
                <w:kern w:val="0"/>
                <w:sz w:val="18"/>
                <w:szCs w:val="18"/>
              </w:rPr>
              <w:t>指标点1-1 知识体系：</w:t>
            </w:r>
            <w:r>
              <w:rPr>
                <w:kern w:val="0"/>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kern w:val="0"/>
                <w:sz w:val="18"/>
                <w:szCs w:val="18"/>
              </w:rPr>
            </w:pPr>
            <w:r>
              <w:rPr>
                <w:kern w:val="0"/>
                <w:sz w:val="18"/>
                <w:szCs w:val="18"/>
              </w:rPr>
              <w:t>2</w:t>
            </w:r>
          </w:p>
        </w:tc>
        <w:tc>
          <w:tcPr>
            <w:tcW w:w="2192" w:type="pct"/>
          </w:tcPr>
          <w:p>
            <w:pPr>
              <w:adjustRightInd w:val="0"/>
              <w:snapToGrid w:val="0"/>
              <w:spacing w:line="360" w:lineRule="auto"/>
              <w:rPr>
                <w:kern w:val="0"/>
                <w:sz w:val="18"/>
                <w:szCs w:val="18"/>
              </w:rPr>
            </w:pPr>
            <w:r>
              <w:rPr>
                <w:kern w:val="0"/>
                <w:sz w:val="18"/>
                <w:szCs w:val="18"/>
              </w:rPr>
              <w:t>能够针对特定需要，运用光纤传感系统的相关原理，对实际工程问题进行分解，识别关键设计参数，利用特定光纤器件及相关技术设计解决方案。</w:t>
            </w:r>
          </w:p>
        </w:tc>
        <w:tc>
          <w:tcPr>
            <w:tcW w:w="2441" w:type="pct"/>
          </w:tcPr>
          <w:p>
            <w:pPr>
              <w:adjustRightInd w:val="0"/>
              <w:snapToGrid w:val="0"/>
              <w:spacing w:line="360" w:lineRule="auto"/>
              <w:rPr>
                <w:kern w:val="0"/>
                <w:sz w:val="18"/>
                <w:szCs w:val="18"/>
              </w:rPr>
            </w:pPr>
            <w:r>
              <w:rPr>
                <w:b/>
                <w:bCs/>
                <w:kern w:val="0"/>
                <w:sz w:val="18"/>
                <w:szCs w:val="18"/>
              </w:rPr>
              <w:t>指标点3-1 按需设计：</w:t>
            </w:r>
            <w:r>
              <w:rPr>
                <w:kern w:val="0"/>
                <w:sz w:val="18"/>
                <w:szCs w:val="18"/>
              </w:rPr>
              <w:t>能够根据用户特定需求设计复杂工程问题的解决方案，设计相关的电路系统及工艺流程，并能够针对方案进行优化选择。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kern w:val="0"/>
                <w:sz w:val="18"/>
                <w:szCs w:val="18"/>
              </w:rPr>
            </w:pPr>
            <w:r>
              <w:rPr>
                <w:kern w:val="0"/>
                <w:sz w:val="18"/>
                <w:szCs w:val="18"/>
              </w:rPr>
              <w:t>3</w:t>
            </w:r>
          </w:p>
        </w:tc>
        <w:tc>
          <w:tcPr>
            <w:tcW w:w="2192" w:type="pct"/>
          </w:tcPr>
          <w:p>
            <w:pPr>
              <w:adjustRightInd w:val="0"/>
              <w:snapToGrid w:val="0"/>
              <w:spacing w:line="360" w:lineRule="auto"/>
              <w:rPr>
                <w:kern w:val="0"/>
                <w:sz w:val="18"/>
                <w:szCs w:val="18"/>
              </w:rPr>
            </w:pPr>
            <w:r>
              <w:rPr>
                <w:kern w:val="0"/>
                <w:sz w:val="18"/>
                <w:szCs w:val="18"/>
              </w:rPr>
              <w:t>具备阅读、理解和参考光纤器件相关技术文档或专业文献的能力，知晓光纤传感系统典型应用案例，能够针对光纤传感系统复杂工程问题提出研究及实验方案，进行实验操作，并根据实验结果优化或改进解决方案。</w:t>
            </w:r>
          </w:p>
        </w:tc>
        <w:tc>
          <w:tcPr>
            <w:tcW w:w="2441" w:type="pct"/>
          </w:tcPr>
          <w:p>
            <w:pPr>
              <w:adjustRightInd w:val="0"/>
              <w:snapToGrid w:val="0"/>
              <w:spacing w:line="360" w:lineRule="auto"/>
              <w:rPr>
                <w:kern w:val="0"/>
                <w:sz w:val="18"/>
                <w:szCs w:val="18"/>
              </w:rPr>
            </w:pPr>
            <w:r>
              <w:rPr>
                <w:b/>
                <w:bCs/>
                <w:kern w:val="0"/>
                <w:sz w:val="18"/>
                <w:szCs w:val="18"/>
              </w:rPr>
              <w:t>指标点4-1 领域现状认知能力：</w:t>
            </w:r>
            <w:r>
              <w:rPr>
                <w:kern w:val="0"/>
                <w:sz w:val="18"/>
                <w:szCs w:val="18"/>
              </w:rPr>
              <w:t>了解电子科学与技术专业领域背景及经典案例，能够针对复杂工程问题提出研究思路和分析方法，并有意识地将实验结果用于指导解决方案的改善和优化。</w:t>
            </w:r>
          </w:p>
        </w:tc>
      </w:tr>
    </w:tbl>
    <w:p>
      <w:pPr>
        <w:pStyle w:val="50"/>
        <w:adjustRightInd w:val="0"/>
        <w:snapToGrid w:val="0"/>
        <w:spacing w:line="360" w:lineRule="auto"/>
        <w:ind w:firstLine="0" w:firstLineChars="0"/>
        <w:rPr>
          <w:rFonts w:eastAsia="等线"/>
          <w:szCs w:val="21"/>
        </w:rPr>
      </w:pPr>
    </w:p>
    <w:p>
      <w:pPr>
        <w:tabs>
          <w:tab w:val="left" w:pos="420"/>
        </w:tabs>
        <w:adjustRightInd w:val="0"/>
        <w:snapToGrid w:val="0"/>
        <w:spacing w:line="360" w:lineRule="auto"/>
        <w:ind w:left="420" w:hanging="420"/>
        <w:rPr>
          <w:rFonts w:eastAsia="黑体"/>
          <w:szCs w:val="24"/>
        </w:rPr>
      </w:pPr>
      <w:r>
        <w:rPr>
          <w:rFonts w:eastAsia="黑体"/>
          <w:szCs w:val="24"/>
        </w:rPr>
        <w:t>三、基本要求</w:t>
      </w:r>
    </w:p>
    <w:p>
      <w:pPr>
        <w:adjustRightInd w:val="0"/>
        <w:snapToGrid w:val="0"/>
        <w:spacing w:line="360" w:lineRule="auto"/>
        <w:ind w:firstLine="420" w:firstLineChars="200"/>
        <w:rPr>
          <w:szCs w:val="21"/>
        </w:rPr>
      </w:pPr>
      <w:r>
        <w:rPr>
          <w:szCs w:val="21"/>
        </w:rPr>
        <w:t>1、本课程为专业选修课，要求先修《大学物理》和《光电子技术基础》，在教学中应注重基础知识、基本概念和思维方法的传授，使掌握光纤技术各研究内容及其发展动态，对光纤技术及应用领域基本了解。</w:t>
      </w:r>
    </w:p>
    <w:p>
      <w:pPr>
        <w:adjustRightInd w:val="0"/>
        <w:snapToGrid w:val="0"/>
        <w:spacing w:line="360" w:lineRule="auto"/>
        <w:ind w:firstLine="420" w:firstLineChars="200"/>
        <w:rPr>
          <w:szCs w:val="21"/>
        </w:rPr>
      </w:pPr>
      <w:r>
        <w:rPr>
          <w:szCs w:val="21"/>
        </w:rPr>
        <w:t>2、根据光纤技术的原理和应用，涵盖光纤传感和光纤通信系统构成的重要知识点，体现光纤技术的全貌，全面反应光纤系统中各个环节有关的知识。</w:t>
      </w:r>
    </w:p>
    <w:p>
      <w:pPr>
        <w:adjustRightInd w:val="0"/>
        <w:snapToGrid w:val="0"/>
        <w:spacing w:line="360" w:lineRule="auto"/>
        <w:ind w:firstLine="420" w:firstLineChars="200"/>
        <w:rPr>
          <w:szCs w:val="21"/>
        </w:rPr>
      </w:pPr>
      <w:r>
        <w:rPr>
          <w:szCs w:val="21"/>
        </w:rPr>
        <w:t>3、本课程具有一定的实践性，要求学生通过实验环节把所学的内容巩固和掌握，实验通过分组进行，每组4-6人。</w:t>
      </w:r>
    </w:p>
    <w:p>
      <w:pPr>
        <w:adjustRightInd w:val="0"/>
        <w:snapToGrid w:val="0"/>
        <w:spacing w:line="360" w:lineRule="auto"/>
        <w:ind w:firstLine="420" w:firstLineChars="200"/>
        <w:rPr>
          <w:szCs w:val="21"/>
        </w:rPr>
      </w:pPr>
      <w:r>
        <w:rPr>
          <w:szCs w:val="21"/>
        </w:rPr>
        <w:t>4、深度和广度说明：本课程立足于光纤技术的基本原理和器件，讲授光纤系统中常用的无源和有源器件的原理和应用。注重光纤传感技术的应用，重点介绍光纤传感技术，使学生掌握多种光纤传感器的工作原理以及应用背景。讲授光纤通信的基本原理，包括光复用技术的进展、相干光通信技术的相关原理及关键技术。</w:t>
      </w:r>
    </w:p>
    <w:p>
      <w:pPr>
        <w:adjustRightInd w:val="0"/>
        <w:snapToGrid w:val="0"/>
        <w:spacing w:line="360" w:lineRule="auto"/>
        <w:ind w:firstLine="420" w:firstLineChars="200"/>
        <w:rPr>
          <w:szCs w:val="21"/>
        </w:rPr>
      </w:pPr>
      <w:r>
        <w:rPr>
          <w:szCs w:val="21"/>
        </w:rPr>
        <w:t>在教学过程中，每部分内容都提供相关原理和应用背景，将相关的理论知识与应用实例结合，充分体现了本课程的理论与技术特色。通过课堂讲授、讨论、多媒体教学和实验相结合的教学方式，促进学生对本课程内容的理解。课程内容应加入一些近年光纤技术领域的研究和应用成果，将新相关科研成果融合在教学过程之中，拓宽学生的视野，启发学生对创新的思考。</w:t>
      </w:r>
    </w:p>
    <w:p>
      <w:pPr>
        <w:pStyle w:val="31"/>
        <w:numPr>
          <w:ilvl w:val="0"/>
          <w:numId w:val="25"/>
        </w:numPr>
        <w:adjustRightInd w:val="0"/>
        <w:snapToGrid w:val="0"/>
        <w:spacing w:line="360" w:lineRule="auto"/>
        <w:ind w:firstLineChars="0"/>
        <w:rPr>
          <w:szCs w:val="21"/>
        </w:rPr>
      </w:pPr>
      <w:r>
        <w:rPr>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rPr>
          <w:szCs w:val="21"/>
        </w:rPr>
      </w:pPr>
    </w:p>
    <w:p>
      <w:pPr>
        <w:tabs>
          <w:tab w:val="left" w:pos="420"/>
        </w:tabs>
        <w:adjustRightInd w:val="0"/>
        <w:snapToGrid w:val="0"/>
        <w:spacing w:line="360" w:lineRule="auto"/>
        <w:ind w:left="420" w:hanging="420"/>
        <w:rPr>
          <w:rFonts w:ascii="黑体" w:hAnsi="黑体" w:eastAsia="黑体"/>
          <w:szCs w:val="24"/>
        </w:rPr>
      </w:pPr>
      <w:r>
        <w:rPr>
          <w:rFonts w:ascii="黑体" w:hAnsi="黑体" w:eastAsia="黑体"/>
          <w:szCs w:val="24"/>
        </w:rPr>
        <w:t>四、教学内容和教学方法</w:t>
      </w:r>
    </w:p>
    <w:p>
      <w:pPr>
        <w:adjustRightInd w:val="0"/>
        <w:snapToGrid w:val="0"/>
        <w:spacing w:line="360" w:lineRule="auto"/>
        <w:ind w:firstLine="420" w:firstLineChars="200"/>
        <w:rPr>
          <w:szCs w:val="21"/>
        </w:rPr>
      </w:pPr>
      <w:r>
        <w:rPr>
          <w:szCs w:val="21"/>
        </w:rPr>
        <w:t>本课程重点讲授的内容包括：光纤的基本特性、光纤的连接和耦合、光纤无源器件、光纤有源器件、光纤传感技术、光纤通信技术和特种光纤技术等。</w:t>
      </w:r>
    </w:p>
    <w:p>
      <w:pPr>
        <w:adjustRightInd w:val="0"/>
        <w:snapToGrid w:val="0"/>
        <w:spacing w:line="360" w:lineRule="auto"/>
        <w:ind w:firstLine="420" w:firstLineChars="200"/>
        <w:rPr>
          <w:szCs w:val="21"/>
        </w:rPr>
      </w:pPr>
      <w:r>
        <w:rPr>
          <w:szCs w:val="21"/>
        </w:rPr>
        <w:t>本课程在教学方法上，充分利用各种媒体教学手段，采取课堂教学、多媒体课件、分组实验方式有机结合，提高教学效率。</w:t>
      </w:r>
    </w:p>
    <w:p>
      <w:pPr>
        <w:adjustRightInd w:val="0"/>
        <w:snapToGrid w:val="0"/>
        <w:spacing w:line="360" w:lineRule="auto"/>
        <w:ind w:firstLine="420" w:firstLineChars="200"/>
        <w:rPr>
          <w:rFonts w:ascii="宋体" w:hAnsi="宋体" w:cstheme="minorEastAsia"/>
          <w:szCs w:val="21"/>
        </w:rPr>
      </w:pPr>
      <w:r>
        <w:rPr>
          <w:szCs w:val="21"/>
        </w:rPr>
        <w:t>为了提高学生的学习兴趣，并取得良好的教学效果，教师在知识讲解的过程中要充分利用问题引导</w:t>
      </w:r>
      <w:r>
        <w:rPr>
          <w:rFonts w:hint="eastAsia" w:asciiTheme="minorEastAsia" w:hAnsiTheme="minorEastAsia" w:eastAsiaTheme="minorEastAsia" w:cstheme="minorEastAsia"/>
          <w:szCs w:val="21"/>
        </w:rPr>
        <w:t>、</w:t>
      </w:r>
      <w:r>
        <w:rPr>
          <w:rFonts w:hint="eastAsia" w:ascii="宋体" w:hAnsi="宋体" w:cstheme="minorEastAsia"/>
          <w:szCs w:val="21"/>
        </w:rPr>
        <w:t>案例分析等多种教学方法，必要时，采取视频制作呈现的方式以进一步提高教学质量。</w:t>
      </w:r>
    </w:p>
    <w:p>
      <w:pPr>
        <w:pStyle w:val="50"/>
        <w:widowControl/>
        <w:adjustRightInd w:val="0"/>
        <w:snapToGrid w:val="0"/>
        <w:spacing w:line="360" w:lineRule="auto"/>
        <w:ind w:firstLineChars="0"/>
        <w:jc w:val="left"/>
        <w:rPr>
          <w:rFonts w:eastAsia="黑体"/>
          <w:snapToGrid w:val="0"/>
          <w:kern w:val="0"/>
          <w:szCs w:val="21"/>
        </w:rPr>
      </w:pPr>
      <w:r>
        <w:rPr>
          <w:rFonts w:eastAsia="黑体"/>
          <w:snapToGrid w:val="0"/>
          <w:kern w:val="0"/>
          <w:szCs w:val="21"/>
        </w:rPr>
        <w:t>1绪论（2学时）</w:t>
      </w:r>
    </w:p>
    <w:p>
      <w:pPr>
        <w:adjustRightInd w:val="0"/>
        <w:snapToGrid w:val="0"/>
        <w:spacing w:line="360" w:lineRule="auto"/>
        <w:ind w:left="426"/>
        <w:rPr>
          <w:szCs w:val="21"/>
        </w:rPr>
      </w:pPr>
      <w:r>
        <w:rPr>
          <w:szCs w:val="21"/>
        </w:rPr>
        <w:t>1.1、光纤技术的发展历程以及光纤通信和传感的关系；</w:t>
      </w:r>
    </w:p>
    <w:p>
      <w:pPr>
        <w:adjustRightInd w:val="0"/>
        <w:snapToGrid w:val="0"/>
        <w:spacing w:line="360" w:lineRule="auto"/>
        <w:ind w:firstLine="420" w:firstLineChars="200"/>
        <w:rPr>
          <w:szCs w:val="21"/>
        </w:rPr>
      </w:pPr>
      <w:r>
        <w:rPr>
          <w:szCs w:val="21"/>
        </w:rPr>
        <w:t>1.2、光纤通信技术发展及应用；</w:t>
      </w:r>
    </w:p>
    <w:p>
      <w:pPr>
        <w:adjustRightInd w:val="0"/>
        <w:snapToGrid w:val="0"/>
        <w:spacing w:line="360" w:lineRule="auto"/>
        <w:ind w:firstLine="420" w:firstLineChars="200"/>
        <w:rPr>
          <w:szCs w:val="21"/>
        </w:rPr>
      </w:pPr>
      <w:r>
        <w:rPr>
          <w:szCs w:val="21"/>
        </w:rPr>
        <w:t>1.3、光纤传感技术发展及应用；</w:t>
      </w:r>
    </w:p>
    <w:p>
      <w:pPr>
        <w:adjustRightInd w:val="0"/>
        <w:snapToGrid w:val="0"/>
        <w:spacing w:line="360" w:lineRule="auto"/>
        <w:ind w:firstLine="420" w:firstLineChars="200"/>
        <w:rPr>
          <w:rFonts w:asciiTheme="minorEastAsia" w:hAnsiTheme="minorEastAsia" w:eastAsiaTheme="minorEastAsia" w:cstheme="minorEastAsia"/>
          <w:szCs w:val="21"/>
        </w:rPr>
      </w:pPr>
      <w:r>
        <w:rPr>
          <w:szCs w:val="21"/>
        </w:rPr>
        <w:t>本章内容支撑课程目标1。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2光纤的基本特性（</w:t>
      </w:r>
      <w:r>
        <w:rPr>
          <w:rFonts w:hint="eastAsia" w:eastAsia="黑体"/>
          <w:snapToGrid w:val="0"/>
          <w:kern w:val="0"/>
          <w:szCs w:val="21"/>
        </w:rPr>
        <w:t>2</w:t>
      </w:r>
      <w:r>
        <w:rPr>
          <w:rFonts w:eastAsia="黑体"/>
          <w:snapToGrid w:val="0"/>
          <w:kern w:val="0"/>
          <w:szCs w:val="21"/>
        </w:rPr>
        <w:t>学时）</w:t>
      </w:r>
    </w:p>
    <w:p>
      <w:pPr>
        <w:adjustRightInd w:val="0"/>
        <w:snapToGrid w:val="0"/>
        <w:spacing w:line="360" w:lineRule="auto"/>
        <w:ind w:firstLine="420" w:firstLineChars="200"/>
        <w:rPr>
          <w:szCs w:val="21"/>
        </w:rPr>
      </w:pPr>
      <w:r>
        <w:rPr>
          <w:szCs w:val="21"/>
        </w:rPr>
        <w:t>2.1</w:t>
      </w:r>
      <w:r>
        <w:rPr>
          <w:snapToGrid w:val="0"/>
          <w:kern w:val="0"/>
          <w:szCs w:val="21"/>
        </w:rPr>
        <w:t>、</w:t>
      </w:r>
      <w:r>
        <w:rPr>
          <w:szCs w:val="21"/>
        </w:rPr>
        <w:t>光纤的基本结构、种类、材料和制作方式，以及光缆成缆技术；</w:t>
      </w:r>
    </w:p>
    <w:p>
      <w:pPr>
        <w:adjustRightInd w:val="0"/>
        <w:snapToGrid w:val="0"/>
        <w:spacing w:line="360" w:lineRule="auto"/>
        <w:ind w:firstLine="420" w:firstLineChars="200"/>
        <w:rPr>
          <w:szCs w:val="21"/>
        </w:rPr>
      </w:pPr>
      <w:r>
        <w:rPr>
          <w:szCs w:val="21"/>
        </w:rPr>
        <w:t>2.2</w:t>
      </w:r>
      <w:r>
        <w:rPr>
          <w:snapToGrid w:val="0"/>
          <w:kern w:val="0"/>
          <w:szCs w:val="21"/>
        </w:rPr>
        <w:t>、</w:t>
      </w:r>
      <w:r>
        <w:rPr>
          <w:szCs w:val="21"/>
        </w:rPr>
        <w:t>光线理论、光纤中的模式理论、单模光纤中的偏振现象；</w:t>
      </w:r>
      <w:r>
        <w:rPr>
          <w:snapToGrid w:val="0"/>
          <w:kern w:val="0"/>
          <w:szCs w:val="21"/>
        </w:rPr>
        <w:t>（难点、重点）</w:t>
      </w:r>
    </w:p>
    <w:p>
      <w:pPr>
        <w:adjustRightInd w:val="0"/>
        <w:snapToGrid w:val="0"/>
        <w:spacing w:line="360" w:lineRule="auto"/>
        <w:ind w:firstLine="420" w:firstLineChars="200"/>
        <w:rPr>
          <w:rFonts w:asciiTheme="minorEastAsia" w:hAnsiTheme="minorEastAsia" w:eastAsiaTheme="minorEastAsia" w:cstheme="minorEastAsia"/>
          <w:szCs w:val="21"/>
        </w:rPr>
      </w:pPr>
      <w:r>
        <w:rPr>
          <w:szCs w:val="21"/>
        </w:rPr>
        <w:t>本章内容支撑课程目标1</w:t>
      </w:r>
      <w:r>
        <w:rPr>
          <w:rFonts w:hint="eastAsia" w:asciiTheme="minorEastAsia" w:hAnsiTheme="minorEastAsia" w:eastAsiaTheme="minorEastAsia" w:cstheme="minorEastAsia"/>
          <w:szCs w:val="21"/>
        </w:rPr>
        <w:t>。</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3光纤的连接和耦合（</w:t>
      </w:r>
      <w:r>
        <w:rPr>
          <w:rFonts w:hint="eastAsia" w:eastAsia="黑体"/>
          <w:snapToGrid w:val="0"/>
          <w:kern w:val="0"/>
          <w:szCs w:val="21"/>
        </w:rPr>
        <w:t>2</w:t>
      </w:r>
      <w:r>
        <w:rPr>
          <w:rFonts w:eastAsia="黑体"/>
          <w:snapToGrid w:val="0"/>
          <w:kern w:val="0"/>
          <w:szCs w:val="21"/>
        </w:rPr>
        <w:t>学时）</w:t>
      </w:r>
    </w:p>
    <w:p>
      <w:pPr>
        <w:adjustRightInd w:val="0"/>
        <w:snapToGrid w:val="0"/>
        <w:spacing w:line="360" w:lineRule="auto"/>
        <w:ind w:firstLine="420" w:firstLineChars="200"/>
        <w:rPr>
          <w:szCs w:val="21"/>
        </w:rPr>
      </w:pPr>
      <w:r>
        <w:rPr>
          <w:szCs w:val="21"/>
        </w:rPr>
        <w:t>3.1</w:t>
      </w:r>
      <w:r>
        <w:rPr>
          <w:snapToGrid w:val="0"/>
          <w:kern w:val="0"/>
          <w:szCs w:val="21"/>
        </w:rPr>
        <w:t>、</w:t>
      </w:r>
      <w:r>
        <w:rPr>
          <w:szCs w:val="21"/>
        </w:rPr>
        <w:t>光纤与光纤的连接损耗的来源；</w:t>
      </w:r>
    </w:p>
    <w:p>
      <w:pPr>
        <w:adjustRightInd w:val="0"/>
        <w:snapToGrid w:val="0"/>
        <w:spacing w:line="360" w:lineRule="auto"/>
        <w:ind w:firstLine="420" w:firstLineChars="200"/>
        <w:rPr>
          <w:szCs w:val="21"/>
        </w:rPr>
      </w:pPr>
      <w:r>
        <w:rPr>
          <w:szCs w:val="21"/>
        </w:rPr>
        <w:t>3.2</w:t>
      </w:r>
      <w:r>
        <w:rPr>
          <w:snapToGrid w:val="0"/>
          <w:kern w:val="0"/>
          <w:szCs w:val="21"/>
        </w:rPr>
        <w:t>、</w:t>
      </w:r>
      <w:r>
        <w:rPr>
          <w:szCs w:val="21"/>
        </w:rPr>
        <w:t>光纤的固定和活动连接技术；</w:t>
      </w:r>
      <w:r>
        <w:rPr>
          <w:snapToGrid w:val="0"/>
          <w:kern w:val="0"/>
          <w:szCs w:val="21"/>
        </w:rPr>
        <w:t>（重点）</w:t>
      </w:r>
    </w:p>
    <w:p>
      <w:pPr>
        <w:adjustRightInd w:val="0"/>
        <w:snapToGrid w:val="0"/>
        <w:spacing w:line="360" w:lineRule="auto"/>
        <w:ind w:firstLine="420" w:firstLineChars="200"/>
        <w:rPr>
          <w:szCs w:val="21"/>
        </w:rPr>
      </w:pPr>
      <w:r>
        <w:rPr>
          <w:szCs w:val="21"/>
        </w:rPr>
        <w:t>3.3</w:t>
      </w:r>
      <w:r>
        <w:rPr>
          <w:snapToGrid w:val="0"/>
          <w:kern w:val="0"/>
          <w:szCs w:val="21"/>
        </w:rPr>
        <w:t>、</w:t>
      </w:r>
      <w:r>
        <w:rPr>
          <w:szCs w:val="21"/>
        </w:rPr>
        <w:t>光源与光纤的连接技术；</w:t>
      </w:r>
    </w:p>
    <w:p>
      <w:pPr>
        <w:adjustRightInd w:val="0"/>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本章内容支撑课程目标2。</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4 光纤无源器件（4学时）</w:t>
      </w:r>
    </w:p>
    <w:p>
      <w:pPr>
        <w:adjustRightInd w:val="0"/>
        <w:snapToGrid w:val="0"/>
        <w:spacing w:line="360" w:lineRule="auto"/>
        <w:ind w:firstLine="420" w:firstLineChars="200"/>
        <w:rPr>
          <w:szCs w:val="21"/>
        </w:rPr>
      </w:pPr>
      <w:r>
        <w:rPr>
          <w:szCs w:val="21"/>
        </w:rPr>
        <w:t>4.1</w:t>
      </w:r>
      <w:r>
        <w:rPr>
          <w:snapToGrid w:val="0"/>
          <w:kern w:val="0"/>
          <w:szCs w:val="21"/>
        </w:rPr>
        <w:t>、</w:t>
      </w:r>
      <w:r>
        <w:rPr>
          <w:szCs w:val="21"/>
        </w:rPr>
        <w:t>光纤连接器和光纤耦合器的原理和应用；</w:t>
      </w:r>
      <w:r>
        <w:rPr>
          <w:snapToGrid w:val="0"/>
          <w:kern w:val="0"/>
          <w:szCs w:val="21"/>
        </w:rPr>
        <w:t>（重点）</w:t>
      </w:r>
    </w:p>
    <w:p>
      <w:pPr>
        <w:adjustRightInd w:val="0"/>
        <w:snapToGrid w:val="0"/>
        <w:spacing w:line="360" w:lineRule="auto"/>
        <w:ind w:firstLine="420" w:firstLineChars="200"/>
        <w:rPr>
          <w:szCs w:val="21"/>
        </w:rPr>
      </w:pPr>
      <w:r>
        <w:rPr>
          <w:szCs w:val="21"/>
        </w:rPr>
        <w:t>4.2</w:t>
      </w:r>
      <w:r>
        <w:rPr>
          <w:snapToGrid w:val="0"/>
          <w:kern w:val="0"/>
          <w:szCs w:val="21"/>
        </w:rPr>
        <w:t>、</w:t>
      </w:r>
      <w:r>
        <w:rPr>
          <w:szCs w:val="21"/>
        </w:rPr>
        <w:t>光隔离器和光环行器的原理和应用；</w:t>
      </w:r>
    </w:p>
    <w:p>
      <w:pPr>
        <w:adjustRightInd w:val="0"/>
        <w:snapToGrid w:val="0"/>
        <w:spacing w:line="360" w:lineRule="auto"/>
        <w:ind w:firstLine="420" w:firstLineChars="200"/>
        <w:rPr>
          <w:szCs w:val="21"/>
        </w:rPr>
      </w:pPr>
      <w:r>
        <w:rPr>
          <w:szCs w:val="21"/>
        </w:rPr>
        <w:t>4.3</w:t>
      </w:r>
      <w:r>
        <w:rPr>
          <w:snapToGrid w:val="0"/>
          <w:kern w:val="0"/>
          <w:szCs w:val="21"/>
        </w:rPr>
        <w:t>、</w:t>
      </w:r>
      <w:r>
        <w:rPr>
          <w:szCs w:val="21"/>
        </w:rPr>
        <w:t>光纤光栅的原理和技术；</w:t>
      </w:r>
    </w:p>
    <w:p>
      <w:pPr>
        <w:adjustRightInd w:val="0"/>
        <w:snapToGrid w:val="0"/>
        <w:spacing w:line="360" w:lineRule="auto"/>
        <w:ind w:firstLine="420" w:firstLineChars="200"/>
        <w:rPr>
          <w:rFonts w:asciiTheme="minorEastAsia" w:hAnsiTheme="minorEastAsia" w:eastAsiaTheme="minorEastAsia" w:cstheme="minorEastAsia"/>
          <w:szCs w:val="21"/>
        </w:rPr>
      </w:pPr>
      <w:r>
        <w:rPr>
          <w:szCs w:val="21"/>
        </w:rPr>
        <w:t>4.4</w:t>
      </w:r>
      <w:r>
        <w:rPr>
          <w:snapToGrid w:val="0"/>
          <w:kern w:val="0"/>
          <w:szCs w:val="21"/>
        </w:rPr>
        <w:t>、</w:t>
      </w:r>
      <w:r>
        <w:rPr>
          <w:szCs w:val="21"/>
        </w:rPr>
        <w:t>光学滤波器的原理和技术；</w:t>
      </w:r>
    </w:p>
    <w:p>
      <w:pPr>
        <w:adjustRightInd w:val="0"/>
        <w:snapToGrid w:val="0"/>
        <w:spacing w:line="360" w:lineRule="auto"/>
        <w:ind w:firstLine="420" w:firstLineChars="200"/>
        <w:rPr>
          <w:szCs w:val="21"/>
        </w:rPr>
      </w:pPr>
      <w:r>
        <w:rPr>
          <w:szCs w:val="21"/>
        </w:rPr>
        <w:t>4.5</w:t>
      </w:r>
      <w:r>
        <w:rPr>
          <w:snapToGrid w:val="0"/>
          <w:kern w:val="0"/>
          <w:szCs w:val="21"/>
        </w:rPr>
        <w:t>、</w:t>
      </w:r>
      <w:r>
        <w:rPr>
          <w:szCs w:val="21"/>
        </w:rPr>
        <w:t>光波分复用器件的原理和应用；</w:t>
      </w:r>
      <w:r>
        <w:rPr>
          <w:snapToGrid w:val="0"/>
          <w:kern w:val="0"/>
          <w:szCs w:val="21"/>
        </w:rPr>
        <w:t>（难点、重点）</w:t>
      </w:r>
    </w:p>
    <w:p>
      <w:pPr>
        <w:adjustRightInd w:val="0"/>
        <w:snapToGrid w:val="0"/>
        <w:spacing w:line="360" w:lineRule="auto"/>
        <w:ind w:firstLine="420" w:firstLineChars="200"/>
        <w:rPr>
          <w:rFonts w:asciiTheme="minorEastAsia" w:hAnsiTheme="minorEastAsia" w:eastAsiaTheme="minorEastAsia" w:cstheme="minorEastAsia"/>
          <w:szCs w:val="21"/>
        </w:rPr>
      </w:pPr>
      <w:r>
        <w:rPr>
          <w:szCs w:val="21"/>
        </w:rPr>
        <w:t>4.6</w:t>
      </w:r>
      <w:r>
        <w:rPr>
          <w:snapToGrid w:val="0"/>
          <w:kern w:val="0"/>
          <w:szCs w:val="21"/>
        </w:rPr>
        <w:t>、</w:t>
      </w:r>
      <w:r>
        <w:rPr>
          <w:szCs w:val="21"/>
        </w:rPr>
        <w:t>光开关的原理和技术；</w:t>
      </w:r>
    </w:p>
    <w:p>
      <w:pPr>
        <w:adjustRightInd w:val="0"/>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本章内容支撑课程目标1。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5光纤有源器件（</w:t>
      </w:r>
      <w:r>
        <w:rPr>
          <w:rFonts w:hint="eastAsia" w:eastAsia="黑体"/>
          <w:snapToGrid w:val="0"/>
          <w:kern w:val="0"/>
          <w:szCs w:val="21"/>
        </w:rPr>
        <w:t>4</w:t>
      </w:r>
      <w:r>
        <w:rPr>
          <w:rFonts w:eastAsia="黑体"/>
          <w:snapToGrid w:val="0"/>
          <w:kern w:val="0"/>
          <w:szCs w:val="21"/>
        </w:rPr>
        <w:t>学时）</w:t>
      </w:r>
    </w:p>
    <w:p>
      <w:pPr>
        <w:adjustRightInd w:val="0"/>
        <w:snapToGrid w:val="0"/>
        <w:spacing w:line="360" w:lineRule="auto"/>
        <w:ind w:firstLine="420" w:firstLineChars="200"/>
        <w:rPr>
          <w:szCs w:val="21"/>
        </w:rPr>
      </w:pPr>
      <w:r>
        <w:rPr>
          <w:szCs w:val="21"/>
        </w:rPr>
        <w:t>5.1</w:t>
      </w:r>
      <w:r>
        <w:rPr>
          <w:snapToGrid w:val="0"/>
          <w:kern w:val="0"/>
          <w:szCs w:val="21"/>
        </w:rPr>
        <w:t>、</w:t>
      </w:r>
      <w:r>
        <w:rPr>
          <w:szCs w:val="21"/>
        </w:rPr>
        <w:t>光调制器的原理和应用；</w:t>
      </w:r>
    </w:p>
    <w:p>
      <w:pPr>
        <w:adjustRightInd w:val="0"/>
        <w:snapToGrid w:val="0"/>
        <w:spacing w:line="360" w:lineRule="auto"/>
        <w:ind w:firstLine="420" w:firstLineChars="200"/>
        <w:rPr>
          <w:szCs w:val="21"/>
        </w:rPr>
      </w:pPr>
      <w:r>
        <w:rPr>
          <w:szCs w:val="21"/>
        </w:rPr>
        <w:t>5.2</w:t>
      </w:r>
      <w:r>
        <w:rPr>
          <w:snapToGrid w:val="0"/>
          <w:kern w:val="0"/>
          <w:szCs w:val="21"/>
        </w:rPr>
        <w:t>、</w:t>
      </w:r>
      <w:r>
        <w:rPr>
          <w:szCs w:val="21"/>
        </w:rPr>
        <w:t>发光二极管和激光二极管的原理和应用；</w:t>
      </w:r>
    </w:p>
    <w:p>
      <w:pPr>
        <w:adjustRightInd w:val="0"/>
        <w:snapToGrid w:val="0"/>
        <w:spacing w:line="360" w:lineRule="auto"/>
        <w:ind w:firstLine="420" w:firstLineChars="200"/>
        <w:rPr>
          <w:szCs w:val="21"/>
        </w:rPr>
      </w:pPr>
      <w:r>
        <w:rPr>
          <w:szCs w:val="21"/>
        </w:rPr>
        <w:t>5.3</w:t>
      </w:r>
      <w:r>
        <w:rPr>
          <w:snapToGrid w:val="0"/>
          <w:kern w:val="0"/>
          <w:szCs w:val="21"/>
        </w:rPr>
        <w:t>、</w:t>
      </w:r>
      <w:r>
        <w:rPr>
          <w:szCs w:val="21"/>
        </w:rPr>
        <w:t>光探测器技术和特点；</w:t>
      </w:r>
    </w:p>
    <w:p>
      <w:pPr>
        <w:adjustRightInd w:val="0"/>
        <w:snapToGrid w:val="0"/>
        <w:spacing w:line="360" w:lineRule="auto"/>
        <w:ind w:firstLine="420" w:firstLineChars="200"/>
        <w:rPr>
          <w:snapToGrid w:val="0"/>
          <w:kern w:val="0"/>
          <w:szCs w:val="21"/>
        </w:rPr>
      </w:pPr>
      <w:r>
        <w:rPr>
          <w:szCs w:val="21"/>
        </w:rPr>
        <w:t>5.4</w:t>
      </w:r>
      <w:r>
        <w:rPr>
          <w:snapToGrid w:val="0"/>
          <w:kern w:val="0"/>
          <w:szCs w:val="21"/>
        </w:rPr>
        <w:t>、</w:t>
      </w:r>
      <w:r>
        <w:rPr>
          <w:szCs w:val="21"/>
        </w:rPr>
        <w:t>光纤放大器的原理和应用；</w:t>
      </w:r>
      <w:r>
        <w:rPr>
          <w:snapToGrid w:val="0"/>
          <w:kern w:val="0"/>
          <w:szCs w:val="21"/>
        </w:rPr>
        <w:t>（难点、重点）</w:t>
      </w:r>
    </w:p>
    <w:p>
      <w:pPr>
        <w:adjustRightInd w:val="0"/>
        <w:snapToGrid w:val="0"/>
        <w:spacing w:line="360" w:lineRule="auto"/>
        <w:ind w:firstLine="420" w:firstLineChars="200"/>
        <w:rPr>
          <w:szCs w:val="21"/>
        </w:rPr>
      </w:pPr>
      <w:r>
        <w:rPr>
          <w:szCs w:val="21"/>
        </w:rPr>
        <w:t>本章内容支撑课程目标1。</w:t>
      </w:r>
    </w:p>
    <w:p>
      <w:pPr>
        <w:widowControl/>
        <w:adjustRightInd w:val="0"/>
        <w:snapToGrid w:val="0"/>
        <w:spacing w:line="360" w:lineRule="auto"/>
        <w:ind w:left="426"/>
        <w:jc w:val="left"/>
        <w:rPr>
          <w:rFonts w:ascii="黑体" w:hAnsi="黑体" w:eastAsia="黑体" w:cs="黑体"/>
          <w:snapToGrid w:val="0"/>
          <w:kern w:val="0"/>
          <w:szCs w:val="21"/>
        </w:rPr>
      </w:pPr>
      <w:r>
        <w:rPr>
          <w:rFonts w:hint="eastAsia" w:ascii="黑体" w:hAnsi="黑体" w:eastAsia="黑体" w:cs="黑体"/>
          <w:snapToGrid w:val="0"/>
          <w:kern w:val="0"/>
          <w:szCs w:val="21"/>
        </w:rPr>
        <w:t>6光纤传感技术（4学时）</w:t>
      </w:r>
    </w:p>
    <w:p>
      <w:pPr>
        <w:adjustRightInd w:val="0"/>
        <w:snapToGrid w:val="0"/>
        <w:spacing w:line="360" w:lineRule="auto"/>
        <w:ind w:firstLine="420" w:firstLineChars="200"/>
        <w:rPr>
          <w:szCs w:val="21"/>
        </w:rPr>
      </w:pPr>
      <w:r>
        <w:rPr>
          <w:szCs w:val="21"/>
        </w:rPr>
        <w:t>6.1</w:t>
      </w:r>
      <w:r>
        <w:rPr>
          <w:snapToGrid w:val="0"/>
          <w:kern w:val="0"/>
          <w:szCs w:val="21"/>
        </w:rPr>
        <w:t>、</w:t>
      </w:r>
      <w:r>
        <w:rPr>
          <w:szCs w:val="21"/>
        </w:rPr>
        <w:t>光纤传感器的原理与分类；</w:t>
      </w:r>
    </w:p>
    <w:p>
      <w:pPr>
        <w:adjustRightInd w:val="0"/>
        <w:snapToGrid w:val="0"/>
        <w:spacing w:line="360" w:lineRule="auto"/>
        <w:ind w:firstLine="420" w:firstLineChars="200"/>
        <w:rPr>
          <w:szCs w:val="21"/>
        </w:rPr>
      </w:pPr>
      <w:r>
        <w:rPr>
          <w:szCs w:val="21"/>
        </w:rPr>
        <w:t>6.2</w:t>
      </w:r>
      <w:r>
        <w:rPr>
          <w:snapToGrid w:val="0"/>
          <w:kern w:val="0"/>
          <w:szCs w:val="21"/>
        </w:rPr>
        <w:t>、</w:t>
      </w:r>
      <w:r>
        <w:rPr>
          <w:szCs w:val="21"/>
        </w:rPr>
        <w:t>强度调制型光纤传感器的原理和应用；</w:t>
      </w:r>
    </w:p>
    <w:p>
      <w:pPr>
        <w:adjustRightInd w:val="0"/>
        <w:snapToGrid w:val="0"/>
        <w:spacing w:line="360" w:lineRule="auto"/>
        <w:ind w:firstLine="420" w:firstLineChars="200"/>
        <w:rPr>
          <w:szCs w:val="21"/>
        </w:rPr>
      </w:pPr>
      <w:r>
        <w:rPr>
          <w:szCs w:val="21"/>
        </w:rPr>
        <w:t>6.3</w:t>
      </w:r>
      <w:r>
        <w:rPr>
          <w:snapToGrid w:val="0"/>
          <w:kern w:val="0"/>
          <w:szCs w:val="21"/>
        </w:rPr>
        <w:t>、</w:t>
      </w:r>
      <w:r>
        <w:rPr>
          <w:szCs w:val="21"/>
        </w:rPr>
        <w:t>相位调制型光纤传感器的原理和应用；（重点）</w:t>
      </w:r>
    </w:p>
    <w:p>
      <w:pPr>
        <w:adjustRightInd w:val="0"/>
        <w:snapToGrid w:val="0"/>
        <w:spacing w:line="360" w:lineRule="auto"/>
        <w:ind w:firstLine="420" w:firstLineChars="200"/>
        <w:rPr>
          <w:szCs w:val="21"/>
        </w:rPr>
      </w:pPr>
      <w:r>
        <w:rPr>
          <w:szCs w:val="21"/>
        </w:rPr>
        <w:t>6.4</w:t>
      </w:r>
      <w:r>
        <w:rPr>
          <w:snapToGrid w:val="0"/>
          <w:kern w:val="0"/>
          <w:szCs w:val="21"/>
        </w:rPr>
        <w:t>、</w:t>
      </w:r>
      <w:r>
        <w:rPr>
          <w:szCs w:val="21"/>
        </w:rPr>
        <w:t>波长调制型光纤传感器的原理和应用；</w:t>
      </w:r>
    </w:p>
    <w:p>
      <w:pPr>
        <w:adjustRightInd w:val="0"/>
        <w:snapToGrid w:val="0"/>
        <w:spacing w:line="360" w:lineRule="auto"/>
        <w:ind w:firstLine="420" w:firstLineChars="200"/>
        <w:rPr>
          <w:szCs w:val="21"/>
        </w:rPr>
      </w:pPr>
      <w:r>
        <w:rPr>
          <w:szCs w:val="21"/>
        </w:rPr>
        <w:t>6.5</w:t>
      </w:r>
      <w:r>
        <w:rPr>
          <w:snapToGrid w:val="0"/>
          <w:kern w:val="0"/>
          <w:szCs w:val="21"/>
        </w:rPr>
        <w:t>、</w:t>
      </w:r>
      <w:r>
        <w:rPr>
          <w:szCs w:val="21"/>
        </w:rPr>
        <w:t>分布式光纤传感器的原理和应用；（难点、重点）</w:t>
      </w:r>
    </w:p>
    <w:p>
      <w:pPr>
        <w:adjustRightInd w:val="0"/>
        <w:snapToGrid w:val="0"/>
        <w:spacing w:line="360" w:lineRule="auto"/>
        <w:ind w:firstLine="420" w:firstLineChars="200"/>
        <w:rPr>
          <w:szCs w:val="21"/>
        </w:rPr>
      </w:pPr>
      <w:r>
        <w:rPr>
          <w:szCs w:val="21"/>
        </w:rPr>
        <w:t>6.6</w:t>
      </w:r>
      <w:r>
        <w:rPr>
          <w:snapToGrid w:val="0"/>
          <w:kern w:val="0"/>
          <w:szCs w:val="21"/>
        </w:rPr>
        <w:t>、</w:t>
      </w:r>
      <w:r>
        <w:rPr>
          <w:szCs w:val="21"/>
        </w:rPr>
        <w:t>光纤传感器的典型应用；</w:t>
      </w:r>
    </w:p>
    <w:p>
      <w:pPr>
        <w:adjustRightInd w:val="0"/>
        <w:snapToGrid w:val="0"/>
        <w:spacing w:line="360" w:lineRule="auto"/>
        <w:ind w:firstLine="420" w:firstLineChars="200"/>
        <w:rPr>
          <w:szCs w:val="21"/>
        </w:rPr>
      </w:pPr>
      <w:r>
        <w:rPr>
          <w:szCs w:val="21"/>
        </w:rPr>
        <w:t>本章内容支撑课程目标2。</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7光纤通信技术（</w:t>
      </w:r>
      <w:r>
        <w:rPr>
          <w:rFonts w:hint="eastAsia" w:eastAsia="黑体"/>
          <w:snapToGrid w:val="0"/>
          <w:kern w:val="0"/>
          <w:szCs w:val="21"/>
        </w:rPr>
        <w:t>4</w:t>
      </w:r>
      <w:r>
        <w:rPr>
          <w:rFonts w:eastAsia="黑体"/>
          <w:snapToGrid w:val="0"/>
          <w:kern w:val="0"/>
          <w:szCs w:val="21"/>
        </w:rPr>
        <w:t>学时）</w:t>
      </w:r>
    </w:p>
    <w:p>
      <w:pPr>
        <w:adjustRightInd w:val="0"/>
        <w:snapToGrid w:val="0"/>
        <w:spacing w:line="360" w:lineRule="auto"/>
        <w:ind w:firstLine="420" w:firstLineChars="200"/>
        <w:rPr>
          <w:szCs w:val="21"/>
        </w:rPr>
      </w:pPr>
      <w:r>
        <w:rPr>
          <w:szCs w:val="21"/>
        </w:rPr>
        <w:t>7.1</w:t>
      </w:r>
      <w:r>
        <w:rPr>
          <w:snapToGrid w:val="0"/>
          <w:kern w:val="0"/>
          <w:szCs w:val="21"/>
        </w:rPr>
        <w:t>、</w:t>
      </w:r>
      <w:r>
        <w:rPr>
          <w:szCs w:val="21"/>
        </w:rPr>
        <w:t>光纤通信系统的基本组成和原理；</w:t>
      </w:r>
    </w:p>
    <w:p>
      <w:pPr>
        <w:adjustRightInd w:val="0"/>
        <w:snapToGrid w:val="0"/>
        <w:spacing w:line="360" w:lineRule="auto"/>
        <w:ind w:firstLine="420" w:firstLineChars="200"/>
        <w:rPr>
          <w:szCs w:val="21"/>
        </w:rPr>
      </w:pPr>
      <w:r>
        <w:rPr>
          <w:szCs w:val="21"/>
        </w:rPr>
        <w:t>7.2</w:t>
      </w:r>
      <w:r>
        <w:rPr>
          <w:snapToGrid w:val="0"/>
          <w:kern w:val="0"/>
          <w:szCs w:val="21"/>
        </w:rPr>
        <w:t>、</w:t>
      </w:r>
      <w:r>
        <w:rPr>
          <w:szCs w:val="21"/>
        </w:rPr>
        <w:t>光纤通信系统中的复用技术；</w:t>
      </w:r>
      <w:r>
        <w:rPr>
          <w:snapToGrid w:val="0"/>
          <w:kern w:val="0"/>
          <w:szCs w:val="21"/>
        </w:rPr>
        <w:t>（难点、重点）</w:t>
      </w:r>
    </w:p>
    <w:p>
      <w:pPr>
        <w:adjustRightInd w:val="0"/>
        <w:snapToGrid w:val="0"/>
        <w:spacing w:line="360" w:lineRule="auto"/>
        <w:ind w:firstLine="420" w:firstLineChars="200"/>
        <w:rPr>
          <w:szCs w:val="21"/>
        </w:rPr>
      </w:pPr>
      <w:r>
        <w:rPr>
          <w:szCs w:val="21"/>
        </w:rPr>
        <w:t>7.3、相干光纤通信系统的原理和技术；</w:t>
      </w:r>
    </w:p>
    <w:p>
      <w:pPr>
        <w:adjustRightInd w:val="0"/>
        <w:snapToGrid w:val="0"/>
        <w:spacing w:line="360" w:lineRule="auto"/>
        <w:ind w:firstLine="420" w:firstLineChars="200"/>
        <w:rPr>
          <w:szCs w:val="21"/>
        </w:rPr>
      </w:pPr>
      <w:r>
        <w:rPr>
          <w:szCs w:val="21"/>
        </w:rPr>
        <w:t>本章内容支撑课程目标3。</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8特种光纤技术及应用（2学时）</w:t>
      </w:r>
    </w:p>
    <w:p>
      <w:pPr>
        <w:adjustRightInd w:val="0"/>
        <w:snapToGrid w:val="0"/>
        <w:spacing w:line="360" w:lineRule="auto"/>
        <w:ind w:firstLine="420" w:firstLineChars="200"/>
        <w:rPr>
          <w:szCs w:val="21"/>
        </w:rPr>
      </w:pPr>
      <w:r>
        <w:rPr>
          <w:szCs w:val="21"/>
        </w:rPr>
        <w:t>8.1</w:t>
      </w:r>
      <w:r>
        <w:rPr>
          <w:snapToGrid w:val="0"/>
          <w:kern w:val="0"/>
          <w:szCs w:val="21"/>
        </w:rPr>
        <w:t>、</w:t>
      </w:r>
      <w:r>
        <w:rPr>
          <w:szCs w:val="21"/>
        </w:rPr>
        <w:t>塑料光纤技术及应用；</w:t>
      </w:r>
    </w:p>
    <w:p>
      <w:pPr>
        <w:adjustRightInd w:val="0"/>
        <w:snapToGrid w:val="0"/>
        <w:spacing w:line="360" w:lineRule="auto"/>
        <w:ind w:firstLine="420" w:firstLineChars="200"/>
        <w:rPr>
          <w:szCs w:val="21"/>
        </w:rPr>
      </w:pPr>
      <w:r>
        <w:rPr>
          <w:szCs w:val="21"/>
        </w:rPr>
        <w:t>8.2</w:t>
      </w:r>
      <w:r>
        <w:rPr>
          <w:snapToGrid w:val="0"/>
          <w:kern w:val="0"/>
          <w:szCs w:val="21"/>
        </w:rPr>
        <w:t>、</w:t>
      </w:r>
      <w:r>
        <w:rPr>
          <w:szCs w:val="21"/>
        </w:rPr>
        <w:t>光子晶体光纤技术及应用；</w:t>
      </w:r>
    </w:p>
    <w:p>
      <w:pPr>
        <w:adjustRightInd w:val="0"/>
        <w:snapToGrid w:val="0"/>
        <w:spacing w:line="360" w:lineRule="auto"/>
        <w:ind w:firstLine="420" w:firstLineChars="200"/>
        <w:rPr>
          <w:szCs w:val="21"/>
        </w:rPr>
      </w:pPr>
      <w:r>
        <w:rPr>
          <w:szCs w:val="21"/>
        </w:rPr>
        <w:t>8.3</w:t>
      </w:r>
      <w:r>
        <w:rPr>
          <w:snapToGrid w:val="0"/>
          <w:kern w:val="0"/>
          <w:szCs w:val="21"/>
        </w:rPr>
        <w:t>、</w:t>
      </w:r>
      <w:r>
        <w:rPr>
          <w:szCs w:val="21"/>
        </w:rPr>
        <w:t>红外和紫外光纤技术及应用；</w:t>
      </w:r>
    </w:p>
    <w:p>
      <w:pPr>
        <w:adjustRightInd w:val="0"/>
        <w:snapToGrid w:val="0"/>
        <w:spacing w:line="360" w:lineRule="auto"/>
        <w:ind w:firstLine="420" w:firstLineChars="200"/>
        <w:rPr>
          <w:szCs w:val="21"/>
        </w:rPr>
      </w:pPr>
      <w:r>
        <w:rPr>
          <w:szCs w:val="21"/>
        </w:rPr>
        <w:t>本章内容支撑课程目标3。</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eastAsia="黑体"/>
          <w:szCs w:val="21"/>
        </w:rPr>
        <w:t>五、实验内容</w:t>
      </w:r>
    </w:p>
    <w:p>
      <w:pPr>
        <w:adjustRightInd w:val="0"/>
        <w:snapToGrid w:val="0"/>
        <w:spacing w:line="360" w:lineRule="auto"/>
        <w:ind w:firstLine="424"/>
        <w:rPr>
          <w:kern w:val="0"/>
          <w:szCs w:val="21"/>
        </w:rPr>
      </w:pPr>
      <w:r>
        <w:rPr>
          <w:kern w:val="0"/>
          <w:szCs w:val="21"/>
        </w:rPr>
        <w:t>实验环节主要是动手操作，要求保证上机条件，即具备光纤实验仪器；可采用分组合作的方式进行；要求学生熟炼掌握光纤的耦合、光纤中光束和光纤材料平均折射率的测量、光纤传感和光纤通信中相关知识点。</w:t>
      </w:r>
    </w:p>
    <w:p>
      <w:pPr>
        <w:widowControl/>
        <w:adjustRightInd w:val="0"/>
        <w:snapToGrid w:val="0"/>
        <w:spacing w:line="360" w:lineRule="auto"/>
        <w:ind w:left="424" w:leftChars="202"/>
        <w:jc w:val="left"/>
        <w:rPr>
          <w:rFonts w:eastAsia="黑体"/>
          <w:snapToGrid w:val="0"/>
          <w:kern w:val="0"/>
          <w:szCs w:val="21"/>
        </w:rPr>
      </w:pPr>
      <w:r>
        <w:rPr>
          <w:rFonts w:eastAsia="黑体"/>
          <w:snapToGrid w:val="0"/>
          <w:kern w:val="0"/>
          <w:szCs w:val="21"/>
        </w:rPr>
        <w:t>实验一光纤的耦合和模式（1学时）</w:t>
      </w:r>
    </w:p>
    <w:p>
      <w:pPr>
        <w:adjustRightInd w:val="0"/>
        <w:snapToGrid w:val="0"/>
        <w:spacing w:line="360" w:lineRule="auto"/>
        <w:ind w:firstLine="424"/>
        <w:rPr>
          <w:szCs w:val="21"/>
        </w:rPr>
      </w:pPr>
      <w:r>
        <w:rPr>
          <w:kern w:val="0"/>
          <w:szCs w:val="21"/>
        </w:rPr>
        <w:t>内容：光纤的耦合是指激光从光纤端面输入光纤，使激光沿光纤进行传输，采用一套具有5自由度的调整机构来进行光纤耦合</w:t>
      </w:r>
      <w:r>
        <w:rPr>
          <w:szCs w:val="21"/>
        </w:rPr>
        <w:t>。通过五个自由度的反复细致调整，使经过聚焦的激光焦点落在光纤端面，使激光进入光纤，并通过输入光功率和输出光功率判断光纤耦合的情况。</w:t>
      </w:r>
    </w:p>
    <w:p>
      <w:pPr>
        <w:adjustRightInd w:val="0"/>
        <w:snapToGrid w:val="0"/>
        <w:spacing w:line="360" w:lineRule="auto"/>
        <w:ind w:left="424" w:leftChars="202"/>
        <w:rPr>
          <w:kern w:val="0"/>
          <w:szCs w:val="21"/>
        </w:rPr>
      </w:pPr>
      <w:r>
        <w:rPr>
          <w:kern w:val="0"/>
          <w:szCs w:val="21"/>
        </w:rPr>
        <w:t>基本要求：</w:t>
      </w:r>
    </w:p>
    <w:p>
      <w:pPr>
        <w:widowControl/>
        <w:adjustRightInd w:val="0"/>
        <w:snapToGrid w:val="0"/>
        <w:spacing w:line="360" w:lineRule="auto"/>
        <w:ind w:left="424" w:leftChars="202"/>
        <w:jc w:val="left"/>
        <w:rPr>
          <w:kern w:val="0"/>
          <w:szCs w:val="21"/>
        </w:rPr>
      </w:pPr>
      <w:r>
        <w:rPr>
          <w:kern w:val="0"/>
          <w:szCs w:val="21"/>
        </w:rPr>
        <w:t>1、掌握光纤耦合的基本原理和耦合效率计算方法。</w:t>
      </w:r>
    </w:p>
    <w:p>
      <w:pPr>
        <w:widowControl/>
        <w:tabs>
          <w:tab w:val="left" w:pos="720"/>
        </w:tabs>
        <w:adjustRightInd w:val="0"/>
        <w:snapToGrid w:val="0"/>
        <w:spacing w:line="360" w:lineRule="auto"/>
        <w:ind w:left="424" w:leftChars="202"/>
        <w:jc w:val="left"/>
        <w:rPr>
          <w:kern w:val="0"/>
          <w:szCs w:val="21"/>
        </w:rPr>
      </w:pPr>
      <w:r>
        <w:rPr>
          <w:kern w:val="0"/>
          <w:szCs w:val="21"/>
        </w:rPr>
        <w:t>2、实现激光的高效率耦合；</w:t>
      </w:r>
    </w:p>
    <w:p>
      <w:pPr>
        <w:adjustRightInd w:val="0"/>
        <w:snapToGrid w:val="0"/>
        <w:spacing w:line="360" w:lineRule="auto"/>
        <w:ind w:firstLine="424"/>
        <w:rPr>
          <w:kern w:val="0"/>
          <w:szCs w:val="21"/>
        </w:rPr>
      </w:pPr>
      <w:r>
        <w:rPr>
          <w:kern w:val="0"/>
          <w:szCs w:val="21"/>
        </w:rPr>
        <w:t>3、测量光纤耦合的效率；</w:t>
      </w:r>
    </w:p>
    <w:p>
      <w:pPr>
        <w:adjustRightInd w:val="0"/>
        <w:snapToGrid w:val="0"/>
        <w:spacing w:line="360" w:lineRule="auto"/>
        <w:ind w:firstLine="424"/>
        <w:rPr>
          <w:kern w:val="0"/>
          <w:szCs w:val="21"/>
        </w:rPr>
      </w:pPr>
      <w:r>
        <w:rPr>
          <w:kern w:val="0"/>
          <w:szCs w:val="21"/>
        </w:rPr>
        <w:t>4、观察光纤的模式变化。</w:t>
      </w:r>
    </w:p>
    <w:p>
      <w:pPr>
        <w:adjustRightInd w:val="0"/>
        <w:snapToGrid w:val="0"/>
        <w:spacing w:line="360" w:lineRule="auto"/>
        <w:ind w:firstLine="424"/>
        <w:rPr>
          <w:kern w:val="0"/>
          <w:szCs w:val="21"/>
        </w:rPr>
      </w:pPr>
      <w:r>
        <w:rPr>
          <w:kern w:val="0"/>
          <w:szCs w:val="21"/>
        </w:rPr>
        <w:t>本实验支撑课程目标1。</w:t>
      </w:r>
    </w:p>
    <w:p>
      <w:pPr>
        <w:widowControl/>
        <w:adjustRightInd w:val="0"/>
        <w:snapToGrid w:val="0"/>
        <w:spacing w:line="360" w:lineRule="auto"/>
        <w:ind w:left="424" w:leftChars="202"/>
        <w:jc w:val="left"/>
        <w:rPr>
          <w:rFonts w:eastAsia="黑体"/>
          <w:snapToGrid w:val="0"/>
          <w:kern w:val="0"/>
          <w:szCs w:val="21"/>
        </w:rPr>
      </w:pPr>
      <w:r>
        <w:rPr>
          <w:rFonts w:eastAsia="黑体"/>
          <w:snapToGrid w:val="0"/>
          <w:kern w:val="0"/>
          <w:szCs w:val="21"/>
        </w:rPr>
        <w:t>实验二光纤中光速和光纤材料平均折射率的测量（1学时）</w:t>
      </w:r>
    </w:p>
    <w:p>
      <w:pPr>
        <w:adjustRightInd w:val="0"/>
        <w:snapToGrid w:val="0"/>
        <w:spacing w:line="360" w:lineRule="auto"/>
        <w:ind w:firstLine="424"/>
        <w:rPr>
          <w:szCs w:val="21"/>
        </w:rPr>
      </w:pPr>
      <w:r>
        <w:rPr>
          <w:kern w:val="0"/>
          <w:szCs w:val="21"/>
        </w:rPr>
        <w:t>内容：</w:t>
      </w:r>
      <w:r>
        <w:rPr>
          <w:szCs w:val="21"/>
        </w:rPr>
        <w:t>光在光纤中的传播速度小于空气中的传播速度，通过测量一串光脉冲信号在一个特定长度光纤中的传播时间，得到光纤中的传播速度，并计算出光纤的平均折射率。</w:t>
      </w:r>
    </w:p>
    <w:p>
      <w:pPr>
        <w:adjustRightInd w:val="0"/>
        <w:snapToGrid w:val="0"/>
        <w:spacing w:line="360" w:lineRule="auto"/>
        <w:ind w:left="424" w:leftChars="202"/>
        <w:rPr>
          <w:kern w:val="0"/>
          <w:szCs w:val="21"/>
        </w:rPr>
      </w:pPr>
      <w:r>
        <w:rPr>
          <w:kern w:val="0"/>
          <w:szCs w:val="21"/>
        </w:rPr>
        <w:t>基本要求：</w:t>
      </w:r>
    </w:p>
    <w:p>
      <w:pPr>
        <w:widowControl/>
        <w:adjustRightInd w:val="0"/>
        <w:snapToGrid w:val="0"/>
        <w:spacing w:line="360" w:lineRule="auto"/>
        <w:ind w:left="424" w:leftChars="202"/>
        <w:jc w:val="left"/>
        <w:rPr>
          <w:kern w:val="0"/>
          <w:szCs w:val="21"/>
        </w:rPr>
      </w:pPr>
      <w:r>
        <w:rPr>
          <w:kern w:val="0"/>
          <w:szCs w:val="21"/>
        </w:rPr>
        <w:t>1、掌握光纤中光速和平均折射率的测量方法。</w:t>
      </w:r>
    </w:p>
    <w:p>
      <w:pPr>
        <w:widowControl/>
        <w:tabs>
          <w:tab w:val="left" w:pos="720"/>
        </w:tabs>
        <w:adjustRightInd w:val="0"/>
        <w:snapToGrid w:val="0"/>
        <w:spacing w:line="360" w:lineRule="auto"/>
        <w:ind w:left="424" w:leftChars="202"/>
        <w:jc w:val="left"/>
        <w:rPr>
          <w:kern w:val="0"/>
          <w:szCs w:val="21"/>
        </w:rPr>
      </w:pPr>
      <w:r>
        <w:rPr>
          <w:kern w:val="0"/>
          <w:szCs w:val="21"/>
        </w:rPr>
        <w:t>2、掌握光纤实验仪器的操作方法；</w:t>
      </w:r>
    </w:p>
    <w:p>
      <w:pPr>
        <w:adjustRightInd w:val="0"/>
        <w:snapToGrid w:val="0"/>
        <w:spacing w:line="360" w:lineRule="auto"/>
        <w:ind w:firstLine="424"/>
        <w:rPr>
          <w:snapToGrid w:val="0"/>
          <w:kern w:val="0"/>
          <w:szCs w:val="21"/>
        </w:rPr>
      </w:pPr>
      <w:r>
        <w:rPr>
          <w:snapToGrid w:val="0"/>
          <w:kern w:val="0"/>
          <w:szCs w:val="21"/>
        </w:rPr>
        <w:t>3、掌握在示波器中测量时间延迟的方法；</w:t>
      </w:r>
    </w:p>
    <w:p>
      <w:pPr>
        <w:adjustRightInd w:val="0"/>
        <w:snapToGrid w:val="0"/>
        <w:spacing w:line="360" w:lineRule="auto"/>
        <w:ind w:firstLine="424"/>
        <w:rPr>
          <w:kern w:val="0"/>
          <w:szCs w:val="21"/>
        </w:rPr>
      </w:pPr>
      <w:r>
        <w:rPr>
          <w:kern w:val="0"/>
          <w:szCs w:val="21"/>
        </w:rPr>
        <w:t>本实验支撑课程目标1。</w:t>
      </w:r>
    </w:p>
    <w:p>
      <w:pPr>
        <w:widowControl/>
        <w:adjustRightInd w:val="0"/>
        <w:snapToGrid w:val="0"/>
        <w:spacing w:line="360" w:lineRule="auto"/>
        <w:ind w:left="424" w:leftChars="202"/>
        <w:jc w:val="left"/>
        <w:rPr>
          <w:kern w:val="0"/>
          <w:szCs w:val="21"/>
        </w:rPr>
      </w:pPr>
      <w:r>
        <w:rPr>
          <w:rFonts w:eastAsia="黑体"/>
          <w:snapToGrid w:val="0"/>
          <w:kern w:val="0"/>
          <w:szCs w:val="21"/>
        </w:rPr>
        <w:t>实验三光纤传感实验（3学时）</w:t>
      </w:r>
    </w:p>
    <w:p>
      <w:pPr>
        <w:adjustRightInd w:val="0"/>
        <w:snapToGrid w:val="0"/>
        <w:spacing w:line="360" w:lineRule="auto"/>
        <w:ind w:firstLine="424"/>
        <w:rPr>
          <w:kern w:val="0"/>
          <w:szCs w:val="21"/>
        </w:rPr>
      </w:pPr>
      <w:r>
        <w:rPr>
          <w:kern w:val="0"/>
          <w:szCs w:val="21"/>
        </w:rPr>
        <w:t>内容：光纤传感强度型光纤传感技术及其传感器的基本原理和结构，熟悉其各个部件，学习和掌握其正确使用方法。进行反射式光纤位移和温度等参数的传感实验。</w:t>
      </w:r>
    </w:p>
    <w:p>
      <w:pPr>
        <w:widowControl/>
        <w:adjustRightInd w:val="0"/>
        <w:snapToGrid w:val="0"/>
        <w:spacing w:line="360" w:lineRule="auto"/>
        <w:ind w:left="424" w:leftChars="202"/>
        <w:jc w:val="left"/>
        <w:rPr>
          <w:kern w:val="0"/>
          <w:szCs w:val="21"/>
        </w:rPr>
      </w:pPr>
      <w:r>
        <w:rPr>
          <w:kern w:val="0"/>
          <w:szCs w:val="21"/>
        </w:rPr>
        <w:t>1、掌握反射式光纤位移传感器的原理。</w:t>
      </w:r>
    </w:p>
    <w:p>
      <w:pPr>
        <w:widowControl/>
        <w:tabs>
          <w:tab w:val="left" w:pos="720"/>
        </w:tabs>
        <w:adjustRightInd w:val="0"/>
        <w:snapToGrid w:val="0"/>
        <w:spacing w:line="360" w:lineRule="auto"/>
        <w:ind w:left="424" w:leftChars="202"/>
        <w:jc w:val="left"/>
        <w:rPr>
          <w:kern w:val="0"/>
          <w:szCs w:val="21"/>
        </w:rPr>
      </w:pPr>
      <w:r>
        <w:rPr>
          <w:kern w:val="0"/>
          <w:szCs w:val="21"/>
        </w:rPr>
        <w:t>2、掌握反射式光纤位移测量的操作方法；</w:t>
      </w:r>
    </w:p>
    <w:p>
      <w:pPr>
        <w:adjustRightInd w:val="0"/>
        <w:snapToGrid w:val="0"/>
        <w:spacing w:line="360" w:lineRule="auto"/>
        <w:ind w:firstLine="424"/>
        <w:rPr>
          <w:snapToGrid w:val="0"/>
          <w:kern w:val="0"/>
          <w:szCs w:val="21"/>
        </w:rPr>
      </w:pPr>
      <w:r>
        <w:rPr>
          <w:snapToGrid w:val="0"/>
          <w:kern w:val="0"/>
          <w:szCs w:val="21"/>
        </w:rPr>
        <w:t>3、</w:t>
      </w:r>
      <w:r>
        <w:rPr>
          <w:kern w:val="0"/>
          <w:szCs w:val="21"/>
        </w:rPr>
        <w:t>掌握光纤传感器进行温度测量的操作方法</w:t>
      </w:r>
      <w:r>
        <w:rPr>
          <w:snapToGrid w:val="0"/>
          <w:kern w:val="0"/>
          <w:szCs w:val="21"/>
        </w:rPr>
        <w:t>；</w:t>
      </w:r>
    </w:p>
    <w:p>
      <w:pPr>
        <w:adjustRightInd w:val="0"/>
        <w:snapToGrid w:val="0"/>
        <w:spacing w:line="360" w:lineRule="auto"/>
        <w:ind w:firstLine="424"/>
        <w:rPr>
          <w:snapToGrid w:val="0"/>
          <w:kern w:val="0"/>
          <w:szCs w:val="21"/>
        </w:rPr>
      </w:pPr>
      <w:r>
        <w:rPr>
          <w:snapToGrid w:val="0"/>
          <w:kern w:val="0"/>
          <w:szCs w:val="21"/>
        </w:rPr>
        <w:t>4、</w:t>
      </w:r>
      <w:r>
        <w:rPr>
          <w:kern w:val="0"/>
          <w:szCs w:val="21"/>
        </w:rPr>
        <w:t>掌握光纤传感器进行振动和转速测量的操作方法</w:t>
      </w:r>
      <w:r>
        <w:rPr>
          <w:snapToGrid w:val="0"/>
          <w:kern w:val="0"/>
          <w:szCs w:val="21"/>
        </w:rPr>
        <w:t>；</w:t>
      </w:r>
    </w:p>
    <w:p>
      <w:pPr>
        <w:adjustRightInd w:val="0"/>
        <w:snapToGrid w:val="0"/>
        <w:spacing w:line="360" w:lineRule="auto"/>
        <w:ind w:firstLine="424"/>
        <w:rPr>
          <w:rFonts w:asciiTheme="minorEastAsia" w:hAnsiTheme="minorEastAsia" w:eastAsiaTheme="minorEastAsia" w:cstheme="minorEastAsia"/>
          <w:kern w:val="0"/>
          <w:szCs w:val="21"/>
        </w:rPr>
      </w:pPr>
      <w:r>
        <w:rPr>
          <w:kern w:val="0"/>
          <w:szCs w:val="21"/>
        </w:rPr>
        <w:t>本实验支撑课程目标2、3。</w:t>
      </w:r>
    </w:p>
    <w:p>
      <w:pPr>
        <w:adjustRightInd w:val="0"/>
        <w:snapToGrid w:val="0"/>
        <w:spacing w:line="360" w:lineRule="auto"/>
        <w:ind w:firstLine="424"/>
        <w:rPr>
          <w:kern w:val="0"/>
          <w:szCs w:val="21"/>
        </w:rPr>
      </w:pPr>
      <w:r>
        <w:rPr>
          <w:rFonts w:eastAsia="黑体"/>
          <w:snapToGrid w:val="0"/>
          <w:kern w:val="0"/>
          <w:szCs w:val="21"/>
        </w:rPr>
        <w:t>实验四光纤通信实验（3学时）</w:t>
      </w:r>
    </w:p>
    <w:p>
      <w:pPr>
        <w:adjustRightInd w:val="0"/>
        <w:snapToGrid w:val="0"/>
        <w:spacing w:line="360" w:lineRule="auto"/>
        <w:ind w:firstLine="424"/>
        <w:rPr>
          <w:kern w:val="0"/>
          <w:szCs w:val="21"/>
        </w:rPr>
      </w:pPr>
      <w:r>
        <w:rPr>
          <w:kern w:val="0"/>
          <w:szCs w:val="21"/>
        </w:rPr>
        <w:t>内容：掌握光纤通信基本原理和通信系统的基本结构，以及信息传输的基本方式和信号调制与解调方法，实现内容语音信号的调制、传输和解调。</w:t>
      </w:r>
    </w:p>
    <w:p>
      <w:pPr>
        <w:adjustRightInd w:val="0"/>
        <w:snapToGrid w:val="0"/>
        <w:spacing w:line="360" w:lineRule="auto"/>
        <w:ind w:left="424" w:leftChars="202"/>
        <w:rPr>
          <w:kern w:val="0"/>
          <w:szCs w:val="21"/>
        </w:rPr>
      </w:pPr>
      <w:r>
        <w:rPr>
          <w:kern w:val="0"/>
          <w:szCs w:val="21"/>
        </w:rPr>
        <w:t>基本要求：</w:t>
      </w:r>
    </w:p>
    <w:p>
      <w:pPr>
        <w:widowControl/>
        <w:adjustRightInd w:val="0"/>
        <w:snapToGrid w:val="0"/>
        <w:spacing w:line="360" w:lineRule="auto"/>
        <w:ind w:left="424" w:leftChars="202"/>
        <w:jc w:val="left"/>
        <w:rPr>
          <w:kern w:val="0"/>
          <w:szCs w:val="21"/>
        </w:rPr>
      </w:pPr>
      <w:r>
        <w:rPr>
          <w:kern w:val="0"/>
          <w:szCs w:val="21"/>
        </w:rPr>
        <w:t>1、掌握光纤通信基本原理和通信系统的基本结构；</w:t>
      </w:r>
    </w:p>
    <w:p>
      <w:pPr>
        <w:widowControl/>
        <w:tabs>
          <w:tab w:val="left" w:pos="720"/>
        </w:tabs>
        <w:adjustRightInd w:val="0"/>
        <w:snapToGrid w:val="0"/>
        <w:spacing w:line="360" w:lineRule="auto"/>
        <w:ind w:left="424" w:leftChars="202"/>
        <w:jc w:val="left"/>
        <w:rPr>
          <w:kern w:val="0"/>
          <w:szCs w:val="21"/>
        </w:rPr>
      </w:pPr>
      <w:r>
        <w:rPr>
          <w:kern w:val="0"/>
          <w:szCs w:val="21"/>
        </w:rPr>
        <w:t>2、掌握半导体激光器电光调制特性</w:t>
      </w:r>
    </w:p>
    <w:p>
      <w:pPr>
        <w:adjustRightInd w:val="0"/>
        <w:snapToGrid w:val="0"/>
        <w:spacing w:line="360" w:lineRule="auto"/>
        <w:ind w:firstLine="424"/>
        <w:rPr>
          <w:kern w:val="0"/>
          <w:szCs w:val="21"/>
        </w:rPr>
      </w:pPr>
      <w:r>
        <w:rPr>
          <w:snapToGrid w:val="0"/>
          <w:kern w:val="0"/>
          <w:szCs w:val="21"/>
        </w:rPr>
        <w:t>3、</w:t>
      </w:r>
      <w:r>
        <w:rPr>
          <w:kern w:val="0"/>
          <w:szCs w:val="21"/>
        </w:rPr>
        <w:t>利用光纤实验仪器实现模拟音频的调制和解调。</w:t>
      </w:r>
    </w:p>
    <w:p>
      <w:pPr>
        <w:adjustRightInd w:val="0"/>
        <w:snapToGrid w:val="0"/>
        <w:spacing w:line="360" w:lineRule="auto"/>
        <w:ind w:firstLine="424"/>
        <w:rPr>
          <w:kern w:val="0"/>
          <w:szCs w:val="21"/>
        </w:rPr>
      </w:pPr>
      <w:r>
        <w:rPr>
          <w:kern w:val="0"/>
          <w:szCs w:val="21"/>
        </w:rPr>
        <w:t>本实验支撑课程目标1、2、3。</w:t>
      </w:r>
    </w:p>
    <w:p>
      <w:pPr>
        <w:widowControl/>
        <w:adjustRightInd w:val="0"/>
        <w:snapToGrid w:val="0"/>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03"/>
        <w:gridCol w:w="1849"/>
        <w:gridCol w:w="1849"/>
        <w:gridCol w:w="15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67" w:type="pct"/>
            <w:shd w:val="clear" w:color="auto" w:fill="auto"/>
            <w:vAlign w:val="center"/>
          </w:tcPr>
          <w:p>
            <w:pPr>
              <w:adjustRightInd w:val="0"/>
              <w:snapToGrid w:val="0"/>
              <w:jc w:val="center"/>
              <w:rPr>
                <w:sz w:val="18"/>
                <w:szCs w:val="18"/>
              </w:rPr>
            </w:pPr>
            <w:r>
              <w:rPr>
                <w:sz w:val="18"/>
                <w:szCs w:val="18"/>
              </w:rPr>
              <w:t>讲授的知识点及内容</w:t>
            </w:r>
          </w:p>
        </w:tc>
        <w:tc>
          <w:tcPr>
            <w:tcW w:w="1112" w:type="pct"/>
            <w:shd w:val="clear" w:color="auto" w:fill="auto"/>
            <w:vAlign w:val="center"/>
          </w:tcPr>
          <w:p>
            <w:pPr>
              <w:adjustRightInd w:val="0"/>
              <w:snapToGrid w:val="0"/>
              <w:jc w:val="center"/>
              <w:rPr>
                <w:sz w:val="18"/>
                <w:szCs w:val="18"/>
              </w:rPr>
            </w:pPr>
            <w:r>
              <w:rPr>
                <w:sz w:val="18"/>
                <w:szCs w:val="18"/>
              </w:rPr>
              <w:t>讲授（学时）</w:t>
            </w:r>
          </w:p>
        </w:tc>
        <w:tc>
          <w:tcPr>
            <w:tcW w:w="1112" w:type="pct"/>
            <w:shd w:val="clear" w:color="auto" w:fill="auto"/>
            <w:vAlign w:val="center"/>
          </w:tcPr>
          <w:p>
            <w:pPr>
              <w:adjustRightInd w:val="0"/>
              <w:snapToGrid w:val="0"/>
              <w:jc w:val="center"/>
              <w:rPr>
                <w:sz w:val="18"/>
                <w:szCs w:val="18"/>
              </w:rPr>
            </w:pPr>
            <w:r>
              <w:rPr>
                <w:sz w:val="18"/>
                <w:szCs w:val="18"/>
              </w:rPr>
              <w:t>实验（学时）</w:t>
            </w:r>
          </w:p>
        </w:tc>
        <w:tc>
          <w:tcPr>
            <w:tcW w:w="909"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1 绪论</w:t>
            </w:r>
          </w:p>
        </w:tc>
        <w:tc>
          <w:tcPr>
            <w:tcW w:w="1112" w:type="pct"/>
            <w:shd w:val="clear" w:color="auto" w:fill="auto"/>
            <w:vAlign w:val="center"/>
          </w:tcPr>
          <w:p>
            <w:pPr>
              <w:adjustRightInd w:val="0"/>
              <w:snapToGrid w:val="0"/>
              <w:jc w:val="center"/>
              <w:rPr>
                <w:sz w:val="18"/>
                <w:szCs w:val="18"/>
              </w:rPr>
            </w:pPr>
            <w:r>
              <w:rPr>
                <w:sz w:val="18"/>
                <w:szCs w:val="18"/>
              </w:rPr>
              <w:t>2</w:t>
            </w:r>
          </w:p>
        </w:tc>
        <w:tc>
          <w:tcPr>
            <w:tcW w:w="1112" w:type="pct"/>
            <w:shd w:val="clear" w:color="auto" w:fill="auto"/>
            <w:vAlign w:val="center"/>
          </w:tcPr>
          <w:p>
            <w:pPr>
              <w:adjustRightInd w:val="0"/>
              <w:snapToGrid w:val="0"/>
              <w:jc w:val="center"/>
              <w:rPr>
                <w:sz w:val="18"/>
                <w:szCs w:val="18"/>
              </w:rPr>
            </w:pPr>
          </w:p>
        </w:tc>
        <w:tc>
          <w:tcPr>
            <w:tcW w:w="909"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2光纤的基本特性</w:t>
            </w:r>
          </w:p>
        </w:tc>
        <w:tc>
          <w:tcPr>
            <w:tcW w:w="1112" w:type="pct"/>
            <w:shd w:val="clear" w:color="auto" w:fill="auto"/>
            <w:vAlign w:val="center"/>
          </w:tcPr>
          <w:p>
            <w:pPr>
              <w:adjustRightInd w:val="0"/>
              <w:snapToGrid w:val="0"/>
              <w:jc w:val="center"/>
              <w:rPr>
                <w:sz w:val="18"/>
                <w:szCs w:val="18"/>
              </w:rPr>
            </w:pPr>
            <w:r>
              <w:rPr>
                <w:sz w:val="18"/>
                <w:szCs w:val="18"/>
              </w:rPr>
              <w:t>2</w:t>
            </w:r>
          </w:p>
        </w:tc>
        <w:tc>
          <w:tcPr>
            <w:tcW w:w="1112" w:type="pct"/>
            <w:shd w:val="clear" w:color="auto" w:fill="auto"/>
            <w:vAlign w:val="center"/>
          </w:tcPr>
          <w:p>
            <w:pPr>
              <w:adjustRightInd w:val="0"/>
              <w:snapToGrid w:val="0"/>
              <w:jc w:val="center"/>
              <w:rPr>
                <w:sz w:val="18"/>
                <w:szCs w:val="18"/>
              </w:rPr>
            </w:pPr>
            <w:r>
              <w:rPr>
                <w:sz w:val="18"/>
                <w:szCs w:val="18"/>
              </w:rPr>
              <w:t>1</w:t>
            </w:r>
          </w:p>
        </w:tc>
        <w:tc>
          <w:tcPr>
            <w:tcW w:w="909" w:type="pct"/>
            <w:shd w:val="clear" w:color="auto" w:fill="auto"/>
            <w:vAlign w:val="center"/>
          </w:tcPr>
          <w:p>
            <w:pPr>
              <w:adjustRightInd w:val="0"/>
              <w:snapToGrid w:val="0"/>
              <w:jc w:val="center"/>
              <w:rPr>
                <w:sz w:val="18"/>
                <w:szCs w:val="18"/>
              </w:rPr>
            </w:pPr>
            <w:r>
              <w:rPr>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3光纤的连接和耦合</w:t>
            </w:r>
          </w:p>
        </w:tc>
        <w:tc>
          <w:tcPr>
            <w:tcW w:w="1112" w:type="pct"/>
            <w:shd w:val="clear" w:color="auto" w:fill="auto"/>
            <w:vAlign w:val="center"/>
          </w:tcPr>
          <w:p>
            <w:pPr>
              <w:adjustRightInd w:val="0"/>
              <w:snapToGrid w:val="0"/>
              <w:jc w:val="center"/>
              <w:rPr>
                <w:sz w:val="18"/>
                <w:szCs w:val="18"/>
              </w:rPr>
            </w:pPr>
            <w:r>
              <w:rPr>
                <w:sz w:val="18"/>
                <w:szCs w:val="18"/>
              </w:rPr>
              <w:t>2</w:t>
            </w:r>
          </w:p>
        </w:tc>
        <w:tc>
          <w:tcPr>
            <w:tcW w:w="1112" w:type="pct"/>
            <w:shd w:val="clear" w:color="auto" w:fill="auto"/>
            <w:vAlign w:val="center"/>
          </w:tcPr>
          <w:p>
            <w:pPr>
              <w:adjustRightInd w:val="0"/>
              <w:snapToGrid w:val="0"/>
              <w:jc w:val="center"/>
              <w:rPr>
                <w:sz w:val="18"/>
                <w:szCs w:val="18"/>
              </w:rPr>
            </w:pPr>
            <w:r>
              <w:rPr>
                <w:sz w:val="18"/>
                <w:szCs w:val="18"/>
              </w:rPr>
              <w:t>1</w:t>
            </w:r>
          </w:p>
        </w:tc>
        <w:tc>
          <w:tcPr>
            <w:tcW w:w="909" w:type="pct"/>
            <w:shd w:val="clear" w:color="auto" w:fill="auto"/>
            <w:vAlign w:val="center"/>
          </w:tcPr>
          <w:p>
            <w:pPr>
              <w:adjustRightInd w:val="0"/>
              <w:snapToGrid w:val="0"/>
              <w:jc w:val="center"/>
              <w:rPr>
                <w:sz w:val="18"/>
                <w:szCs w:val="18"/>
              </w:rPr>
            </w:pPr>
            <w:r>
              <w:rPr>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4 光纤无源器件</w:t>
            </w:r>
          </w:p>
        </w:tc>
        <w:tc>
          <w:tcPr>
            <w:tcW w:w="1112" w:type="pct"/>
            <w:shd w:val="clear" w:color="auto" w:fill="auto"/>
            <w:vAlign w:val="center"/>
          </w:tcPr>
          <w:p>
            <w:pPr>
              <w:adjustRightInd w:val="0"/>
              <w:snapToGrid w:val="0"/>
              <w:jc w:val="center"/>
              <w:rPr>
                <w:sz w:val="18"/>
                <w:szCs w:val="18"/>
              </w:rPr>
            </w:pPr>
            <w:r>
              <w:rPr>
                <w:sz w:val="18"/>
                <w:szCs w:val="18"/>
              </w:rPr>
              <w:t>4</w:t>
            </w:r>
          </w:p>
        </w:tc>
        <w:tc>
          <w:tcPr>
            <w:tcW w:w="1112" w:type="pct"/>
            <w:shd w:val="clear" w:color="auto" w:fill="auto"/>
            <w:vAlign w:val="center"/>
          </w:tcPr>
          <w:p>
            <w:pPr>
              <w:adjustRightInd w:val="0"/>
              <w:snapToGrid w:val="0"/>
              <w:jc w:val="center"/>
              <w:rPr>
                <w:sz w:val="18"/>
                <w:szCs w:val="18"/>
              </w:rPr>
            </w:pPr>
          </w:p>
        </w:tc>
        <w:tc>
          <w:tcPr>
            <w:tcW w:w="909" w:type="pct"/>
            <w:shd w:val="clear" w:color="auto" w:fill="auto"/>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5光纤有源器件</w:t>
            </w:r>
          </w:p>
        </w:tc>
        <w:tc>
          <w:tcPr>
            <w:tcW w:w="1112" w:type="pct"/>
            <w:shd w:val="clear" w:color="auto" w:fill="auto"/>
            <w:vAlign w:val="center"/>
          </w:tcPr>
          <w:p>
            <w:pPr>
              <w:adjustRightInd w:val="0"/>
              <w:snapToGrid w:val="0"/>
              <w:jc w:val="center"/>
              <w:rPr>
                <w:sz w:val="18"/>
                <w:szCs w:val="18"/>
              </w:rPr>
            </w:pPr>
            <w:r>
              <w:rPr>
                <w:sz w:val="18"/>
                <w:szCs w:val="18"/>
              </w:rPr>
              <w:t>4</w:t>
            </w:r>
          </w:p>
        </w:tc>
        <w:tc>
          <w:tcPr>
            <w:tcW w:w="1112" w:type="pct"/>
            <w:shd w:val="clear" w:color="auto" w:fill="auto"/>
            <w:vAlign w:val="center"/>
          </w:tcPr>
          <w:p>
            <w:pPr>
              <w:adjustRightInd w:val="0"/>
              <w:snapToGrid w:val="0"/>
              <w:jc w:val="center"/>
              <w:rPr>
                <w:sz w:val="18"/>
                <w:szCs w:val="18"/>
              </w:rPr>
            </w:pPr>
          </w:p>
        </w:tc>
        <w:tc>
          <w:tcPr>
            <w:tcW w:w="909" w:type="pct"/>
            <w:shd w:val="clear" w:color="auto" w:fill="auto"/>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6光纤传感技术</w:t>
            </w:r>
          </w:p>
        </w:tc>
        <w:tc>
          <w:tcPr>
            <w:tcW w:w="1112" w:type="pct"/>
            <w:shd w:val="clear" w:color="auto" w:fill="auto"/>
            <w:vAlign w:val="center"/>
          </w:tcPr>
          <w:p>
            <w:pPr>
              <w:adjustRightInd w:val="0"/>
              <w:snapToGrid w:val="0"/>
              <w:jc w:val="center"/>
              <w:rPr>
                <w:sz w:val="18"/>
                <w:szCs w:val="18"/>
              </w:rPr>
            </w:pPr>
            <w:r>
              <w:rPr>
                <w:sz w:val="18"/>
                <w:szCs w:val="18"/>
              </w:rPr>
              <w:t>4</w:t>
            </w:r>
          </w:p>
        </w:tc>
        <w:tc>
          <w:tcPr>
            <w:tcW w:w="1112" w:type="pct"/>
            <w:shd w:val="clear" w:color="auto" w:fill="auto"/>
            <w:vAlign w:val="center"/>
          </w:tcPr>
          <w:p>
            <w:pPr>
              <w:adjustRightInd w:val="0"/>
              <w:snapToGrid w:val="0"/>
              <w:jc w:val="center"/>
              <w:rPr>
                <w:sz w:val="18"/>
                <w:szCs w:val="18"/>
              </w:rPr>
            </w:pPr>
            <w:r>
              <w:rPr>
                <w:sz w:val="18"/>
                <w:szCs w:val="18"/>
              </w:rPr>
              <w:t>3</w:t>
            </w:r>
          </w:p>
        </w:tc>
        <w:tc>
          <w:tcPr>
            <w:tcW w:w="909" w:type="pct"/>
            <w:shd w:val="clear" w:color="auto" w:fill="auto"/>
            <w:vAlign w:val="center"/>
          </w:tcPr>
          <w:p>
            <w:pPr>
              <w:adjustRightInd w:val="0"/>
              <w:snapToGrid w:val="0"/>
              <w:jc w:val="center"/>
              <w:rPr>
                <w:sz w:val="18"/>
                <w:szCs w:val="18"/>
              </w:rPr>
            </w:pPr>
            <w:r>
              <w:rPr>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7光纤通信技术</w:t>
            </w:r>
          </w:p>
        </w:tc>
        <w:tc>
          <w:tcPr>
            <w:tcW w:w="1112" w:type="pct"/>
            <w:shd w:val="clear" w:color="auto" w:fill="auto"/>
            <w:vAlign w:val="center"/>
          </w:tcPr>
          <w:p>
            <w:pPr>
              <w:adjustRightInd w:val="0"/>
              <w:snapToGrid w:val="0"/>
              <w:jc w:val="center"/>
              <w:rPr>
                <w:sz w:val="18"/>
                <w:szCs w:val="18"/>
              </w:rPr>
            </w:pPr>
            <w:r>
              <w:rPr>
                <w:sz w:val="18"/>
                <w:szCs w:val="18"/>
              </w:rPr>
              <w:t>4</w:t>
            </w:r>
          </w:p>
        </w:tc>
        <w:tc>
          <w:tcPr>
            <w:tcW w:w="1112" w:type="pct"/>
            <w:shd w:val="clear" w:color="auto" w:fill="auto"/>
            <w:vAlign w:val="center"/>
          </w:tcPr>
          <w:p>
            <w:pPr>
              <w:adjustRightInd w:val="0"/>
              <w:snapToGrid w:val="0"/>
              <w:jc w:val="center"/>
              <w:rPr>
                <w:sz w:val="18"/>
                <w:szCs w:val="18"/>
              </w:rPr>
            </w:pPr>
            <w:r>
              <w:rPr>
                <w:sz w:val="18"/>
                <w:szCs w:val="18"/>
              </w:rPr>
              <w:t>3</w:t>
            </w:r>
          </w:p>
        </w:tc>
        <w:tc>
          <w:tcPr>
            <w:tcW w:w="909" w:type="pct"/>
            <w:shd w:val="clear" w:color="auto" w:fill="auto"/>
            <w:vAlign w:val="center"/>
          </w:tcPr>
          <w:p>
            <w:pPr>
              <w:adjustRightInd w:val="0"/>
              <w:snapToGrid w:val="0"/>
              <w:jc w:val="center"/>
              <w:rPr>
                <w:sz w:val="18"/>
                <w:szCs w:val="18"/>
              </w:rPr>
            </w:pPr>
            <w:r>
              <w:rPr>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tcPr>
          <w:p>
            <w:pPr>
              <w:adjustRightInd w:val="0"/>
              <w:snapToGrid w:val="0"/>
              <w:jc w:val="center"/>
              <w:rPr>
                <w:sz w:val="18"/>
                <w:szCs w:val="18"/>
              </w:rPr>
            </w:pPr>
            <w:r>
              <w:rPr>
                <w:sz w:val="18"/>
                <w:szCs w:val="18"/>
              </w:rPr>
              <w:t>8 新型光纤技术</w:t>
            </w:r>
          </w:p>
        </w:tc>
        <w:tc>
          <w:tcPr>
            <w:tcW w:w="1112" w:type="pct"/>
            <w:shd w:val="clear" w:color="auto" w:fill="auto"/>
            <w:vAlign w:val="center"/>
          </w:tcPr>
          <w:p>
            <w:pPr>
              <w:adjustRightInd w:val="0"/>
              <w:snapToGrid w:val="0"/>
              <w:jc w:val="center"/>
              <w:rPr>
                <w:sz w:val="18"/>
                <w:szCs w:val="18"/>
              </w:rPr>
            </w:pPr>
            <w:r>
              <w:rPr>
                <w:sz w:val="18"/>
                <w:szCs w:val="18"/>
              </w:rPr>
              <w:t>2</w:t>
            </w:r>
          </w:p>
        </w:tc>
        <w:tc>
          <w:tcPr>
            <w:tcW w:w="1112" w:type="pct"/>
            <w:shd w:val="clear" w:color="auto" w:fill="auto"/>
            <w:vAlign w:val="center"/>
          </w:tcPr>
          <w:p>
            <w:pPr>
              <w:adjustRightInd w:val="0"/>
              <w:snapToGrid w:val="0"/>
              <w:jc w:val="center"/>
              <w:rPr>
                <w:sz w:val="18"/>
                <w:szCs w:val="18"/>
              </w:rPr>
            </w:pPr>
          </w:p>
        </w:tc>
        <w:tc>
          <w:tcPr>
            <w:tcW w:w="909"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7" w:type="pct"/>
            <w:shd w:val="clear" w:color="auto" w:fill="auto"/>
            <w:vAlign w:val="center"/>
          </w:tcPr>
          <w:p>
            <w:pPr>
              <w:widowControl/>
              <w:adjustRightInd w:val="0"/>
              <w:snapToGrid w:val="0"/>
              <w:jc w:val="center"/>
              <w:rPr>
                <w:kern w:val="0"/>
                <w:sz w:val="18"/>
                <w:szCs w:val="18"/>
              </w:rPr>
            </w:pPr>
            <w:r>
              <w:rPr>
                <w:kern w:val="0"/>
                <w:sz w:val="18"/>
                <w:szCs w:val="18"/>
              </w:rPr>
              <w:t>合计</w:t>
            </w:r>
          </w:p>
        </w:tc>
        <w:tc>
          <w:tcPr>
            <w:tcW w:w="1112" w:type="pct"/>
            <w:shd w:val="clear" w:color="auto" w:fill="auto"/>
            <w:vAlign w:val="center"/>
          </w:tcPr>
          <w:p>
            <w:pPr>
              <w:widowControl/>
              <w:adjustRightInd w:val="0"/>
              <w:snapToGrid w:val="0"/>
              <w:jc w:val="center"/>
              <w:rPr>
                <w:kern w:val="0"/>
                <w:sz w:val="18"/>
                <w:szCs w:val="18"/>
              </w:rPr>
            </w:pPr>
            <w:r>
              <w:rPr>
                <w:kern w:val="0"/>
                <w:sz w:val="18"/>
                <w:szCs w:val="18"/>
              </w:rPr>
              <w:t>24</w:t>
            </w:r>
          </w:p>
        </w:tc>
        <w:tc>
          <w:tcPr>
            <w:tcW w:w="1112" w:type="pct"/>
            <w:shd w:val="clear" w:color="auto" w:fill="auto"/>
            <w:vAlign w:val="center"/>
          </w:tcPr>
          <w:p>
            <w:pPr>
              <w:widowControl/>
              <w:adjustRightInd w:val="0"/>
              <w:snapToGrid w:val="0"/>
              <w:jc w:val="center"/>
              <w:rPr>
                <w:kern w:val="0"/>
                <w:sz w:val="18"/>
                <w:szCs w:val="18"/>
              </w:rPr>
            </w:pPr>
            <w:r>
              <w:rPr>
                <w:kern w:val="0"/>
                <w:sz w:val="18"/>
                <w:szCs w:val="18"/>
              </w:rPr>
              <w:t>8</w:t>
            </w:r>
          </w:p>
        </w:tc>
        <w:tc>
          <w:tcPr>
            <w:tcW w:w="909" w:type="pct"/>
            <w:shd w:val="clear" w:color="auto" w:fill="auto"/>
            <w:vAlign w:val="center"/>
          </w:tcPr>
          <w:p>
            <w:pPr>
              <w:widowControl/>
              <w:adjustRightInd w:val="0"/>
              <w:snapToGrid w:val="0"/>
              <w:jc w:val="center"/>
              <w:rPr>
                <w:kern w:val="0"/>
                <w:sz w:val="18"/>
                <w:szCs w:val="18"/>
              </w:rPr>
            </w:pPr>
            <w:r>
              <w:rPr>
                <w:kern w:val="0"/>
                <w:sz w:val="18"/>
                <w:szCs w:val="18"/>
              </w:rPr>
              <w:t>32</w:t>
            </w:r>
          </w:p>
        </w:tc>
      </w:tr>
    </w:tbl>
    <w:p>
      <w:pPr>
        <w:tabs>
          <w:tab w:val="left" w:pos="420"/>
        </w:tabs>
        <w:adjustRightInd w:val="0"/>
        <w:snapToGrid w:val="0"/>
        <w:spacing w:line="360" w:lineRule="auto"/>
        <w:ind w:left="420" w:hanging="420"/>
        <w:rPr>
          <w:rFonts w:eastAsiaTheme="minorEastAsia"/>
          <w:szCs w:val="21"/>
        </w:rPr>
      </w:pPr>
    </w:p>
    <w:p>
      <w:pPr>
        <w:tabs>
          <w:tab w:val="left" w:pos="420"/>
        </w:tabs>
        <w:adjustRightInd w:val="0"/>
        <w:snapToGrid w:val="0"/>
        <w:spacing w:line="360" w:lineRule="auto"/>
        <w:ind w:left="420" w:hanging="420"/>
        <w:rPr>
          <w:rFonts w:eastAsia="黑体"/>
          <w:szCs w:val="24"/>
        </w:rPr>
      </w:pPr>
      <w:r>
        <w:rPr>
          <w:rFonts w:eastAsia="黑体"/>
          <w:szCs w:val="24"/>
        </w:rPr>
        <w:t>七、教材、补充教材及参考资料</w:t>
      </w:r>
    </w:p>
    <w:p>
      <w:pPr>
        <w:adjustRightInd w:val="0"/>
        <w:snapToGrid w:val="0"/>
        <w:spacing w:line="360" w:lineRule="auto"/>
        <w:ind w:firstLine="420" w:firstLineChars="200"/>
        <w:rPr>
          <w:rFonts w:ascii="宋体" w:hAnsi="宋体"/>
          <w:szCs w:val="21"/>
        </w:rPr>
      </w:pPr>
      <w:r>
        <w:rPr>
          <w:rFonts w:ascii="宋体" w:hAnsi="宋体"/>
          <w:szCs w:val="21"/>
        </w:rPr>
        <w:t>1</w:t>
      </w:r>
      <w:r>
        <w:rPr>
          <w:rFonts w:ascii="宋体" w:hAnsi="宋体"/>
          <w:snapToGrid w:val="0"/>
          <w:kern w:val="0"/>
          <w:szCs w:val="21"/>
        </w:rPr>
        <w:t>、</w:t>
      </w:r>
      <w:r>
        <w:rPr>
          <w:rFonts w:ascii="宋体" w:hAnsi="宋体"/>
          <w:szCs w:val="21"/>
        </w:rPr>
        <w:t>钱云江主编，《光纤技术》，ISBN9787030173560，科学出版社。</w:t>
      </w:r>
    </w:p>
    <w:p>
      <w:pPr>
        <w:adjustRightInd w:val="0"/>
        <w:snapToGrid w:val="0"/>
        <w:spacing w:line="360" w:lineRule="auto"/>
        <w:ind w:firstLine="420" w:firstLineChars="200"/>
        <w:rPr>
          <w:rFonts w:ascii="宋体" w:hAnsi="宋体"/>
          <w:szCs w:val="21"/>
        </w:rPr>
      </w:pPr>
      <w:r>
        <w:rPr>
          <w:rFonts w:ascii="宋体" w:hAnsi="宋体"/>
          <w:szCs w:val="21"/>
        </w:rPr>
        <w:t>2</w:t>
      </w:r>
      <w:r>
        <w:rPr>
          <w:rFonts w:ascii="宋体" w:hAnsi="宋体"/>
          <w:snapToGrid w:val="0"/>
          <w:kern w:val="0"/>
          <w:szCs w:val="21"/>
        </w:rPr>
        <w:t>、</w:t>
      </w:r>
      <w:r>
        <w:rPr>
          <w:rFonts w:ascii="宋体" w:hAnsi="宋体"/>
          <w:szCs w:val="21"/>
        </w:rPr>
        <w:t>石顺祥等编著，《光纤技术及应用》，ISBN 9787560954554，华中科技大学出版社。</w:t>
      </w:r>
    </w:p>
    <w:p>
      <w:pPr>
        <w:adjustRightInd w:val="0"/>
        <w:snapToGrid w:val="0"/>
        <w:spacing w:line="360" w:lineRule="auto"/>
        <w:ind w:firstLine="420" w:firstLineChars="200"/>
        <w:rPr>
          <w:rFonts w:ascii="宋体" w:hAnsi="宋体"/>
          <w:szCs w:val="21"/>
        </w:rPr>
      </w:pPr>
      <w:r>
        <w:rPr>
          <w:rFonts w:ascii="宋体" w:hAnsi="宋体"/>
          <w:szCs w:val="21"/>
        </w:rPr>
        <w:t>3</w:t>
      </w:r>
      <w:r>
        <w:rPr>
          <w:rFonts w:ascii="宋体" w:hAnsi="宋体"/>
          <w:snapToGrid w:val="0"/>
          <w:kern w:val="0"/>
          <w:szCs w:val="21"/>
        </w:rPr>
        <w:t>、</w:t>
      </w:r>
      <w:r>
        <w:rPr>
          <w:rFonts w:ascii="宋体" w:hAnsi="宋体"/>
          <w:szCs w:val="21"/>
        </w:rPr>
        <w:t>胡昌奎等编著，《光纤技术实践教程》，ISBN 9787302393269，清华大学出版社。</w:t>
      </w:r>
    </w:p>
    <w:p>
      <w:pPr>
        <w:adjustRightInd w:val="0"/>
        <w:snapToGrid w:val="0"/>
        <w:spacing w:line="360" w:lineRule="auto"/>
        <w:ind w:firstLine="420" w:firstLineChars="200"/>
        <w:rPr>
          <w:rFonts w:ascii="宋体" w:hAnsi="宋体"/>
          <w:szCs w:val="21"/>
        </w:rPr>
      </w:pPr>
      <w:r>
        <w:rPr>
          <w:rFonts w:ascii="宋体" w:hAnsi="宋体"/>
          <w:szCs w:val="21"/>
        </w:rPr>
        <w:t>4</w:t>
      </w:r>
      <w:r>
        <w:rPr>
          <w:rFonts w:ascii="宋体" w:hAnsi="宋体"/>
          <w:snapToGrid w:val="0"/>
          <w:kern w:val="0"/>
          <w:szCs w:val="21"/>
        </w:rPr>
        <w:t>、</w:t>
      </w:r>
      <w:r>
        <w:rPr>
          <w:rFonts w:ascii="宋体" w:hAnsi="宋体"/>
          <w:szCs w:val="21"/>
        </w:rPr>
        <w:t>方祖捷等著，《光纤传感器基础》，ISBN 9787030389534，科学出版社。</w:t>
      </w:r>
    </w:p>
    <w:p>
      <w:pPr>
        <w:tabs>
          <w:tab w:val="left" w:pos="420"/>
        </w:tabs>
        <w:adjustRightInd w:val="0"/>
        <w:snapToGrid w:val="0"/>
        <w:spacing w:line="360" w:lineRule="auto"/>
        <w:ind w:left="420" w:hanging="420"/>
        <w:rPr>
          <w:szCs w:val="21"/>
        </w:rPr>
      </w:pPr>
    </w:p>
    <w:p>
      <w:pPr>
        <w:tabs>
          <w:tab w:val="left" w:pos="420"/>
        </w:tabs>
        <w:adjustRightInd w:val="0"/>
        <w:snapToGrid w:val="0"/>
        <w:spacing w:line="360" w:lineRule="auto"/>
        <w:ind w:left="420" w:hanging="420"/>
        <w:rPr>
          <w:rFonts w:eastAsia="黑体"/>
          <w:szCs w:val="24"/>
        </w:rPr>
      </w:pPr>
      <w:r>
        <w:rPr>
          <w:rFonts w:eastAsia="黑体"/>
          <w:szCs w:val="24"/>
        </w:rPr>
        <w:t>八、课程目标达成的途径和措施</w:t>
      </w:r>
    </w:p>
    <w:p>
      <w:pPr>
        <w:adjustRightInd w:val="0"/>
        <w:snapToGrid w:val="0"/>
        <w:spacing w:line="360" w:lineRule="auto"/>
        <w:ind w:firstLine="420" w:firstLineChars="200"/>
        <w:rPr>
          <w:szCs w:val="21"/>
        </w:rPr>
      </w:pPr>
      <w:r>
        <w:rPr>
          <w:szCs w:val="21"/>
        </w:rPr>
        <w:t>1、考核目标：在考核学生对光纤基本特性和光纤器件的基础上，重点考核学生对光纤传感和光纤通信原理及应用的掌握程度。</w:t>
      </w:r>
    </w:p>
    <w:p>
      <w:pPr>
        <w:adjustRightInd w:val="0"/>
        <w:snapToGrid w:val="0"/>
        <w:spacing w:line="360" w:lineRule="auto"/>
        <w:ind w:firstLine="420" w:firstLineChars="200"/>
        <w:rPr>
          <w:szCs w:val="21"/>
        </w:rPr>
      </w:pPr>
      <w:r>
        <w:rPr>
          <w:szCs w:val="21"/>
        </w:rPr>
        <w:t>2、考核方式：考试、课内实验及课堂情况。</w:t>
      </w:r>
    </w:p>
    <w:p>
      <w:pPr>
        <w:adjustRightInd w:val="0"/>
        <w:snapToGrid w:val="0"/>
        <w:spacing w:line="360" w:lineRule="auto"/>
        <w:ind w:firstLine="420" w:firstLineChars="200"/>
      </w:pPr>
      <w:r>
        <w:rPr>
          <w:szCs w:val="21"/>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1922"/>
        <w:gridCol w:w="1797"/>
        <w:gridCol w:w="1308"/>
        <w:gridCol w:w="15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shd w:val="clear" w:color="auto" w:fill="auto"/>
            <w:vAlign w:val="center"/>
          </w:tcPr>
          <w:p>
            <w:pPr>
              <w:widowControl/>
              <w:jc w:val="center"/>
              <w:rPr>
                <w:kern w:val="0"/>
                <w:sz w:val="18"/>
              </w:rPr>
            </w:pPr>
            <w:r>
              <w:rPr>
                <w:kern w:val="0"/>
                <w:sz w:val="18"/>
              </w:rPr>
              <w:t>考察环节</w:t>
            </w:r>
          </w:p>
        </w:tc>
        <w:tc>
          <w:tcPr>
            <w:tcW w:w="1156" w:type="pct"/>
            <w:shd w:val="clear" w:color="auto" w:fill="auto"/>
            <w:vAlign w:val="center"/>
          </w:tcPr>
          <w:p>
            <w:pPr>
              <w:widowControl/>
              <w:jc w:val="center"/>
              <w:rPr>
                <w:kern w:val="0"/>
                <w:sz w:val="18"/>
              </w:rPr>
            </w:pPr>
            <w:r>
              <w:rPr>
                <w:kern w:val="0"/>
                <w:sz w:val="18"/>
              </w:rPr>
              <w:t>课堂情况</w:t>
            </w:r>
          </w:p>
        </w:tc>
        <w:tc>
          <w:tcPr>
            <w:tcW w:w="1081" w:type="pct"/>
            <w:shd w:val="clear" w:color="auto" w:fill="auto"/>
            <w:vAlign w:val="center"/>
          </w:tcPr>
          <w:p>
            <w:pPr>
              <w:widowControl/>
              <w:jc w:val="center"/>
              <w:rPr>
                <w:kern w:val="0"/>
                <w:sz w:val="18"/>
              </w:rPr>
            </w:pPr>
            <w:r>
              <w:rPr>
                <w:kern w:val="0"/>
                <w:sz w:val="18"/>
              </w:rPr>
              <w:t>分组实验</w:t>
            </w:r>
          </w:p>
        </w:tc>
        <w:tc>
          <w:tcPr>
            <w:tcW w:w="787" w:type="pct"/>
            <w:shd w:val="clear" w:color="auto" w:fill="auto"/>
            <w:vAlign w:val="center"/>
          </w:tcPr>
          <w:p>
            <w:pPr>
              <w:widowControl/>
              <w:jc w:val="center"/>
              <w:rPr>
                <w:kern w:val="0"/>
                <w:sz w:val="18"/>
              </w:rPr>
            </w:pPr>
            <w:r>
              <w:rPr>
                <w:kern w:val="0"/>
                <w:sz w:val="18"/>
                <w:szCs w:val="18"/>
              </w:rPr>
              <w:t>专题调研报告</w:t>
            </w:r>
          </w:p>
        </w:tc>
        <w:tc>
          <w:tcPr>
            <w:tcW w:w="908" w:type="pct"/>
            <w:shd w:val="clear" w:color="auto" w:fill="auto"/>
            <w:vAlign w:val="center"/>
          </w:tcPr>
          <w:p>
            <w:pPr>
              <w:widowControl/>
              <w:jc w:val="center"/>
              <w:rPr>
                <w:kern w:val="0"/>
                <w:sz w:val="18"/>
              </w:rPr>
            </w:pPr>
            <w:r>
              <w:rPr>
                <w:kern w:val="0"/>
                <w:sz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shd w:val="clear" w:color="auto" w:fill="auto"/>
            <w:vAlign w:val="center"/>
          </w:tcPr>
          <w:p>
            <w:pPr>
              <w:widowControl/>
              <w:jc w:val="center"/>
              <w:rPr>
                <w:kern w:val="0"/>
                <w:sz w:val="18"/>
              </w:rPr>
            </w:pPr>
            <w:r>
              <w:rPr>
                <w:kern w:val="0"/>
                <w:sz w:val="18"/>
              </w:rPr>
              <w:t>课程目标达成</w:t>
            </w:r>
          </w:p>
          <w:p>
            <w:pPr>
              <w:widowControl/>
              <w:jc w:val="center"/>
              <w:rPr>
                <w:kern w:val="0"/>
                <w:sz w:val="18"/>
              </w:rPr>
            </w:pPr>
            <w:r>
              <w:rPr>
                <w:kern w:val="0"/>
                <w:sz w:val="18"/>
              </w:rPr>
              <w:t>的贡献率</w:t>
            </w:r>
          </w:p>
        </w:tc>
        <w:tc>
          <w:tcPr>
            <w:tcW w:w="1156" w:type="pct"/>
            <w:shd w:val="clear" w:color="auto" w:fill="auto"/>
            <w:vAlign w:val="center"/>
          </w:tcPr>
          <w:p>
            <w:pPr>
              <w:widowControl/>
              <w:jc w:val="center"/>
              <w:rPr>
                <w:kern w:val="0"/>
                <w:sz w:val="18"/>
                <w:szCs w:val="18"/>
              </w:rPr>
            </w:pPr>
            <w:r>
              <w:rPr>
                <w:kern w:val="0"/>
                <w:sz w:val="18"/>
                <w:szCs w:val="18"/>
              </w:rPr>
              <w:t>0.14</w:t>
            </w:r>
          </w:p>
        </w:tc>
        <w:tc>
          <w:tcPr>
            <w:tcW w:w="1081" w:type="pct"/>
            <w:shd w:val="clear" w:color="auto" w:fill="auto"/>
            <w:vAlign w:val="center"/>
          </w:tcPr>
          <w:p>
            <w:pPr>
              <w:widowControl/>
              <w:jc w:val="center"/>
              <w:rPr>
                <w:kern w:val="0"/>
                <w:sz w:val="18"/>
                <w:szCs w:val="18"/>
              </w:rPr>
            </w:pPr>
            <w:r>
              <w:rPr>
                <w:kern w:val="0"/>
                <w:sz w:val="18"/>
                <w:szCs w:val="18"/>
              </w:rPr>
              <w:t>0.22</w:t>
            </w:r>
          </w:p>
        </w:tc>
        <w:tc>
          <w:tcPr>
            <w:tcW w:w="787" w:type="pct"/>
            <w:shd w:val="clear" w:color="auto" w:fill="auto"/>
            <w:vAlign w:val="center"/>
          </w:tcPr>
          <w:p>
            <w:pPr>
              <w:widowControl/>
              <w:jc w:val="center"/>
              <w:rPr>
                <w:kern w:val="0"/>
                <w:sz w:val="18"/>
                <w:szCs w:val="18"/>
              </w:rPr>
            </w:pPr>
            <w:r>
              <w:rPr>
                <w:kern w:val="0"/>
                <w:sz w:val="18"/>
                <w:szCs w:val="18"/>
              </w:rPr>
              <w:t>0.15</w:t>
            </w:r>
          </w:p>
        </w:tc>
        <w:tc>
          <w:tcPr>
            <w:tcW w:w="908" w:type="pct"/>
            <w:shd w:val="clear" w:color="auto" w:fill="auto"/>
            <w:vAlign w:val="center"/>
          </w:tcPr>
          <w:p>
            <w:pPr>
              <w:widowControl/>
              <w:jc w:val="center"/>
              <w:rPr>
                <w:kern w:val="0"/>
                <w:sz w:val="18"/>
                <w:szCs w:val="18"/>
              </w:rPr>
            </w:pPr>
            <w:r>
              <w:rPr>
                <w:kern w:val="0"/>
                <w:sz w:val="18"/>
                <w:szCs w:val="18"/>
              </w:rPr>
              <w:t>0.49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shd w:val="clear" w:color="auto" w:fill="auto"/>
            <w:vAlign w:val="center"/>
          </w:tcPr>
          <w:p>
            <w:pPr>
              <w:widowControl/>
              <w:jc w:val="center"/>
              <w:rPr>
                <w:kern w:val="0"/>
                <w:sz w:val="18"/>
              </w:rPr>
            </w:pPr>
            <w:r>
              <w:rPr>
                <w:kern w:val="0"/>
                <w:sz w:val="18"/>
              </w:rPr>
              <w:t>支撑材料</w:t>
            </w:r>
          </w:p>
        </w:tc>
        <w:tc>
          <w:tcPr>
            <w:tcW w:w="1156" w:type="pct"/>
            <w:shd w:val="clear" w:color="auto" w:fill="auto"/>
            <w:vAlign w:val="center"/>
          </w:tcPr>
          <w:p>
            <w:pPr>
              <w:widowControl/>
              <w:jc w:val="center"/>
              <w:rPr>
                <w:kern w:val="0"/>
                <w:sz w:val="18"/>
              </w:rPr>
            </w:pPr>
            <w:r>
              <w:rPr>
                <w:kern w:val="0"/>
                <w:sz w:val="18"/>
              </w:rPr>
              <w:t>课堂评价标准，课堂提问记录或随堂考试，结合出勤率等</w:t>
            </w:r>
          </w:p>
        </w:tc>
        <w:tc>
          <w:tcPr>
            <w:tcW w:w="1081" w:type="pct"/>
            <w:shd w:val="clear" w:color="auto" w:fill="auto"/>
            <w:vAlign w:val="center"/>
          </w:tcPr>
          <w:p>
            <w:pPr>
              <w:widowControl/>
              <w:jc w:val="center"/>
              <w:rPr>
                <w:kern w:val="0"/>
                <w:sz w:val="18"/>
              </w:rPr>
            </w:pPr>
            <w:r>
              <w:rPr>
                <w:kern w:val="0"/>
                <w:sz w:val="18"/>
              </w:rPr>
              <w:t>课内实验评价标准，实验课堂记录记录，典型实验报告</w:t>
            </w:r>
          </w:p>
        </w:tc>
        <w:tc>
          <w:tcPr>
            <w:tcW w:w="787" w:type="pct"/>
            <w:shd w:val="clear" w:color="auto" w:fill="auto"/>
            <w:vAlign w:val="center"/>
          </w:tcPr>
          <w:p>
            <w:pPr>
              <w:widowControl/>
              <w:jc w:val="center"/>
              <w:rPr>
                <w:kern w:val="0"/>
                <w:sz w:val="18"/>
              </w:rPr>
            </w:pPr>
            <w:r>
              <w:rPr>
                <w:kern w:val="0"/>
                <w:sz w:val="18"/>
                <w:szCs w:val="18"/>
              </w:rPr>
              <w:t>专题调研报告</w:t>
            </w:r>
          </w:p>
        </w:tc>
        <w:tc>
          <w:tcPr>
            <w:tcW w:w="908" w:type="pct"/>
            <w:shd w:val="clear" w:color="auto" w:fill="auto"/>
            <w:vAlign w:val="center"/>
          </w:tcPr>
          <w:p>
            <w:pPr>
              <w:widowControl/>
              <w:jc w:val="center"/>
              <w:rPr>
                <w:kern w:val="0"/>
                <w:sz w:val="18"/>
              </w:rPr>
            </w:pPr>
            <w:r>
              <w:rPr>
                <w:kern w:val="0"/>
                <w:sz w:val="18"/>
              </w:rPr>
              <w:t>试题评分标准，试卷</w:t>
            </w:r>
          </w:p>
        </w:tc>
      </w:tr>
    </w:tbl>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6"/>
        <w:gridCol w:w="851"/>
        <w:gridCol w:w="13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667" w:type="pct"/>
            <w:vAlign w:val="center"/>
          </w:tcPr>
          <w:p>
            <w:pPr>
              <w:jc w:val="center"/>
              <w:rPr>
                <w:kern w:val="0"/>
                <w:sz w:val="18"/>
                <w:szCs w:val="18"/>
              </w:rPr>
            </w:pPr>
            <w:r>
              <w:rPr>
                <w:kern w:val="0"/>
                <w:sz w:val="18"/>
                <w:szCs w:val="18"/>
              </w:rPr>
              <w:t>知识点</w:t>
            </w:r>
          </w:p>
        </w:tc>
        <w:tc>
          <w:tcPr>
            <w:tcW w:w="512" w:type="pct"/>
            <w:vAlign w:val="center"/>
          </w:tcPr>
          <w:p>
            <w:pPr>
              <w:jc w:val="center"/>
              <w:rPr>
                <w:kern w:val="0"/>
                <w:sz w:val="18"/>
                <w:szCs w:val="18"/>
              </w:rPr>
            </w:pPr>
            <w:r>
              <w:rPr>
                <w:kern w:val="0"/>
                <w:sz w:val="18"/>
                <w:szCs w:val="18"/>
              </w:rPr>
              <w:t>权重</w:t>
            </w:r>
          </w:p>
        </w:tc>
        <w:tc>
          <w:tcPr>
            <w:tcW w:w="821" w:type="pct"/>
            <w:vAlign w:val="center"/>
          </w:tcPr>
          <w:p>
            <w:pPr>
              <w:jc w:val="center"/>
              <w:rPr>
                <w:kern w:val="0"/>
                <w:sz w:val="18"/>
                <w:szCs w:val="18"/>
              </w:rPr>
            </w:pPr>
            <w:r>
              <w:rPr>
                <w:kern w:val="0"/>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b/>
                <w:kern w:val="0"/>
                <w:sz w:val="18"/>
                <w:szCs w:val="18"/>
              </w:rPr>
            </w:pPr>
            <w:r>
              <w:rPr>
                <w:kern w:val="0"/>
                <w:sz w:val="18"/>
                <w:szCs w:val="18"/>
              </w:rPr>
              <w:t>1、光纤的基本特性、分类和传输原理；光纤通讯和传感的区别与联系；</w:t>
            </w:r>
          </w:p>
        </w:tc>
        <w:tc>
          <w:tcPr>
            <w:tcW w:w="512" w:type="pct"/>
            <w:vAlign w:val="center"/>
          </w:tcPr>
          <w:p>
            <w:pPr>
              <w:jc w:val="center"/>
              <w:rPr>
                <w:kern w:val="0"/>
                <w:sz w:val="18"/>
                <w:szCs w:val="18"/>
              </w:rPr>
            </w:pPr>
            <w:r>
              <w:rPr>
                <w:kern w:val="0"/>
                <w:sz w:val="18"/>
                <w:szCs w:val="18"/>
              </w:rPr>
              <w:t>0.10</w:t>
            </w:r>
          </w:p>
        </w:tc>
        <w:tc>
          <w:tcPr>
            <w:tcW w:w="821" w:type="pct"/>
            <w:vAlign w:val="center"/>
          </w:tcPr>
          <w:p>
            <w:pPr>
              <w:jc w:val="center"/>
              <w:rPr>
                <w:bCs/>
                <w:kern w:val="0"/>
                <w:sz w:val="18"/>
                <w:szCs w:val="18"/>
              </w:rPr>
            </w:pPr>
            <w:r>
              <w:rPr>
                <w:bCs/>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2、光纤器件之间的连接、耦合方式及各种光学原理；</w:t>
            </w:r>
          </w:p>
        </w:tc>
        <w:tc>
          <w:tcPr>
            <w:tcW w:w="512" w:type="pct"/>
            <w:vAlign w:val="center"/>
          </w:tcPr>
          <w:p>
            <w:pPr>
              <w:jc w:val="center"/>
              <w:rPr>
                <w:kern w:val="0"/>
                <w:sz w:val="18"/>
                <w:szCs w:val="18"/>
              </w:rPr>
            </w:pPr>
            <w:r>
              <w:rPr>
                <w:kern w:val="0"/>
                <w:sz w:val="18"/>
                <w:szCs w:val="18"/>
              </w:rPr>
              <w:t>0.15</w:t>
            </w:r>
          </w:p>
        </w:tc>
        <w:tc>
          <w:tcPr>
            <w:tcW w:w="821" w:type="pct"/>
            <w:vAlign w:val="center"/>
          </w:tcPr>
          <w:p>
            <w:pPr>
              <w:jc w:val="center"/>
              <w:rPr>
                <w:bCs/>
                <w:kern w:val="0"/>
                <w:sz w:val="18"/>
                <w:szCs w:val="18"/>
              </w:rPr>
            </w:pPr>
            <w:r>
              <w:rPr>
                <w:bCs/>
                <w:kern w:val="0"/>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3、光纤通信技术的原理与复用技术；</w:t>
            </w:r>
          </w:p>
        </w:tc>
        <w:tc>
          <w:tcPr>
            <w:tcW w:w="512" w:type="pct"/>
            <w:vAlign w:val="center"/>
          </w:tcPr>
          <w:p>
            <w:pPr>
              <w:jc w:val="center"/>
              <w:rPr>
                <w:kern w:val="0"/>
                <w:sz w:val="18"/>
                <w:szCs w:val="18"/>
              </w:rPr>
            </w:pPr>
            <w:r>
              <w:rPr>
                <w:kern w:val="0"/>
                <w:sz w:val="18"/>
                <w:szCs w:val="18"/>
              </w:rPr>
              <w:t>0.15</w:t>
            </w:r>
          </w:p>
        </w:tc>
        <w:tc>
          <w:tcPr>
            <w:tcW w:w="821" w:type="pct"/>
            <w:vAlign w:val="center"/>
          </w:tcPr>
          <w:p>
            <w:pPr>
              <w:jc w:val="center"/>
              <w:rPr>
                <w:bCs/>
                <w:kern w:val="0"/>
                <w:sz w:val="18"/>
                <w:szCs w:val="18"/>
              </w:rPr>
            </w:pPr>
            <w:r>
              <w:rPr>
                <w:bCs/>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4、光纤光栅、波分复用器、光开关的原理及应用技术；</w:t>
            </w:r>
          </w:p>
        </w:tc>
        <w:tc>
          <w:tcPr>
            <w:tcW w:w="512" w:type="pct"/>
            <w:vAlign w:val="center"/>
          </w:tcPr>
          <w:p>
            <w:pPr>
              <w:jc w:val="center"/>
              <w:rPr>
                <w:kern w:val="0"/>
                <w:sz w:val="18"/>
                <w:szCs w:val="18"/>
              </w:rPr>
            </w:pPr>
            <w:r>
              <w:rPr>
                <w:kern w:val="0"/>
                <w:sz w:val="18"/>
                <w:szCs w:val="18"/>
              </w:rPr>
              <w:t>0.10</w:t>
            </w:r>
          </w:p>
        </w:tc>
        <w:tc>
          <w:tcPr>
            <w:tcW w:w="821" w:type="pct"/>
            <w:vAlign w:val="center"/>
          </w:tcPr>
          <w:p>
            <w:pPr>
              <w:jc w:val="center"/>
              <w:rPr>
                <w:bCs/>
                <w:kern w:val="0"/>
                <w:sz w:val="18"/>
                <w:szCs w:val="18"/>
              </w:rPr>
            </w:pPr>
            <w:r>
              <w:rPr>
                <w:bCs/>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5、光纤传感技术的分类，各种传感技术的原理、优缺点及其应用范围；</w:t>
            </w:r>
          </w:p>
        </w:tc>
        <w:tc>
          <w:tcPr>
            <w:tcW w:w="512" w:type="pct"/>
            <w:vAlign w:val="center"/>
          </w:tcPr>
          <w:p>
            <w:pPr>
              <w:jc w:val="center"/>
              <w:rPr>
                <w:kern w:val="0"/>
                <w:sz w:val="18"/>
                <w:szCs w:val="18"/>
              </w:rPr>
            </w:pPr>
            <w:r>
              <w:rPr>
                <w:kern w:val="0"/>
                <w:sz w:val="18"/>
                <w:szCs w:val="18"/>
              </w:rPr>
              <w:t>0.30</w:t>
            </w:r>
          </w:p>
        </w:tc>
        <w:tc>
          <w:tcPr>
            <w:tcW w:w="821" w:type="pct"/>
            <w:vAlign w:val="center"/>
          </w:tcPr>
          <w:p>
            <w:pPr>
              <w:jc w:val="center"/>
              <w:rPr>
                <w:bCs/>
                <w:kern w:val="0"/>
                <w:sz w:val="18"/>
                <w:szCs w:val="18"/>
              </w:rPr>
            </w:pPr>
            <w:r>
              <w:rPr>
                <w:bCs/>
                <w:kern w:val="0"/>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6、光纤有源器件的原理；光纤放大器的工作原理；</w:t>
            </w:r>
          </w:p>
        </w:tc>
        <w:tc>
          <w:tcPr>
            <w:tcW w:w="512" w:type="pct"/>
            <w:vAlign w:val="center"/>
          </w:tcPr>
          <w:p>
            <w:pPr>
              <w:jc w:val="center"/>
              <w:rPr>
                <w:kern w:val="0"/>
                <w:sz w:val="18"/>
                <w:szCs w:val="18"/>
              </w:rPr>
            </w:pPr>
            <w:r>
              <w:rPr>
                <w:kern w:val="0"/>
                <w:sz w:val="18"/>
                <w:szCs w:val="18"/>
              </w:rPr>
              <w:t>0.10</w:t>
            </w:r>
          </w:p>
        </w:tc>
        <w:tc>
          <w:tcPr>
            <w:tcW w:w="821" w:type="pct"/>
            <w:vAlign w:val="center"/>
          </w:tcPr>
          <w:p>
            <w:pPr>
              <w:jc w:val="center"/>
              <w:rPr>
                <w:bCs/>
                <w:kern w:val="0"/>
                <w:sz w:val="18"/>
                <w:szCs w:val="18"/>
              </w:rPr>
            </w:pPr>
            <w:r>
              <w:rPr>
                <w:bCs/>
                <w:kern w:val="0"/>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67" w:type="pct"/>
            <w:vAlign w:val="center"/>
          </w:tcPr>
          <w:p>
            <w:pPr>
              <w:ind w:left="174" w:leftChars="83"/>
              <w:rPr>
                <w:kern w:val="0"/>
                <w:sz w:val="18"/>
                <w:szCs w:val="18"/>
              </w:rPr>
            </w:pPr>
            <w:r>
              <w:rPr>
                <w:kern w:val="0"/>
                <w:sz w:val="18"/>
                <w:szCs w:val="18"/>
              </w:rPr>
              <w:t>7、其他类型光纤工作原理与技术应用。</w:t>
            </w:r>
          </w:p>
        </w:tc>
        <w:tc>
          <w:tcPr>
            <w:tcW w:w="512" w:type="pct"/>
            <w:vAlign w:val="center"/>
          </w:tcPr>
          <w:p>
            <w:pPr>
              <w:jc w:val="center"/>
              <w:rPr>
                <w:kern w:val="0"/>
                <w:sz w:val="18"/>
                <w:szCs w:val="18"/>
              </w:rPr>
            </w:pPr>
            <w:r>
              <w:rPr>
                <w:kern w:val="0"/>
                <w:sz w:val="18"/>
                <w:szCs w:val="18"/>
              </w:rPr>
              <w:t>0.10</w:t>
            </w:r>
          </w:p>
        </w:tc>
        <w:tc>
          <w:tcPr>
            <w:tcW w:w="821" w:type="pct"/>
            <w:vAlign w:val="center"/>
          </w:tcPr>
          <w:p>
            <w:pPr>
              <w:jc w:val="center"/>
              <w:rPr>
                <w:bCs/>
                <w:kern w:val="0"/>
                <w:sz w:val="18"/>
                <w:szCs w:val="18"/>
              </w:rPr>
            </w:pPr>
            <w:r>
              <w:rPr>
                <w:bCs/>
                <w:kern w:val="0"/>
                <w:sz w:val="18"/>
                <w:szCs w:val="18"/>
              </w:rPr>
              <w:t>1</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sectPr>
          <w:pgSz w:w="11906" w:h="16838"/>
          <w:pgMar w:top="1440" w:right="1797" w:bottom="1440" w:left="1797" w:header="851" w:footer="992" w:gutter="0"/>
          <w:cols w:space="425" w:num="1"/>
          <w:docGrid w:type="lines"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rPr>
          <w:rFonts w:asciiTheme="minorEastAsia" w:hAnsiTheme="minorEastAsia" w:eastAsiaTheme="minorEastAsia" w:cstheme="minorEastAsia"/>
        </w:rPr>
      </w:pPr>
      <w:r>
        <w:rPr>
          <w:rFonts w:hint="eastAsia" w:asciiTheme="minorEastAsia" w:hAnsiTheme="minorEastAsia" w:eastAsiaTheme="minorEastAsia" w:cstheme="minor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2420"/>
        <w:gridCol w:w="2420"/>
        <w:gridCol w:w="759"/>
        <w:gridCol w:w="759"/>
        <w:gridCol w:w="759"/>
        <w:gridCol w:w="762"/>
        <w:gridCol w:w="759"/>
        <w:gridCol w:w="759"/>
        <w:gridCol w:w="759"/>
        <w:gridCol w:w="759"/>
        <w:gridCol w:w="6"/>
        <w:gridCol w:w="756"/>
        <w:gridCol w:w="759"/>
        <w:gridCol w:w="759"/>
        <w:gridCol w:w="753"/>
      </w:tblGrid>
      <w:tr>
        <w:tblPrEx>
          <w:tblCellMar>
            <w:top w:w="0" w:type="dxa"/>
            <w:left w:w="108" w:type="dxa"/>
            <w:bottom w:w="0" w:type="dxa"/>
            <w:right w:w="108" w:type="dxa"/>
          </w:tblCellMar>
        </w:tblPrEx>
        <w:trPr>
          <w:trHeight w:val="1015" w:hRule="atLeast"/>
          <w:jc w:val="center"/>
        </w:trPr>
        <w:tc>
          <w:tcPr>
            <w:tcW w:w="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08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090" w:type="pct"/>
            <w:gridSpan w:val="5"/>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08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8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8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课堂</w:t>
            </w:r>
          </w:p>
          <w:p>
            <w:pPr>
              <w:widowControl/>
              <w:adjustRightInd w:val="0"/>
              <w:jc w:val="center"/>
              <w:rPr>
                <w:kern w:val="0"/>
                <w:sz w:val="18"/>
                <w:szCs w:val="18"/>
              </w:rPr>
            </w:pPr>
            <w:r>
              <w:rPr>
                <w:kern w:val="0"/>
                <w:sz w:val="18"/>
                <w:szCs w:val="18"/>
              </w:rPr>
              <w:t>情况</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分组</w:t>
            </w:r>
          </w:p>
          <w:p>
            <w:pPr>
              <w:widowControl/>
              <w:adjustRightInd w:val="0"/>
              <w:jc w:val="center"/>
              <w:rPr>
                <w:kern w:val="0"/>
                <w:sz w:val="18"/>
                <w:szCs w:val="18"/>
              </w:rPr>
            </w:pPr>
            <w:r>
              <w:rPr>
                <w:kern w:val="0"/>
                <w:sz w:val="18"/>
                <w:szCs w:val="18"/>
              </w:rPr>
              <w:t>实验</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专题调研报告</w:t>
            </w:r>
          </w:p>
        </w:tc>
        <w:tc>
          <w:tcPr>
            <w:tcW w:w="273"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adjustRightInd w:val="0"/>
              <w:jc w:val="center"/>
              <w:rPr>
                <w:kern w:val="0"/>
                <w:sz w:val="18"/>
                <w:szCs w:val="18"/>
              </w:rPr>
            </w:pPr>
            <w:r>
              <w:rPr>
                <w:kern w:val="0"/>
                <w:sz w:val="18"/>
                <w:szCs w:val="18"/>
              </w:rPr>
              <w:t>考试</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课堂</w:t>
            </w:r>
          </w:p>
          <w:p>
            <w:pPr>
              <w:widowControl/>
              <w:adjustRightInd w:val="0"/>
              <w:jc w:val="center"/>
              <w:rPr>
                <w:kern w:val="0"/>
                <w:sz w:val="18"/>
                <w:szCs w:val="18"/>
              </w:rPr>
            </w:pPr>
            <w:r>
              <w:rPr>
                <w:kern w:val="0"/>
                <w:sz w:val="18"/>
                <w:szCs w:val="18"/>
              </w:rPr>
              <w:t>情况</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分组实验</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专题调研报告</w:t>
            </w:r>
          </w:p>
        </w:tc>
        <w:tc>
          <w:tcPr>
            <w:tcW w:w="27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adjustRightInd w:val="0"/>
              <w:jc w:val="center"/>
              <w:rPr>
                <w:kern w:val="0"/>
                <w:sz w:val="18"/>
                <w:szCs w:val="18"/>
              </w:rPr>
            </w:pPr>
            <w:r>
              <w:rPr>
                <w:kern w:val="0"/>
                <w:sz w:val="18"/>
                <w:szCs w:val="18"/>
              </w:rPr>
              <w:t>考试</w:t>
            </w:r>
          </w:p>
        </w:tc>
        <w:tc>
          <w:tcPr>
            <w:tcW w:w="27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课堂</w:t>
            </w:r>
          </w:p>
          <w:p>
            <w:pPr>
              <w:widowControl/>
              <w:adjustRightInd w:val="0"/>
              <w:jc w:val="center"/>
              <w:rPr>
                <w:kern w:val="0"/>
                <w:sz w:val="18"/>
                <w:szCs w:val="18"/>
              </w:rPr>
            </w:pPr>
            <w:r>
              <w:rPr>
                <w:kern w:val="0"/>
                <w:sz w:val="18"/>
                <w:szCs w:val="18"/>
              </w:rPr>
              <w:t>情况</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分组实验</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专题调研报告</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adjustRightInd w:val="0"/>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632" w:hRule="atLeast"/>
          <w:jc w:val="center"/>
        </w:trPr>
        <w:tc>
          <w:tcPr>
            <w:tcW w:w="86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86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0.7</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p>
        </w:tc>
        <w:tc>
          <w:tcPr>
            <w:tcW w:w="273"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0.7</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0.14</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0.07</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0.49</w:t>
            </w:r>
          </w:p>
        </w:tc>
        <w:tc>
          <w:tcPr>
            <w:tcW w:w="27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0.32</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r>
      <w:tr>
        <w:tblPrEx>
          <w:tblCellMar>
            <w:top w:w="0" w:type="dxa"/>
            <w:left w:w="108" w:type="dxa"/>
            <w:bottom w:w="0" w:type="dxa"/>
            <w:right w:w="108" w:type="dxa"/>
          </w:tblCellMar>
        </w:tblPrEx>
        <w:trPr>
          <w:trHeight w:val="557" w:hRule="atLeast"/>
          <w:jc w:val="center"/>
        </w:trPr>
        <w:tc>
          <w:tcPr>
            <w:tcW w:w="86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86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w:t>
            </w:r>
          </w:p>
        </w:tc>
        <w:tc>
          <w:tcPr>
            <w:tcW w:w="273"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CellMar>
            <w:top w:w="0" w:type="dxa"/>
            <w:left w:w="108" w:type="dxa"/>
            <w:bottom w:w="0" w:type="dxa"/>
            <w:right w:w="108" w:type="dxa"/>
          </w:tblCellMar>
        </w:tblPrEx>
        <w:trPr>
          <w:trHeight w:val="565" w:hRule="atLeast"/>
          <w:jc w:val="center"/>
        </w:trPr>
        <w:tc>
          <w:tcPr>
            <w:tcW w:w="868"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86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　</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1</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3"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2" w:type="pct"/>
            <w:tcBorders>
              <w:top w:val="nil"/>
              <w:left w:val="nil"/>
              <w:bottom w:val="single" w:color="auto" w:sz="4" w:space="0"/>
              <w:right w:val="single" w:color="auto" w:sz="4" w:space="0"/>
            </w:tcBorders>
            <w:shd w:val="clear" w:color="auto" w:fill="auto"/>
            <w:noWrap/>
            <w:vAlign w:val="center"/>
          </w:tcPr>
          <w:p>
            <w:pPr>
              <w:jc w:val="center"/>
              <w:rPr>
                <w:sz w:val="18"/>
                <w:szCs w:val="18"/>
              </w:rPr>
            </w:pPr>
          </w:p>
        </w:tc>
        <w:tc>
          <w:tcPr>
            <w:tcW w:w="27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0.68</w:t>
            </w:r>
          </w:p>
        </w:tc>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CellMar>
            <w:top w:w="0" w:type="dxa"/>
            <w:left w:w="108" w:type="dxa"/>
            <w:bottom w:w="0" w:type="dxa"/>
            <w:right w:w="108" w:type="dxa"/>
          </w:tblCellMar>
        </w:tblPrEx>
        <w:trPr>
          <w:trHeight w:val="1026" w:hRule="atLeast"/>
          <w:jc w:val="center"/>
        </w:trPr>
        <w:tc>
          <w:tcPr>
            <w:tcW w:w="2824"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27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0.14</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0.22</w:t>
            </w:r>
          </w:p>
        </w:tc>
        <w:tc>
          <w:tcPr>
            <w:tcW w:w="27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73" w:type="pct"/>
            <w:gridSpan w:val="2"/>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0.49</w:t>
            </w:r>
          </w:p>
        </w:tc>
        <w:tc>
          <w:tcPr>
            <w:tcW w:w="108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tbl>
    <w:p>
      <w:pPr>
        <w:sectPr>
          <w:pgSz w:w="16838" w:h="11906" w:orient="landscape"/>
          <w:pgMar w:top="1797" w:right="1440" w:bottom="1797" w:left="1440" w:header="851" w:footer="992" w:gutter="0"/>
          <w:cols w:space="425" w:num="1"/>
          <w:docGrid w:type="line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14"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14" DrawAspect="Content" ObjectID="_1468075814" r:id="rId274">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15"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15" DrawAspect="Content" ObjectID="_1468075815" r:id="rId275">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16"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16" DrawAspect="Content" ObjectID="_1468075816" r:id="rId276">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17"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17" DrawAspect="Content" ObjectID="_1468075817" r:id="rId277">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18"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18" DrawAspect="Content" ObjectID="_1468075818" r:id="rId278">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19"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19" DrawAspect="Content" ObjectID="_1468075819" r:id="rId279">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br w:type="page"/>
      </w:r>
    </w:p>
    <w:p>
      <w:pPr>
        <w:pStyle w:val="20"/>
        <w:spacing w:before="240" w:after="360"/>
      </w:pPr>
      <w:bookmarkStart w:id="193" w:name="_Toc46996569"/>
      <w:bookmarkStart w:id="194" w:name="_Toc12557"/>
      <w:r>
        <w:t>《Y06060021-MATLAB应用基础》教学大纲</w:t>
      </w:r>
      <w:bookmarkEnd w:id="193"/>
      <w:bookmarkEnd w:id="194"/>
    </w:p>
    <w:p>
      <w:pPr>
        <w:adjustRightInd w:val="0"/>
        <w:snapToGrid w:val="0"/>
        <w:spacing w:line="360" w:lineRule="auto"/>
        <w:rPr>
          <w:rFonts w:eastAsia="黑体"/>
          <w:szCs w:val="21"/>
        </w:rPr>
      </w:pPr>
      <w:r>
        <w:rPr>
          <w:rFonts w:eastAsia="黑体"/>
          <w:szCs w:val="21"/>
        </w:rPr>
        <w:t>课程编号：</w:t>
      </w:r>
      <w:r>
        <w:rPr>
          <w:bCs/>
          <w:kern w:val="0"/>
        </w:rPr>
        <w:t xml:space="preserve">Y06060021          </w:t>
      </w:r>
      <w:r>
        <w:rPr>
          <w:rFonts w:eastAsia="黑体"/>
          <w:szCs w:val="21"/>
        </w:rPr>
        <w:tab/>
      </w:r>
    </w:p>
    <w:p>
      <w:pPr>
        <w:adjustRightInd w:val="0"/>
        <w:snapToGrid w:val="0"/>
        <w:spacing w:line="360" w:lineRule="auto"/>
        <w:rPr>
          <w:rFonts w:eastAsia="黑体"/>
          <w:szCs w:val="21"/>
        </w:rPr>
      </w:pPr>
      <w:r>
        <w:rPr>
          <w:rFonts w:eastAsia="黑体"/>
          <w:szCs w:val="21"/>
        </w:rPr>
        <w:t>课程名称：</w:t>
      </w:r>
      <w:r>
        <w:rPr>
          <w:szCs w:val="21"/>
        </w:rPr>
        <w:t>MATLAB应用基础</w:t>
      </w:r>
      <w:r>
        <w:rPr>
          <w:szCs w:val="21"/>
        </w:rPr>
        <w:tab/>
      </w:r>
      <w:r>
        <w:rPr>
          <w:szCs w:val="21"/>
        </w:rPr>
        <w:tab/>
      </w:r>
      <w:r>
        <w:rPr>
          <w:szCs w:val="21"/>
        </w:rPr>
        <w:tab/>
      </w:r>
      <w:r>
        <w:rPr>
          <w:szCs w:val="21"/>
        </w:rPr>
        <w:tab/>
      </w:r>
      <w:r>
        <w:rPr>
          <w:rFonts w:eastAsia="黑体"/>
          <w:szCs w:val="21"/>
        </w:rPr>
        <w:t>开课单位：</w:t>
      </w:r>
      <w:r>
        <w:rPr>
          <w:szCs w:val="21"/>
        </w:rPr>
        <w:t>仪器与电子学院</w:t>
      </w:r>
    </w:p>
    <w:p>
      <w:pPr>
        <w:adjustRightInd w:val="0"/>
        <w:snapToGrid w:val="0"/>
        <w:spacing w:line="360" w:lineRule="auto"/>
        <w:rPr>
          <w:rFonts w:eastAsia="黑体"/>
          <w:szCs w:val="21"/>
        </w:rPr>
      </w:pPr>
      <w:r>
        <w:rPr>
          <w:rFonts w:eastAsia="黑体"/>
          <w:szCs w:val="21"/>
        </w:rPr>
        <w:t>总 学 时：</w:t>
      </w:r>
      <w:r>
        <w:rPr>
          <w:bCs/>
          <w:kern w:val="0"/>
        </w:rPr>
        <w:t xml:space="preserve">32 (实验16学时)              </w:t>
      </w:r>
      <w:r>
        <w:rPr>
          <w:bCs/>
          <w:kern w:val="0"/>
        </w:rPr>
        <w:tab/>
      </w:r>
      <w:r>
        <w:rPr>
          <w:rFonts w:eastAsia="黑体"/>
          <w:szCs w:val="21"/>
        </w:rPr>
        <w:t>学</w:t>
      </w:r>
      <w:r>
        <w:rPr>
          <w:rFonts w:hint="eastAsia" w:eastAsia="黑体"/>
          <w:szCs w:val="21"/>
        </w:rPr>
        <w:t xml:space="preserve"> </w:t>
      </w:r>
      <w:r>
        <w:rPr>
          <w:rFonts w:eastAsia="黑体"/>
          <w:szCs w:val="21"/>
        </w:rPr>
        <w:t xml:space="preserve">   分：</w:t>
      </w:r>
      <w:r>
        <w:rPr>
          <w:bCs/>
          <w:kern w:val="0"/>
        </w:rPr>
        <w:t>2</w:t>
      </w:r>
    </w:p>
    <w:p>
      <w:pPr>
        <w:adjustRightInd w:val="0"/>
        <w:snapToGrid w:val="0"/>
        <w:spacing w:line="360" w:lineRule="auto"/>
        <w:rPr>
          <w:rFonts w:eastAsia="黑体"/>
          <w:szCs w:val="21"/>
        </w:rPr>
      </w:pPr>
      <w:r>
        <w:rPr>
          <w:rFonts w:eastAsia="黑体"/>
          <w:szCs w:val="21"/>
        </w:rPr>
        <w:t>适用专业：</w:t>
      </w:r>
      <w:r>
        <w:rPr>
          <w:szCs w:val="21"/>
        </w:rPr>
        <w:t>电子科学与技术专业</w:t>
      </w:r>
    </w:p>
    <w:p>
      <w:pPr>
        <w:adjustRightInd w:val="0"/>
        <w:snapToGrid w:val="0"/>
        <w:spacing w:line="360" w:lineRule="auto"/>
        <w:rPr>
          <w:szCs w:val="21"/>
        </w:rPr>
      </w:pPr>
      <w:r>
        <w:rPr>
          <w:rFonts w:eastAsia="黑体"/>
          <w:szCs w:val="21"/>
        </w:rPr>
        <w:t>先修课程：</w:t>
      </w:r>
      <w:r>
        <w:rPr>
          <w:szCs w:val="21"/>
        </w:rPr>
        <w:t>高等数学</w:t>
      </w:r>
      <w:r>
        <w:rPr>
          <w:rFonts w:hint="eastAsia"/>
          <w:szCs w:val="21"/>
        </w:rPr>
        <w:t>、</w:t>
      </w:r>
      <w:r>
        <w:rPr>
          <w:szCs w:val="21"/>
        </w:rPr>
        <w:t>线性代数</w:t>
      </w:r>
      <w:r>
        <w:rPr>
          <w:rFonts w:hint="eastAsia"/>
          <w:szCs w:val="21"/>
        </w:rPr>
        <w:t>、</w:t>
      </w:r>
      <w:r>
        <w:rPr>
          <w:szCs w:val="21"/>
        </w:rPr>
        <w:t>信号与系统</w:t>
      </w:r>
      <w:r>
        <w:rPr>
          <w:rFonts w:hint="eastAsia"/>
          <w:szCs w:val="21"/>
        </w:rPr>
        <w:t>、</w:t>
      </w:r>
      <w:r>
        <w:rPr>
          <w:szCs w:val="21"/>
        </w:rPr>
        <w:t>自动控制基础</w:t>
      </w:r>
    </w:p>
    <w:p>
      <w:pPr>
        <w:adjustRightInd w:val="0"/>
        <w:snapToGrid w:val="0"/>
        <w:spacing w:line="360" w:lineRule="auto"/>
        <w:rPr>
          <w:rFonts w:eastAsia="黑体"/>
          <w:szCs w:val="21"/>
        </w:rPr>
      </w:pPr>
      <w:r>
        <w:rPr>
          <w:rFonts w:eastAsia="黑体"/>
          <w:szCs w:val="21"/>
        </w:rPr>
        <w:t>大纲撰写人：</w:t>
      </w:r>
      <w:r>
        <w:rPr>
          <w:szCs w:val="21"/>
        </w:rPr>
        <w:t>邵星灵</w:t>
      </w:r>
    </w:p>
    <w:p>
      <w:pPr>
        <w:adjustRightInd w:val="0"/>
        <w:snapToGrid w:val="0"/>
        <w:spacing w:line="360" w:lineRule="auto"/>
        <w:rPr>
          <w:szCs w:val="21"/>
        </w:rPr>
      </w:pPr>
      <w:r>
        <w:rPr>
          <w:rFonts w:eastAsia="黑体"/>
          <w:szCs w:val="21"/>
        </w:rPr>
        <w:t>大纲编写（修订）时间：</w:t>
      </w:r>
      <w:r>
        <w:rPr>
          <w:bCs/>
          <w:kern w:val="0"/>
        </w:rPr>
        <w:t>2019年5月</w:t>
      </w:r>
    </w:p>
    <w:p>
      <w:pPr>
        <w:rPr>
          <w:b/>
          <w:szCs w:val="21"/>
        </w:rPr>
      </w:pPr>
    </w:p>
    <w:p>
      <w:pPr>
        <w:numPr>
          <w:ilvl w:val="0"/>
          <w:numId w:val="27"/>
        </w:numPr>
        <w:adjustRightInd w:val="0"/>
        <w:snapToGrid w:val="0"/>
        <w:spacing w:line="360" w:lineRule="auto"/>
        <w:rPr>
          <w:rFonts w:eastAsia="黑体"/>
          <w:szCs w:val="21"/>
        </w:rPr>
      </w:pPr>
      <w:r>
        <w:rPr>
          <w:rFonts w:eastAsia="黑体"/>
          <w:szCs w:val="21"/>
        </w:rPr>
        <w:t>课程在教学计划中的地位、作用</w:t>
      </w:r>
    </w:p>
    <w:p>
      <w:pPr>
        <w:spacing w:line="360" w:lineRule="auto"/>
        <w:ind w:firstLine="420" w:firstLineChars="200"/>
        <w:rPr>
          <w:szCs w:val="21"/>
        </w:rPr>
      </w:pPr>
      <w:r>
        <w:rPr>
          <w:szCs w:val="21"/>
        </w:rPr>
        <w:t>本课程</w:t>
      </w:r>
      <w:r>
        <w:rPr>
          <w:rFonts w:hint="eastAsia"/>
          <w:szCs w:val="21"/>
        </w:rPr>
        <w:t>是</w:t>
      </w:r>
      <w:r>
        <w:rPr>
          <w:szCs w:val="21"/>
        </w:rPr>
        <w:t>一门属于计算机辅助设计类的专业课程，是测控技术与仪器专业</w:t>
      </w:r>
      <w:r>
        <w:rPr>
          <w:rFonts w:hint="eastAsia"/>
          <w:szCs w:val="21"/>
        </w:rPr>
        <w:t>、</w:t>
      </w:r>
      <w:r>
        <w:rPr>
          <w:szCs w:val="21"/>
        </w:rPr>
        <w:t>电子科学与技术专业、</w:t>
      </w:r>
      <w:r>
        <w:rPr>
          <w:rFonts w:hint="eastAsia"/>
          <w:szCs w:val="21"/>
        </w:rPr>
        <w:t>微电子</w:t>
      </w:r>
      <w:r>
        <w:rPr>
          <w:szCs w:val="21"/>
        </w:rPr>
        <w:t>科学与工程专业的选修课程</w:t>
      </w:r>
      <w:r>
        <w:rPr>
          <w:rFonts w:hint="eastAsia"/>
          <w:szCs w:val="21"/>
        </w:rPr>
        <w:t>。M</w:t>
      </w:r>
      <w:r>
        <w:rPr>
          <w:szCs w:val="21"/>
        </w:rPr>
        <w:t>ATLAB语言是</w:t>
      </w:r>
      <w:r>
        <w:rPr>
          <w:rFonts w:hint="eastAsia"/>
          <w:szCs w:val="21"/>
        </w:rPr>
        <w:t>当前</w:t>
      </w:r>
      <w:r>
        <w:rPr>
          <w:szCs w:val="21"/>
        </w:rPr>
        <w:t>科学研究中首选的计算机语言，</w:t>
      </w:r>
      <w:r>
        <w:rPr>
          <w:rFonts w:hint="eastAsia"/>
          <w:szCs w:val="21"/>
        </w:rPr>
        <w:t>是</w:t>
      </w:r>
      <w:r>
        <w:rPr>
          <w:szCs w:val="21"/>
        </w:rPr>
        <w:t>硬件工程师和软件工程师必须掌握的有效工具，是模拟先进测控系统</w:t>
      </w:r>
      <w:r>
        <w:rPr>
          <w:rFonts w:hint="eastAsia"/>
          <w:szCs w:val="21"/>
        </w:rPr>
        <w:t>和</w:t>
      </w:r>
      <w:r>
        <w:rPr>
          <w:szCs w:val="21"/>
        </w:rPr>
        <w:t>现代电子电路的</w:t>
      </w:r>
      <w:r>
        <w:rPr>
          <w:rFonts w:hint="eastAsia"/>
          <w:szCs w:val="21"/>
        </w:rPr>
        <w:t>重要仿真与分析平台</w:t>
      </w:r>
      <w:r>
        <w:rPr>
          <w:szCs w:val="21"/>
        </w:rPr>
        <w:t>。该课程的作用是提高学生应用仿真分析方法进行</w:t>
      </w:r>
      <w:r>
        <w:rPr>
          <w:rFonts w:hint="eastAsia"/>
          <w:szCs w:val="21"/>
        </w:rPr>
        <w:t>测控</w:t>
      </w:r>
      <w:r>
        <w:rPr>
          <w:szCs w:val="21"/>
        </w:rPr>
        <w:t>与电子电路系统领域</w:t>
      </w:r>
      <w:r>
        <w:rPr>
          <w:rFonts w:hint="eastAsia"/>
          <w:szCs w:val="21"/>
        </w:rPr>
        <w:t>实际</w:t>
      </w:r>
      <w:r>
        <w:rPr>
          <w:szCs w:val="21"/>
        </w:rPr>
        <w:t>问题分析的能力，主要任务是讲授MATLAB基本操作及SIMULINK仿真分析实现与调试方法</w:t>
      </w:r>
      <w:r>
        <w:rPr>
          <w:rFonts w:hint="eastAsia"/>
          <w:szCs w:val="21"/>
        </w:rPr>
        <w:t>。</w:t>
      </w:r>
      <w:r>
        <w:rPr>
          <w:szCs w:val="21"/>
        </w:rPr>
        <w:t>通过该课程的学习使学生能够</w:t>
      </w:r>
      <w:r>
        <w:rPr>
          <w:rFonts w:hint="eastAsia"/>
          <w:szCs w:val="21"/>
        </w:rPr>
        <w:t>掌握现代</w:t>
      </w:r>
      <w:r>
        <w:rPr>
          <w:szCs w:val="21"/>
        </w:rPr>
        <w:t>测控与电子电路系统设计中MATLAB</w:t>
      </w:r>
      <w:r>
        <w:rPr>
          <w:rFonts w:hint="eastAsia"/>
          <w:szCs w:val="21"/>
        </w:rPr>
        <w:t>软件</w:t>
      </w:r>
      <w:r>
        <w:rPr>
          <w:szCs w:val="21"/>
        </w:rPr>
        <w:t>的应用特色</w:t>
      </w:r>
      <w:r>
        <w:rPr>
          <w:rFonts w:hint="eastAsia"/>
          <w:szCs w:val="21"/>
        </w:rPr>
        <w:t>，</w:t>
      </w:r>
      <w:r>
        <w:rPr>
          <w:szCs w:val="21"/>
        </w:rPr>
        <w:t>使学生能够应用MATLAB</w:t>
      </w:r>
      <w:r>
        <w:rPr>
          <w:rFonts w:hint="eastAsia"/>
          <w:szCs w:val="21"/>
        </w:rPr>
        <w:t>语言</w:t>
      </w:r>
      <w:r>
        <w:rPr>
          <w:szCs w:val="21"/>
        </w:rPr>
        <w:t>进行实际工程问题的建模</w:t>
      </w:r>
      <w:r>
        <w:rPr>
          <w:rFonts w:hint="eastAsia"/>
          <w:szCs w:val="21"/>
        </w:rPr>
        <w:t>、</w:t>
      </w:r>
      <w:r>
        <w:rPr>
          <w:szCs w:val="21"/>
        </w:rPr>
        <w:t>求解与分析验证。</w:t>
      </w:r>
    </w:p>
    <w:p>
      <w:pPr>
        <w:spacing w:line="360" w:lineRule="auto"/>
        <w:rPr>
          <w:rFonts w:eastAsia="黑体"/>
          <w:szCs w:val="21"/>
        </w:rPr>
      </w:pPr>
    </w:p>
    <w:p>
      <w:pPr>
        <w:spacing w:line="360" w:lineRule="auto"/>
        <w:rPr>
          <w:rFonts w:eastAsia="黑体"/>
          <w:szCs w:val="21"/>
        </w:rPr>
      </w:pPr>
      <w:r>
        <w:rPr>
          <w:rFonts w:eastAsia="黑体"/>
          <w:szCs w:val="21"/>
        </w:rPr>
        <w:t>二</w:t>
      </w:r>
      <w:r>
        <w:rPr>
          <w:rFonts w:hint="eastAsia" w:eastAsia="黑体"/>
          <w:szCs w:val="21"/>
        </w:rPr>
        <w:t>、</w:t>
      </w:r>
      <w:r>
        <w:rPr>
          <w:rFonts w:eastAsia="黑体"/>
          <w:szCs w:val="21"/>
        </w:rPr>
        <w:t>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4470"/>
        <w:gridCol w:w="32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6"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689"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1945"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6" w:type="pct"/>
            <w:vAlign w:val="center"/>
          </w:tcPr>
          <w:p>
            <w:pPr>
              <w:adjustRightInd w:val="0"/>
              <w:snapToGrid w:val="0"/>
              <w:spacing w:line="360" w:lineRule="auto"/>
              <w:jc w:val="center"/>
              <w:rPr>
                <w:rFonts w:ascii="宋体" w:hAnsi="宋体"/>
                <w:sz w:val="18"/>
                <w:szCs w:val="18"/>
              </w:rPr>
            </w:pPr>
            <w:r>
              <w:rPr>
                <w:rFonts w:ascii="宋体" w:hAnsi="宋体"/>
                <w:sz w:val="18"/>
                <w:szCs w:val="18"/>
              </w:rPr>
              <w:t>1</w:t>
            </w:r>
          </w:p>
        </w:tc>
        <w:tc>
          <w:tcPr>
            <w:tcW w:w="2689" w:type="pct"/>
          </w:tcPr>
          <w:p>
            <w:pPr>
              <w:adjustRightInd w:val="0"/>
              <w:snapToGrid w:val="0"/>
              <w:spacing w:line="360" w:lineRule="auto"/>
              <w:rPr>
                <w:rFonts w:ascii="宋体" w:hAnsi="宋体"/>
                <w:sz w:val="18"/>
                <w:szCs w:val="18"/>
              </w:rPr>
            </w:pPr>
            <w:r>
              <w:rPr>
                <w:rFonts w:hint="eastAsia" w:ascii="宋体" w:hAnsi="宋体"/>
                <w:sz w:val="18"/>
                <w:szCs w:val="18"/>
              </w:rPr>
              <w:t>能够根据具体任务需求选择相应的计算机辅助软件工具，能够理解</w:t>
            </w:r>
            <w:r>
              <w:rPr>
                <w:rFonts w:ascii="宋体" w:hAnsi="宋体"/>
                <w:sz w:val="18"/>
                <w:szCs w:val="18"/>
              </w:rPr>
              <w:t>MATLAB仿真分析“程序化”、“框图化”的</w:t>
            </w:r>
            <w:r>
              <w:rPr>
                <w:rFonts w:hint="eastAsia" w:ascii="宋体" w:hAnsi="宋体"/>
                <w:sz w:val="18"/>
                <w:szCs w:val="18"/>
              </w:rPr>
              <w:t>设计</w:t>
            </w:r>
            <w:r>
              <w:rPr>
                <w:rFonts w:ascii="宋体" w:hAnsi="宋体"/>
                <w:sz w:val="18"/>
                <w:szCs w:val="18"/>
              </w:rPr>
              <w:t>理念，能够利用MATLAB语言及相应工具箱，</w:t>
            </w:r>
            <w:r>
              <w:rPr>
                <w:rFonts w:hint="eastAsia" w:ascii="宋体" w:hAnsi="宋体"/>
                <w:sz w:val="18"/>
                <w:szCs w:val="18"/>
              </w:rPr>
              <w:t>开发</w:t>
            </w:r>
            <w:r>
              <w:rPr>
                <w:rFonts w:ascii="宋体" w:hAnsi="宋体"/>
                <w:sz w:val="18"/>
                <w:szCs w:val="18"/>
              </w:rPr>
              <w:t>具有一定复杂度的</w:t>
            </w:r>
            <w:r>
              <w:rPr>
                <w:rFonts w:hint="eastAsia" w:ascii="宋体" w:hAnsi="宋体"/>
                <w:sz w:val="18"/>
                <w:szCs w:val="18"/>
              </w:rPr>
              <w:t>软件</w:t>
            </w:r>
            <w:r>
              <w:rPr>
                <w:rFonts w:ascii="宋体" w:hAnsi="宋体"/>
                <w:sz w:val="18"/>
                <w:szCs w:val="18"/>
              </w:rPr>
              <w:t>代码</w:t>
            </w:r>
            <w:r>
              <w:rPr>
                <w:rFonts w:hint="eastAsia" w:ascii="宋体" w:hAnsi="宋体"/>
                <w:sz w:val="18"/>
                <w:szCs w:val="18"/>
              </w:rPr>
              <w:t>，</w:t>
            </w:r>
            <w:r>
              <w:rPr>
                <w:rFonts w:ascii="宋体" w:hAnsi="宋体"/>
                <w:sz w:val="18"/>
                <w:szCs w:val="18"/>
              </w:rPr>
              <w:t>并能够编译</w:t>
            </w:r>
            <w:r>
              <w:rPr>
                <w:rFonts w:hint="eastAsia" w:ascii="宋体" w:hAnsi="宋体"/>
                <w:sz w:val="18"/>
                <w:szCs w:val="18"/>
              </w:rPr>
              <w:t>、</w:t>
            </w:r>
            <w:r>
              <w:rPr>
                <w:rFonts w:ascii="宋体" w:hAnsi="宋体"/>
                <w:sz w:val="18"/>
                <w:szCs w:val="18"/>
              </w:rPr>
              <w:t>调试与验证</w:t>
            </w:r>
            <w:r>
              <w:rPr>
                <w:rFonts w:hint="eastAsia" w:ascii="宋体" w:hAnsi="宋体"/>
                <w:sz w:val="18"/>
                <w:szCs w:val="18"/>
              </w:rPr>
              <w:t>；</w:t>
            </w:r>
          </w:p>
        </w:tc>
        <w:tc>
          <w:tcPr>
            <w:tcW w:w="1945" w:type="pct"/>
          </w:tcPr>
          <w:p>
            <w:pPr>
              <w:adjustRightInd w:val="0"/>
              <w:snapToGrid w:val="0"/>
              <w:spacing w:line="360" w:lineRule="auto"/>
              <w:rPr>
                <w:rFonts w:ascii="宋体" w:hAnsi="宋体"/>
                <w:sz w:val="18"/>
                <w:szCs w:val="18"/>
              </w:rPr>
            </w:pPr>
            <w:r>
              <w:rPr>
                <w:rFonts w:ascii="宋体" w:hAnsi="宋体"/>
                <w:b/>
                <w:sz w:val="18"/>
                <w:szCs w:val="18"/>
              </w:rPr>
              <w:t>指标点5-1 工具选择与开发：</w:t>
            </w:r>
            <w:r>
              <w:rPr>
                <w:rFonts w:hint="eastAsia" w:ascii="宋体" w:hAnsi="宋体"/>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366" w:type="pct"/>
            <w:vAlign w:val="center"/>
          </w:tcPr>
          <w:p>
            <w:pPr>
              <w:adjustRightInd w:val="0"/>
              <w:snapToGrid w:val="0"/>
              <w:spacing w:line="360" w:lineRule="auto"/>
              <w:jc w:val="center"/>
              <w:rPr>
                <w:rFonts w:ascii="宋体" w:hAnsi="宋体"/>
                <w:sz w:val="18"/>
                <w:szCs w:val="18"/>
              </w:rPr>
            </w:pPr>
            <w:r>
              <w:rPr>
                <w:rFonts w:ascii="宋体" w:hAnsi="宋体"/>
                <w:sz w:val="18"/>
                <w:szCs w:val="18"/>
              </w:rPr>
              <w:t>2</w:t>
            </w:r>
          </w:p>
        </w:tc>
        <w:tc>
          <w:tcPr>
            <w:tcW w:w="2689" w:type="pct"/>
          </w:tcPr>
          <w:p>
            <w:pPr>
              <w:adjustRightInd w:val="0"/>
              <w:snapToGrid w:val="0"/>
              <w:spacing w:line="360" w:lineRule="auto"/>
              <w:rPr>
                <w:rFonts w:ascii="宋体" w:hAnsi="宋体"/>
                <w:sz w:val="18"/>
                <w:szCs w:val="18"/>
              </w:rPr>
            </w:pPr>
            <w:r>
              <w:rPr>
                <w:rFonts w:ascii="宋体" w:hAnsi="宋体"/>
                <w:sz w:val="18"/>
                <w:szCs w:val="18"/>
              </w:rPr>
              <w:t>能够根据给定的工程实际问题技术特征，</w:t>
            </w:r>
            <w:r>
              <w:rPr>
                <w:rFonts w:hint="eastAsia" w:ascii="宋体" w:hAnsi="宋体"/>
                <w:sz w:val="18"/>
                <w:szCs w:val="18"/>
              </w:rPr>
              <w:t>使用</w:t>
            </w:r>
            <w:r>
              <w:rPr>
                <w:rFonts w:ascii="宋体" w:hAnsi="宋体"/>
                <w:sz w:val="18"/>
                <w:szCs w:val="18"/>
              </w:rPr>
              <w:t>Simulink模型库或自定义函数模块，搭建Simulink仿真验证平台，开展结果验证与仿真分析工作，</w:t>
            </w:r>
            <w:r>
              <w:rPr>
                <w:rFonts w:hint="eastAsia" w:ascii="宋体" w:hAnsi="宋体"/>
                <w:sz w:val="18"/>
                <w:szCs w:val="18"/>
              </w:rPr>
              <w:t>能够</w:t>
            </w:r>
            <w:r>
              <w:rPr>
                <w:rFonts w:ascii="宋体" w:hAnsi="宋体"/>
                <w:sz w:val="18"/>
                <w:szCs w:val="18"/>
              </w:rPr>
              <w:t>优化和</w:t>
            </w:r>
            <w:r>
              <w:rPr>
                <w:rFonts w:hint="eastAsia" w:ascii="宋体" w:hAnsi="宋体"/>
                <w:sz w:val="18"/>
                <w:szCs w:val="18"/>
              </w:rPr>
              <w:t>改进</w:t>
            </w:r>
            <w:r>
              <w:rPr>
                <w:rFonts w:ascii="宋体" w:hAnsi="宋体"/>
                <w:sz w:val="18"/>
                <w:szCs w:val="18"/>
              </w:rPr>
              <w:t>Simulink程序</w:t>
            </w:r>
            <w:r>
              <w:rPr>
                <w:rFonts w:hint="eastAsia" w:ascii="宋体" w:hAnsi="宋体"/>
                <w:sz w:val="18"/>
                <w:szCs w:val="18"/>
              </w:rPr>
              <w:t>。</w:t>
            </w:r>
          </w:p>
        </w:tc>
        <w:tc>
          <w:tcPr>
            <w:tcW w:w="1945" w:type="pct"/>
          </w:tcPr>
          <w:p>
            <w:pPr>
              <w:adjustRightInd w:val="0"/>
              <w:snapToGrid w:val="0"/>
              <w:spacing w:line="360" w:lineRule="auto"/>
              <w:rPr>
                <w:rFonts w:ascii="宋体" w:hAnsi="宋体"/>
                <w:sz w:val="18"/>
                <w:szCs w:val="18"/>
              </w:rPr>
            </w:pPr>
            <w:r>
              <w:rPr>
                <w:rFonts w:hint="eastAsia" w:ascii="宋体" w:hAnsi="宋体"/>
                <w:b/>
                <w:bCs/>
                <w:sz w:val="18"/>
                <w:szCs w:val="18"/>
              </w:rPr>
              <w:t>指标点5-2专业工具使用</w:t>
            </w:r>
            <w:r>
              <w:rPr>
                <w:rFonts w:hint="eastAsia" w:ascii="宋体" w:hAnsi="宋体"/>
                <w:sz w:val="18"/>
                <w:szCs w:val="18"/>
              </w:rPr>
              <w:t>：能使用工具对电路系统、协议等进行设计和仿真，确定功能和相关设计参数。</w:t>
            </w:r>
          </w:p>
        </w:tc>
      </w:tr>
    </w:tbl>
    <w:p>
      <w:pPr>
        <w:tabs>
          <w:tab w:val="left" w:pos="420"/>
        </w:tabs>
        <w:adjustRightInd w:val="0"/>
        <w:snapToGrid w:val="0"/>
        <w:spacing w:line="360" w:lineRule="auto"/>
        <w:rPr>
          <w:rFonts w:eastAsia="黑体"/>
          <w:szCs w:val="21"/>
        </w:rPr>
      </w:pPr>
    </w:p>
    <w:p>
      <w:pPr>
        <w:tabs>
          <w:tab w:val="left" w:pos="420"/>
        </w:tabs>
        <w:adjustRightInd w:val="0"/>
        <w:snapToGrid w:val="0"/>
        <w:spacing w:line="360" w:lineRule="auto"/>
        <w:ind w:left="420" w:hanging="420"/>
        <w:rPr>
          <w:rFonts w:eastAsia="黑体"/>
          <w:szCs w:val="21"/>
        </w:rPr>
      </w:pPr>
      <w:r>
        <w:rPr>
          <w:rFonts w:eastAsia="黑体"/>
          <w:szCs w:val="21"/>
        </w:rPr>
        <w:t>三、基本要求</w:t>
      </w:r>
    </w:p>
    <w:p>
      <w:pPr>
        <w:spacing w:line="360" w:lineRule="auto"/>
        <w:ind w:firstLine="420" w:firstLineChars="200"/>
        <w:rPr>
          <w:szCs w:val="21"/>
        </w:rPr>
      </w:pPr>
      <w:r>
        <w:rPr>
          <w:szCs w:val="21"/>
        </w:rPr>
        <w:t>1、本课程为专业任选课，要求先修高等数学，线性代数等课程，在教学中应注重理论讲授与实验训练相结合的原则，使学生熟练掌握MATLAB的操作方法、程序设计方法、Simulink仿真方法。</w:t>
      </w:r>
    </w:p>
    <w:p>
      <w:pPr>
        <w:spacing w:line="360" w:lineRule="auto"/>
        <w:ind w:firstLine="420" w:firstLineChars="200"/>
        <w:rPr>
          <w:szCs w:val="21"/>
        </w:rPr>
      </w:pPr>
      <w:r>
        <w:rPr>
          <w:szCs w:val="21"/>
        </w:rPr>
        <w:t>2、通过学习MATLAB软件语言程序设计及Simulink仿真基本方法，结合经典实例演示，提高学生仿真设计与问题分析能力。</w:t>
      </w:r>
    </w:p>
    <w:p>
      <w:pPr>
        <w:spacing w:line="360" w:lineRule="auto"/>
        <w:ind w:firstLine="420" w:firstLineChars="200"/>
        <w:rPr>
          <w:szCs w:val="21"/>
        </w:rPr>
      </w:pPr>
      <w:r>
        <w:rPr>
          <w:szCs w:val="21"/>
        </w:rPr>
        <w:t>3、本课程是一门实践性很强的课程。要求学生通过实验环节把所学的内容进行巩固和掌握，要求在CAI教室进行授课，并且教学和实验交替进行。</w:t>
      </w:r>
    </w:p>
    <w:p>
      <w:pPr>
        <w:widowControl/>
        <w:spacing w:line="360" w:lineRule="auto"/>
        <w:ind w:firstLine="420" w:firstLineChars="200"/>
        <w:jc w:val="left"/>
      </w:pPr>
      <w:r>
        <w:rPr>
          <w:szCs w:val="21"/>
        </w:rPr>
        <w:t>4、深度和广度说明： MATLAB基本操作、绘图等部分只做简单介绍；MATLAB语言程序设计与Simulink仿真分析方法要结合工程实例深入讲解。</w:t>
      </w:r>
    </w:p>
    <w:p>
      <w:pPr>
        <w:widowControl/>
        <w:spacing w:line="360" w:lineRule="auto"/>
        <w:ind w:firstLine="420" w:firstLineChars="200"/>
        <w:jc w:val="left"/>
        <w:rPr>
          <w:szCs w:val="21"/>
        </w:rPr>
      </w:pPr>
      <w:r>
        <w:rPr>
          <w:szCs w:val="21"/>
        </w:rPr>
        <w:t>5、</w:t>
      </w:r>
      <w: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eastAsia="黑体"/>
          <w:szCs w:val="21"/>
        </w:rPr>
        <w:t>四、教学内容和教学方法</w:t>
      </w:r>
    </w:p>
    <w:p>
      <w:pPr>
        <w:widowControl/>
        <w:spacing w:line="360" w:lineRule="auto"/>
        <w:ind w:firstLine="420" w:firstLineChars="200"/>
        <w:jc w:val="left"/>
        <w:rPr>
          <w:szCs w:val="21"/>
        </w:rPr>
      </w:pPr>
      <w:r>
        <w:rPr>
          <w:szCs w:val="21"/>
        </w:rPr>
        <w:t>本课程重点讲授的内容包括：MATLAB基本操作方法、MATLAB语言程序设计方法、Simulink仿真方法。</w:t>
      </w:r>
    </w:p>
    <w:p>
      <w:pPr>
        <w:widowControl/>
        <w:spacing w:line="360" w:lineRule="auto"/>
        <w:ind w:firstLine="420" w:firstLineChars="200"/>
        <w:jc w:val="left"/>
      </w:pPr>
      <w:r>
        <w:t>教学方法：</w:t>
      </w:r>
    </w:p>
    <w:p>
      <w:pPr>
        <w:widowControl/>
        <w:spacing w:line="360" w:lineRule="auto"/>
        <w:ind w:firstLine="420" w:firstLineChars="200"/>
        <w:jc w:val="left"/>
      </w:pPr>
      <w:r>
        <w:t>1）利用CAI形式讲授，辅以重要知识点的板书推导与分析，引导学生理解工程问题数学方法分析思路；</w:t>
      </w:r>
    </w:p>
    <w:p>
      <w:pPr>
        <w:widowControl/>
        <w:spacing w:line="360" w:lineRule="auto"/>
        <w:ind w:firstLine="420" w:firstLineChars="200"/>
        <w:jc w:val="left"/>
      </w:pPr>
      <w:r>
        <w:t>2）讲授过程中注重工程实例分析，使学生理解其工程问题仿真分析处理方法；</w:t>
      </w:r>
    </w:p>
    <w:p>
      <w:pPr>
        <w:widowControl/>
        <w:spacing w:line="360" w:lineRule="auto"/>
        <w:ind w:firstLine="420" w:firstLineChars="200"/>
        <w:jc w:val="left"/>
      </w:pPr>
      <w:r>
        <w:t>3）学生分组自主选择测控领域的工程问题进行建模、分析与仿真验证工作，由授课教师对学生完成的质量进行评价。</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1  MATLAB操作基础（4学时）</w:t>
      </w:r>
    </w:p>
    <w:p>
      <w:pPr>
        <w:widowControl/>
        <w:spacing w:line="360" w:lineRule="auto"/>
        <w:ind w:left="426"/>
        <w:jc w:val="left"/>
        <w:rPr>
          <w:snapToGrid w:val="0"/>
          <w:kern w:val="0"/>
          <w:szCs w:val="21"/>
        </w:rPr>
      </w:pPr>
      <w:r>
        <w:rPr>
          <w:snapToGrid w:val="0"/>
          <w:kern w:val="0"/>
          <w:szCs w:val="21"/>
        </w:rPr>
        <w:t>1.1、理解MATLAB集成环境；</w:t>
      </w:r>
    </w:p>
    <w:p>
      <w:pPr>
        <w:widowControl/>
        <w:spacing w:line="360" w:lineRule="auto"/>
        <w:ind w:left="426"/>
        <w:jc w:val="left"/>
        <w:rPr>
          <w:snapToGrid w:val="0"/>
          <w:kern w:val="0"/>
          <w:szCs w:val="21"/>
        </w:rPr>
      </w:pPr>
      <w:r>
        <w:rPr>
          <w:snapToGrid w:val="0"/>
          <w:kern w:val="0"/>
          <w:szCs w:val="21"/>
        </w:rPr>
        <w:t>1.2、了解MATLAB运行环境、安装、帮助系统及主要功能；</w:t>
      </w:r>
    </w:p>
    <w:p>
      <w:pPr>
        <w:widowControl/>
        <w:spacing w:line="360" w:lineRule="auto"/>
        <w:ind w:left="426"/>
        <w:jc w:val="left"/>
        <w:rPr>
          <w:snapToGrid w:val="0"/>
          <w:kern w:val="0"/>
          <w:szCs w:val="21"/>
        </w:rPr>
      </w:pPr>
      <w:r>
        <w:rPr>
          <w:snapToGrid w:val="0"/>
          <w:kern w:val="0"/>
          <w:szCs w:val="21"/>
        </w:rPr>
        <w:t>1.3、掌握建立矩阵的方法；</w:t>
      </w:r>
    </w:p>
    <w:p>
      <w:pPr>
        <w:widowControl/>
        <w:spacing w:line="360" w:lineRule="auto"/>
        <w:ind w:left="426"/>
        <w:jc w:val="left"/>
        <w:rPr>
          <w:snapToGrid w:val="0"/>
          <w:kern w:val="0"/>
          <w:szCs w:val="21"/>
        </w:rPr>
      </w:pPr>
      <w:r>
        <w:rPr>
          <w:snapToGrid w:val="0"/>
          <w:kern w:val="0"/>
          <w:szCs w:val="21"/>
        </w:rPr>
        <w:t>1.4、掌握矩阵的算术运算、关系运算及逻辑运算、矩阵转置、逆运算、方阵行列式及矩阵特征值和特征向量的求法；</w:t>
      </w:r>
    </w:p>
    <w:p>
      <w:pPr>
        <w:widowControl/>
        <w:spacing w:line="360" w:lineRule="auto"/>
        <w:ind w:left="426"/>
        <w:jc w:val="left"/>
        <w:rPr>
          <w:snapToGrid w:val="0"/>
          <w:kern w:val="0"/>
          <w:szCs w:val="21"/>
        </w:rPr>
      </w:pPr>
      <w:r>
        <w:rPr>
          <w:snapToGrid w:val="0"/>
          <w:kern w:val="0"/>
          <w:szCs w:val="21"/>
        </w:rPr>
        <w:t>1.5、理解MATLAB常用数学函数的使用和数据输出格式；</w:t>
      </w:r>
    </w:p>
    <w:p>
      <w:pPr>
        <w:widowControl/>
        <w:spacing w:line="360" w:lineRule="auto"/>
        <w:ind w:left="426"/>
        <w:jc w:val="left"/>
        <w:rPr>
          <w:snapToGrid w:val="0"/>
          <w:kern w:val="0"/>
          <w:szCs w:val="21"/>
        </w:rPr>
      </w:pPr>
      <w:r>
        <w:rPr>
          <w:snapToGrid w:val="0"/>
          <w:kern w:val="0"/>
          <w:szCs w:val="21"/>
        </w:rPr>
        <w:t>1.6、了解几种特殊矩阵、获得子矩阵的方法、字符串向量、结构数据和单元数据、稀疏矩阵等内容；</w:t>
      </w:r>
    </w:p>
    <w:p>
      <w:pPr>
        <w:widowControl/>
        <w:spacing w:line="360" w:lineRule="auto"/>
        <w:ind w:left="426"/>
        <w:jc w:val="left"/>
        <w:rPr>
          <w:snapToGrid w:val="0"/>
          <w:kern w:val="0"/>
          <w:szCs w:val="21"/>
        </w:rPr>
      </w:pPr>
      <w:r>
        <w:rPr>
          <w:snapToGrid w:val="0"/>
          <w:kern w:val="0"/>
          <w:szCs w:val="21"/>
        </w:rPr>
        <w:t>1.7、理解利用矩阵分解求解线性方程组的方法；</w:t>
      </w:r>
    </w:p>
    <w:p>
      <w:pPr>
        <w:widowControl/>
        <w:spacing w:line="360" w:lineRule="auto"/>
        <w:ind w:left="426"/>
        <w:jc w:val="left"/>
        <w:rPr>
          <w:snapToGrid w:val="0"/>
          <w:kern w:val="0"/>
          <w:szCs w:val="21"/>
        </w:rPr>
      </w:pPr>
      <w:r>
        <w:rPr>
          <w:snapToGrid w:val="0"/>
          <w:kern w:val="0"/>
          <w:szCs w:val="21"/>
        </w:rPr>
        <w:t>1.8、了解非线性方程组的求解方法，常微分方程初值问题的数值解法等内容。</w:t>
      </w:r>
    </w:p>
    <w:p>
      <w:pPr>
        <w:widowControl/>
        <w:spacing w:line="360" w:lineRule="auto"/>
        <w:ind w:firstLine="420" w:firstLineChars="200"/>
        <w:jc w:val="left"/>
        <w:rPr>
          <w:snapToGrid w:val="0"/>
          <w:kern w:val="0"/>
        </w:rPr>
      </w:pPr>
      <w:r>
        <w:rPr>
          <w:snapToGrid w:val="0"/>
          <w:kern w:val="0"/>
        </w:rPr>
        <w:t>重点：MATLAB基础运算符号及其操作方法与方程组的解法。</w:t>
      </w:r>
    </w:p>
    <w:p>
      <w:pPr>
        <w:widowControl/>
        <w:spacing w:line="360" w:lineRule="auto"/>
        <w:ind w:firstLine="420" w:firstLineChars="200"/>
        <w:jc w:val="left"/>
        <w:rPr>
          <w:snapToGrid w:val="0"/>
          <w:kern w:val="0"/>
        </w:rPr>
      </w:pPr>
      <w:r>
        <w:rPr>
          <w:snapToGrid w:val="0"/>
          <w:kern w:val="0"/>
        </w:rPr>
        <w:t>难点：微分方程的解法。</w:t>
      </w:r>
    </w:p>
    <w:p>
      <w:pPr>
        <w:widowControl/>
        <w:spacing w:line="360" w:lineRule="auto"/>
        <w:ind w:firstLine="420" w:firstLineChars="200"/>
        <w:jc w:val="left"/>
        <w:rPr>
          <w:snapToGrid w:val="0"/>
          <w:kern w:val="0"/>
        </w:rPr>
      </w:pPr>
      <w:r>
        <w:rPr>
          <w:snapToGrid w:val="0"/>
          <w:kern w:val="0"/>
        </w:rPr>
        <w:t>本章内容支撑课程目标1。</w:t>
      </w:r>
    </w:p>
    <w:p>
      <w:pPr>
        <w:widowControl/>
        <w:spacing w:line="360" w:lineRule="auto"/>
        <w:ind w:left="426"/>
        <w:jc w:val="left"/>
        <w:rPr>
          <w:rFonts w:eastAsia="黑体"/>
          <w:snapToGrid w:val="0"/>
          <w:kern w:val="0"/>
          <w:szCs w:val="21"/>
        </w:rPr>
      </w:pPr>
      <w:r>
        <w:rPr>
          <w:rFonts w:eastAsia="黑体"/>
          <w:snapToGrid w:val="0"/>
          <w:kern w:val="0"/>
          <w:szCs w:val="21"/>
        </w:rPr>
        <w:t>2  MATLAB程序设计（8学时）</w:t>
      </w:r>
    </w:p>
    <w:p>
      <w:pPr>
        <w:widowControl/>
        <w:spacing w:line="360" w:lineRule="auto"/>
        <w:ind w:left="426"/>
        <w:jc w:val="left"/>
        <w:rPr>
          <w:snapToGrid w:val="0"/>
          <w:kern w:val="0"/>
          <w:szCs w:val="21"/>
        </w:rPr>
      </w:pPr>
      <w:r>
        <w:rPr>
          <w:snapToGrid w:val="0"/>
          <w:kern w:val="0"/>
          <w:szCs w:val="21"/>
        </w:rPr>
        <w:t>2.1、掌握建立命令文件和函数文件的方法；</w:t>
      </w:r>
    </w:p>
    <w:p>
      <w:pPr>
        <w:widowControl/>
        <w:spacing w:line="360" w:lineRule="auto"/>
        <w:ind w:left="426"/>
        <w:jc w:val="left"/>
        <w:rPr>
          <w:snapToGrid w:val="0"/>
          <w:kern w:val="0"/>
          <w:szCs w:val="21"/>
        </w:rPr>
      </w:pPr>
      <w:r>
        <w:rPr>
          <w:snapToGrid w:val="0"/>
          <w:kern w:val="0"/>
          <w:szCs w:val="21"/>
        </w:rPr>
        <w:t>2.2、掌握利用三种控制结构进行程序设计的方法；</w:t>
      </w:r>
    </w:p>
    <w:p>
      <w:pPr>
        <w:widowControl/>
        <w:spacing w:line="360" w:lineRule="auto"/>
        <w:ind w:left="426"/>
        <w:jc w:val="left"/>
        <w:rPr>
          <w:snapToGrid w:val="0"/>
          <w:kern w:val="0"/>
          <w:szCs w:val="21"/>
        </w:rPr>
      </w:pPr>
      <w:r>
        <w:rPr>
          <w:snapToGrid w:val="0"/>
          <w:kern w:val="0"/>
          <w:szCs w:val="21"/>
        </w:rPr>
        <w:t>2.3、理解函数文件、函数调用、全局变量与局部变量等内容；</w:t>
      </w:r>
    </w:p>
    <w:p>
      <w:pPr>
        <w:widowControl/>
        <w:spacing w:line="360" w:lineRule="auto"/>
        <w:ind w:left="426"/>
        <w:jc w:val="left"/>
        <w:rPr>
          <w:snapToGrid w:val="0"/>
          <w:kern w:val="0"/>
          <w:szCs w:val="21"/>
        </w:rPr>
      </w:pPr>
      <w:r>
        <w:rPr>
          <w:snapToGrid w:val="0"/>
          <w:kern w:val="0"/>
          <w:szCs w:val="21"/>
        </w:rPr>
        <w:t>2.4、掌握程序调试菜单与调试命令的使用。</w:t>
      </w:r>
    </w:p>
    <w:p>
      <w:pPr>
        <w:widowControl/>
        <w:spacing w:line="360" w:lineRule="auto"/>
        <w:ind w:firstLine="420" w:firstLineChars="200"/>
        <w:jc w:val="left"/>
        <w:rPr>
          <w:snapToGrid w:val="0"/>
          <w:kern w:val="0"/>
        </w:rPr>
      </w:pPr>
      <w:r>
        <w:rPr>
          <w:snapToGrid w:val="0"/>
          <w:kern w:val="0"/>
        </w:rPr>
        <w:t>重点：基础程序流程控制与函数创建及函数调用方法，函数中变量的作用域。</w:t>
      </w:r>
    </w:p>
    <w:p>
      <w:pPr>
        <w:widowControl/>
        <w:spacing w:line="360" w:lineRule="auto"/>
        <w:ind w:firstLine="420" w:firstLineChars="200"/>
        <w:jc w:val="left"/>
        <w:rPr>
          <w:snapToGrid w:val="0"/>
          <w:kern w:val="0"/>
        </w:rPr>
      </w:pPr>
      <w:r>
        <w:rPr>
          <w:snapToGrid w:val="0"/>
          <w:kern w:val="0"/>
        </w:rPr>
        <w:t>难点：函数嵌套设计与调用。</w:t>
      </w:r>
    </w:p>
    <w:p>
      <w:pPr>
        <w:widowControl/>
        <w:spacing w:line="360" w:lineRule="auto"/>
        <w:ind w:firstLine="420" w:firstLineChars="200"/>
        <w:jc w:val="left"/>
        <w:rPr>
          <w:snapToGrid w:val="0"/>
          <w:kern w:val="0"/>
        </w:rPr>
      </w:pPr>
      <w:r>
        <w:rPr>
          <w:snapToGrid w:val="0"/>
          <w:kern w:val="0"/>
        </w:rPr>
        <w:t>本章内容支撑课程目标</w:t>
      </w:r>
      <w:r>
        <w:rPr>
          <w:rFonts w:hint="eastAsia"/>
          <w:snapToGrid w:val="0"/>
          <w:kern w:val="0"/>
        </w:rPr>
        <w:t>1、</w:t>
      </w:r>
      <w:r>
        <w:rPr>
          <w:snapToGrid w:val="0"/>
          <w:kern w:val="0"/>
        </w:rPr>
        <w:t>2。</w:t>
      </w:r>
    </w:p>
    <w:p>
      <w:pPr>
        <w:widowControl/>
        <w:spacing w:line="360" w:lineRule="auto"/>
        <w:ind w:firstLine="420" w:firstLineChars="200"/>
        <w:jc w:val="left"/>
        <w:rPr>
          <w:rFonts w:eastAsia="黑体"/>
          <w:snapToGrid w:val="0"/>
          <w:kern w:val="0"/>
          <w:szCs w:val="21"/>
        </w:rPr>
      </w:pPr>
      <w:r>
        <w:rPr>
          <w:rFonts w:eastAsia="黑体"/>
          <w:snapToGrid w:val="0"/>
          <w:kern w:val="0"/>
          <w:szCs w:val="21"/>
        </w:rPr>
        <w:t>3  MATLAB绘图（4学时）</w:t>
      </w:r>
    </w:p>
    <w:p>
      <w:pPr>
        <w:widowControl/>
        <w:spacing w:line="360" w:lineRule="auto"/>
        <w:ind w:left="426"/>
        <w:jc w:val="left"/>
        <w:rPr>
          <w:snapToGrid w:val="0"/>
          <w:kern w:val="0"/>
          <w:szCs w:val="21"/>
        </w:rPr>
      </w:pPr>
      <w:r>
        <w:rPr>
          <w:snapToGrid w:val="0"/>
          <w:kern w:val="0"/>
          <w:szCs w:val="21"/>
        </w:rPr>
        <w:t>3.1、掌握绘制单个二维数据曲线、绘制多个二维数据曲线的方法；</w:t>
      </w:r>
    </w:p>
    <w:p>
      <w:pPr>
        <w:widowControl/>
        <w:spacing w:line="360" w:lineRule="auto"/>
        <w:ind w:left="426"/>
        <w:jc w:val="left"/>
        <w:rPr>
          <w:snapToGrid w:val="0"/>
          <w:kern w:val="0"/>
          <w:szCs w:val="21"/>
        </w:rPr>
      </w:pPr>
      <w:r>
        <w:rPr>
          <w:snapToGrid w:val="0"/>
          <w:kern w:val="0"/>
          <w:szCs w:val="21"/>
        </w:rPr>
        <w:t>3.2、理解图形标注与坐标控制、图形窗口分割的方法；</w:t>
      </w:r>
    </w:p>
    <w:p>
      <w:pPr>
        <w:widowControl/>
        <w:spacing w:line="360" w:lineRule="auto"/>
        <w:ind w:left="426"/>
        <w:jc w:val="left"/>
        <w:rPr>
          <w:snapToGrid w:val="0"/>
          <w:kern w:val="0"/>
          <w:szCs w:val="21"/>
        </w:rPr>
      </w:pPr>
      <w:r>
        <w:rPr>
          <w:snapToGrid w:val="0"/>
          <w:kern w:val="0"/>
          <w:szCs w:val="21"/>
        </w:rPr>
        <w:t>3.3、理解三维曲线、三维曲面的绘制方法；</w:t>
      </w:r>
    </w:p>
    <w:p>
      <w:pPr>
        <w:widowControl/>
        <w:spacing w:line="360" w:lineRule="auto"/>
        <w:ind w:left="426"/>
        <w:jc w:val="left"/>
        <w:rPr>
          <w:snapToGrid w:val="0"/>
          <w:kern w:val="0"/>
          <w:szCs w:val="21"/>
        </w:rPr>
      </w:pPr>
      <w:r>
        <w:rPr>
          <w:snapToGrid w:val="0"/>
          <w:kern w:val="0"/>
          <w:szCs w:val="21"/>
        </w:rPr>
        <w:t>3.4、了解隐函数绘图、图形修饰处理、图像处理。</w:t>
      </w:r>
    </w:p>
    <w:p>
      <w:pPr>
        <w:widowControl/>
        <w:spacing w:line="360" w:lineRule="auto"/>
        <w:ind w:firstLine="420" w:firstLineChars="200"/>
        <w:jc w:val="left"/>
        <w:rPr>
          <w:snapToGrid w:val="0"/>
          <w:kern w:val="0"/>
        </w:rPr>
      </w:pPr>
      <w:r>
        <w:rPr>
          <w:snapToGrid w:val="0"/>
          <w:kern w:val="0"/>
        </w:rPr>
        <w:t>重点：二维、三维曲线绘制与标注。</w:t>
      </w:r>
    </w:p>
    <w:p>
      <w:pPr>
        <w:widowControl/>
        <w:spacing w:line="360" w:lineRule="auto"/>
        <w:ind w:firstLine="420" w:firstLineChars="200"/>
        <w:jc w:val="left"/>
        <w:rPr>
          <w:snapToGrid w:val="0"/>
          <w:kern w:val="0"/>
        </w:rPr>
      </w:pPr>
      <w:r>
        <w:rPr>
          <w:snapToGrid w:val="0"/>
          <w:kern w:val="0"/>
        </w:rPr>
        <w:t>难点：多曲线同时绘制。</w:t>
      </w:r>
    </w:p>
    <w:p>
      <w:pPr>
        <w:widowControl/>
        <w:spacing w:line="360" w:lineRule="auto"/>
        <w:ind w:firstLine="420" w:firstLineChars="200"/>
        <w:jc w:val="left"/>
        <w:rPr>
          <w:snapToGrid w:val="0"/>
          <w:kern w:val="0"/>
        </w:rPr>
      </w:pPr>
      <w:r>
        <w:rPr>
          <w:snapToGrid w:val="0"/>
          <w:kern w:val="0"/>
        </w:rPr>
        <w:t>本章内容支撑课程目标</w:t>
      </w:r>
      <w:r>
        <w:rPr>
          <w:rFonts w:hint="eastAsia"/>
          <w:snapToGrid w:val="0"/>
          <w:kern w:val="0"/>
        </w:rPr>
        <w:t>1、</w:t>
      </w:r>
      <w:r>
        <w:rPr>
          <w:snapToGrid w:val="0"/>
          <w:kern w:val="0"/>
        </w:rPr>
        <w:t>2。</w:t>
      </w:r>
    </w:p>
    <w:p>
      <w:pPr>
        <w:widowControl/>
        <w:spacing w:line="360" w:lineRule="auto"/>
        <w:ind w:left="426"/>
        <w:jc w:val="left"/>
        <w:rPr>
          <w:rFonts w:eastAsia="黑体"/>
          <w:snapToGrid w:val="0"/>
          <w:kern w:val="0"/>
          <w:szCs w:val="21"/>
        </w:rPr>
      </w:pPr>
      <w:r>
        <w:rPr>
          <w:rFonts w:eastAsia="黑体"/>
          <w:snapToGrid w:val="0"/>
          <w:kern w:val="0"/>
          <w:szCs w:val="21"/>
        </w:rPr>
        <w:t>4  Simulink仿真基础（8学时）</w:t>
      </w:r>
    </w:p>
    <w:p>
      <w:pPr>
        <w:adjustRightInd w:val="0"/>
        <w:snapToGrid w:val="0"/>
        <w:spacing w:line="360" w:lineRule="auto"/>
        <w:ind w:left="426"/>
        <w:rPr>
          <w:snapToGrid w:val="0"/>
          <w:kern w:val="0"/>
          <w:szCs w:val="21"/>
        </w:rPr>
      </w:pPr>
      <w:r>
        <w:rPr>
          <w:snapToGrid w:val="0"/>
          <w:kern w:val="0"/>
          <w:szCs w:val="21"/>
        </w:rPr>
        <w:t>4.1、Simulink操作基础；</w:t>
      </w:r>
    </w:p>
    <w:p>
      <w:pPr>
        <w:widowControl/>
        <w:spacing w:line="360" w:lineRule="auto"/>
        <w:ind w:left="426"/>
        <w:jc w:val="left"/>
        <w:rPr>
          <w:snapToGrid w:val="0"/>
          <w:kern w:val="0"/>
          <w:szCs w:val="21"/>
        </w:rPr>
      </w:pPr>
      <w:r>
        <w:rPr>
          <w:snapToGrid w:val="0"/>
          <w:kern w:val="0"/>
          <w:szCs w:val="21"/>
        </w:rPr>
        <w:t>4.2、Simulink仿真参数设置；</w:t>
      </w:r>
    </w:p>
    <w:p>
      <w:pPr>
        <w:adjustRightInd w:val="0"/>
        <w:snapToGrid w:val="0"/>
        <w:spacing w:line="360" w:lineRule="auto"/>
        <w:ind w:left="426"/>
        <w:rPr>
          <w:snapToGrid w:val="0"/>
          <w:kern w:val="0"/>
          <w:szCs w:val="21"/>
        </w:rPr>
      </w:pPr>
      <w:r>
        <w:rPr>
          <w:snapToGrid w:val="0"/>
          <w:kern w:val="0"/>
          <w:szCs w:val="21"/>
        </w:rPr>
        <w:t>4.3、Simulink仿真模型创建方法；</w:t>
      </w:r>
    </w:p>
    <w:p>
      <w:pPr>
        <w:widowControl/>
        <w:spacing w:line="360" w:lineRule="auto"/>
        <w:ind w:left="426"/>
        <w:jc w:val="left"/>
        <w:rPr>
          <w:snapToGrid w:val="0"/>
          <w:kern w:val="0"/>
          <w:szCs w:val="21"/>
        </w:rPr>
      </w:pPr>
      <w:r>
        <w:rPr>
          <w:snapToGrid w:val="0"/>
          <w:kern w:val="0"/>
          <w:szCs w:val="21"/>
        </w:rPr>
        <w:t>4.4、Simulink子系统创建；</w:t>
      </w:r>
    </w:p>
    <w:p>
      <w:pPr>
        <w:widowControl/>
        <w:spacing w:line="360" w:lineRule="auto"/>
        <w:ind w:left="426"/>
        <w:jc w:val="left"/>
        <w:rPr>
          <w:snapToGrid w:val="0"/>
          <w:kern w:val="0"/>
        </w:rPr>
      </w:pPr>
      <w:r>
        <w:rPr>
          <w:snapToGrid w:val="0"/>
          <w:kern w:val="0"/>
          <w:szCs w:val="21"/>
        </w:rPr>
        <w:t>4.5、动态系统仿真实例。</w:t>
      </w:r>
    </w:p>
    <w:p>
      <w:pPr>
        <w:widowControl/>
        <w:spacing w:line="360" w:lineRule="auto"/>
        <w:ind w:firstLine="420" w:firstLineChars="200"/>
        <w:jc w:val="left"/>
        <w:rPr>
          <w:snapToGrid w:val="0"/>
          <w:kern w:val="0"/>
        </w:rPr>
      </w:pPr>
      <w:r>
        <w:rPr>
          <w:snapToGrid w:val="0"/>
          <w:kern w:val="0"/>
        </w:rPr>
        <w:t>重点：</w:t>
      </w:r>
      <w:r>
        <w:rPr>
          <w:snapToGrid w:val="0"/>
          <w:kern w:val="0"/>
          <w:szCs w:val="21"/>
        </w:rPr>
        <w:t>Simulink基础操作及仿真模型与子系统创建；结合一、二阶系统建模仿真进行讲解</w:t>
      </w:r>
      <w:r>
        <w:rPr>
          <w:snapToGrid w:val="0"/>
          <w:kern w:val="0"/>
        </w:rPr>
        <w:t>。</w:t>
      </w:r>
    </w:p>
    <w:p>
      <w:pPr>
        <w:widowControl/>
        <w:spacing w:line="360" w:lineRule="auto"/>
        <w:ind w:firstLine="420" w:firstLineChars="200"/>
        <w:jc w:val="left"/>
        <w:rPr>
          <w:snapToGrid w:val="0"/>
          <w:kern w:val="0"/>
        </w:rPr>
      </w:pPr>
      <w:r>
        <w:rPr>
          <w:snapToGrid w:val="0"/>
          <w:kern w:val="0"/>
        </w:rPr>
        <w:t>难点：子系统创建与参数设置。</w:t>
      </w:r>
    </w:p>
    <w:p>
      <w:pPr>
        <w:widowControl/>
        <w:spacing w:line="360" w:lineRule="auto"/>
        <w:ind w:firstLine="420" w:firstLineChars="200"/>
        <w:jc w:val="left"/>
        <w:rPr>
          <w:snapToGrid w:val="0"/>
          <w:kern w:val="0"/>
        </w:rPr>
      </w:pPr>
      <w:r>
        <w:rPr>
          <w:snapToGrid w:val="0"/>
          <w:kern w:val="0"/>
        </w:rPr>
        <w:t>本章内容支撑课程目标</w:t>
      </w:r>
      <w:r>
        <w:rPr>
          <w:rFonts w:hint="eastAsia"/>
          <w:snapToGrid w:val="0"/>
          <w:kern w:val="0"/>
        </w:rPr>
        <w:t>1、</w:t>
      </w:r>
      <w:r>
        <w:rPr>
          <w:snapToGrid w:val="0"/>
          <w:kern w:val="0"/>
        </w:rPr>
        <w:t>2。</w:t>
      </w:r>
    </w:p>
    <w:p>
      <w:pPr>
        <w:widowControl/>
        <w:spacing w:line="360" w:lineRule="auto"/>
        <w:ind w:left="426"/>
        <w:jc w:val="left"/>
        <w:rPr>
          <w:rFonts w:eastAsia="黑体"/>
          <w:snapToGrid w:val="0"/>
          <w:kern w:val="0"/>
          <w:szCs w:val="21"/>
        </w:rPr>
      </w:pPr>
      <w:r>
        <w:rPr>
          <w:rFonts w:eastAsia="黑体"/>
          <w:snapToGrid w:val="0"/>
          <w:kern w:val="0"/>
          <w:szCs w:val="21"/>
        </w:rPr>
        <w:t>5  Simulink工程仿真（8学时）</w:t>
      </w:r>
    </w:p>
    <w:p>
      <w:pPr>
        <w:adjustRightInd w:val="0"/>
        <w:snapToGrid w:val="0"/>
        <w:spacing w:line="360" w:lineRule="auto"/>
        <w:ind w:left="426"/>
        <w:rPr>
          <w:snapToGrid w:val="0"/>
          <w:kern w:val="0"/>
          <w:szCs w:val="21"/>
        </w:rPr>
      </w:pPr>
      <w:r>
        <w:rPr>
          <w:snapToGrid w:val="0"/>
          <w:kern w:val="0"/>
          <w:szCs w:val="21"/>
        </w:rPr>
        <w:t>5.1、典型机电系统高抗扰控制方法简介；</w:t>
      </w:r>
    </w:p>
    <w:p>
      <w:pPr>
        <w:adjustRightInd w:val="0"/>
        <w:snapToGrid w:val="0"/>
        <w:spacing w:line="360" w:lineRule="auto"/>
        <w:ind w:left="426"/>
        <w:rPr>
          <w:snapToGrid w:val="0"/>
          <w:kern w:val="0"/>
          <w:szCs w:val="21"/>
        </w:rPr>
      </w:pPr>
      <w:r>
        <w:rPr>
          <w:snapToGrid w:val="0"/>
          <w:kern w:val="0"/>
          <w:szCs w:val="21"/>
        </w:rPr>
        <w:t>5.2</w:t>
      </w:r>
      <w:r>
        <w:rPr>
          <w:snapToGrid w:val="0"/>
          <w:kern w:val="0"/>
        </w:rPr>
        <w:t>、</w:t>
      </w:r>
      <w:r>
        <w:rPr>
          <w:snapToGrid w:val="0"/>
          <w:kern w:val="0"/>
          <w:szCs w:val="21"/>
        </w:rPr>
        <w:t>基于Simulink的积分鲁棒/自抗扰控制算法设计与验证；</w:t>
      </w:r>
    </w:p>
    <w:p>
      <w:pPr>
        <w:widowControl/>
        <w:spacing w:line="360" w:lineRule="auto"/>
        <w:ind w:firstLine="420" w:firstLineChars="200"/>
        <w:jc w:val="left"/>
        <w:rPr>
          <w:snapToGrid w:val="0"/>
          <w:kern w:val="0"/>
        </w:rPr>
      </w:pPr>
      <w:r>
        <w:rPr>
          <w:snapToGrid w:val="0"/>
          <w:kern w:val="0"/>
        </w:rPr>
        <w:t>5.3、</w:t>
      </w:r>
      <w:r>
        <w:rPr>
          <w:snapToGrid w:val="0"/>
          <w:kern w:val="0"/>
          <w:szCs w:val="21"/>
        </w:rPr>
        <w:t>Simulink仿真</w:t>
      </w:r>
      <w:r>
        <w:rPr>
          <w:snapToGrid w:val="0"/>
          <w:kern w:val="0"/>
        </w:rPr>
        <w:t>调试。</w:t>
      </w:r>
    </w:p>
    <w:p>
      <w:pPr>
        <w:widowControl/>
        <w:spacing w:line="360" w:lineRule="auto"/>
        <w:ind w:left="420" w:leftChars="200"/>
        <w:jc w:val="left"/>
        <w:rPr>
          <w:snapToGrid w:val="0"/>
          <w:kern w:val="0"/>
        </w:rPr>
      </w:pPr>
      <w:r>
        <w:rPr>
          <w:snapToGrid w:val="0"/>
          <w:kern w:val="0"/>
        </w:rPr>
        <w:t>重点：典型机电系统控制方法原理简介；结合机电系统数学模型和控制方程进行仿真验证。</w:t>
      </w:r>
    </w:p>
    <w:p>
      <w:pPr>
        <w:widowControl/>
        <w:spacing w:line="360" w:lineRule="auto"/>
        <w:ind w:firstLine="420" w:firstLineChars="200"/>
        <w:jc w:val="left"/>
        <w:rPr>
          <w:snapToGrid w:val="0"/>
          <w:kern w:val="0"/>
        </w:rPr>
      </w:pPr>
      <w:r>
        <w:rPr>
          <w:snapToGrid w:val="0"/>
          <w:kern w:val="0"/>
        </w:rPr>
        <w:t>难点：仿真调试。</w:t>
      </w:r>
    </w:p>
    <w:p>
      <w:pPr>
        <w:widowControl/>
        <w:spacing w:line="360" w:lineRule="auto"/>
        <w:ind w:firstLine="420" w:firstLineChars="200"/>
        <w:jc w:val="left"/>
        <w:rPr>
          <w:snapToGrid w:val="0"/>
          <w:kern w:val="0"/>
        </w:rPr>
      </w:pPr>
      <w:r>
        <w:rPr>
          <w:snapToGrid w:val="0"/>
          <w:kern w:val="0"/>
        </w:rPr>
        <w:t>本章内容支撑课程目标1</w:t>
      </w:r>
      <w:r>
        <w:rPr>
          <w:rFonts w:hint="eastAsia"/>
          <w:snapToGrid w:val="0"/>
          <w:kern w:val="0"/>
        </w:rPr>
        <w:t>、</w:t>
      </w:r>
      <w:r>
        <w:rPr>
          <w:snapToGrid w:val="0"/>
          <w:kern w:val="0"/>
        </w:rPr>
        <w:t>2。</w:t>
      </w:r>
    </w:p>
    <w:p>
      <w:pPr>
        <w:tabs>
          <w:tab w:val="left" w:pos="420"/>
        </w:tabs>
        <w:spacing w:line="360" w:lineRule="auto"/>
        <w:ind w:left="420" w:hanging="420"/>
        <w:rPr>
          <w:snapToGrid w:val="0"/>
          <w:kern w:val="0"/>
          <w:szCs w:val="21"/>
        </w:rPr>
      </w:pPr>
    </w:p>
    <w:p>
      <w:pPr>
        <w:tabs>
          <w:tab w:val="left" w:pos="420"/>
        </w:tabs>
        <w:spacing w:line="360" w:lineRule="auto"/>
        <w:ind w:left="420" w:hanging="420"/>
        <w:rPr>
          <w:rFonts w:eastAsia="黑体"/>
          <w:szCs w:val="21"/>
        </w:rPr>
      </w:pPr>
      <w:r>
        <w:rPr>
          <w:rFonts w:eastAsia="黑体"/>
          <w:szCs w:val="21"/>
        </w:rPr>
        <w:t>五、实验内容</w:t>
      </w:r>
    </w:p>
    <w:p>
      <w:pPr>
        <w:widowControl/>
        <w:adjustRightInd w:val="0"/>
        <w:snapToGrid w:val="0"/>
        <w:spacing w:line="360" w:lineRule="auto"/>
        <w:ind w:firstLine="420" w:firstLineChars="200"/>
        <w:jc w:val="left"/>
        <w:rPr>
          <w:kern w:val="0"/>
          <w:szCs w:val="21"/>
        </w:rPr>
      </w:pPr>
      <w:r>
        <w:rPr>
          <w:kern w:val="0"/>
          <w:szCs w:val="21"/>
        </w:rPr>
        <w:t>实验环节主要是上机操作，要求保证上机条件，即计算机安装MATLAB软件全部模块与帮助文档。</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实验一 MATLAB操作基础（2学时）</w:t>
      </w:r>
    </w:p>
    <w:p>
      <w:pPr>
        <w:adjustRightInd w:val="0"/>
        <w:snapToGrid w:val="0"/>
        <w:spacing w:line="360" w:lineRule="auto"/>
        <w:ind w:firstLine="420" w:firstLineChars="200"/>
        <w:rPr>
          <w:kern w:val="0"/>
          <w:szCs w:val="21"/>
        </w:rPr>
      </w:pPr>
      <w:r>
        <w:rPr>
          <w:kern w:val="0"/>
          <w:szCs w:val="21"/>
        </w:rPr>
        <w:t>内容：熟悉MATLAB软件的使用方法；掌握矩阵建立和矩阵元素的访问方法，掌握矩阵相关的各种运输符的使用方法，掌握线性方程组求解方法。</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1、熟悉MATLAB主要菜单和窗口的功能与操作方法；</w:t>
      </w:r>
    </w:p>
    <w:p>
      <w:pPr>
        <w:adjustRightInd w:val="0"/>
        <w:snapToGrid w:val="0"/>
        <w:spacing w:line="360" w:lineRule="auto"/>
        <w:ind w:firstLine="420" w:firstLineChars="200"/>
        <w:rPr>
          <w:kern w:val="0"/>
          <w:szCs w:val="21"/>
        </w:rPr>
      </w:pPr>
      <w:r>
        <w:rPr>
          <w:kern w:val="0"/>
          <w:szCs w:val="21"/>
        </w:rPr>
        <w:t>2、创建矩阵，并使用各种运算符对矩阵进行运算，掌握矩阵建立和矩阵元素的访问方法，掌握矩阵相关的各种运输符的使用方法；</w:t>
      </w:r>
    </w:p>
    <w:p>
      <w:pPr>
        <w:adjustRightInd w:val="0"/>
        <w:snapToGrid w:val="0"/>
        <w:spacing w:line="360" w:lineRule="auto"/>
        <w:ind w:firstLine="420" w:firstLineChars="200"/>
        <w:rPr>
          <w:kern w:val="0"/>
          <w:szCs w:val="21"/>
        </w:rPr>
      </w:pPr>
      <w:r>
        <w:rPr>
          <w:kern w:val="0"/>
          <w:szCs w:val="21"/>
        </w:rPr>
        <w:t>3、用MATLAB解线性方程组。</w:t>
      </w:r>
    </w:p>
    <w:p>
      <w:pPr>
        <w:adjustRightInd w:val="0"/>
        <w:snapToGrid w:val="0"/>
        <w:spacing w:line="360" w:lineRule="auto"/>
        <w:ind w:firstLine="420" w:firstLineChars="200"/>
        <w:rPr>
          <w:kern w:val="0"/>
          <w:szCs w:val="21"/>
        </w:rPr>
      </w:pPr>
      <w:r>
        <w:rPr>
          <w:rFonts w:cs="宋体"/>
          <w:bCs/>
          <w:snapToGrid w:val="0"/>
          <w:kern w:val="0"/>
          <w:szCs w:val="21"/>
        </w:rPr>
        <w:t>本实验支撑课程目标1</w:t>
      </w:r>
      <w:r>
        <w:rPr>
          <w:rFonts w:hint="eastAsia" w:cs="宋体"/>
          <w:bCs/>
          <w:snapToGrid w:val="0"/>
          <w:kern w:val="0"/>
          <w:szCs w:val="21"/>
        </w:rPr>
        <w:t>。</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实验二 MATLAB程序设计实验1（2学时）</w:t>
      </w:r>
    </w:p>
    <w:p>
      <w:pPr>
        <w:adjustRightInd w:val="0"/>
        <w:snapToGrid w:val="0"/>
        <w:spacing w:line="360" w:lineRule="auto"/>
        <w:ind w:firstLine="420" w:firstLineChars="200"/>
        <w:rPr>
          <w:kern w:val="0"/>
          <w:szCs w:val="21"/>
        </w:rPr>
      </w:pPr>
      <w:r>
        <w:rPr>
          <w:kern w:val="0"/>
          <w:szCs w:val="21"/>
        </w:rPr>
        <w:t>内容：掌握MATLAB程序设计与调试方法。</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1、掌握程序设计语句的用法，包含条件判断、循环控制、参数输入输出；</w:t>
      </w:r>
    </w:p>
    <w:p>
      <w:pPr>
        <w:adjustRightInd w:val="0"/>
        <w:snapToGrid w:val="0"/>
        <w:spacing w:line="360" w:lineRule="auto"/>
        <w:ind w:firstLine="420" w:firstLineChars="200"/>
        <w:rPr>
          <w:kern w:val="0"/>
          <w:szCs w:val="21"/>
        </w:rPr>
      </w:pPr>
      <w:r>
        <w:rPr>
          <w:kern w:val="0"/>
          <w:szCs w:val="21"/>
        </w:rPr>
        <w:t>2、掌握程序的调试方法。</w:t>
      </w:r>
    </w:p>
    <w:p>
      <w:pPr>
        <w:adjustRightInd w:val="0"/>
        <w:snapToGrid w:val="0"/>
        <w:spacing w:line="360" w:lineRule="auto"/>
        <w:ind w:firstLine="420" w:firstLineChars="200"/>
        <w:rPr>
          <w:kern w:val="0"/>
          <w:szCs w:val="21"/>
        </w:rPr>
      </w:pPr>
      <w:r>
        <w:rPr>
          <w:rFonts w:cs="宋体"/>
          <w:bCs/>
          <w:snapToGrid w:val="0"/>
          <w:kern w:val="0"/>
          <w:szCs w:val="21"/>
        </w:rPr>
        <w:t>本实验支撑课程目标</w:t>
      </w:r>
      <w:r>
        <w:rPr>
          <w:rFonts w:hint="eastAsia"/>
          <w:snapToGrid w:val="0"/>
          <w:kern w:val="0"/>
        </w:rPr>
        <w:t>1、</w:t>
      </w:r>
      <w:r>
        <w:rPr>
          <w:snapToGrid w:val="0"/>
          <w:kern w:val="0"/>
        </w:rPr>
        <w:t>2</w:t>
      </w:r>
      <w:r>
        <w:rPr>
          <w:rFonts w:hint="eastAsia" w:cs="宋体"/>
          <w:bCs/>
          <w:snapToGrid w:val="0"/>
          <w:kern w:val="0"/>
          <w:szCs w:val="21"/>
        </w:rPr>
        <w:t>。</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实验三 MATLAB程序设计实验2（2学时）</w:t>
      </w:r>
    </w:p>
    <w:p>
      <w:pPr>
        <w:adjustRightInd w:val="0"/>
        <w:snapToGrid w:val="0"/>
        <w:spacing w:line="360" w:lineRule="auto"/>
        <w:ind w:firstLine="420" w:firstLineChars="200"/>
        <w:rPr>
          <w:kern w:val="0"/>
          <w:szCs w:val="21"/>
        </w:rPr>
      </w:pPr>
      <w:r>
        <w:rPr>
          <w:kern w:val="0"/>
          <w:szCs w:val="21"/>
        </w:rPr>
        <w:t>内容：掌握复杂程序设计方法。</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1、掌握函数嵌套调用方法及函数间参数传递方法；</w:t>
      </w:r>
    </w:p>
    <w:p>
      <w:pPr>
        <w:adjustRightInd w:val="0"/>
        <w:snapToGrid w:val="0"/>
        <w:spacing w:line="360" w:lineRule="auto"/>
        <w:ind w:firstLine="420" w:firstLineChars="200"/>
        <w:rPr>
          <w:kern w:val="0"/>
          <w:szCs w:val="21"/>
        </w:rPr>
      </w:pPr>
      <w:r>
        <w:rPr>
          <w:kern w:val="0"/>
          <w:szCs w:val="21"/>
        </w:rPr>
        <w:t>2、掌握程序界面设计方法，学会定制自己的工具箱。</w:t>
      </w:r>
    </w:p>
    <w:p>
      <w:pPr>
        <w:adjustRightInd w:val="0"/>
        <w:snapToGrid w:val="0"/>
        <w:spacing w:line="360" w:lineRule="auto"/>
        <w:ind w:firstLine="420" w:firstLineChars="200"/>
        <w:rPr>
          <w:kern w:val="0"/>
          <w:szCs w:val="21"/>
        </w:rPr>
      </w:pPr>
      <w:r>
        <w:rPr>
          <w:rFonts w:cs="宋体"/>
          <w:bCs/>
          <w:snapToGrid w:val="0"/>
          <w:kern w:val="0"/>
          <w:szCs w:val="21"/>
        </w:rPr>
        <w:t>本实验支撑课程目标</w:t>
      </w:r>
      <w:r>
        <w:rPr>
          <w:rFonts w:hint="eastAsia"/>
          <w:snapToGrid w:val="0"/>
          <w:kern w:val="0"/>
        </w:rPr>
        <w:t>1、</w:t>
      </w:r>
      <w:r>
        <w:rPr>
          <w:snapToGrid w:val="0"/>
          <w:kern w:val="0"/>
        </w:rPr>
        <w:t>2</w:t>
      </w:r>
      <w:r>
        <w:rPr>
          <w:rFonts w:hint="eastAsia" w:cs="宋体"/>
          <w:bCs/>
          <w:snapToGrid w:val="0"/>
          <w:kern w:val="0"/>
          <w:szCs w:val="21"/>
        </w:rPr>
        <w:t>。</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实验四 MATLAB绘图实验（2学时）</w:t>
      </w:r>
    </w:p>
    <w:p>
      <w:pPr>
        <w:adjustRightInd w:val="0"/>
        <w:snapToGrid w:val="0"/>
        <w:spacing w:line="360" w:lineRule="auto"/>
        <w:ind w:firstLine="420" w:firstLineChars="200"/>
        <w:rPr>
          <w:kern w:val="0"/>
          <w:szCs w:val="21"/>
        </w:rPr>
      </w:pPr>
      <w:r>
        <w:rPr>
          <w:kern w:val="0"/>
          <w:szCs w:val="21"/>
        </w:rPr>
        <w:t>内容：掌握MATLAB绘制二维图、三维图的绘制与标注方法。</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1、掌握二维线性图、条状图、火柴杆图、饼图、极坐标图、对数图的绘制方法；</w:t>
      </w:r>
    </w:p>
    <w:p>
      <w:pPr>
        <w:adjustRightInd w:val="0"/>
        <w:snapToGrid w:val="0"/>
        <w:spacing w:line="360" w:lineRule="auto"/>
        <w:ind w:firstLine="420" w:firstLineChars="200"/>
        <w:rPr>
          <w:kern w:val="0"/>
          <w:szCs w:val="21"/>
        </w:rPr>
      </w:pPr>
      <w:r>
        <w:rPr>
          <w:kern w:val="0"/>
          <w:szCs w:val="21"/>
        </w:rPr>
        <w:t>2、掌握三维曲线、曲面图的绘制方法；</w:t>
      </w:r>
    </w:p>
    <w:p>
      <w:pPr>
        <w:adjustRightInd w:val="0"/>
        <w:snapToGrid w:val="0"/>
        <w:spacing w:line="360" w:lineRule="auto"/>
        <w:ind w:firstLine="420" w:firstLineChars="200"/>
        <w:rPr>
          <w:kern w:val="0"/>
          <w:szCs w:val="21"/>
        </w:rPr>
      </w:pPr>
      <w:r>
        <w:rPr>
          <w:kern w:val="0"/>
          <w:szCs w:val="21"/>
        </w:rPr>
        <w:t>3、掌握图形标注与叠加绘制的方法。</w:t>
      </w:r>
    </w:p>
    <w:p>
      <w:pPr>
        <w:adjustRightInd w:val="0"/>
        <w:snapToGrid w:val="0"/>
        <w:spacing w:line="360" w:lineRule="auto"/>
        <w:ind w:firstLine="420" w:firstLineChars="200"/>
        <w:rPr>
          <w:kern w:val="0"/>
          <w:szCs w:val="21"/>
        </w:rPr>
      </w:pPr>
      <w:r>
        <w:rPr>
          <w:rFonts w:cs="宋体"/>
          <w:bCs/>
          <w:snapToGrid w:val="0"/>
          <w:kern w:val="0"/>
          <w:szCs w:val="21"/>
        </w:rPr>
        <w:t>本实验支撑课程目标</w:t>
      </w:r>
      <w:r>
        <w:rPr>
          <w:rFonts w:hint="eastAsia"/>
          <w:snapToGrid w:val="0"/>
          <w:kern w:val="0"/>
        </w:rPr>
        <w:t>1、</w:t>
      </w:r>
      <w:r>
        <w:rPr>
          <w:snapToGrid w:val="0"/>
          <w:kern w:val="0"/>
        </w:rPr>
        <w:t>2</w:t>
      </w:r>
      <w:r>
        <w:rPr>
          <w:rFonts w:hint="eastAsia" w:cs="宋体"/>
          <w:bCs/>
          <w:snapToGrid w:val="0"/>
          <w:kern w:val="0"/>
          <w:szCs w:val="21"/>
        </w:rPr>
        <w:t>。</w:t>
      </w:r>
    </w:p>
    <w:p>
      <w:pPr>
        <w:widowControl/>
        <w:spacing w:line="360" w:lineRule="auto"/>
        <w:ind w:left="422" w:leftChars="201"/>
        <w:jc w:val="left"/>
        <w:rPr>
          <w:rFonts w:eastAsia="黑体"/>
          <w:kern w:val="0"/>
          <w:szCs w:val="21"/>
        </w:rPr>
      </w:pPr>
      <w:r>
        <w:rPr>
          <w:rFonts w:eastAsia="黑体"/>
          <w:snapToGrid w:val="0"/>
          <w:kern w:val="0"/>
          <w:szCs w:val="21"/>
        </w:rPr>
        <w:t>实验五</w:t>
      </w:r>
      <w:r>
        <w:rPr>
          <w:rFonts w:eastAsia="黑体"/>
          <w:szCs w:val="21"/>
        </w:rPr>
        <w:t>Simulink仿真基础实验1（2学时）</w:t>
      </w:r>
    </w:p>
    <w:p>
      <w:pPr>
        <w:adjustRightInd w:val="0"/>
        <w:snapToGrid w:val="0"/>
        <w:spacing w:line="360" w:lineRule="auto"/>
        <w:ind w:firstLine="420" w:firstLineChars="200"/>
        <w:rPr>
          <w:kern w:val="0"/>
          <w:szCs w:val="21"/>
        </w:rPr>
      </w:pPr>
      <w:r>
        <w:rPr>
          <w:kern w:val="0"/>
          <w:szCs w:val="21"/>
        </w:rPr>
        <w:t>内容：掌握Simulink仿真模型的建立与仿真参数的设计方法。</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1、掌握Simulink模块的连接、缩放、旋转、标注方法；</w:t>
      </w:r>
    </w:p>
    <w:p>
      <w:pPr>
        <w:adjustRightInd w:val="0"/>
        <w:snapToGrid w:val="0"/>
        <w:spacing w:line="360" w:lineRule="auto"/>
        <w:ind w:firstLine="420" w:firstLineChars="200"/>
        <w:rPr>
          <w:kern w:val="0"/>
          <w:szCs w:val="21"/>
        </w:rPr>
      </w:pPr>
      <w:r>
        <w:rPr>
          <w:kern w:val="0"/>
          <w:szCs w:val="21"/>
        </w:rPr>
        <w:t>2、掌握Simulink创建子系统的方法；</w:t>
      </w:r>
    </w:p>
    <w:p>
      <w:pPr>
        <w:adjustRightInd w:val="0"/>
        <w:snapToGrid w:val="0"/>
        <w:spacing w:line="360" w:lineRule="auto"/>
        <w:ind w:firstLine="420" w:firstLineChars="200"/>
        <w:rPr>
          <w:kern w:val="0"/>
          <w:szCs w:val="21"/>
        </w:rPr>
      </w:pPr>
      <w:r>
        <w:rPr>
          <w:kern w:val="0"/>
          <w:szCs w:val="21"/>
        </w:rPr>
        <w:t>3、掌握Simulink仿真参数输入输出方法；</w:t>
      </w:r>
    </w:p>
    <w:p>
      <w:pPr>
        <w:adjustRightInd w:val="0"/>
        <w:snapToGrid w:val="0"/>
        <w:spacing w:line="360" w:lineRule="auto"/>
        <w:ind w:firstLine="420" w:firstLineChars="200"/>
        <w:rPr>
          <w:kern w:val="0"/>
          <w:szCs w:val="21"/>
        </w:rPr>
      </w:pPr>
      <w:r>
        <w:rPr>
          <w:kern w:val="0"/>
          <w:szCs w:val="21"/>
        </w:rPr>
        <w:t>4、熟悉Simulink仿真方法参数配置。</w:t>
      </w:r>
    </w:p>
    <w:p>
      <w:pPr>
        <w:adjustRightInd w:val="0"/>
        <w:snapToGrid w:val="0"/>
        <w:spacing w:line="360" w:lineRule="auto"/>
        <w:ind w:firstLine="420" w:firstLineChars="200"/>
        <w:rPr>
          <w:kern w:val="0"/>
          <w:szCs w:val="21"/>
        </w:rPr>
      </w:pPr>
      <w:r>
        <w:rPr>
          <w:rFonts w:cs="宋体"/>
          <w:bCs/>
          <w:snapToGrid w:val="0"/>
          <w:kern w:val="0"/>
          <w:szCs w:val="21"/>
        </w:rPr>
        <w:t>本实验支撑课程目标</w:t>
      </w:r>
      <w:r>
        <w:rPr>
          <w:rFonts w:hint="eastAsia" w:cs="宋体"/>
          <w:bCs/>
          <w:snapToGrid w:val="0"/>
          <w:kern w:val="0"/>
          <w:szCs w:val="21"/>
        </w:rPr>
        <w:t>2。</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实验六</w:t>
      </w:r>
      <w:r>
        <w:rPr>
          <w:rFonts w:eastAsia="黑体"/>
          <w:szCs w:val="21"/>
        </w:rPr>
        <w:t>Simulink仿真基础实验2（2学时）</w:t>
      </w:r>
    </w:p>
    <w:p>
      <w:pPr>
        <w:adjustRightInd w:val="0"/>
        <w:snapToGrid w:val="0"/>
        <w:spacing w:line="360" w:lineRule="auto"/>
        <w:ind w:firstLine="420" w:firstLineChars="200"/>
        <w:rPr>
          <w:kern w:val="0"/>
          <w:szCs w:val="21"/>
        </w:rPr>
      </w:pPr>
      <w:r>
        <w:rPr>
          <w:kern w:val="0"/>
          <w:szCs w:val="21"/>
        </w:rPr>
        <w:t>内容：一阶二阶系统建模仿真。</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1、掌握微积分在Simulink中的仿真实现方法；</w:t>
      </w:r>
    </w:p>
    <w:p>
      <w:pPr>
        <w:adjustRightInd w:val="0"/>
        <w:snapToGrid w:val="0"/>
        <w:spacing w:line="360" w:lineRule="auto"/>
        <w:ind w:firstLine="420" w:firstLineChars="200"/>
        <w:rPr>
          <w:kern w:val="0"/>
          <w:szCs w:val="21"/>
        </w:rPr>
      </w:pPr>
      <w:r>
        <w:rPr>
          <w:kern w:val="0"/>
          <w:szCs w:val="21"/>
        </w:rPr>
        <w:t>2、掌握一阶二阶系统建模仿真方法。</w:t>
      </w:r>
    </w:p>
    <w:p>
      <w:pPr>
        <w:adjustRightInd w:val="0"/>
        <w:snapToGrid w:val="0"/>
        <w:spacing w:line="360" w:lineRule="auto"/>
        <w:ind w:firstLine="420" w:firstLineChars="200"/>
        <w:rPr>
          <w:kern w:val="0"/>
          <w:szCs w:val="21"/>
        </w:rPr>
      </w:pPr>
      <w:r>
        <w:rPr>
          <w:rFonts w:cs="宋体"/>
          <w:bCs/>
          <w:snapToGrid w:val="0"/>
          <w:kern w:val="0"/>
          <w:szCs w:val="21"/>
        </w:rPr>
        <w:t>本实验支撑课程目标</w:t>
      </w:r>
      <w:r>
        <w:rPr>
          <w:rFonts w:hint="eastAsia" w:cs="宋体"/>
          <w:bCs/>
          <w:snapToGrid w:val="0"/>
          <w:kern w:val="0"/>
          <w:szCs w:val="21"/>
        </w:rPr>
        <w:t>2。</w:t>
      </w:r>
    </w:p>
    <w:p>
      <w:pPr>
        <w:widowControl/>
        <w:adjustRightInd w:val="0"/>
        <w:snapToGrid w:val="0"/>
        <w:spacing w:line="360" w:lineRule="auto"/>
        <w:ind w:firstLine="420" w:firstLineChars="200"/>
        <w:jc w:val="left"/>
        <w:rPr>
          <w:rFonts w:eastAsia="黑体"/>
          <w:snapToGrid w:val="0"/>
          <w:kern w:val="0"/>
          <w:szCs w:val="21"/>
        </w:rPr>
      </w:pPr>
      <w:r>
        <w:rPr>
          <w:rFonts w:eastAsia="黑体"/>
          <w:snapToGrid w:val="0"/>
          <w:kern w:val="0"/>
          <w:szCs w:val="21"/>
        </w:rPr>
        <w:t>实验七 Simulink工程仿真（4学时）</w:t>
      </w:r>
    </w:p>
    <w:p>
      <w:pPr>
        <w:adjustRightInd w:val="0"/>
        <w:snapToGrid w:val="0"/>
        <w:spacing w:line="360" w:lineRule="auto"/>
        <w:ind w:firstLine="420" w:firstLineChars="200"/>
        <w:rPr>
          <w:kern w:val="0"/>
          <w:szCs w:val="21"/>
        </w:rPr>
      </w:pPr>
      <w:r>
        <w:rPr>
          <w:kern w:val="0"/>
          <w:szCs w:val="21"/>
        </w:rPr>
        <w:t>内容：学生针对给定的机电系统模型进行高抗扰控制器的设计与仿真。</w:t>
      </w:r>
    </w:p>
    <w:p>
      <w:pPr>
        <w:adjustRightInd w:val="0"/>
        <w:snapToGrid w:val="0"/>
        <w:spacing w:line="360" w:lineRule="auto"/>
        <w:ind w:firstLine="420" w:firstLineChars="200"/>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1、说明仿真内容解决的控制问题，及问题的数学模型；</w:t>
      </w:r>
    </w:p>
    <w:p>
      <w:pPr>
        <w:adjustRightInd w:val="0"/>
        <w:snapToGrid w:val="0"/>
        <w:spacing w:line="360" w:lineRule="auto"/>
        <w:ind w:firstLine="420" w:firstLineChars="200"/>
        <w:rPr>
          <w:kern w:val="0"/>
          <w:szCs w:val="21"/>
        </w:rPr>
      </w:pPr>
      <w:r>
        <w:rPr>
          <w:kern w:val="0"/>
          <w:szCs w:val="21"/>
        </w:rPr>
        <w:t>2、进行仿真，并对仿真结果进行分析说明；</w:t>
      </w:r>
    </w:p>
    <w:p>
      <w:pPr>
        <w:adjustRightInd w:val="0"/>
        <w:snapToGrid w:val="0"/>
        <w:spacing w:line="360" w:lineRule="auto"/>
        <w:ind w:firstLine="420" w:firstLineChars="200"/>
        <w:rPr>
          <w:kern w:val="0"/>
          <w:szCs w:val="21"/>
        </w:rPr>
      </w:pPr>
      <w:r>
        <w:rPr>
          <w:kern w:val="0"/>
          <w:szCs w:val="21"/>
        </w:rPr>
        <w:t>3、按照科技论文写作格式要求进行仿真实验报告的撰写。</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本实验支撑课程目标</w:t>
      </w:r>
      <w:r>
        <w:rPr>
          <w:rFonts w:hint="eastAsia" w:cs="宋体"/>
          <w:bCs/>
          <w:snapToGrid w:val="0"/>
          <w:kern w:val="0"/>
          <w:szCs w:val="21"/>
        </w:rPr>
        <w:t>2。</w:t>
      </w:r>
    </w:p>
    <w:p>
      <w:pPr>
        <w:adjustRightInd w:val="0"/>
        <w:snapToGrid w:val="0"/>
        <w:spacing w:line="360" w:lineRule="auto"/>
        <w:ind w:firstLine="420" w:firstLineChars="200"/>
        <w:rPr>
          <w:kern w:val="0"/>
          <w:szCs w:val="21"/>
        </w:rPr>
      </w:pPr>
    </w:p>
    <w:p>
      <w:pPr>
        <w:widowControl/>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11"/>
        <w:gridCol w:w="1930"/>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讲授的知识点及内容</w:t>
            </w:r>
          </w:p>
        </w:tc>
        <w:tc>
          <w:tcPr>
            <w:tcW w:w="1161" w:type="pct"/>
            <w:vAlign w:val="center"/>
          </w:tcPr>
          <w:p>
            <w:pPr>
              <w:adjustRightInd w:val="0"/>
              <w:snapToGrid w:val="0"/>
              <w:jc w:val="center"/>
              <w:rPr>
                <w:sz w:val="18"/>
                <w:szCs w:val="18"/>
              </w:rPr>
            </w:pPr>
            <w:r>
              <w:rPr>
                <w:sz w:val="18"/>
                <w:szCs w:val="18"/>
              </w:rPr>
              <w:t>讲授（学时）</w:t>
            </w:r>
          </w:p>
        </w:tc>
        <w:tc>
          <w:tcPr>
            <w:tcW w:w="983" w:type="pct"/>
            <w:vAlign w:val="center"/>
          </w:tcPr>
          <w:p>
            <w:pPr>
              <w:adjustRightInd w:val="0"/>
              <w:snapToGrid w:val="0"/>
              <w:jc w:val="center"/>
              <w:rPr>
                <w:sz w:val="18"/>
                <w:szCs w:val="18"/>
              </w:rPr>
            </w:pPr>
            <w:r>
              <w:rPr>
                <w:sz w:val="18"/>
                <w:szCs w:val="18"/>
              </w:rPr>
              <w:t>实验（学时）</w:t>
            </w:r>
          </w:p>
        </w:tc>
        <w:tc>
          <w:tcPr>
            <w:tcW w:w="804"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1 MATLAB操作基础</w:t>
            </w:r>
          </w:p>
        </w:tc>
        <w:tc>
          <w:tcPr>
            <w:tcW w:w="1161" w:type="pct"/>
            <w:vAlign w:val="center"/>
          </w:tcPr>
          <w:p>
            <w:pPr>
              <w:adjustRightInd w:val="0"/>
              <w:snapToGrid w:val="0"/>
              <w:jc w:val="center"/>
              <w:rPr>
                <w:sz w:val="18"/>
                <w:szCs w:val="18"/>
              </w:rPr>
            </w:pPr>
            <w:r>
              <w:rPr>
                <w:sz w:val="18"/>
                <w:szCs w:val="18"/>
              </w:rPr>
              <w:t>2</w:t>
            </w:r>
          </w:p>
        </w:tc>
        <w:tc>
          <w:tcPr>
            <w:tcW w:w="983" w:type="pct"/>
            <w:vAlign w:val="center"/>
          </w:tcPr>
          <w:p>
            <w:pPr>
              <w:adjustRightInd w:val="0"/>
              <w:snapToGrid w:val="0"/>
              <w:jc w:val="center"/>
              <w:rPr>
                <w:sz w:val="18"/>
                <w:szCs w:val="18"/>
              </w:rPr>
            </w:pPr>
            <w:r>
              <w:rPr>
                <w:sz w:val="18"/>
                <w:szCs w:val="18"/>
              </w:rPr>
              <w:t>2</w:t>
            </w:r>
          </w:p>
        </w:tc>
        <w:tc>
          <w:tcPr>
            <w:tcW w:w="804"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2 MATLAB程序设计</w:t>
            </w:r>
          </w:p>
        </w:tc>
        <w:tc>
          <w:tcPr>
            <w:tcW w:w="1161" w:type="pct"/>
            <w:vAlign w:val="center"/>
          </w:tcPr>
          <w:p>
            <w:pPr>
              <w:adjustRightInd w:val="0"/>
              <w:snapToGrid w:val="0"/>
              <w:jc w:val="center"/>
              <w:rPr>
                <w:sz w:val="18"/>
                <w:szCs w:val="18"/>
              </w:rPr>
            </w:pPr>
            <w:r>
              <w:rPr>
                <w:sz w:val="18"/>
                <w:szCs w:val="18"/>
              </w:rPr>
              <w:t>4</w:t>
            </w:r>
          </w:p>
        </w:tc>
        <w:tc>
          <w:tcPr>
            <w:tcW w:w="983" w:type="pct"/>
            <w:vAlign w:val="center"/>
          </w:tcPr>
          <w:p>
            <w:pPr>
              <w:adjustRightInd w:val="0"/>
              <w:snapToGrid w:val="0"/>
              <w:jc w:val="center"/>
              <w:rPr>
                <w:sz w:val="18"/>
                <w:szCs w:val="18"/>
              </w:rPr>
            </w:pPr>
            <w:r>
              <w:rPr>
                <w:sz w:val="18"/>
                <w:szCs w:val="18"/>
              </w:rPr>
              <w:t>4</w:t>
            </w:r>
          </w:p>
        </w:tc>
        <w:tc>
          <w:tcPr>
            <w:tcW w:w="804"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3 MATLAB绘图</w:t>
            </w:r>
          </w:p>
        </w:tc>
        <w:tc>
          <w:tcPr>
            <w:tcW w:w="1161" w:type="pct"/>
            <w:vAlign w:val="center"/>
          </w:tcPr>
          <w:p>
            <w:pPr>
              <w:adjustRightInd w:val="0"/>
              <w:snapToGrid w:val="0"/>
              <w:jc w:val="center"/>
              <w:rPr>
                <w:sz w:val="18"/>
                <w:szCs w:val="18"/>
              </w:rPr>
            </w:pPr>
            <w:r>
              <w:rPr>
                <w:sz w:val="18"/>
                <w:szCs w:val="18"/>
              </w:rPr>
              <w:t>2</w:t>
            </w:r>
          </w:p>
        </w:tc>
        <w:tc>
          <w:tcPr>
            <w:tcW w:w="983" w:type="pct"/>
            <w:vAlign w:val="center"/>
          </w:tcPr>
          <w:p>
            <w:pPr>
              <w:adjustRightInd w:val="0"/>
              <w:snapToGrid w:val="0"/>
              <w:jc w:val="center"/>
              <w:rPr>
                <w:sz w:val="18"/>
                <w:szCs w:val="18"/>
              </w:rPr>
            </w:pPr>
            <w:r>
              <w:rPr>
                <w:sz w:val="18"/>
                <w:szCs w:val="18"/>
              </w:rPr>
              <w:t>2</w:t>
            </w:r>
          </w:p>
        </w:tc>
        <w:tc>
          <w:tcPr>
            <w:tcW w:w="804"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4 Simulink仿真基础</w:t>
            </w:r>
          </w:p>
        </w:tc>
        <w:tc>
          <w:tcPr>
            <w:tcW w:w="1161" w:type="pct"/>
            <w:vAlign w:val="center"/>
          </w:tcPr>
          <w:p>
            <w:pPr>
              <w:adjustRightInd w:val="0"/>
              <w:snapToGrid w:val="0"/>
              <w:jc w:val="center"/>
              <w:rPr>
                <w:sz w:val="18"/>
                <w:szCs w:val="18"/>
              </w:rPr>
            </w:pPr>
            <w:r>
              <w:rPr>
                <w:sz w:val="18"/>
                <w:szCs w:val="18"/>
              </w:rPr>
              <w:t>6</w:t>
            </w:r>
          </w:p>
        </w:tc>
        <w:tc>
          <w:tcPr>
            <w:tcW w:w="983" w:type="pct"/>
            <w:vAlign w:val="center"/>
          </w:tcPr>
          <w:p>
            <w:pPr>
              <w:adjustRightInd w:val="0"/>
              <w:snapToGrid w:val="0"/>
              <w:jc w:val="center"/>
              <w:rPr>
                <w:sz w:val="18"/>
                <w:szCs w:val="18"/>
              </w:rPr>
            </w:pPr>
            <w:r>
              <w:rPr>
                <w:sz w:val="18"/>
                <w:szCs w:val="18"/>
              </w:rPr>
              <w:t>4</w:t>
            </w:r>
          </w:p>
        </w:tc>
        <w:tc>
          <w:tcPr>
            <w:tcW w:w="804" w:type="pct"/>
            <w:vAlign w:val="center"/>
          </w:tcPr>
          <w:p>
            <w:pPr>
              <w:adjustRightInd w:val="0"/>
              <w:snapToGrid w:val="0"/>
              <w:jc w:val="center"/>
              <w:rPr>
                <w:sz w:val="18"/>
                <w:szCs w:val="18"/>
              </w:rPr>
            </w:pPr>
            <w:r>
              <w:rPr>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adjustRightInd w:val="0"/>
              <w:snapToGrid w:val="0"/>
              <w:jc w:val="center"/>
              <w:rPr>
                <w:sz w:val="18"/>
                <w:szCs w:val="18"/>
              </w:rPr>
            </w:pPr>
            <w:r>
              <w:rPr>
                <w:sz w:val="18"/>
                <w:szCs w:val="18"/>
              </w:rPr>
              <w:t>5 Simulink工程仿真</w:t>
            </w:r>
          </w:p>
        </w:tc>
        <w:tc>
          <w:tcPr>
            <w:tcW w:w="1161" w:type="pct"/>
            <w:vAlign w:val="center"/>
          </w:tcPr>
          <w:p>
            <w:pPr>
              <w:adjustRightInd w:val="0"/>
              <w:snapToGrid w:val="0"/>
              <w:jc w:val="center"/>
              <w:rPr>
                <w:sz w:val="18"/>
                <w:szCs w:val="18"/>
              </w:rPr>
            </w:pPr>
            <w:r>
              <w:rPr>
                <w:sz w:val="18"/>
                <w:szCs w:val="18"/>
              </w:rPr>
              <w:t>2</w:t>
            </w:r>
          </w:p>
        </w:tc>
        <w:tc>
          <w:tcPr>
            <w:tcW w:w="983" w:type="pct"/>
            <w:vAlign w:val="center"/>
          </w:tcPr>
          <w:p>
            <w:pPr>
              <w:adjustRightInd w:val="0"/>
              <w:snapToGrid w:val="0"/>
              <w:jc w:val="center"/>
              <w:rPr>
                <w:sz w:val="18"/>
                <w:szCs w:val="18"/>
              </w:rPr>
            </w:pPr>
            <w:r>
              <w:rPr>
                <w:sz w:val="18"/>
                <w:szCs w:val="18"/>
              </w:rPr>
              <w:t>4</w:t>
            </w:r>
          </w:p>
        </w:tc>
        <w:tc>
          <w:tcPr>
            <w:tcW w:w="804" w:type="pct"/>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2"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小计</w:t>
            </w:r>
          </w:p>
        </w:tc>
        <w:tc>
          <w:tcPr>
            <w:tcW w:w="1161"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16</w:t>
            </w:r>
          </w:p>
        </w:tc>
        <w:tc>
          <w:tcPr>
            <w:tcW w:w="983"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16</w:t>
            </w:r>
          </w:p>
        </w:tc>
        <w:tc>
          <w:tcPr>
            <w:tcW w:w="804"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eastAsia="黑体"/>
          <w:szCs w:val="24"/>
        </w:rPr>
        <w:t>七、教材、补充教材及参考资料</w:t>
      </w:r>
    </w:p>
    <w:p>
      <w:pPr>
        <w:spacing w:line="360" w:lineRule="auto"/>
        <w:ind w:firstLine="420" w:firstLineChars="200"/>
        <w:rPr>
          <w:szCs w:val="21"/>
        </w:rPr>
      </w:pPr>
      <w:r>
        <w:rPr>
          <w:szCs w:val="21"/>
        </w:rPr>
        <w:t>1、André Quinquis ，《Digital Signal Processing using MATLAB（第三版）》，ISBN: 978-1-84821-011-0，Printed and bound in Great Britain by Antony Rowe Ltd, Chippenham, Wiltshire.</w:t>
      </w:r>
    </w:p>
    <w:p>
      <w:pPr>
        <w:spacing w:line="360" w:lineRule="auto"/>
        <w:ind w:firstLine="420" w:firstLineChars="200"/>
        <w:rPr>
          <w:color w:val="0066FF"/>
          <w:szCs w:val="21"/>
        </w:rPr>
      </w:pPr>
      <w:r>
        <w:rPr>
          <w:szCs w:val="21"/>
        </w:rPr>
        <w:t>2、William John，《Introduction to MATLAB for Engineers （Third Edition）》，ISBN 978-0-07-353487-9，RRDonnelly.</w:t>
      </w:r>
    </w:p>
    <w:p>
      <w:pPr>
        <w:spacing w:line="360" w:lineRule="auto"/>
        <w:ind w:firstLine="420" w:firstLineChars="200"/>
        <w:rPr>
          <w:szCs w:val="21"/>
        </w:rPr>
      </w:pPr>
      <w:r>
        <w:rPr>
          <w:szCs w:val="21"/>
        </w:rPr>
        <w:t>3、Karel Perutka，《MATLAB for Engineers –Applications in Control, Electrical Engineering, IT and Robotics》，ISBN 978-953-307-914-1，Published by InTech.</w:t>
      </w:r>
    </w:p>
    <w:p>
      <w:pPr>
        <w:spacing w:line="360" w:lineRule="auto"/>
        <w:ind w:firstLine="420" w:firstLineChars="200"/>
        <w:rPr>
          <w:szCs w:val="21"/>
        </w:rPr>
      </w:pPr>
      <w:r>
        <w:rPr>
          <w:szCs w:val="21"/>
        </w:rPr>
        <w:t>4、薛定宇，陈阳泉，《基于MATLAB/SIMULINK的系统仿真技术与应用》，ISBN：7302053413，清华大学出版社。</w:t>
      </w:r>
    </w:p>
    <w:p>
      <w:pPr>
        <w:spacing w:line="360" w:lineRule="auto"/>
        <w:ind w:firstLine="420" w:firstLineChars="200"/>
        <w:rPr>
          <w:szCs w:val="21"/>
        </w:rPr>
      </w:pPr>
    </w:p>
    <w:p>
      <w:pPr>
        <w:tabs>
          <w:tab w:val="left" w:pos="420"/>
        </w:tabs>
        <w:spacing w:line="360" w:lineRule="auto"/>
        <w:ind w:left="420" w:hanging="420"/>
        <w:rPr>
          <w:rFonts w:eastAsia="黑体"/>
          <w:szCs w:val="24"/>
        </w:rPr>
      </w:pPr>
      <w:r>
        <w:rPr>
          <w:rFonts w:eastAsia="黑体"/>
          <w:szCs w:val="24"/>
        </w:rPr>
        <w:t>八、课程目标达成的途径和措施</w:t>
      </w:r>
    </w:p>
    <w:p>
      <w:pPr>
        <w:spacing w:line="360" w:lineRule="auto"/>
        <w:ind w:firstLine="420" w:firstLineChars="200"/>
        <w:rPr>
          <w:szCs w:val="21"/>
        </w:rPr>
      </w:pPr>
      <w:r>
        <w:rPr>
          <w:szCs w:val="21"/>
        </w:rPr>
        <w:t>1、考核目标：在考核学生掌握Matlab基本操作方法与程序设计方法的基础上，重点考核学生利用程序设计方法及Simulink仿真方法的掌握程度。</w:t>
      </w:r>
    </w:p>
    <w:p>
      <w:pPr>
        <w:spacing w:line="360" w:lineRule="auto"/>
        <w:ind w:firstLine="420" w:firstLineChars="200"/>
        <w:rPr>
          <w:szCs w:val="21"/>
        </w:rPr>
      </w:pPr>
      <w:r>
        <w:rPr>
          <w:szCs w:val="21"/>
        </w:rPr>
        <w:t>2、考核方式：作业、实验、综合性报告、答辩。</w:t>
      </w:r>
    </w:p>
    <w:p>
      <w:pPr>
        <w:spacing w:line="360" w:lineRule="auto"/>
        <w:ind w:firstLine="420" w:firstLineChars="200"/>
      </w:pPr>
      <w:r>
        <w:t>3、评价环节对课程目标达成贡献率及支撑材料：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762"/>
        <w:gridCol w:w="1684"/>
        <w:gridCol w:w="1686"/>
        <w:gridCol w:w="1686"/>
        <w:gridCol w:w="1494"/>
      </w:tblGrid>
      <w:tr>
        <w:trPr>
          <w:trHeight w:val="691" w:hRule="atLeast"/>
          <w:jc w:val="center"/>
        </w:trPr>
        <w:tc>
          <w:tcPr>
            <w:tcW w:w="1060"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考察环节</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作业</w:t>
            </w: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实验</w:t>
            </w: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综合性报告</w:t>
            </w:r>
          </w:p>
        </w:tc>
        <w:tc>
          <w:tcPr>
            <w:tcW w:w="901" w:type="pct"/>
            <w:tcBorders>
              <w:top w:val="single" w:color="auto" w:sz="4" w:space="0"/>
              <w:left w:val="single" w:color="auto" w:sz="4" w:space="0"/>
              <w:bottom w:val="single" w:color="auto" w:sz="4" w:space="0"/>
            </w:tcBorders>
            <w:shd w:val="clear" w:color="auto" w:fill="auto"/>
            <w:vAlign w:val="center"/>
          </w:tcPr>
          <w:p>
            <w:pPr>
              <w:widowControl/>
              <w:jc w:val="center"/>
              <w:rPr>
                <w:color w:val="000000"/>
                <w:kern w:val="0"/>
                <w:sz w:val="18"/>
              </w:rPr>
            </w:pPr>
            <w:r>
              <w:rPr>
                <w:color w:val="000000"/>
                <w:kern w:val="0"/>
                <w:sz w:val="18"/>
              </w:rPr>
              <w:t>答辩</w:t>
            </w:r>
          </w:p>
        </w:tc>
      </w:tr>
      <w:tr>
        <w:tblPrEx>
          <w:tblCellMar>
            <w:top w:w="0" w:type="dxa"/>
            <w:left w:w="108" w:type="dxa"/>
            <w:bottom w:w="0" w:type="dxa"/>
            <w:right w:w="108" w:type="dxa"/>
          </w:tblCellMar>
        </w:tblPrEx>
        <w:trPr>
          <w:trHeight w:val="794" w:hRule="atLeast"/>
          <w:jc w:val="center"/>
        </w:trPr>
        <w:tc>
          <w:tcPr>
            <w:tcW w:w="1060"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课程目标达成</w:t>
            </w:r>
          </w:p>
          <w:p>
            <w:pPr>
              <w:widowControl/>
              <w:jc w:val="center"/>
              <w:rPr>
                <w:color w:val="000000"/>
                <w:kern w:val="0"/>
                <w:sz w:val="18"/>
              </w:rPr>
            </w:pPr>
            <w:r>
              <w:rPr>
                <w:color w:val="000000"/>
                <w:kern w:val="0"/>
                <w:sz w:val="18"/>
              </w:rPr>
              <w:t>的贡献率</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0.13</w:t>
            </w: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0.30</w:t>
            </w: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 xml:space="preserve">0.20 </w:t>
            </w:r>
          </w:p>
        </w:tc>
        <w:tc>
          <w:tcPr>
            <w:tcW w:w="901" w:type="pct"/>
            <w:tcBorders>
              <w:top w:val="single" w:color="auto" w:sz="4" w:space="0"/>
              <w:left w:val="single" w:color="auto" w:sz="4" w:space="0"/>
              <w:bottom w:val="single" w:color="auto" w:sz="4" w:space="0"/>
            </w:tcBorders>
            <w:shd w:val="clear" w:color="auto" w:fill="auto"/>
            <w:vAlign w:val="center"/>
          </w:tcPr>
          <w:p>
            <w:pPr>
              <w:jc w:val="center"/>
              <w:rPr>
                <w:color w:val="000000"/>
                <w:sz w:val="18"/>
                <w:szCs w:val="18"/>
              </w:rPr>
            </w:pPr>
            <w:r>
              <w:rPr>
                <w:color w:val="000000"/>
                <w:sz w:val="18"/>
                <w:szCs w:val="18"/>
              </w:rPr>
              <w:t xml:space="preserve">0.37 </w:t>
            </w:r>
          </w:p>
        </w:tc>
      </w:tr>
      <w:tr>
        <w:tblPrEx>
          <w:tblCellMar>
            <w:top w:w="0" w:type="dxa"/>
            <w:left w:w="108" w:type="dxa"/>
            <w:bottom w:w="0" w:type="dxa"/>
            <w:right w:w="108" w:type="dxa"/>
          </w:tblCellMar>
        </w:tblPrEx>
        <w:trPr>
          <w:trHeight w:val="1847" w:hRule="atLeast"/>
          <w:jc w:val="center"/>
        </w:trPr>
        <w:tc>
          <w:tcPr>
            <w:tcW w:w="1060" w:type="pct"/>
            <w:tcBorders>
              <w:top w:val="single" w:color="auto" w:sz="4" w:space="0"/>
              <w:bottom w:val="single" w:color="auto" w:sz="4" w:space="0"/>
              <w:right w:val="single" w:color="auto" w:sz="4" w:space="0"/>
            </w:tcBorders>
            <w:vAlign w:val="center"/>
          </w:tcPr>
          <w:p>
            <w:pPr>
              <w:widowControl/>
              <w:jc w:val="center"/>
              <w:rPr>
                <w:color w:val="000000"/>
                <w:kern w:val="0"/>
                <w:sz w:val="18"/>
              </w:rPr>
            </w:pPr>
            <w:r>
              <w:rPr>
                <w:color w:val="000000"/>
                <w:kern w:val="0"/>
                <w:sz w:val="18"/>
              </w:rPr>
              <w:t>支撑材料</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作业评价标准、作业评分登记表</w:t>
            </w:r>
          </w:p>
          <w:p>
            <w:pPr>
              <w:widowControl/>
              <w:jc w:val="center"/>
              <w:rPr>
                <w:color w:val="FF0000"/>
                <w:kern w:val="0"/>
                <w:sz w:val="18"/>
              </w:rPr>
            </w:pP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课内实验评价标准，实验课堂记录记录，典型实验报告（可以提交电子版）</w:t>
            </w:r>
          </w:p>
        </w:tc>
        <w:tc>
          <w:tcPr>
            <w:tcW w:w="10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rPr>
            </w:pPr>
            <w:r>
              <w:rPr>
                <w:color w:val="000000"/>
                <w:kern w:val="0"/>
                <w:sz w:val="18"/>
              </w:rPr>
              <w:t>综合性报告评价标准，综合性报告评分登记表，典型综合性报告</w:t>
            </w:r>
          </w:p>
        </w:tc>
        <w:tc>
          <w:tcPr>
            <w:tcW w:w="901" w:type="pct"/>
            <w:tcBorders>
              <w:top w:val="single" w:color="auto" w:sz="4" w:space="0"/>
              <w:left w:val="single" w:color="auto" w:sz="4" w:space="0"/>
              <w:bottom w:val="single" w:color="auto" w:sz="4" w:space="0"/>
            </w:tcBorders>
            <w:shd w:val="clear" w:color="auto" w:fill="auto"/>
            <w:vAlign w:val="center"/>
          </w:tcPr>
          <w:p>
            <w:pPr>
              <w:widowControl/>
              <w:jc w:val="center"/>
              <w:rPr>
                <w:color w:val="FF0000"/>
                <w:kern w:val="0"/>
                <w:sz w:val="18"/>
              </w:rPr>
            </w:pPr>
            <w:r>
              <w:rPr>
                <w:color w:val="000000"/>
                <w:kern w:val="0"/>
                <w:sz w:val="18"/>
                <w:szCs w:val="18"/>
              </w:rPr>
              <w:t>答辩PPT电子版和成绩评价标准</w:t>
            </w:r>
          </w:p>
        </w:tc>
      </w:tr>
    </w:tbl>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ind w:left="174" w:leftChars="83"/>
              <w:rPr>
                <w:sz w:val="18"/>
                <w:szCs w:val="18"/>
              </w:rPr>
            </w:pPr>
            <w:r>
              <w:rPr>
                <w:rFonts w:hint="eastAsia"/>
                <w:sz w:val="18"/>
                <w:szCs w:val="18"/>
              </w:rPr>
              <w:t>1、</w:t>
            </w:r>
            <w:r>
              <w:rPr>
                <w:snapToGrid w:val="0"/>
                <w:kern w:val="0"/>
                <w:sz w:val="18"/>
                <w:szCs w:val="18"/>
              </w:rPr>
              <w:t>MATLAB基础运算符号及其操作方法</w:t>
            </w:r>
            <w:r>
              <w:rPr>
                <w:rFonts w:hint="eastAsia"/>
                <w:sz w:val="18"/>
                <w:szCs w:val="18"/>
              </w:rPr>
              <w:t>；</w:t>
            </w:r>
          </w:p>
        </w:tc>
        <w:tc>
          <w:tcPr>
            <w:tcW w:w="691" w:type="pct"/>
            <w:vAlign w:val="center"/>
          </w:tcPr>
          <w:p>
            <w:pPr>
              <w:jc w:val="center"/>
              <w:rPr>
                <w:sz w:val="18"/>
                <w:szCs w:val="18"/>
              </w:rPr>
            </w:pPr>
            <w:r>
              <w:rPr>
                <w:sz w:val="18"/>
                <w:szCs w:val="18"/>
              </w:rPr>
              <w:t>0.10</w:t>
            </w:r>
          </w:p>
        </w:tc>
        <w:tc>
          <w:tcPr>
            <w:tcW w:w="1048" w:type="pct"/>
            <w:vAlign w:val="center"/>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ind w:left="174" w:leftChars="83"/>
              <w:rPr>
                <w:sz w:val="18"/>
                <w:szCs w:val="18"/>
              </w:rPr>
            </w:pPr>
            <w:r>
              <w:rPr>
                <w:rFonts w:hint="eastAsia"/>
                <w:sz w:val="18"/>
                <w:szCs w:val="18"/>
              </w:rPr>
              <w:t>2、</w:t>
            </w:r>
            <w:r>
              <w:rPr>
                <w:snapToGrid w:val="0"/>
                <w:kern w:val="0"/>
                <w:sz w:val="18"/>
                <w:szCs w:val="18"/>
              </w:rPr>
              <w:t>基础程序流程控制与函数创建及函数调用方法</w:t>
            </w:r>
            <w:r>
              <w:rPr>
                <w:rFonts w:hint="eastAsia"/>
                <w:sz w:val="18"/>
                <w:szCs w:val="18"/>
              </w:rPr>
              <w:t>；</w:t>
            </w:r>
          </w:p>
        </w:tc>
        <w:tc>
          <w:tcPr>
            <w:tcW w:w="691" w:type="pct"/>
            <w:vAlign w:val="center"/>
          </w:tcPr>
          <w:p>
            <w:pPr>
              <w:jc w:val="center"/>
              <w:rPr>
                <w:sz w:val="18"/>
                <w:szCs w:val="18"/>
              </w:rPr>
            </w:pPr>
            <w:r>
              <w:rPr>
                <w:sz w:val="18"/>
                <w:szCs w:val="18"/>
              </w:rPr>
              <w:t>0.15</w:t>
            </w:r>
          </w:p>
        </w:tc>
        <w:tc>
          <w:tcPr>
            <w:tcW w:w="1048" w:type="pct"/>
            <w:vAlign w:val="center"/>
          </w:tcPr>
          <w:p>
            <w:pPr>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ind w:left="174" w:leftChars="83"/>
              <w:rPr>
                <w:sz w:val="18"/>
                <w:szCs w:val="18"/>
              </w:rPr>
            </w:pPr>
            <w:r>
              <w:rPr>
                <w:rFonts w:hint="eastAsia"/>
                <w:sz w:val="18"/>
                <w:szCs w:val="18"/>
              </w:rPr>
              <w:t>3、</w:t>
            </w:r>
            <w:r>
              <w:rPr>
                <w:snapToGrid w:val="0"/>
                <w:kern w:val="0"/>
                <w:sz w:val="18"/>
                <w:szCs w:val="18"/>
              </w:rPr>
              <w:t>二维、三维曲线绘制与标注</w:t>
            </w:r>
            <w:r>
              <w:rPr>
                <w:rFonts w:hint="eastAsia"/>
                <w:sz w:val="18"/>
                <w:szCs w:val="18"/>
              </w:rPr>
              <w:t>；</w:t>
            </w:r>
          </w:p>
        </w:tc>
        <w:tc>
          <w:tcPr>
            <w:tcW w:w="691" w:type="pct"/>
            <w:vAlign w:val="center"/>
          </w:tcPr>
          <w:p>
            <w:pPr>
              <w:jc w:val="center"/>
              <w:rPr>
                <w:sz w:val="18"/>
                <w:szCs w:val="18"/>
              </w:rPr>
            </w:pPr>
            <w:r>
              <w:rPr>
                <w:sz w:val="18"/>
                <w:szCs w:val="18"/>
              </w:rPr>
              <w:t>0.15</w:t>
            </w:r>
          </w:p>
        </w:tc>
        <w:tc>
          <w:tcPr>
            <w:tcW w:w="1048"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ind w:left="174" w:leftChars="83"/>
              <w:rPr>
                <w:sz w:val="18"/>
                <w:szCs w:val="18"/>
              </w:rPr>
            </w:pPr>
            <w:r>
              <w:rPr>
                <w:rFonts w:hint="eastAsia"/>
                <w:sz w:val="18"/>
                <w:szCs w:val="18"/>
              </w:rPr>
              <w:t>4、</w:t>
            </w:r>
            <w:r>
              <w:rPr>
                <w:snapToGrid w:val="0"/>
                <w:kern w:val="0"/>
                <w:sz w:val="18"/>
                <w:szCs w:val="18"/>
              </w:rPr>
              <w:t>Simulink基础操作及仿真模型与子系统创建</w:t>
            </w:r>
            <w:r>
              <w:rPr>
                <w:rFonts w:hint="eastAsia"/>
                <w:sz w:val="18"/>
                <w:szCs w:val="18"/>
              </w:rPr>
              <w:t>；</w:t>
            </w:r>
          </w:p>
        </w:tc>
        <w:tc>
          <w:tcPr>
            <w:tcW w:w="691" w:type="pct"/>
            <w:vAlign w:val="center"/>
          </w:tcPr>
          <w:p>
            <w:pPr>
              <w:jc w:val="center"/>
              <w:rPr>
                <w:sz w:val="18"/>
                <w:szCs w:val="18"/>
              </w:rPr>
            </w:pPr>
            <w:r>
              <w:rPr>
                <w:sz w:val="18"/>
                <w:szCs w:val="18"/>
              </w:rPr>
              <w:t>0.30</w:t>
            </w:r>
          </w:p>
        </w:tc>
        <w:tc>
          <w:tcPr>
            <w:tcW w:w="1048" w:type="pct"/>
            <w:vAlign w:val="center"/>
          </w:tcPr>
          <w:p>
            <w:pPr>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shd w:val="clear" w:color="auto" w:fill="auto"/>
            <w:vAlign w:val="center"/>
          </w:tcPr>
          <w:p>
            <w:pPr>
              <w:ind w:left="174" w:leftChars="83"/>
              <w:rPr>
                <w:sz w:val="18"/>
                <w:szCs w:val="18"/>
              </w:rPr>
            </w:pPr>
            <w:r>
              <w:rPr>
                <w:rFonts w:hint="eastAsia"/>
                <w:sz w:val="18"/>
                <w:szCs w:val="18"/>
              </w:rPr>
              <w:t>5、</w:t>
            </w:r>
            <w:r>
              <w:rPr>
                <w:snapToGrid w:val="0"/>
                <w:kern w:val="0"/>
                <w:sz w:val="18"/>
                <w:szCs w:val="18"/>
              </w:rPr>
              <w:t>结合机电系统数学模型和控制方程进行仿真验证</w:t>
            </w:r>
            <w:r>
              <w:rPr>
                <w:rFonts w:hint="eastAsia"/>
                <w:sz w:val="18"/>
                <w:szCs w:val="18"/>
              </w:rPr>
              <w:t>；</w:t>
            </w:r>
          </w:p>
        </w:tc>
        <w:tc>
          <w:tcPr>
            <w:tcW w:w="691" w:type="pct"/>
            <w:vAlign w:val="center"/>
          </w:tcPr>
          <w:p>
            <w:pPr>
              <w:jc w:val="center"/>
              <w:rPr>
                <w:sz w:val="18"/>
                <w:szCs w:val="18"/>
              </w:rPr>
            </w:pPr>
            <w:r>
              <w:rPr>
                <w:sz w:val="18"/>
                <w:szCs w:val="18"/>
              </w:rPr>
              <w:t>0.30</w:t>
            </w:r>
          </w:p>
        </w:tc>
        <w:tc>
          <w:tcPr>
            <w:tcW w:w="1048" w:type="pct"/>
            <w:vAlign w:val="center"/>
          </w:tcPr>
          <w:p>
            <w:pPr>
              <w:jc w:val="center"/>
              <w:rPr>
                <w:sz w:val="18"/>
                <w:szCs w:val="18"/>
              </w:rPr>
            </w:pPr>
            <w:r>
              <w:rPr>
                <w:sz w:val="18"/>
                <w:szCs w:val="18"/>
              </w:rPr>
              <w:t>2</w:t>
            </w:r>
          </w:p>
        </w:tc>
      </w:tr>
    </w:tbl>
    <w:p>
      <w:pPr>
        <w:spacing w:before="120" w:beforeLines="50" w:line="360" w:lineRule="auto"/>
        <w:ind w:firstLine="420" w:firstLineChars="200"/>
        <w:rPr>
          <w:color w:val="000000"/>
          <w:sz w:val="24"/>
          <w:szCs w:val="24"/>
        </w:rPr>
      </w:pPr>
      <w:r>
        <w:rPr>
          <w:rFonts w:hint="eastAsia" w:ascii="宋体" w:hAnsi="宋体" w:cs="宋体"/>
          <w:szCs w:val="21"/>
        </w:rPr>
        <w:t>本课程不可以申请免修。</w:t>
      </w:r>
    </w:p>
    <w:p>
      <w:pPr>
        <w:rPr>
          <w:sz w:val="18"/>
          <w:szCs w:val="18"/>
        </w:rPr>
        <w:sectPr>
          <w:headerReference r:id="rId54" w:type="first"/>
          <w:footerReference r:id="rId57" w:type="first"/>
          <w:headerReference r:id="rId52" w:type="default"/>
          <w:footerReference r:id="rId55" w:type="default"/>
          <w:headerReference r:id="rId53" w:type="even"/>
          <w:footerReference r:id="rId56"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4"/>
        <w:gridCol w:w="942"/>
        <w:gridCol w:w="1049"/>
        <w:gridCol w:w="1049"/>
        <w:gridCol w:w="1049"/>
        <w:gridCol w:w="1052"/>
        <w:gridCol w:w="1091"/>
        <w:gridCol w:w="1091"/>
        <w:gridCol w:w="1091"/>
        <w:gridCol w:w="1094"/>
        <w:gridCol w:w="965"/>
        <w:gridCol w:w="968"/>
        <w:gridCol w:w="965"/>
        <w:gridCol w:w="968"/>
      </w:tblGrid>
      <w:tr>
        <w:tblPrEx>
          <w:tblCellMar>
            <w:top w:w="0" w:type="dxa"/>
            <w:left w:w="108" w:type="dxa"/>
            <w:bottom w:w="0" w:type="dxa"/>
            <w:right w:w="108" w:type="dxa"/>
          </w:tblCellMar>
        </w:tblPrEx>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50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65" w:type="pct"/>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8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37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作业</w:t>
            </w:r>
          </w:p>
        </w:tc>
        <w:tc>
          <w:tcPr>
            <w:tcW w:w="37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实验</w:t>
            </w:r>
          </w:p>
        </w:tc>
        <w:tc>
          <w:tcPr>
            <w:tcW w:w="37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综合性报告</w:t>
            </w:r>
          </w:p>
        </w:tc>
        <w:tc>
          <w:tcPr>
            <w:tcW w:w="37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答辩</w:t>
            </w:r>
          </w:p>
        </w:tc>
        <w:tc>
          <w:tcPr>
            <w:tcW w:w="3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作业</w:t>
            </w:r>
          </w:p>
        </w:tc>
        <w:tc>
          <w:tcPr>
            <w:tcW w:w="3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实验</w:t>
            </w:r>
          </w:p>
        </w:tc>
        <w:tc>
          <w:tcPr>
            <w:tcW w:w="39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综合性报告</w:t>
            </w:r>
          </w:p>
        </w:tc>
        <w:tc>
          <w:tcPr>
            <w:tcW w:w="39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答辩</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作业</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实验</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综合性报告</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kern w:val="0"/>
                <w:sz w:val="18"/>
                <w:szCs w:val="18"/>
              </w:rPr>
              <w:t>答辩</w:t>
            </w:r>
          </w:p>
        </w:tc>
      </w:tr>
      <w:tr>
        <w:tblPrEx>
          <w:tblCellMar>
            <w:top w:w="0" w:type="dxa"/>
            <w:left w:w="108" w:type="dxa"/>
            <w:bottom w:w="0" w:type="dxa"/>
            <w:right w:w="108" w:type="dxa"/>
          </w:tblCellMar>
        </w:tblPrEx>
        <w:trPr>
          <w:trHeight w:val="1020"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7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37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7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37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0.09</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0.09</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0.46</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270" w:firstLineChars="150"/>
              <w:rPr>
                <w:bCs/>
                <w:sz w:val="18"/>
                <w:szCs w:val="18"/>
              </w:rPr>
            </w:pPr>
            <w:r>
              <w:rPr>
                <w:bCs/>
                <w:sz w:val="18"/>
                <w:szCs w:val="18"/>
              </w:rPr>
              <w:t>0.3</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p>
          <w:p>
            <w:pPr>
              <w:jc w:val="center"/>
              <w:rPr>
                <w:bCs/>
                <w:sz w:val="18"/>
                <w:szCs w:val="18"/>
              </w:rPr>
            </w:pPr>
            <w:r>
              <w:rPr>
                <w:bCs/>
                <w:sz w:val="18"/>
                <w:szCs w:val="18"/>
              </w:rPr>
              <w:t>0.24</w:t>
            </w:r>
          </w:p>
          <w:p>
            <w:pPr>
              <w:jc w:val="center"/>
              <w:rPr>
                <w:bCs/>
                <w:sz w:val="18"/>
                <w:szCs w:val="18"/>
              </w:rPr>
            </w:pP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rPr>
                <w:bCs/>
                <w:sz w:val="18"/>
                <w:szCs w:val="18"/>
              </w:rPr>
            </w:pPr>
            <w:r>
              <w:rPr>
                <w:bCs/>
                <w:sz w:val="18"/>
                <w:szCs w:val="18"/>
              </w:rPr>
              <w:t xml:space="preserve"> 0.7</w:t>
            </w:r>
          </w:p>
        </w:tc>
        <w:tc>
          <w:tcPr>
            <w:tcW w:w="37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37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7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37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39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0.07</w:t>
            </w:r>
          </w:p>
        </w:tc>
        <w:tc>
          <w:tcPr>
            <w:tcW w:w="39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0.21</w:t>
            </w:r>
          </w:p>
        </w:tc>
        <w:tc>
          <w:tcPr>
            <w:tcW w:w="39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0.14</w:t>
            </w:r>
          </w:p>
        </w:tc>
        <w:tc>
          <w:tcPr>
            <w:tcW w:w="39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0.28</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0.54</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0.7</w:t>
            </w:r>
          </w:p>
        </w:tc>
        <w:tc>
          <w:tcPr>
            <w:tcW w:w="3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0.7</w:t>
            </w:r>
          </w:p>
        </w:tc>
        <w:tc>
          <w:tcPr>
            <w:tcW w:w="3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0.76</w:t>
            </w:r>
          </w:p>
        </w:tc>
      </w:tr>
      <w:tr>
        <w:tblPrEx>
          <w:tblCellMar>
            <w:top w:w="0" w:type="dxa"/>
            <w:left w:w="108" w:type="dxa"/>
            <w:bottom w:w="0" w:type="dxa"/>
            <w:right w:w="108" w:type="dxa"/>
          </w:tblCellMar>
        </w:tblPrEx>
        <w:trPr>
          <w:trHeight w:val="1026" w:hRule="atLeast"/>
          <w:jc w:val="center"/>
        </w:trPr>
        <w:tc>
          <w:tcPr>
            <w:tcW w:w="2049"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39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 xml:space="preserve">0.13 </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 xml:space="preserve">0.30 </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 xml:space="preserve">0.20 </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 xml:space="preserve">0.37 </w:t>
            </w:r>
          </w:p>
        </w:tc>
        <w:tc>
          <w:tcPr>
            <w:tcW w:w="138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jc w:val="left"/>
      </w:pPr>
    </w:p>
    <w:p>
      <w:pPr>
        <w:spacing w:line="360" w:lineRule="auto"/>
        <w:jc w:val="left"/>
      </w:pPr>
    </w:p>
    <w:p>
      <w:pPr>
        <w:spacing w:line="360" w:lineRule="auto"/>
        <w:rPr>
          <w:szCs w:val="21"/>
        </w:rPr>
      </w:pPr>
    </w:p>
    <w:p>
      <w:pPr>
        <w:spacing w:line="360" w:lineRule="auto"/>
        <w:rPr>
          <w:szCs w:val="21"/>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20"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20" DrawAspect="Content" ObjectID="_1468075820" r:id="rId280">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21"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21" DrawAspect="Content" ObjectID="_1468075821" r:id="rId281">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22"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22" DrawAspect="Content" ObjectID="_1468075822" r:id="rId282">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23"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23" DrawAspect="Content" ObjectID="_1468075823" r:id="rId283">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24"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24" DrawAspect="Content" ObjectID="_1468075824" r:id="rId284">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25"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25" DrawAspect="Content" ObjectID="_1468075825" r:id="rId285">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95" w:name="_Toc46996570"/>
      <w:bookmarkStart w:id="196" w:name="_Toc22746"/>
      <w:r>
        <w:t>《Y06060025-电子设计自动化（</w:t>
      </w:r>
      <w:r>
        <w:rPr>
          <w:rFonts w:ascii="Times New Roman" w:hAnsi="Times New Roman" w:cs="Times New Roman"/>
        </w:rPr>
        <w:t>EDA</w:t>
      </w:r>
      <w:r>
        <w:t>）》</w:t>
      </w:r>
      <w:r>
        <w:rPr>
          <w:rFonts w:hint="eastAsia"/>
        </w:rPr>
        <w:t>教学大纲</w:t>
      </w:r>
      <w:bookmarkEnd w:id="195"/>
      <w:bookmarkEnd w:id="196"/>
    </w:p>
    <w:p>
      <w:pPr>
        <w:adjustRightInd w:val="0"/>
        <w:snapToGrid w:val="0"/>
        <w:spacing w:line="360" w:lineRule="auto"/>
        <w:rPr>
          <w:bCs/>
          <w:kern w:val="0"/>
        </w:rPr>
      </w:pPr>
      <w:r>
        <w:rPr>
          <w:rFonts w:hint="eastAsia" w:eastAsia="黑体"/>
          <w:szCs w:val="21"/>
        </w:rPr>
        <w:t>课程编号：</w:t>
      </w:r>
      <w:r>
        <w:rPr>
          <w:bCs/>
          <w:kern w:val="0"/>
        </w:rPr>
        <w:t>Y06060025</w:t>
      </w:r>
    </w:p>
    <w:p>
      <w:pPr>
        <w:adjustRightInd w:val="0"/>
        <w:snapToGrid w:val="0"/>
        <w:spacing w:line="360" w:lineRule="auto"/>
        <w:rPr>
          <w:rFonts w:eastAsia="黑体"/>
          <w:szCs w:val="21"/>
        </w:rPr>
      </w:pPr>
      <w:r>
        <w:rPr>
          <w:rFonts w:hint="eastAsia" w:eastAsia="黑体"/>
          <w:szCs w:val="21"/>
        </w:rPr>
        <w:t>课程名称：</w:t>
      </w:r>
      <w:r>
        <w:rPr>
          <w:szCs w:val="21"/>
        </w:rPr>
        <w:t>电子设计自动化（EDA）</w:t>
      </w:r>
      <w:r>
        <w:rPr>
          <w:szCs w:val="21"/>
        </w:rPr>
        <w:tab/>
      </w:r>
      <w:r>
        <w:rPr>
          <w:szCs w:val="21"/>
        </w:rPr>
        <w:tab/>
      </w:r>
      <w:r>
        <w:rPr>
          <w:szCs w:val="21"/>
        </w:rPr>
        <w:tab/>
      </w:r>
      <w:r>
        <w:rPr>
          <w:rFonts w:hint="eastAsia" w:eastAsia="黑体"/>
          <w:szCs w:val="21"/>
        </w:rPr>
        <w:t>开课单位：</w:t>
      </w:r>
      <w:r>
        <w:rPr>
          <w:rFonts w:hint="eastAsia"/>
          <w:szCs w:val="21"/>
        </w:rPr>
        <w:t>仪器与电子学院</w:t>
      </w:r>
    </w:p>
    <w:p>
      <w:pPr>
        <w:adjustRightInd w:val="0"/>
        <w:snapToGrid w:val="0"/>
        <w:spacing w:line="360" w:lineRule="auto"/>
        <w:rPr>
          <w:snapToGrid w:val="0"/>
          <w:kern w:val="0"/>
          <w:szCs w:val="21"/>
        </w:rPr>
      </w:pPr>
      <w:r>
        <w:rPr>
          <w:rFonts w:hint="eastAsia" w:eastAsia="黑体"/>
          <w:szCs w:val="21"/>
        </w:rPr>
        <w:t>总 学 时：</w:t>
      </w:r>
      <w:r>
        <w:rPr>
          <w:rFonts w:hint="eastAsia"/>
          <w:szCs w:val="21"/>
        </w:rPr>
        <w:t>32</w:t>
      </w:r>
      <w:r>
        <w:rPr>
          <w:szCs w:val="21"/>
        </w:rPr>
        <w:t xml:space="preserve"> (</w:t>
      </w:r>
      <w:r>
        <w:rPr>
          <w:rFonts w:hint="eastAsia"/>
          <w:szCs w:val="21"/>
        </w:rPr>
        <w:t>实验16学时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szCs w:val="21"/>
        </w:rPr>
        <w:t>电子科学与技术</w:t>
      </w:r>
      <w:r>
        <w:rPr>
          <w:rFonts w:hint="eastAsia"/>
          <w:szCs w:val="21"/>
        </w:rPr>
        <w:t>专业</w:t>
      </w:r>
    </w:p>
    <w:p>
      <w:pPr>
        <w:adjustRightInd w:val="0"/>
        <w:snapToGrid w:val="0"/>
        <w:spacing w:line="360" w:lineRule="auto"/>
        <w:rPr>
          <w:szCs w:val="21"/>
        </w:rPr>
      </w:pPr>
      <w:r>
        <w:rPr>
          <w:rFonts w:hint="eastAsia" w:eastAsia="黑体"/>
          <w:szCs w:val="21"/>
        </w:rPr>
        <w:t>先修课程：</w:t>
      </w:r>
      <w:r>
        <w:rPr>
          <w:szCs w:val="21"/>
        </w:rPr>
        <w:t>数字电子技术</w:t>
      </w:r>
      <w:r>
        <w:rPr>
          <w:rFonts w:hint="eastAsia"/>
          <w:szCs w:val="21"/>
        </w:rPr>
        <w:t>、</w:t>
      </w:r>
      <w:r>
        <w:rPr>
          <w:szCs w:val="21"/>
        </w:rPr>
        <w:t>模拟电子技术</w:t>
      </w:r>
    </w:p>
    <w:p>
      <w:pPr>
        <w:adjustRightInd w:val="0"/>
        <w:snapToGrid w:val="0"/>
        <w:spacing w:line="360" w:lineRule="auto"/>
        <w:rPr>
          <w:szCs w:val="21"/>
        </w:rPr>
      </w:pPr>
      <w:r>
        <w:rPr>
          <w:rFonts w:hint="eastAsia" w:eastAsia="黑体"/>
          <w:szCs w:val="21"/>
        </w:rPr>
        <w:t>大纲撰写人：</w:t>
      </w:r>
      <w:r>
        <w:rPr>
          <w:szCs w:val="21"/>
        </w:rPr>
        <w:t>王巍</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numPr>
          <w:ilvl w:val="0"/>
          <w:numId w:val="28"/>
        </w:numPr>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szCs w:val="21"/>
        </w:rPr>
        <w:t>电子设计自动化（EDA）是测控技术与仪器及相关专业直接面向应用的实践性教学课程。现代电子电路设计就是使用计算机辅助电路设计，利用计算机绘制电路图，制作印刷电路板，在计算机的辅助下使用可编程逻辑器件完成电路设计，利用计算机进行电路优化。通过该课程的学习使学生掌握现代电子系统设计中电路设计、印制电路板设计的方法和技巧。</w:t>
      </w:r>
    </w:p>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3712"/>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79"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233"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288"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djustRightInd w:val="0"/>
              <w:snapToGrid w:val="0"/>
              <w:spacing w:line="360" w:lineRule="auto"/>
              <w:rPr>
                <w:rFonts w:ascii="宋体" w:hAnsi="宋体"/>
                <w:sz w:val="18"/>
                <w:szCs w:val="18"/>
              </w:rPr>
            </w:pPr>
            <w:r>
              <w:rPr>
                <w:rFonts w:hint="eastAsia" w:ascii="宋体" w:hAnsi="宋体"/>
                <w:sz w:val="18"/>
                <w:szCs w:val="18"/>
              </w:rPr>
              <w:t>1</w:t>
            </w:r>
          </w:p>
        </w:tc>
        <w:tc>
          <w:tcPr>
            <w:tcW w:w="2233" w:type="pct"/>
          </w:tcPr>
          <w:p>
            <w:pPr>
              <w:adjustRightInd w:val="0"/>
              <w:snapToGrid w:val="0"/>
              <w:spacing w:line="360" w:lineRule="auto"/>
              <w:rPr>
                <w:rFonts w:ascii="宋体" w:hAnsi="宋体"/>
                <w:sz w:val="18"/>
                <w:szCs w:val="18"/>
              </w:rPr>
            </w:pPr>
            <w:r>
              <w:rPr>
                <w:rFonts w:ascii="宋体" w:hAnsi="宋体"/>
                <w:sz w:val="18"/>
                <w:szCs w:val="18"/>
              </w:rPr>
              <w:t>熟练运用现代印制电路板设计工具软件Altium Designer进行电路原理图设计、PCB设计及元件库和封装库的管理</w:t>
            </w:r>
            <w:r>
              <w:rPr>
                <w:rFonts w:hint="eastAsia" w:ascii="宋体" w:hAnsi="宋体"/>
                <w:sz w:val="18"/>
                <w:szCs w:val="18"/>
              </w:rPr>
              <w:t>；</w:t>
            </w:r>
          </w:p>
        </w:tc>
        <w:tc>
          <w:tcPr>
            <w:tcW w:w="2288" w:type="pct"/>
          </w:tcPr>
          <w:p>
            <w:pPr>
              <w:adjustRightInd w:val="0"/>
              <w:snapToGrid w:val="0"/>
              <w:spacing w:line="360" w:lineRule="auto"/>
              <w:rPr>
                <w:rFonts w:ascii="宋体" w:hAnsi="宋体"/>
                <w:sz w:val="18"/>
                <w:szCs w:val="18"/>
              </w:rPr>
            </w:pPr>
            <w:r>
              <w:rPr>
                <w:rFonts w:hint="eastAsia" w:ascii="宋体" w:hAnsi="宋体"/>
                <w:b/>
                <w:bCs/>
                <w:sz w:val="18"/>
                <w:szCs w:val="18"/>
              </w:rPr>
              <w:t>指标点5-2专业工具使用</w:t>
            </w:r>
            <w:r>
              <w:rPr>
                <w:rFonts w:hint="eastAsia" w:ascii="宋体" w:hAnsi="宋体"/>
                <w:sz w:val="18"/>
                <w:szCs w:val="18"/>
              </w:rPr>
              <w:t>：能使用工具对电路系统、协议等进行设计和仿真，确定功能和相关设计参数。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djustRightInd w:val="0"/>
              <w:snapToGrid w:val="0"/>
              <w:spacing w:line="360" w:lineRule="auto"/>
              <w:rPr>
                <w:rFonts w:ascii="宋体" w:hAnsi="宋体"/>
                <w:sz w:val="18"/>
                <w:szCs w:val="18"/>
              </w:rPr>
            </w:pPr>
            <w:r>
              <w:rPr>
                <w:rFonts w:hint="eastAsia" w:ascii="宋体" w:hAnsi="宋体"/>
                <w:sz w:val="18"/>
                <w:szCs w:val="18"/>
              </w:rPr>
              <w:t>2</w:t>
            </w:r>
          </w:p>
        </w:tc>
        <w:tc>
          <w:tcPr>
            <w:tcW w:w="2233" w:type="pct"/>
          </w:tcPr>
          <w:p>
            <w:pPr>
              <w:adjustRightInd w:val="0"/>
              <w:snapToGrid w:val="0"/>
              <w:spacing w:line="360" w:lineRule="auto"/>
              <w:rPr>
                <w:rFonts w:ascii="宋体" w:hAnsi="宋体"/>
                <w:sz w:val="18"/>
                <w:szCs w:val="18"/>
              </w:rPr>
            </w:pPr>
            <w:r>
              <w:rPr>
                <w:rFonts w:ascii="宋体" w:hAnsi="宋体"/>
                <w:sz w:val="18"/>
                <w:szCs w:val="18"/>
              </w:rPr>
              <w:t>掌握Altium Designer模块分析方法的选择和设置方法，正确处理电路设计中的布局、布线、抗干扰、散热等问题，从而进行优化设计</w:t>
            </w:r>
            <w:r>
              <w:rPr>
                <w:rFonts w:hint="eastAsia" w:ascii="宋体" w:hAnsi="宋体"/>
                <w:sz w:val="18"/>
                <w:szCs w:val="18"/>
              </w:rPr>
              <w:t>；</w:t>
            </w:r>
          </w:p>
        </w:tc>
        <w:tc>
          <w:tcPr>
            <w:tcW w:w="2288" w:type="pct"/>
          </w:tcPr>
          <w:p>
            <w:pPr>
              <w:adjustRightInd w:val="0"/>
              <w:snapToGrid w:val="0"/>
              <w:spacing w:line="360" w:lineRule="auto"/>
              <w:rPr>
                <w:rFonts w:ascii="宋体" w:hAnsi="宋体"/>
                <w:sz w:val="18"/>
                <w:szCs w:val="18"/>
              </w:rPr>
            </w:pPr>
            <w:r>
              <w:rPr>
                <w:rFonts w:hint="eastAsia" w:ascii="宋体" w:hAnsi="宋体"/>
                <w:b/>
                <w:bCs/>
                <w:sz w:val="18"/>
                <w:szCs w:val="18"/>
              </w:rPr>
              <w:t>指标点3-1 按需设计</w:t>
            </w:r>
            <w:r>
              <w:rPr>
                <w:rFonts w:hint="eastAsia" w:ascii="宋体" w:hAnsi="宋体"/>
                <w:sz w:val="18"/>
                <w:szCs w:val="18"/>
              </w:rPr>
              <w:t>：</w:t>
            </w:r>
            <w:r>
              <w:rPr>
                <w:rFonts w:hint="eastAsia" w:ascii="宋体" w:hAnsi="宋体"/>
                <w:kern w:val="0"/>
                <w:sz w:val="18"/>
                <w:szCs w:val="18"/>
              </w:rPr>
              <w:t>能够根据用户特定需求设计复杂工程问题的解决方案，设计相关的电路系统</w:t>
            </w:r>
            <w:r>
              <w:rPr>
                <w:rFonts w:hint="eastAsia" w:ascii="宋体" w:hAnsi="宋体"/>
                <w:sz w:val="18"/>
                <w:szCs w:val="18"/>
              </w:rPr>
              <w:t>及</w:t>
            </w:r>
            <w:r>
              <w:rPr>
                <w:rFonts w:hint="eastAsia" w:ascii="宋体" w:hAnsi="宋体"/>
                <w:kern w:val="0"/>
                <w:sz w:val="18"/>
                <w:szCs w:val="18"/>
              </w:rPr>
              <w:t>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djustRightInd w:val="0"/>
              <w:snapToGrid w:val="0"/>
              <w:spacing w:line="360" w:lineRule="auto"/>
              <w:rPr>
                <w:rFonts w:ascii="宋体" w:hAnsi="宋体"/>
                <w:sz w:val="18"/>
                <w:szCs w:val="18"/>
              </w:rPr>
            </w:pPr>
            <w:r>
              <w:rPr>
                <w:rFonts w:hint="eastAsia" w:ascii="宋体" w:hAnsi="宋体"/>
                <w:sz w:val="18"/>
                <w:szCs w:val="18"/>
              </w:rPr>
              <w:t>3</w:t>
            </w:r>
          </w:p>
        </w:tc>
        <w:tc>
          <w:tcPr>
            <w:tcW w:w="2233" w:type="pct"/>
          </w:tcPr>
          <w:p>
            <w:pPr>
              <w:adjustRightInd w:val="0"/>
              <w:snapToGrid w:val="0"/>
              <w:spacing w:line="360" w:lineRule="auto"/>
              <w:rPr>
                <w:rFonts w:ascii="宋体" w:hAnsi="宋体"/>
                <w:sz w:val="18"/>
                <w:szCs w:val="18"/>
              </w:rPr>
            </w:pPr>
            <w:r>
              <w:rPr>
                <w:rFonts w:ascii="宋体" w:hAnsi="宋体"/>
                <w:sz w:val="18"/>
                <w:szCs w:val="18"/>
              </w:rPr>
              <w:t>掌握采用自上而下的电子电路设计思路绘制层次原理图，运用“软件设计硬件”的方法提高应对本专业工程问题的解决能力</w:t>
            </w:r>
            <w:r>
              <w:rPr>
                <w:rFonts w:hint="eastAsia" w:ascii="宋体" w:hAnsi="宋体"/>
                <w:sz w:val="18"/>
                <w:szCs w:val="18"/>
              </w:rPr>
              <w:t>；</w:t>
            </w:r>
          </w:p>
        </w:tc>
        <w:tc>
          <w:tcPr>
            <w:tcW w:w="2288" w:type="pct"/>
          </w:tcPr>
          <w:p>
            <w:pPr>
              <w:adjustRightInd w:val="0"/>
              <w:snapToGrid w:val="0"/>
              <w:spacing w:line="360" w:lineRule="auto"/>
              <w:rPr>
                <w:rFonts w:ascii="宋体" w:hAnsi="宋体"/>
                <w:sz w:val="18"/>
                <w:szCs w:val="18"/>
              </w:rPr>
            </w:pPr>
            <w:r>
              <w:rPr>
                <w:rFonts w:hint="eastAsia" w:ascii="宋体" w:hAnsi="宋体"/>
                <w:b/>
                <w:bCs/>
                <w:sz w:val="18"/>
                <w:szCs w:val="18"/>
              </w:rPr>
              <w:t>指标点2-1 问题识别</w:t>
            </w:r>
            <w:r>
              <w:rPr>
                <w:rFonts w:hint="eastAsia" w:ascii="宋体" w:hAnsi="宋体"/>
                <w:sz w:val="18"/>
                <w:szCs w:val="18"/>
              </w:rPr>
              <w:t>：能应用科学原理对电路系统、物联网及现场总线等领域专业复杂工程问题进行分解，并识别其中的关键特征和参数。</w:t>
            </w:r>
          </w:p>
        </w:tc>
      </w:tr>
    </w:tbl>
    <w:p>
      <w:pPr>
        <w:spacing w:line="360" w:lineRule="auto"/>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通过了解国内外各领域EDA技术发展的差距，激发学生自主创新的意识，激发学生爱国情怀。</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1、本课程为专业课，要求先修数字电子技术、</w:t>
      </w:r>
      <w:r>
        <w:rPr>
          <w:szCs w:val="21"/>
        </w:rPr>
        <w:t>模拟电子技术</w:t>
      </w:r>
      <w:r>
        <w:rPr>
          <w:rFonts w:hint="eastAsia"/>
          <w:szCs w:val="21"/>
        </w:rPr>
        <w:t>课程，在教学中应注重基础知识、基本概念和思维方法的传授，同时运用类比式和启发式教学，使学生掌握最重要的“并行”执行的程序设计概念，掌握相关设计方法与手段，以培养逻辑分析和设计能力。</w:t>
      </w:r>
    </w:p>
    <w:p>
      <w:pPr>
        <w:spacing w:line="360" w:lineRule="auto"/>
        <w:ind w:firstLine="420" w:firstLineChars="200"/>
        <w:rPr>
          <w:szCs w:val="21"/>
        </w:rPr>
      </w:pPr>
      <w:r>
        <w:rPr>
          <w:rFonts w:hint="eastAsia"/>
          <w:szCs w:val="21"/>
        </w:rPr>
        <w:t>2、教师通过EDA软件的教学，结合经典的实例，提高学生电路设计能力。</w:t>
      </w:r>
    </w:p>
    <w:p>
      <w:pPr>
        <w:spacing w:line="360" w:lineRule="auto"/>
        <w:ind w:firstLine="420" w:firstLineChars="200"/>
        <w:rPr>
          <w:szCs w:val="21"/>
        </w:rPr>
      </w:pPr>
      <w:r>
        <w:rPr>
          <w:rFonts w:hint="eastAsia"/>
          <w:szCs w:val="21"/>
        </w:rPr>
        <w:t>3、学生通过上机操作，掌握至少1种</w:t>
      </w:r>
      <w:r>
        <w:rPr>
          <w:szCs w:val="21"/>
        </w:rPr>
        <w:t>印制电路板设计工具软件</w:t>
      </w:r>
      <w:r>
        <w:rPr>
          <w:rFonts w:hint="eastAsia"/>
          <w:szCs w:val="21"/>
        </w:rPr>
        <w:t>的使用方法，会选择、运用EDA软件工具来设计实际电子电路，掌握电子电路自动化设计技巧。</w:t>
      </w:r>
    </w:p>
    <w:p>
      <w:pPr>
        <w:spacing w:line="360" w:lineRule="auto"/>
        <w:ind w:firstLine="420" w:firstLineChars="200"/>
        <w:rPr>
          <w:szCs w:val="21"/>
        </w:rPr>
      </w:pPr>
      <w:r>
        <w:rPr>
          <w:rFonts w:hint="eastAsia"/>
          <w:szCs w:val="21"/>
        </w:rPr>
        <w:t>4、本课程是一门实践性很强的课程，要求学生通过实验环节把所学的内容巩固和掌握，要求在CAI教室进行授课，并且教学和实验交替进行。</w:t>
      </w:r>
    </w:p>
    <w:p>
      <w:pPr>
        <w:spacing w:line="360" w:lineRule="auto"/>
        <w:ind w:firstLine="420" w:firstLineChars="200"/>
        <w:rPr>
          <w:szCs w:val="21"/>
        </w:rPr>
      </w:pPr>
      <w:r>
        <w:rPr>
          <w:rFonts w:hint="eastAsia"/>
          <w:szCs w:val="21"/>
        </w:rPr>
        <w:t>5、深度和广度说明：对</w:t>
      </w:r>
      <w:r>
        <w:rPr>
          <w:szCs w:val="21"/>
        </w:rPr>
        <w:t>制作印制电路板</w:t>
      </w:r>
      <w:r>
        <w:rPr>
          <w:rFonts w:hint="eastAsia"/>
          <w:szCs w:val="21"/>
        </w:rPr>
        <w:t>要深入讲解，对</w:t>
      </w:r>
      <w:r>
        <w:rPr>
          <w:szCs w:val="21"/>
        </w:rPr>
        <w:t>原理图设计基础</w:t>
      </w:r>
      <w:r>
        <w:rPr>
          <w:rFonts w:hint="eastAsia"/>
          <w:szCs w:val="21"/>
        </w:rPr>
        <w:t>只做简单介绍，</w:t>
      </w:r>
      <w:r>
        <w:rPr>
          <w:szCs w:val="21"/>
        </w:rPr>
        <w:t>原理图元件的编辑方法</w:t>
      </w:r>
      <w:r>
        <w:rPr>
          <w:rFonts w:hint="eastAsia"/>
          <w:szCs w:val="21"/>
        </w:rPr>
        <w:t>了解即可，</w:t>
      </w:r>
      <w:r>
        <w:rPr>
          <w:szCs w:val="21"/>
        </w:rPr>
        <w:t>元器件布局和布线</w:t>
      </w:r>
      <w:r>
        <w:rPr>
          <w:rFonts w:hint="eastAsia"/>
          <w:szCs w:val="21"/>
        </w:rPr>
        <w:t>、</w:t>
      </w:r>
      <w:r>
        <w:rPr>
          <w:szCs w:val="21"/>
        </w:rPr>
        <w:t>设计规则检测</w:t>
      </w:r>
      <w:r>
        <w:rPr>
          <w:rFonts w:hint="eastAsia"/>
          <w:szCs w:val="21"/>
        </w:rPr>
        <w:t>是重点。</w:t>
      </w:r>
    </w:p>
    <w:p>
      <w:pPr>
        <w:spacing w:line="360" w:lineRule="auto"/>
        <w:ind w:firstLine="420" w:firstLineChars="200"/>
        <w:rPr>
          <w:szCs w:val="21"/>
        </w:rPr>
      </w:pPr>
      <w:r>
        <w:rPr>
          <w:rFonts w:hint="eastAsia"/>
          <w:szCs w:val="21"/>
        </w:rPr>
        <w:t>6</w:t>
      </w:r>
      <w:r>
        <w:rPr>
          <w:szCs w:val="21"/>
        </w:rPr>
        <w:t>、偏差说明：本课程允许教师授课内容做适当调整，最大正偏差为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rFonts w:hint="eastAsia"/>
          <w:szCs w:val="21"/>
        </w:rPr>
        <w:t>本课程重点讲授的内容包括：现代EDA技术及其设计方法、</w:t>
      </w:r>
      <w:r>
        <w:rPr>
          <w:szCs w:val="21"/>
        </w:rPr>
        <w:t>电路原理图的基本绘图方法</w:t>
      </w:r>
      <w:r>
        <w:rPr>
          <w:rFonts w:hint="eastAsia"/>
          <w:szCs w:val="21"/>
        </w:rPr>
        <w:t>、</w:t>
      </w:r>
      <w:r>
        <w:rPr>
          <w:szCs w:val="21"/>
        </w:rPr>
        <w:t>电路原理图的分析方法和分析工具</w:t>
      </w:r>
      <w:r>
        <w:rPr>
          <w:rFonts w:hint="eastAsia"/>
          <w:szCs w:val="21"/>
        </w:rPr>
        <w:t>、集成库使用方法、</w:t>
      </w:r>
      <w:r>
        <w:rPr>
          <w:szCs w:val="21"/>
        </w:rPr>
        <w:t>PCB制版中的一些布局布线原则</w:t>
      </w:r>
      <w:r>
        <w:rPr>
          <w:rFonts w:hint="eastAsia"/>
          <w:szCs w:val="21"/>
        </w:rPr>
        <w:t>、</w:t>
      </w:r>
      <w:r>
        <w:rPr>
          <w:szCs w:val="21"/>
        </w:rPr>
        <w:t>利用向导创建元器件PCB封装</w:t>
      </w:r>
      <w:r>
        <w:rPr>
          <w:rFonts w:hint="eastAsia"/>
          <w:szCs w:val="21"/>
        </w:rPr>
        <w:t>等。</w:t>
      </w:r>
    </w:p>
    <w:p>
      <w:pPr>
        <w:spacing w:line="360" w:lineRule="auto"/>
        <w:ind w:firstLine="420" w:firstLineChars="200"/>
        <w:rPr>
          <w:szCs w:val="21"/>
        </w:rPr>
      </w:pPr>
      <w:r>
        <w:rPr>
          <w:szCs w:val="21"/>
        </w:rPr>
        <w:t>本课程在教学方法上，充分利用各种媒体教学手段，采取课堂教学、多媒体课件、验证性实验</w:t>
      </w:r>
      <w:r>
        <w:rPr>
          <w:rFonts w:hint="eastAsia"/>
          <w:szCs w:val="21"/>
        </w:rPr>
        <w:t>及课后师生微信交流等方式</w:t>
      </w:r>
      <w:r>
        <w:rPr>
          <w:szCs w:val="21"/>
        </w:rPr>
        <w:t>有机结合，提高教学效率。</w:t>
      </w:r>
    </w:p>
    <w:p>
      <w:pPr>
        <w:spacing w:line="360" w:lineRule="auto"/>
        <w:ind w:firstLine="420" w:firstLineChars="200"/>
        <w:rPr>
          <w:color w:val="A6A6A6"/>
          <w:szCs w:val="22"/>
        </w:rPr>
      </w:pPr>
      <w:r>
        <w:rPr>
          <w:rFonts w:hint="eastAsia" w:ascii="Calibri" w:hAnsi="Calibri" w:cs="宋体"/>
          <w:szCs w:val="21"/>
        </w:rPr>
        <w:t>为</w:t>
      </w:r>
      <w:r>
        <w:rPr>
          <w:rFonts w:hint="eastAsia"/>
          <w:szCs w:val="22"/>
        </w:rPr>
        <w:t>了提高学生的学习兴趣，并取得良好的教学效果，教师在知识讲解的过程中要充分利用问题引导、案例分析等多种教学方法，以进一步提高教学质量。</w:t>
      </w:r>
    </w:p>
    <w:p>
      <w:pPr>
        <w:spacing w:line="360" w:lineRule="auto"/>
        <w:ind w:firstLine="420" w:firstLineChars="200"/>
        <w:rPr>
          <w:rFonts w:eastAsia="黑体"/>
          <w:szCs w:val="21"/>
        </w:rPr>
      </w:pPr>
    </w:p>
    <w:p>
      <w:pPr>
        <w:adjustRightInd w:val="0"/>
        <w:snapToGrid w:val="0"/>
        <w:spacing w:line="360" w:lineRule="auto"/>
        <w:ind w:firstLine="422" w:firstLineChars="200"/>
        <w:rPr>
          <w:b/>
          <w:szCs w:val="22"/>
        </w:rPr>
      </w:pPr>
      <w:r>
        <w:rPr>
          <w:b/>
          <w:szCs w:val="22"/>
        </w:rPr>
        <w:t>1概述（</w:t>
      </w:r>
      <w:r>
        <w:rPr>
          <w:rFonts w:hint="eastAsia"/>
          <w:b/>
          <w:szCs w:val="22"/>
        </w:rPr>
        <w:t>1</w:t>
      </w:r>
      <w:r>
        <w:rPr>
          <w:b/>
          <w:szCs w:val="22"/>
        </w:rPr>
        <w:t>学时）</w:t>
      </w:r>
    </w:p>
    <w:p>
      <w:pPr>
        <w:adjustRightInd w:val="0"/>
        <w:snapToGrid w:val="0"/>
        <w:spacing w:line="360" w:lineRule="auto"/>
        <w:ind w:firstLine="420" w:firstLineChars="200"/>
        <w:rPr>
          <w:szCs w:val="22"/>
        </w:rPr>
      </w:pPr>
      <w:r>
        <w:rPr>
          <w:szCs w:val="22"/>
        </w:rPr>
        <w:t>1.1、电子设计自动化的基本概念</w:t>
      </w:r>
      <w:r>
        <w:rPr>
          <w:rFonts w:hint="eastAsia"/>
          <w:szCs w:val="22"/>
        </w:rPr>
        <w:t>，电子设计领域国内外EDA技术的差距。</w:t>
      </w:r>
    </w:p>
    <w:p>
      <w:pPr>
        <w:adjustRightInd w:val="0"/>
        <w:snapToGrid w:val="0"/>
        <w:spacing w:line="360" w:lineRule="auto"/>
        <w:ind w:firstLine="420" w:firstLineChars="200"/>
        <w:rPr>
          <w:szCs w:val="22"/>
        </w:rPr>
      </w:pPr>
      <w:r>
        <w:rPr>
          <w:szCs w:val="22"/>
        </w:rPr>
        <w:t>1.2、</w:t>
      </w:r>
      <w:r>
        <w:rPr>
          <w:szCs w:val="21"/>
        </w:rPr>
        <w:t>Altium Designer</w:t>
      </w:r>
      <w:r>
        <w:rPr>
          <w:szCs w:val="22"/>
        </w:rPr>
        <w:t>的安装、编辑界面和系统设置等</w:t>
      </w:r>
    </w:p>
    <w:p>
      <w:pPr>
        <w:adjustRightInd w:val="0"/>
        <w:snapToGrid w:val="0"/>
        <w:spacing w:line="360" w:lineRule="auto"/>
        <w:ind w:firstLine="420" w:firstLineChars="200"/>
        <w:rPr>
          <w:szCs w:val="22"/>
        </w:rPr>
      </w:pPr>
      <w:r>
        <w:rPr>
          <w:szCs w:val="22"/>
        </w:rPr>
        <w:t>1.3、电路板的设计流程</w:t>
      </w:r>
      <w:r>
        <w:rPr>
          <w:rFonts w:hint="eastAsia"/>
          <w:szCs w:val="22"/>
        </w:rPr>
        <w:t>（重点）</w:t>
      </w:r>
    </w:p>
    <w:p>
      <w:pPr>
        <w:widowControl/>
        <w:adjustRightInd w:val="0"/>
        <w:snapToGrid w:val="0"/>
        <w:spacing w:line="360" w:lineRule="auto"/>
        <w:ind w:firstLine="420" w:firstLineChars="200"/>
        <w:jc w:val="left"/>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spacing w:line="360" w:lineRule="auto"/>
        <w:ind w:firstLine="422" w:firstLineChars="200"/>
        <w:rPr>
          <w:rFonts w:cs="宋体"/>
          <w:b/>
          <w:bCs/>
          <w:snapToGrid w:val="0"/>
          <w:kern w:val="0"/>
          <w:szCs w:val="21"/>
        </w:rPr>
      </w:pPr>
      <w:r>
        <w:rPr>
          <w:rFonts w:hint="eastAsia"/>
          <w:b/>
          <w:bCs/>
          <w:szCs w:val="21"/>
        </w:rPr>
        <w:t>思政元素：通过了解国内外各领域EDA技术发展的差距，激发学生自主创新的意识，激发学生爱国情怀。</w:t>
      </w:r>
    </w:p>
    <w:p>
      <w:pPr>
        <w:adjustRightInd w:val="0"/>
        <w:snapToGrid w:val="0"/>
        <w:spacing w:line="360" w:lineRule="auto"/>
        <w:ind w:firstLine="422" w:firstLineChars="200"/>
        <w:rPr>
          <w:b/>
          <w:szCs w:val="22"/>
        </w:rPr>
      </w:pPr>
      <w:r>
        <w:rPr>
          <w:b/>
          <w:szCs w:val="22"/>
        </w:rPr>
        <w:t>2原理图设计基础（</w:t>
      </w:r>
      <w:r>
        <w:rPr>
          <w:rFonts w:hint="eastAsia"/>
          <w:b/>
          <w:szCs w:val="22"/>
        </w:rPr>
        <w:t>3</w:t>
      </w:r>
      <w:r>
        <w:rPr>
          <w:b/>
          <w:szCs w:val="22"/>
        </w:rPr>
        <w:t>学时）</w:t>
      </w:r>
    </w:p>
    <w:p>
      <w:pPr>
        <w:adjustRightInd w:val="0"/>
        <w:snapToGrid w:val="0"/>
        <w:spacing w:line="360" w:lineRule="auto"/>
        <w:ind w:firstLine="420" w:firstLineChars="200"/>
        <w:rPr>
          <w:szCs w:val="22"/>
        </w:rPr>
      </w:pPr>
      <w:r>
        <w:rPr>
          <w:szCs w:val="22"/>
        </w:rPr>
        <w:t>2.1、理解原理图的一般设计流程和基本原则</w:t>
      </w:r>
    </w:p>
    <w:p>
      <w:pPr>
        <w:adjustRightInd w:val="0"/>
        <w:snapToGrid w:val="0"/>
        <w:spacing w:line="360" w:lineRule="auto"/>
        <w:ind w:firstLine="420" w:firstLineChars="200"/>
        <w:rPr>
          <w:szCs w:val="22"/>
        </w:rPr>
      </w:pPr>
      <w:r>
        <w:rPr>
          <w:szCs w:val="22"/>
        </w:rPr>
        <w:t>2.2、创建新项目及文件、如何设置图纸及其它参数等</w:t>
      </w:r>
    </w:p>
    <w:p>
      <w:pPr>
        <w:adjustRightInd w:val="0"/>
        <w:snapToGrid w:val="0"/>
        <w:spacing w:line="360" w:lineRule="auto"/>
        <w:ind w:firstLine="420" w:firstLineChars="200"/>
        <w:rPr>
          <w:szCs w:val="22"/>
        </w:rPr>
      </w:pPr>
      <w:r>
        <w:rPr>
          <w:szCs w:val="22"/>
        </w:rPr>
        <w:t>2.3、电路原理图工具的使用；SCH编辑和Libraries面板使用</w:t>
      </w:r>
      <w:r>
        <w:rPr>
          <w:rFonts w:hint="eastAsia"/>
          <w:szCs w:val="22"/>
        </w:rPr>
        <w:t>（</w:t>
      </w:r>
      <w:r>
        <w:rPr>
          <w:szCs w:val="22"/>
        </w:rPr>
        <w:t>重点</w:t>
      </w:r>
      <w:r>
        <w:rPr>
          <w:rFonts w:hint="eastAsia"/>
          <w:szCs w:val="22"/>
        </w:rPr>
        <w:t>、难点</w:t>
      </w:r>
      <w:r>
        <w:rPr>
          <w:szCs w:val="22"/>
        </w:rPr>
        <w:t>）</w:t>
      </w:r>
    </w:p>
    <w:p>
      <w:pPr>
        <w:adjustRightInd w:val="0"/>
        <w:snapToGrid w:val="0"/>
        <w:spacing w:line="360" w:lineRule="auto"/>
        <w:ind w:firstLine="420" w:firstLineChars="200"/>
        <w:rPr>
          <w:szCs w:val="22"/>
        </w:rPr>
      </w:pPr>
      <w:r>
        <w:rPr>
          <w:szCs w:val="22"/>
        </w:rPr>
        <w:t>2.4、图形工具栏的使用方法</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w:t>
      </w:r>
    </w:p>
    <w:p>
      <w:pPr>
        <w:adjustRightInd w:val="0"/>
        <w:snapToGrid w:val="0"/>
        <w:spacing w:line="360" w:lineRule="auto"/>
        <w:ind w:firstLine="422" w:firstLineChars="200"/>
        <w:rPr>
          <w:b/>
          <w:szCs w:val="22"/>
        </w:rPr>
      </w:pPr>
      <w:r>
        <w:rPr>
          <w:b/>
          <w:szCs w:val="22"/>
        </w:rPr>
        <w:t>3 绘制原理图（2学时）</w:t>
      </w:r>
    </w:p>
    <w:p>
      <w:pPr>
        <w:adjustRightInd w:val="0"/>
        <w:snapToGrid w:val="0"/>
        <w:spacing w:line="360" w:lineRule="auto"/>
        <w:ind w:firstLine="420" w:firstLineChars="200"/>
        <w:rPr>
          <w:szCs w:val="22"/>
        </w:rPr>
      </w:pPr>
      <w:r>
        <w:rPr>
          <w:szCs w:val="22"/>
        </w:rPr>
        <w:t>3.1、原理图元件的放置、位置调整、属性设置、删除、复制、粘贴、选取操作方法</w:t>
      </w:r>
    </w:p>
    <w:p>
      <w:pPr>
        <w:adjustRightInd w:val="0"/>
        <w:snapToGrid w:val="0"/>
        <w:spacing w:line="360" w:lineRule="auto"/>
        <w:ind w:firstLine="420" w:firstLineChars="200"/>
        <w:rPr>
          <w:szCs w:val="22"/>
        </w:rPr>
      </w:pPr>
      <w:r>
        <w:rPr>
          <w:szCs w:val="22"/>
        </w:rPr>
        <w:t>3.2、使用原理图布线工具绘制电路原理图的方法（重点）</w:t>
      </w:r>
    </w:p>
    <w:p>
      <w:pPr>
        <w:adjustRightInd w:val="0"/>
        <w:snapToGrid w:val="0"/>
        <w:spacing w:line="360" w:lineRule="auto"/>
        <w:ind w:firstLine="420" w:firstLineChars="200"/>
        <w:rPr>
          <w:szCs w:val="22"/>
        </w:rPr>
      </w:pPr>
      <w:r>
        <w:rPr>
          <w:szCs w:val="22"/>
        </w:rPr>
        <w:t>3.3、原理图编辑报表的管理及检查</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w:t>
      </w:r>
    </w:p>
    <w:p>
      <w:pPr>
        <w:adjustRightInd w:val="0"/>
        <w:snapToGrid w:val="0"/>
        <w:spacing w:line="360" w:lineRule="auto"/>
        <w:ind w:firstLine="422" w:firstLineChars="200"/>
        <w:rPr>
          <w:b/>
          <w:szCs w:val="22"/>
        </w:rPr>
      </w:pPr>
      <w:r>
        <w:rPr>
          <w:b/>
          <w:szCs w:val="22"/>
        </w:rPr>
        <w:t xml:space="preserve">4 </w:t>
      </w:r>
      <w:r>
        <w:rPr>
          <w:rFonts w:hint="eastAsia"/>
          <w:b/>
          <w:szCs w:val="22"/>
        </w:rPr>
        <w:t>元件集成库设计与管理</w:t>
      </w:r>
      <w:r>
        <w:rPr>
          <w:b/>
          <w:szCs w:val="22"/>
        </w:rPr>
        <w:t>（</w:t>
      </w:r>
      <w:r>
        <w:rPr>
          <w:rFonts w:hint="eastAsia"/>
          <w:b/>
          <w:szCs w:val="22"/>
        </w:rPr>
        <w:t>3</w:t>
      </w:r>
      <w:r>
        <w:rPr>
          <w:b/>
          <w:szCs w:val="22"/>
        </w:rPr>
        <w:t>学时）</w:t>
      </w:r>
    </w:p>
    <w:p>
      <w:pPr>
        <w:adjustRightInd w:val="0"/>
        <w:snapToGrid w:val="0"/>
        <w:spacing w:line="360" w:lineRule="auto"/>
        <w:ind w:firstLine="420" w:firstLineChars="200"/>
        <w:rPr>
          <w:szCs w:val="22"/>
        </w:rPr>
      </w:pPr>
      <w:r>
        <w:rPr>
          <w:szCs w:val="22"/>
        </w:rPr>
        <w:t>4.1、原理图元件的编辑方法</w:t>
      </w:r>
      <w:r>
        <w:rPr>
          <w:rFonts w:hint="eastAsia"/>
          <w:szCs w:val="22"/>
        </w:rPr>
        <w:t>（</w:t>
      </w:r>
      <w:r>
        <w:rPr>
          <w:szCs w:val="22"/>
        </w:rPr>
        <w:t>重点</w:t>
      </w:r>
      <w:r>
        <w:rPr>
          <w:rFonts w:hint="eastAsia"/>
          <w:szCs w:val="22"/>
        </w:rPr>
        <w:t>、难点</w:t>
      </w:r>
      <w:r>
        <w:rPr>
          <w:szCs w:val="22"/>
        </w:rPr>
        <w:t>）</w:t>
      </w:r>
    </w:p>
    <w:p>
      <w:pPr>
        <w:adjustRightInd w:val="0"/>
        <w:snapToGrid w:val="0"/>
        <w:spacing w:line="360" w:lineRule="auto"/>
        <w:ind w:firstLine="420" w:firstLineChars="200"/>
        <w:rPr>
          <w:szCs w:val="22"/>
        </w:rPr>
      </w:pPr>
      <w:r>
        <w:rPr>
          <w:szCs w:val="22"/>
        </w:rPr>
        <w:t>4.2、</w:t>
      </w:r>
      <w:r>
        <w:rPr>
          <w:rFonts w:hint="eastAsia"/>
          <w:szCs w:val="22"/>
        </w:rPr>
        <w:t>使用工具栏绘制元件封装</w:t>
      </w:r>
    </w:p>
    <w:p>
      <w:pPr>
        <w:adjustRightInd w:val="0"/>
        <w:snapToGrid w:val="0"/>
        <w:spacing w:line="360" w:lineRule="auto"/>
        <w:ind w:firstLine="420" w:firstLineChars="200"/>
        <w:rPr>
          <w:szCs w:val="22"/>
        </w:rPr>
      </w:pPr>
      <w:r>
        <w:rPr>
          <w:szCs w:val="22"/>
        </w:rPr>
        <w:t>4.3、</w:t>
      </w:r>
      <w:r>
        <w:rPr>
          <w:rFonts w:hint="eastAsia"/>
          <w:szCs w:val="22"/>
        </w:rPr>
        <w:t>使用向导创建元件封装（重点、难点）</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adjustRightInd w:val="0"/>
        <w:snapToGrid w:val="0"/>
        <w:spacing w:line="360" w:lineRule="auto"/>
        <w:ind w:firstLine="422" w:firstLineChars="200"/>
        <w:rPr>
          <w:b/>
          <w:szCs w:val="22"/>
        </w:rPr>
      </w:pPr>
      <w:r>
        <w:rPr>
          <w:b/>
          <w:szCs w:val="22"/>
        </w:rPr>
        <w:t>5设计层次原理图（2学时）</w:t>
      </w:r>
    </w:p>
    <w:p>
      <w:pPr>
        <w:adjustRightInd w:val="0"/>
        <w:snapToGrid w:val="0"/>
        <w:spacing w:line="360" w:lineRule="auto"/>
        <w:ind w:firstLine="420" w:firstLineChars="200"/>
        <w:rPr>
          <w:szCs w:val="22"/>
        </w:rPr>
      </w:pPr>
      <w:r>
        <w:rPr>
          <w:szCs w:val="22"/>
        </w:rPr>
        <w:t>5.1、层次原理图的设计方法（难点）</w:t>
      </w:r>
    </w:p>
    <w:p>
      <w:pPr>
        <w:adjustRightInd w:val="0"/>
        <w:snapToGrid w:val="0"/>
        <w:spacing w:line="360" w:lineRule="auto"/>
        <w:ind w:firstLine="420" w:firstLineChars="200"/>
        <w:rPr>
          <w:szCs w:val="22"/>
        </w:rPr>
      </w:pPr>
      <w:r>
        <w:rPr>
          <w:szCs w:val="22"/>
        </w:rPr>
        <w:t>5.2、原理图文件和方块电路符号互相生成方法</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1、3。</w:t>
      </w:r>
    </w:p>
    <w:p>
      <w:pPr>
        <w:adjustRightInd w:val="0"/>
        <w:snapToGrid w:val="0"/>
        <w:spacing w:line="360" w:lineRule="auto"/>
        <w:ind w:firstLine="422" w:firstLineChars="200"/>
        <w:rPr>
          <w:b/>
          <w:szCs w:val="22"/>
        </w:rPr>
      </w:pPr>
      <w:r>
        <w:rPr>
          <w:b/>
          <w:szCs w:val="22"/>
        </w:rPr>
        <w:t>6印制电路板设计基础（2学时）</w:t>
      </w:r>
    </w:p>
    <w:p>
      <w:pPr>
        <w:adjustRightInd w:val="0"/>
        <w:snapToGrid w:val="0"/>
        <w:spacing w:line="360" w:lineRule="auto"/>
        <w:ind w:firstLine="420" w:firstLineChars="200"/>
        <w:rPr>
          <w:szCs w:val="22"/>
        </w:rPr>
      </w:pPr>
      <w:r>
        <w:rPr>
          <w:szCs w:val="22"/>
        </w:rPr>
        <w:t>6.1、PCB板设计的基本原则（重点）</w:t>
      </w:r>
    </w:p>
    <w:p>
      <w:pPr>
        <w:adjustRightInd w:val="0"/>
        <w:snapToGrid w:val="0"/>
        <w:spacing w:line="360" w:lineRule="auto"/>
        <w:ind w:firstLine="420" w:firstLineChars="200"/>
        <w:rPr>
          <w:szCs w:val="22"/>
        </w:rPr>
      </w:pPr>
      <w:r>
        <w:rPr>
          <w:szCs w:val="22"/>
        </w:rPr>
        <w:t>6.2、PCB各工具栏、状态栏的使用方法</w:t>
      </w:r>
    </w:p>
    <w:p>
      <w:pPr>
        <w:adjustRightInd w:val="0"/>
        <w:snapToGrid w:val="0"/>
        <w:spacing w:line="360" w:lineRule="auto"/>
        <w:ind w:firstLine="420" w:firstLineChars="200"/>
        <w:rPr>
          <w:szCs w:val="22"/>
        </w:rPr>
      </w:pPr>
      <w:r>
        <w:rPr>
          <w:szCs w:val="22"/>
        </w:rPr>
        <w:t>6.3、电路板工作层的设置</w:t>
      </w:r>
      <w:r>
        <w:rPr>
          <w:rFonts w:hint="eastAsia"/>
          <w:szCs w:val="22"/>
        </w:rPr>
        <w:t>（重点、难点）</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adjustRightInd w:val="0"/>
        <w:snapToGrid w:val="0"/>
        <w:spacing w:line="360" w:lineRule="auto"/>
        <w:ind w:firstLine="422" w:firstLineChars="200"/>
        <w:rPr>
          <w:b/>
          <w:szCs w:val="22"/>
        </w:rPr>
      </w:pPr>
      <w:r>
        <w:rPr>
          <w:b/>
          <w:szCs w:val="22"/>
        </w:rPr>
        <w:t>7制作印制电路板（</w:t>
      </w:r>
      <w:r>
        <w:rPr>
          <w:rFonts w:hint="eastAsia"/>
          <w:b/>
          <w:szCs w:val="22"/>
        </w:rPr>
        <w:t>3</w:t>
      </w:r>
      <w:r>
        <w:rPr>
          <w:b/>
          <w:szCs w:val="22"/>
        </w:rPr>
        <w:t>学时）</w:t>
      </w:r>
    </w:p>
    <w:p>
      <w:pPr>
        <w:adjustRightInd w:val="0"/>
        <w:snapToGrid w:val="0"/>
        <w:spacing w:line="360" w:lineRule="auto"/>
        <w:ind w:firstLine="420" w:firstLineChars="200"/>
        <w:rPr>
          <w:szCs w:val="22"/>
        </w:rPr>
      </w:pPr>
      <w:r>
        <w:rPr>
          <w:szCs w:val="22"/>
        </w:rPr>
        <w:t>7.1、</w:t>
      </w:r>
      <w:r>
        <w:rPr>
          <w:szCs w:val="21"/>
        </w:rPr>
        <w:t>Altium Designer</w:t>
      </w:r>
      <w:r>
        <w:rPr>
          <w:szCs w:val="22"/>
        </w:rPr>
        <w:t>布线的流程</w:t>
      </w:r>
    </w:p>
    <w:p>
      <w:pPr>
        <w:adjustRightInd w:val="0"/>
        <w:snapToGrid w:val="0"/>
        <w:spacing w:line="360" w:lineRule="auto"/>
        <w:ind w:firstLine="420" w:firstLineChars="200"/>
        <w:rPr>
          <w:szCs w:val="22"/>
        </w:rPr>
      </w:pPr>
      <w:r>
        <w:rPr>
          <w:szCs w:val="22"/>
        </w:rPr>
        <w:t>7.2、网络表与元件的装入（重点）</w:t>
      </w:r>
    </w:p>
    <w:p>
      <w:pPr>
        <w:adjustRightInd w:val="0"/>
        <w:snapToGrid w:val="0"/>
        <w:spacing w:line="360" w:lineRule="auto"/>
        <w:ind w:firstLine="420" w:firstLineChars="200"/>
        <w:rPr>
          <w:szCs w:val="22"/>
        </w:rPr>
      </w:pPr>
      <w:r>
        <w:rPr>
          <w:szCs w:val="22"/>
        </w:rPr>
        <w:t>7.3、元器件布局和布线（重点</w:t>
      </w:r>
      <w:r>
        <w:rPr>
          <w:rFonts w:hint="eastAsia"/>
          <w:szCs w:val="22"/>
        </w:rPr>
        <w:t>、难点</w:t>
      </w:r>
      <w:r>
        <w:rPr>
          <w:szCs w:val="22"/>
        </w:rPr>
        <w:t>）</w:t>
      </w:r>
    </w:p>
    <w:p>
      <w:pPr>
        <w:adjustRightInd w:val="0"/>
        <w:snapToGrid w:val="0"/>
        <w:spacing w:line="360" w:lineRule="auto"/>
        <w:ind w:firstLine="420" w:firstLineChars="200"/>
        <w:rPr>
          <w:szCs w:val="22"/>
        </w:rPr>
      </w:pPr>
      <w:r>
        <w:rPr>
          <w:szCs w:val="22"/>
        </w:rPr>
        <w:t>7.4、设计规则检测（DRC）</w:t>
      </w:r>
    </w:p>
    <w:p>
      <w:pPr>
        <w:widowControl/>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实验环节主要是上机操作，要求保证上机条件，即具备常用的EDA软件工具；要求学生熟炼掌握至少1种常用EDA软件的使用方法；掌握在开发环境下绘图和查找错误的方法。</w:t>
      </w:r>
    </w:p>
    <w:p>
      <w:pPr>
        <w:adjustRightInd w:val="0"/>
        <w:snapToGrid w:val="0"/>
        <w:spacing w:line="360" w:lineRule="auto"/>
        <w:ind w:firstLine="420" w:firstLineChars="200"/>
        <w:rPr>
          <w:rFonts w:cs="宋体"/>
          <w:kern w:val="0"/>
          <w:szCs w:val="21"/>
        </w:rPr>
      </w:pPr>
      <w:r>
        <w:rPr>
          <w:rFonts w:hint="eastAsia" w:cs="宋体"/>
          <w:kern w:val="0"/>
          <w:szCs w:val="21"/>
        </w:rPr>
        <w:t>16个学时共完成8个实验，8个为正常课内实验。</w:t>
      </w:r>
    </w:p>
    <w:p>
      <w:pPr>
        <w:widowControl/>
        <w:adjustRightInd w:val="0"/>
        <w:snapToGrid w:val="0"/>
        <w:spacing w:line="360" w:lineRule="auto"/>
        <w:ind w:firstLine="420" w:firstLineChars="200"/>
        <w:jc w:val="left"/>
        <w:rPr>
          <w:rFonts w:cs="宋体"/>
          <w:kern w:val="0"/>
          <w:szCs w:val="21"/>
        </w:rPr>
      </w:pPr>
      <w:r>
        <w:rPr>
          <w:rFonts w:hint="eastAsia" w:eastAsia="黑体" w:cs="宋体"/>
          <w:snapToGrid w:val="0"/>
          <w:kern w:val="0"/>
          <w:szCs w:val="21"/>
        </w:rPr>
        <w:t>实验一</w:t>
      </w:r>
      <w:r>
        <w:rPr>
          <w:rFonts w:eastAsia="黑体" w:cs="宋体"/>
          <w:snapToGrid w:val="0"/>
          <w:kern w:val="0"/>
          <w:szCs w:val="21"/>
        </w:rPr>
        <w:t>电路原理图</w:t>
      </w:r>
      <w:r>
        <w:rPr>
          <w:rFonts w:hint="eastAsia" w:eastAsia="黑体" w:cs="宋体"/>
          <w:snapToGrid w:val="0"/>
          <w:kern w:val="0"/>
          <w:szCs w:val="21"/>
        </w:rPr>
        <w:t>设计基础`（2学时）</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内容：</w:t>
      </w:r>
      <w:r>
        <w:rPr>
          <w:szCs w:val="21"/>
        </w:rPr>
        <w:t>Altium Designer</w:t>
      </w:r>
      <w:r>
        <w:rPr>
          <w:rFonts w:cs="宋体"/>
          <w:kern w:val="0"/>
          <w:szCs w:val="21"/>
        </w:rPr>
        <w:t>软件的安装方法，通过学习掌握电路原理图的基本绘图方法及各主要菜单及命令的使用。</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基本要求：</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1、掌握</w:t>
      </w:r>
      <w:r>
        <w:rPr>
          <w:szCs w:val="21"/>
        </w:rPr>
        <w:t>Altium Designer</w:t>
      </w:r>
      <w:r>
        <w:rPr>
          <w:rFonts w:cs="宋体"/>
          <w:kern w:val="0"/>
          <w:szCs w:val="21"/>
        </w:rPr>
        <w:t>的基本操作；</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2、掌握设计管理器的使用和设计环境的设置，熟悉常用元件库和各主要菜单及命令的使用；</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3、掌握电路原理图的基本绘图方法；</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本实验支撑课程目标</w:t>
      </w:r>
      <w:r>
        <w:rPr>
          <w:rFonts w:hint="eastAsia" w:cs="宋体"/>
          <w:bCs/>
          <w:snapToGrid w:val="0"/>
          <w:kern w:val="0"/>
          <w:szCs w:val="21"/>
        </w:rPr>
        <w:t>1。</w:t>
      </w:r>
      <w:r>
        <w:rPr>
          <w:rFonts w:cs="宋体"/>
          <w:bCs/>
          <w:snapToGrid w:val="0"/>
          <w:kern w:val="0"/>
          <w:szCs w:val="21"/>
        </w:rPr>
        <w:tab/>
      </w:r>
      <w:r>
        <w:rPr>
          <w:rFonts w:cs="宋体"/>
          <w:bCs/>
          <w:snapToGrid w:val="0"/>
          <w:kern w:val="0"/>
          <w:szCs w:val="21"/>
        </w:rPr>
        <w:tab/>
      </w:r>
      <w:r>
        <w:rPr>
          <w:rFonts w:cs="宋体"/>
          <w:bCs/>
          <w:snapToGrid w:val="0"/>
          <w:kern w:val="0"/>
          <w:szCs w:val="21"/>
        </w:rPr>
        <w:tab/>
      </w:r>
      <w:r>
        <w:rPr>
          <w:rFonts w:cs="宋体"/>
          <w:bCs/>
          <w:snapToGrid w:val="0"/>
          <w:kern w:val="0"/>
          <w:szCs w:val="21"/>
        </w:rPr>
        <w:tab/>
      </w:r>
      <w:r>
        <w:rPr>
          <w:rFonts w:cs="宋体"/>
          <w:bCs/>
          <w:snapToGrid w:val="0"/>
          <w:kern w:val="0"/>
          <w:szCs w:val="21"/>
        </w:rPr>
        <w:tab/>
      </w:r>
      <w:r>
        <w:rPr>
          <w:rFonts w:cs="宋体"/>
          <w:bCs/>
          <w:snapToGrid w:val="0"/>
          <w:kern w:val="0"/>
          <w:szCs w:val="21"/>
        </w:rPr>
        <w:tab/>
      </w:r>
      <w:r>
        <w:rPr>
          <w:rFonts w:cs="宋体"/>
          <w:bCs/>
          <w:snapToGrid w:val="0"/>
          <w:kern w:val="0"/>
          <w:szCs w:val="21"/>
        </w:rPr>
        <w:tab/>
      </w:r>
    </w:p>
    <w:p>
      <w:pPr>
        <w:widowControl/>
        <w:adjustRightInd w:val="0"/>
        <w:snapToGrid w:val="0"/>
        <w:spacing w:line="360" w:lineRule="auto"/>
        <w:ind w:firstLine="420" w:firstLineChars="200"/>
        <w:jc w:val="left"/>
        <w:rPr>
          <w:rFonts w:eastAsia="黑体" w:cs="宋体"/>
          <w:snapToGrid w:val="0"/>
          <w:kern w:val="0"/>
          <w:szCs w:val="21"/>
        </w:rPr>
      </w:pPr>
      <w:r>
        <w:rPr>
          <w:rFonts w:eastAsia="黑体" w:cs="宋体"/>
          <w:snapToGrid w:val="0"/>
          <w:kern w:val="0"/>
          <w:szCs w:val="21"/>
        </w:rPr>
        <w:t>实验二</w:t>
      </w:r>
      <w:r>
        <w:rPr>
          <w:rFonts w:hint="eastAsia" w:eastAsia="黑体" w:cs="宋体"/>
          <w:snapToGrid w:val="0"/>
          <w:kern w:val="0"/>
          <w:szCs w:val="21"/>
        </w:rPr>
        <w:t>设计电路原理图（2学时）</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内容：</w:t>
      </w:r>
      <w:r>
        <w:rPr>
          <w:rFonts w:hint="eastAsia" w:cs="宋体"/>
          <w:kern w:val="0"/>
          <w:szCs w:val="21"/>
        </w:rPr>
        <w:t>掌握绘制原理图的基本步骤，会加载和移除元件库，并查找元器件，会给放置好的元件自动编号。</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基本要求：</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1、掌握电路原理图的分析方法和分析工具；</w:t>
      </w:r>
    </w:p>
    <w:p>
      <w:pPr>
        <w:widowControl/>
        <w:tabs>
          <w:tab w:val="left" w:pos="720"/>
        </w:tabs>
        <w:adjustRightInd w:val="0"/>
        <w:snapToGrid w:val="0"/>
        <w:spacing w:line="360" w:lineRule="auto"/>
        <w:ind w:firstLine="420" w:firstLineChars="200"/>
        <w:jc w:val="left"/>
        <w:rPr>
          <w:rFonts w:cs="宋体"/>
          <w:kern w:val="0"/>
          <w:szCs w:val="21"/>
        </w:rPr>
      </w:pPr>
      <w:r>
        <w:rPr>
          <w:rFonts w:cs="宋体"/>
          <w:kern w:val="0"/>
          <w:szCs w:val="21"/>
        </w:rPr>
        <w:t>2、绘制完整电路原理图并利用分析工具进行纠错和修改；</w:t>
      </w:r>
    </w:p>
    <w:p>
      <w:pPr>
        <w:widowControl/>
        <w:tabs>
          <w:tab w:val="left" w:pos="720"/>
        </w:tabs>
        <w:adjustRightInd w:val="0"/>
        <w:snapToGrid w:val="0"/>
        <w:spacing w:line="360" w:lineRule="auto"/>
        <w:ind w:firstLine="420" w:firstLineChars="200"/>
        <w:jc w:val="left"/>
        <w:rPr>
          <w:rFonts w:cs="宋体"/>
          <w:kern w:val="0"/>
          <w:szCs w:val="21"/>
        </w:rPr>
      </w:pPr>
      <w:r>
        <w:rPr>
          <w:rFonts w:cs="宋体"/>
          <w:bCs/>
          <w:snapToGrid w:val="0"/>
          <w:kern w:val="0"/>
          <w:szCs w:val="21"/>
        </w:rPr>
        <w:t>本实验支撑课程目标</w:t>
      </w:r>
      <w:r>
        <w:rPr>
          <w:rFonts w:hint="eastAsia" w:cs="宋体"/>
          <w:bCs/>
          <w:snapToGrid w:val="0"/>
          <w:kern w:val="0"/>
          <w:szCs w:val="21"/>
        </w:rPr>
        <w:t>1。</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实验三</w:t>
      </w:r>
      <w:r>
        <w:rPr>
          <w:rFonts w:hint="eastAsia" w:eastAsia="黑体" w:cs="宋体"/>
          <w:snapToGrid w:val="0"/>
          <w:kern w:val="0"/>
          <w:szCs w:val="21"/>
        </w:rPr>
        <w:t>设计层次原理图</w:t>
      </w:r>
      <w:r>
        <w:rPr>
          <w:rFonts w:eastAsia="黑体" w:cs="宋体"/>
          <w:snapToGrid w:val="0"/>
          <w:kern w:val="0"/>
          <w:szCs w:val="21"/>
        </w:rPr>
        <w:t>（2学时）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层次</w:t>
      </w:r>
      <w:r>
        <w:rPr>
          <w:rFonts w:cs="宋体"/>
          <w:kern w:val="0"/>
          <w:szCs w:val="21"/>
        </w:rPr>
        <w:t>原理图中</w:t>
      </w:r>
      <w:r>
        <w:rPr>
          <w:rFonts w:hint="eastAsia" w:cs="宋体"/>
          <w:kern w:val="0"/>
          <w:szCs w:val="21"/>
        </w:rPr>
        <w:t>方块电路的绘制和端口的设置</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w:t>
      </w:r>
      <w:r>
        <w:rPr>
          <w:rFonts w:hint="eastAsia" w:cs="宋体"/>
          <w:kern w:val="0"/>
          <w:szCs w:val="21"/>
        </w:rPr>
        <w:t>掌握层次性原理图的绘制方法</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2、</w:t>
      </w:r>
      <w:r>
        <w:rPr>
          <w:rFonts w:hint="eastAsia" w:cs="宋体"/>
          <w:kern w:val="0"/>
          <w:szCs w:val="21"/>
        </w:rPr>
        <w:t>了解层次性原理图的结构</w:t>
      </w:r>
      <w:r>
        <w:rPr>
          <w:rFonts w:cs="宋体"/>
          <w:kern w:val="0"/>
          <w:szCs w:val="21"/>
        </w:rPr>
        <w:t>；</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1、3。</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实验四</w:t>
      </w:r>
      <w:r>
        <w:rPr>
          <w:rFonts w:hint="eastAsia" w:eastAsia="黑体" w:cs="宋体"/>
          <w:snapToGrid w:val="0"/>
          <w:kern w:val="0"/>
          <w:szCs w:val="21"/>
        </w:rPr>
        <w:t>编译项目及</w:t>
      </w:r>
      <w:r>
        <w:rPr>
          <w:rFonts w:eastAsia="黑体" w:cs="宋体"/>
          <w:snapToGrid w:val="0"/>
          <w:kern w:val="0"/>
          <w:szCs w:val="21"/>
        </w:rPr>
        <w:t>生成原理图报表（2学时）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rFonts w:cs="宋体"/>
          <w:kern w:val="0"/>
          <w:szCs w:val="21"/>
        </w:rPr>
      </w:pPr>
      <w:r>
        <w:rPr>
          <w:rFonts w:hint="eastAsia" w:cs="宋体"/>
          <w:kern w:val="0"/>
          <w:szCs w:val="21"/>
        </w:rPr>
        <w:t>以</w:t>
      </w:r>
      <w:r>
        <w:rPr>
          <w:rFonts w:cs="宋体"/>
          <w:kern w:val="0"/>
          <w:szCs w:val="21"/>
        </w:rPr>
        <w:t>555</w:t>
      </w:r>
      <w:r>
        <w:rPr>
          <w:rFonts w:hint="eastAsia" w:cs="宋体"/>
          <w:kern w:val="0"/>
          <w:szCs w:val="21"/>
        </w:rPr>
        <w:t>定时器组成的振荡器电路原理图为例，生成该原理图的</w:t>
      </w:r>
      <w:r>
        <w:rPr>
          <w:rFonts w:cs="宋体"/>
          <w:kern w:val="0"/>
          <w:szCs w:val="21"/>
        </w:rPr>
        <w:t>ERC</w:t>
      </w:r>
      <w:r>
        <w:rPr>
          <w:rFonts w:hint="eastAsia" w:cs="宋体"/>
          <w:kern w:val="0"/>
          <w:szCs w:val="21"/>
        </w:rPr>
        <w:t>表、网络表、元器件列表</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w:t>
      </w:r>
      <w:r>
        <w:rPr>
          <w:rFonts w:hint="eastAsia" w:cs="宋体"/>
          <w:kern w:val="0"/>
          <w:szCs w:val="21"/>
        </w:rPr>
        <w:t>掌握原理图的网络表文件、元器件列表文件的生成方法</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2、</w:t>
      </w:r>
      <w:r>
        <w:rPr>
          <w:rFonts w:hint="eastAsia" w:cs="宋体"/>
          <w:kern w:val="0"/>
          <w:szCs w:val="21"/>
        </w:rPr>
        <w:t>掌握原理图文件的编译方法，对</w:t>
      </w:r>
      <w:r>
        <w:rPr>
          <w:rFonts w:cs="宋体"/>
          <w:kern w:val="0"/>
          <w:szCs w:val="21"/>
        </w:rPr>
        <w:t>ERC</w:t>
      </w:r>
      <w:r>
        <w:rPr>
          <w:rFonts w:hint="eastAsia" w:cs="宋体"/>
          <w:kern w:val="0"/>
          <w:szCs w:val="21"/>
        </w:rPr>
        <w:t>报告文件中的错误能够及时纠正</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此实验要求学生完成某个运算放大器应用电路的设计。</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实验五</w:t>
      </w:r>
      <w:r>
        <w:rPr>
          <w:rFonts w:hint="eastAsia" w:eastAsia="黑体" w:cs="宋体"/>
          <w:snapToGrid w:val="0"/>
          <w:kern w:val="0"/>
          <w:szCs w:val="21"/>
        </w:rPr>
        <w:t>原理图元件库的管理</w:t>
      </w:r>
      <w:r>
        <w:rPr>
          <w:rFonts w:eastAsia="黑体" w:cs="宋体"/>
          <w:snapToGrid w:val="0"/>
          <w:kern w:val="0"/>
          <w:szCs w:val="21"/>
        </w:rPr>
        <w:t>（2学时）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rFonts w:cs="宋体"/>
          <w:kern w:val="0"/>
          <w:szCs w:val="21"/>
        </w:rPr>
      </w:pPr>
      <w:r>
        <w:rPr>
          <w:rFonts w:cs="宋体"/>
          <w:kern w:val="0"/>
          <w:szCs w:val="21"/>
        </w:rPr>
        <w:t>理解</w:t>
      </w:r>
      <w:r>
        <w:rPr>
          <w:rFonts w:hint="eastAsia" w:cs="宋体"/>
          <w:kern w:val="0"/>
          <w:szCs w:val="21"/>
        </w:rPr>
        <w:t>集成库</w:t>
      </w:r>
      <w:r>
        <w:rPr>
          <w:rFonts w:cs="宋体"/>
          <w:kern w:val="0"/>
          <w:szCs w:val="21"/>
        </w:rPr>
        <w:t>功能，学习PCB</w:t>
      </w:r>
      <w:r>
        <w:rPr>
          <w:rFonts w:hint="eastAsia" w:cs="宋体"/>
          <w:kern w:val="0"/>
          <w:szCs w:val="21"/>
        </w:rPr>
        <w:t>封装</w:t>
      </w:r>
      <w:r>
        <w:rPr>
          <w:rFonts w:cs="宋体"/>
          <w:kern w:val="0"/>
          <w:szCs w:val="21"/>
        </w:rPr>
        <w:t>制作。</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1、熟悉元器件封装库编辑环境；</w:t>
      </w:r>
    </w:p>
    <w:p>
      <w:pPr>
        <w:adjustRightInd w:val="0"/>
        <w:snapToGrid w:val="0"/>
        <w:spacing w:line="360" w:lineRule="auto"/>
        <w:ind w:firstLine="420" w:firstLineChars="200"/>
        <w:rPr>
          <w:rFonts w:cs="宋体"/>
          <w:kern w:val="0"/>
          <w:szCs w:val="21"/>
        </w:rPr>
      </w:pPr>
      <w:r>
        <w:rPr>
          <w:rFonts w:cs="宋体"/>
          <w:kern w:val="0"/>
          <w:szCs w:val="21"/>
        </w:rPr>
        <w:t>2、创建PCB库；</w:t>
      </w:r>
    </w:p>
    <w:p>
      <w:pPr>
        <w:adjustRightInd w:val="0"/>
        <w:snapToGrid w:val="0"/>
        <w:spacing w:line="360" w:lineRule="auto"/>
        <w:ind w:firstLine="420" w:firstLineChars="200"/>
        <w:rPr>
          <w:rFonts w:cs="宋体"/>
          <w:kern w:val="0"/>
          <w:szCs w:val="21"/>
        </w:rPr>
      </w:pPr>
      <w:r>
        <w:rPr>
          <w:rFonts w:cs="宋体"/>
          <w:kern w:val="0"/>
          <w:szCs w:val="21"/>
        </w:rPr>
        <w:t>3、利用向导创建元器件PCB封装；</w:t>
      </w:r>
    </w:p>
    <w:p>
      <w:pPr>
        <w:adjustRightInd w:val="0"/>
        <w:snapToGrid w:val="0"/>
        <w:spacing w:line="360" w:lineRule="auto"/>
        <w:ind w:firstLine="420" w:firstLineChars="200"/>
        <w:rPr>
          <w:rFonts w:cs="宋体"/>
          <w:kern w:val="0"/>
          <w:szCs w:val="21"/>
        </w:rPr>
      </w:pPr>
      <w:r>
        <w:rPr>
          <w:rFonts w:cs="宋体"/>
          <w:kern w:val="0"/>
          <w:szCs w:val="21"/>
        </w:rPr>
        <w:t>4、手动绘制元器件PCB封装；</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1、2。</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实验六</w:t>
      </w:r>
      <w:r>
        <w:rPr>
          <w:rFonts w:hint="eastAsia" w:eastAsia="黑体" w:cs="宋体"/>
          <w:snapToGrid w:val="0"/>
          <w:kern w:val="0"/>
          <w:szCs w:val="21"/>
        </w:rPr>
        <w:t>印制电路板设计基础</w:t>
      </w:r>
      <w:r>
        <w:rPr>
          <w:rFonts w:eastAsia="黑体" w:cs="宋体"/>
          <w:snapToGrid w:val="0"/>
          <w:kern w:val="0"/>
          <w:szCs w:val="21"/>
        </w:rPr>
        <w:t>（2学时）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rFonts w:cs="宋体"/>
          <w:kern w:val="0"/>
          <w:szCs w:val="21"/>
        </w:rPr>
      </w:pPr>
      <w:r>
        <w:rPr>
          <w:rFonts w:cs="宋体"/>
          <w:kern w:val="0"/>
          <w:szCs w:val="21"/>
        </w:rPr>
        <w:t>学习PCB制版中的一些布局布线原则，掌握PCB版图制作方法。</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1、掌握网络表的调入与编辑，熟悉网络管理器的使用；</w:t>
      </w:r>
    </w:p>
    <w:p>
      <w:pPr>
        <w:adjustRightInd w:val="0"/>
        <w:snapToGrid w:val="0"/>
        <w:spacing w:line="360" w:lineRule="auto"/>
        <w:ind w:firstLine="420" w:firstLineChars="200"/>
        <w:rPr>
          <w:rFonts w:cs="宋体"/>
          <w:kern w:val="0"/>
          <w:szCs w:val="21"/>
        </w:rPr>
      </w:pPr>
      <w:r>
        <w:rPr>
          <w:rFonts w:cs="宋体"/>
          <w:kern w:val="0"/>
          <w:szCs w:val="21"/>
        </w:rPr>
        <w:t>2、掌握自动布局布线的规则设置；</w:t>
      </w:r>
    </w:p>
    <w:p>
      <w:pPr>
        <w:adjustRightInd w:val="0"/>
        <w:snapToGrid w:val="0"/>
        <w:spacing w:line="360" w:lineRule="auto"/>
        <w:ind w:firstLine="420" w:firstLineChars="200"/>
        <w:rPr>
          <w:rFonts w:cs="宋体"/>
          <w:kern w:val="0"/>
          <w:szCs w:val="21"/>
        </w:rPr>
      </w:pPr>
      <w:r>
        <w:rPr>
          <w:rFonts w:cs="宋体"/>
          <w:kern w:val="0"/>
          <w:szCs w:val="21"/>
        </w:rPr>
        <w:t>3、学习PCB制版中的一些布局布线原则；</w:t>
      </w:r>
    </w:p>
    <w:p>
      <w:pPr>
        <w:adjustRightInd w:val="0"/>
        <w:snapToGrid w:val="0"/>
        <w:spacing w:line="360" w:lineRule="auto"/>
        <w:ind w:firstLine="420" w:firstLineChars="200"/>
        <w:rPr>
          <w:rFonts w:cs="宋体"/>
          <w:kern w:val="0"/>
          <w:szCs w:val="21"/>
        </w:rPr>
      </w:pPr>
      <w:r>
        <w:rPr>
          <w:rFonts w:cs="宋体"/>
          <w:kern w:val="0"/>
          <w:szCs w:val="21"/>
        </w:rPr>
        <w:t>此实验涵盖了印制电路版图绘制技巧及元件封装绘制方法等知识点。</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1、2。</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实验七</w:t>
      </w:r>
      <w:r>
        <w:rPr>
          <w:rFonts w:hint="eastAsia" w:eastAsia="黑体" w:cs="宋体"/>
          <w:snapToGrid w:val="0"/>
          <w:kern w:val="0"/>
          <w:szCs w:val="21"/>
        </w:rPr>
        <w:t>稳压电源</w:t>
      </w:r>
      <w:r>
        <w:rPr>
          <w:rFonts w:eastAsia="黑体" w:cs="宋体"/>
          <w:snapToGrid w:val="0"/>
          <w:kern w:val="0"/>
          <w:szCs w:val="21"/>
        </w:rPr>
        <w:t>PCB</w:t>
      </w:r>
      <w:r>
        <w:rPr>
          <w:rFonts w:hint="eastAsia" w:eastAsia="黑体" w:cs="宋体"/>
          <w:snapToGrid w:val="0"/>
          <w:kern w:val="0"/>
          <w:szCs w:val="21"/>
        </w:rPr>
        <w:t>板设计</w:t>
      </w:r>
      <w:r>
        <w:rPr>
          <w:rFonts w:eastAsia="黑体" w:cs="宋体"/>
          <w:snapToGrid w:val="0"/>
          <w:kern w:val="0"/>
          <w:szCs w:val="21"/>
        </w:rPr>
        <w:t>（2学时）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rFonts w:cs="宋体"/>
          <w:kern w:val="0"/>
          <w:szCs w:val="21"/>
        </w:rPr>
      </w:pPr>
      <w:r>
        <w:rPr>
          <w:rFonts w:cs="宋体"/>
          <w:kern w:val="0"/>
          <w:szCs w:val="21"/>
        </w:rPr>
        <w:t>设计</w:t>
      </w:r>
      <w:r>
        <w:rPr>
          <w:rFonts w:hint="eastAsia" w:cs="宋体"/>
          <w:kern w:val="0"/>
          <w:szCs w:val="21"/>
        </w:rPr>
        <w:t>稳压电源电路原理图、</w:t>
      </w:r>
      <w:r>
        <w:rPr>
          <w:rFonts w:cs="宋体"/>
          <w:kern w:val="0"/>
          <w:szCs w:val="21"/>
        </w:rPr>
        <w:t>PCB版图。</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1、熟悉</w:t>
      </w:r>
      <w:r>
        <w:rPr>
          <w:rFonts w:hint="eastAsia" w:cs="宋体"/>
          <w:kern w:val="0"/>
          <w:szCs w:val="21"/>
        </w:rPr>
        <w:t>稳压电源电路</w:t>
      </w:r>
      <w:r>
        <w:rPr>
          <w:rFonts w:cs="宋体"/>
          <w:kern w:val="0"/>
          <w:szCs w:val="21"/>
        </w:rPr>
        <w:t>的主要特性参数；</w:t>
      </w:r>
    </w:p>
    <w:p>
      <w:pPr>
        <w:adjustRightInd w:val="0"/>
        <w:snapToGrid w:val="0"/>
        <w:spacing w:line="360" w:lineRule="auto"/>
        <w:ind w:firstLine="420" w:firstLineChars="200"/>
        <w:rPr>
          <w:rFonts w:cs="宋体"/>
          <w:kern w:val="0"/>
          <w:szCs w:val="21"/>
        </w:rPr>
      </w:pPr>
      <w:r>
        <w:rPr>
          <w:rFonts w:cs="宋体"/>
          <w:kern w:val="0"/>
          <w:szCs w:val="21"/>
        </w:rPr>
        <w:t>2、掌握</w:t>
      </w:r>
      <w:r>
        <w:rPr>
          <w:rFonts w:hint="eastAsia" w:cs="宋体"/>
          <w:kern w:val="0"/>
          <w:szCs w:val="21"/>
        </w:rPr>
        <w:t>稳压电源电路</w:t>
      </w:r>
      <w:r>
        <w:rPr>
          <w:rFonts w:cs="宋体"/>
          <w:kern w:val="0"/>
          <w:szCs w:val="21"/>
        </w:rPr>
        <w:t>的设计要点；</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1、2、3。</w:t>
      </w:r>
    </w:p>
    <w:p>
      <w:pPr>
        <w:adjustRightInd w:val="0"/>
        <w:snapToGrid w:val="0"/>
        <w:spacing w:line="360" w:lineRule="auto"/>
        <w:ind w:firstLine="420" w:firstLineChars="200"/>
        <w:rPr>
          <w:rFonts w:eastAsia="黑体" w:cs="宋体"/>
          <w:snapToGrid w:val="0"/>
          <w:kern w:val="0"/>
          <w:szCs w:val="21"/>
        </w:rPr>
      </w:pPr>
      <w:r>
        <w:rPr>
          <w:rFonts w:eastAsia="黑体" w:cs="宋体"/>
          <w:snapToGrid w:val="0"/>
          <w:kern w:val="0"/>
          <w:szCs w:val="21"/>
        </w:rPr>
        <w:t>实验八</w:t>
      </w:r>
      <w:r>
        <w:rPr>
          <w:rFonts w:hint="eastAsia" w:eastAsia="黑体" w:cs="宋体"/>
          <w:snapToGrid w:val="0"/>
          <w:kern w:val="0"/>
          <w:szCs w:val="21"/>
        </w:rPr>
        <w:t>单片机最小系统的PCB板设计</w:t>
      </w:r>
      <w:r>
        <w:rPr>
          <w:rFonts w:eastAsia="黑体" w:cs="宋体"/>
          <w:snapToGrid w:val="0"/>
          <w:kern w:val="0"/>
          <w:szCs w:val="21"/>
        </w:rPr>
        <w:t>（2学时）</w:t>
      </w:r>
    </w:p>
    <w:p>
      <w:pPr>
        <w:adjustRightInd w:val="0"/>
        <w:snapToGrid w:val="0"/>
        <w:spacing w:line="360" w:lineRule="auto"/>
        <w:ind w:firstLine="420" w:firstLineChars="200"/>
        <w:rPr>
          <w:rFonts w:cs="宋体"/>
          <w:kern w:val="0"/>
          <w:szCs w:val="21"/>
        </w:rPr>
      </w:pPr>
      <w:r>
        <w:rPr>
          <w:rFonts w:cs="宋体"/>
          <w:kern w:val="0"/>
          <w:szCs w:val="21"/>
        </w:rPr>
        <w:t>内容：</w:t>
      </w:r>
    </w:p>
    <w:p>
      <w:pPr>
        <w:adjustRightInd w:val="0"/>
        <w:snapToGrid w:val="0"/>
        <w:spacing w:line="360" w:lineRule="auto"/>
        <w:ind w:firstLine="420" w:firstLineChars="200"/>
        <w:rPr>
          <w:snapToGrid w:val="0"/>
          <w:kern w:val="0"/>
          <w:szCs w:val="21"/>
        </w:rPr>
      </w:pPr>
      <w:r>
        <w:rPr>
          <w:snapToGrid w:val="0"/>
          <w:kern w:val="0"/>
          <w:szCs w:val="21"/>
        </w:rPr>
        <w:t>设计单片机最小系统的PCB板</w:t>
      </w:r>
    </w:p>
    <w:p>
      <w:pPr>
        <w:adjustRightInd w:val="0"/>
        <w:snapToGrid w:val="0"/>
        <w:spacing w:line="360" w:lineRule="auto"/>
        <w:ind w:firstLine="420" w:firstLineChars="200"/>
        <w:rPr>
          <w:rFonts w:cs="宋体"/>
          <w:kern w:val="0"/>
          <w:szCs w:val="21"/>
        </w:rPr>
      </w:pPr>
      <w:r>
        <w:rPr>
          <w:rFonts w:cs="宋体"/>
          <w:kern w:val="0"/>
          <w:szCs w:val="21"/>
        </w:rPr>
        <w:t>基本要求</w:t>
      </w:r>
    </w:p>
    <w:p>
      <w:pPr>
        <w:adjustRightInd w:val="0"/>
        <w:snapToGrid w:val="0"/>
        <w:spacing w:line="360" w:lineRule="auto"/>
        <w:ind w:firstLine="420" w:firstLineChars="200"/>
        <w:rPr>
          <w:rFonts w:cs="宋体"/>
          <w:kern w:val="0"/>
          <w:szCs w:val="21"/>
        </w:rPr>
      </w:pPr>
      <w:r>
        <w:rPr>
          <w:rFonts w:cs="宋体"/>
          <w:kern w:val="0"/>
          <w:szCs w:val="21"/>
        </w:rPr>
        <w:t>1、</w:t>
      </w:r>
      <w:r>
        <w:rPr>
          <w:rFonts w:hint="eastAsia"/>
        </w:rPr>
        <w:t>对</w:t>
      </w:r>
      <w:r>
        <w:t>PCB</w:t>
      </w:r>
      <w:r>
        <w:rPr>
          <w:rFonts w:hint="eastAsia"/>
        </w:rPr>
        <w:t>板进行</w:t>
      </w:r>
      <w:r>
        <w:t>DRC</w:t>
      </w:r>
      <w:r>
        <w:rPr>
          <w:rFonts w:hint="eastAsia"/>
        </w:rPr>
        <w:t>操作和排除违规错误</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2、</w:t>
      </w:r>
      <w:r>
        <w:rPr>
          <w:rFonts w:hint="eastAsia"/>
        </w:rPr>
        <w:t>利用向导规划电路板</w:t>
      </w:r>
      <w:r>
        <w:rPr>
          <w:rFonts w:cs="宋体"/>
          <w:kern w:val="0"/>
          <w:szCs w:val="21"/>
        </w:rPr>
        <w:t>；</w:t>
      </w:r>
    </w:p>
    <w:p>
      <w:pPr>
        <w:adjustRightInd w:val="0"/>
        <w:snapToGrid w:val="0"/>
        <w:spacing w:line="360" w:lineRule="auto"/>
        <w:ind w:firstLine="420" w:firstLineChars="200"/>
        <w:rPr>
          <w:rFonts w:cs="宋体"/>
          <w:kern w:val="0"/>
          <w:szCs w:val="21"/>
        </w:rPr>
      </w:pPr>
      <w:r>
        <w:rPr>
          <w:rFonts w:cs="宋体"/>
          <w:kern w:val="0"/>
          <w:szCs w:val="21"/>
        </w:rPr>
        <w:t>3、</w:t>
      </w:r>
      <w:r>
        <w:rPr>
          <w:rFonts w:hint="eastAsia" w:cs="宋体"/>
          <w:kern w:val="0"/>
          <w:szCs w:val="21"/>
        </w:rPr>
        <w:t>按照要求对PCB板自动及手动布局和布线</w:t>
      </w:r>
      <w:r>
        <w:rPr>
          <w:rFonts w:cs="宋体"/>
          <w:kern w:val="0"/>
          <w:szCs w:val="21"/>
        </w:rPr>
        <w:t>；</w:t>
      </w:r>
    </w:p>
    <w:p>
      <w:pPr>
        <w:adjustRightInd w:val="0"/>
        <w:snapToGrid w:val="0"/>
        <w:spacing w:line="360" w:lineRule="auto"/>
        <w:ind w:firstLine="420" w:firstLineChars="200"/>
        <w:rPr>
          <w:rFonts w:cs="宋体"/>
          <w:kern w:val="0"/>
          <w:szCs w:val="21"/>
        </w:rPr>
      </w:pPr>
      <w:r>
        <w:rPr>
          <w:rFonts w:cs="宋体"/>
          <w:bCs/>
          <w:snapToGrid w:val="0"/>
          <w:kern w:val="0"/>
          <w:szCs w:val="21"/>
        </w:rPr>
        <w:t>本实验支撑课程目标</w:t>
      </w:r>
      <w:r>
        <w:rPr>
          <w:rFonts w:hint="eastAsia" w:cs="宋体"/>
          <w:bCs/>
          <w:snapToGrid w:val="0"/>
          <w:kern w:val="0"/>
          <w:szCs w:val="21"/>
        </w:rPr>
        <w:t>1、2、3。</w:t>
      </w:r>
    </w:p>
    <w:p>
      <w:pPr>
        <w:adjustRightInd w:val="0"/>
        <w:snapToGrid w:val="0"/>
        <w:spacing w:line="360" w:lineRule="auto"/>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1822"/>
        <w:gridCol w:w="1574"/>
        <w:gridCol w:w="14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adjustRightInd w:val="0"/>
              <w:snapToGrid w:val="0"/>
              <w:jc w:val="center"/>
              <w:rPr>
                <w:sz w:val="18"/>
                <w:szCs w:val="18"/>
              </w:rPr>
            </w:pPr>
            <w:r>
              <w:rPr>
                <w:rFonts w:hint="eastAsia"/>
                <w:sz w:val="18"/>
                <w:szCs w:val="18"/>
              </w:rPr>
              <w:t>讲授的知识点及内容</w:t>
            </w:r>
          </w:p>
        </w:tc>
        <w:tc>
          <w:tcPr>
            <w:tcW w:w="1096" w:type="pct"/>
            <w:vAlign w:val="center"/>
          </w:tcPr>
          <w:p>
            <w:pPr>
              <w:adjustRightInd w:val="0"/>
              <w:snapToGrid w:val="0"/>
              <w:jc w:val="center"/>
              <w:rPr>
                <w:sz w:val="18"/>
                <w:szCs w:val="18"/>
              </w:rPr>
            </w:pPr>
            <w:r>
              <w:rPr>
                <w:rFonts w:hint="eastAsia"/>
                <w:sz w:val="18"/>
                <w:szCs w:val="18"/>
              </w:rPr>
              <w:t>讲授（学时）</w:t>
            </w:r>
          </w:p>
        </w:tc>
        <w:tc>
          <w:tcPr>
            <w:tcW w:w="947" w:type="pct"/>
            <w:vAlign w:val="center"/>
          </w:tcPr>
          <w:p>
            <w:pPr>
              <w:adjustRightInd w:val="0"/>
              <w:snapToGrid w:val="0"/>
              <w:jc w:val="center"/>
              <w:rPr>
                <w:sz w:val="18"/>
                <w:szCs w:val="18"/>
              </w:rPr>
            </w:pPr>
            <w:r>
              <w:rPr>
                <w:rFonts w:hint="eastAsia"/>
                <w:sz w:val="18"/>
                <w:szCs w:val="18"/>
              </w:rPr>
              <w:t>实验（学时）</w:t>
            </w:r>
          </w:p>
        </w:tc>
        <w:tc>
          <w:tcPr>
            <w:tcW w:w="876"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snapToGrid w:val="0"/>
                <w:kern w:val="0"/>
                <w:sz w:val="18"/>
                <w:szCs w:val="18"/>
              </w:rPr>
            </w:pPr>
            <w:r>
              <w:rPr>
                <w:rFonts w:hint="eastAsia" w:cs="宋体"/>
                <w:bCs/>
                <w:snapToGrid w:val="0"/>
                <w:kern w:val="0"/>
                <w:sz w:val="18"/>
                <w:szCs w:val="18"/>
              </w:rPr>
              <w:t>1</w:t>
            </w:r>
            <w:r>
              <w:rPr>
                <w:rFonts w:cs="宋体"/>
                <w:bCs/>
                <w:snapToGrid w:val="0"/>
                <w:kern w:val="0"/>
                <w:sz w:val="18"/>
                <w:szCs w:val="18"/>
              </w:rPr>
              <w:t>概述</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1</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snapToGrid w:val="0"/>
                <w:kern w:val="0"/>
                <w:sz w:val="18"/>
                <w:szCs w:val="18"/>
              </w:rPr>
            </w:pPr>
            <w:r>
              <w:rPr>
                <w:rFonts w:hint="eastAsia" w:cs="宋体"/>
                <w:bCs/>
                <w:snapToGrid w:val="0"/>
                <w:kern w:val="0"/>
                <w:sz w:val="18"/>
                <w:szCs w:val="18"/>
              </w:rPr>
              <w:t>2</w:t>
            </w:r>
            <w:r>
              <w:rPr>
                <w:rFonts w:cs="宋体"/>
                <w:bCs/>
                <w:snapToGrid w:val="0"/>
                <w:kern w:val="0"/>
                <w:sz w:val="18"/>
                <w:szCs w:val="18"/>
              </w:rPr>
              <w:t>原理图设计基础</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3</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rFonts w:hint="eastAsia" w:cs="宋体"/>
                <w:snapToGrid w:val="0"/>
                <w:kern w:val="0"/>
                <w:sz w:val="18"/>
                <w:szCs w:val="18"/>
              </w:rPr>
              <w:t>3</w:t>
            </w:r>
            <w:r>
              <w:rPr>
                <w:rFonts w:cs="宋体"/>
                <w:snapToGrid w:val="0"/>
                <w:kern w:val="0"/>
                <w:sz w:val="18"/>
                <w:szCs w:val="18"/>
              </w:rPr>
              <w:t>绘制原理图</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rFonts w:hint="eastAsia" w:cs="宋体"/>
                <w:snapToGrid w:val="0"/>
                <w:kern w:val="0"/>
                <w:sz w:val="18"/>
                <w:szCs w:val="18"/>
              </w:rPr>
              <w:t>4</w:t>
            </w:r>
            <w:r>
              <w:rPr>
                <w:rFonts w:hint="eastAsia" w:ascii="Calibri" w:hAnsi="Calibri"/>
                <w:snapToGrid w:val="0"/>
                <w:kern w:val="0"/>
                <w:sz w:val="18"/>
                <w:szCs w:val="18"/>
              </w:rPr>
              <w:t>元件集成库设计与管理</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3</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rFonts w:hint="eastAsia"/>
                <w:snapToGrid w:val="0"/>
                <w:kern w:val="0"/>
                <w:sz w:val="18"/>
                <w:szCs w:val="18"/>
              </w:rPr>
              <w:t>5</w:t>
            </w:r>
            <w:r>
              <w:rPr>
                <w:rFonts w:ascii="Calibri" w:hAnsi="Calibri"/>
                <w:snapToGrid w:val="0"/>
                <w:kern w:val="0"/>
                <w:sz w:val="18"/>
                <w:szCs w:val="18"/>
              </w:rPr>
              <w:t>设计层次原理图</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rFonts w:hint="eastAsia" w:cs="宋体"/>
                <w:kern w:val="0"/>
                <w:sz w:val="18"/>
                <w:szCs w:val="18"/>
              </w:rPr>
              <w:t xml:space="preserve">6 </w:t>
            </w:r>
            <w:r>
              <w:rPr>
                <w:rFonts w:ascii="Calibri" w:hAnsi="Calibri"/>
                <w:snapToGrid w:val="0"/>
                <w:kern w:val="0"/>
                <w:sz w:val="18"/>
                <w:szCs w:val="18"/>
              </w:rPr>
              <w:t>PCB印制电路板设计基础</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2</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rFonts w:hint="eastAsia" w:cs="宋体"/>
                <w:kern w:val="0"/>
                <w:sz w:val="18"/>
                <w:szCs w:val="18"/>
              </w:rPr>
              <w:t>7</w:t>
            </w:r>
            <w:r>
              <w:rPr>
                <w:rFonts w:ascii="Calibri" w:hAnsi="Calibri"/>
                <w:snapToGrid w:val="0"/>
                <w:kern w:val="0"/>
                <w:sz w:val="18"/>
                <w:szCs w:val="18"/>
              </w:rPr>
              <w:t>制作印制电路板</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3</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4</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81" w:type="pct"/>
            <w:vAlign w:val="center"/>
          </w:tcPr>
          <w:p>
            <w:pPr>
              <w:widowControl/>
              <w:adjustRightInd w:val="0"/>
              <w:snapToGrid w:val="0"/>
              <w:jc w:val="center"/>
              <w:rPr>
                <w:rFonts w:cs="宋体"/>
                <w:kern w:val="0"/>
                <w:sz w:val="18"/>
                <w:szCs w:val="18"/>
              </w:rPr>
            </w:pPr>
            <w:r>
              <w:rPr>
                <w:snapToGrid w:val="0"/>
                <w:kern w:val="0"/>
                <w:sz w:val="18"/>
                <w:szCs w:val="18"/>
              </w:rPr>
              <w:t>合计</w:t>
            </w:r>
          </w:p>
        </w:tc>
        <w:tc>
          <w:tcPr>
            <w:tcW w:w="1096" w:type="pct"/>
            <w:vAlign w:val="center"/>
          </w:tcPr>
          <w:p>
            <w:pPr>
              <w:widowControl/>
              <w:adjustRightInd w:val="0"/>
              <w:snapToGrid w:val="0"/>
              <w:jc w:val="center"/>
              <w:rPr>
                <w:rFonts w:cs="宋体"/>
                <w:kern w:val="0"/>
                <w:sz w:val="18"/>
                <w:szCs w:val="18"/>
              </w:rPr>
            </w:pPr>
            <w:r>
              <w:rPr>
                <w:rFonts w:hint="eastAsia" w:cs="宋体"/>
                <w:kern w:val="0"/>
                <w:sz w:val="18"/>
                <w:szCs w:val="18"/>
              </w:rPr>
              <w:t>16</w:t>
            </w:r>
          </w:p>
        </w:tc>
        <w:tc>
          <w:tcPr>
            <w:tcW w:w="947" w:type="pct"/>
            <w:vAlign w:val="center"/>
          </w:tcPr>
          <w:p>
            <w:pPr>
              <w:widowControl/>
              <w:adjustRightInd w:val="0"/>
              <w:snapToGrid w:val="0"/>
              <w:jc w:val="center"/>
              <w:rPr>
                <w:rFonts w:cs="宋体"/>
                <w:kern w:val="0"/>
                <w:sz w:val="18"/>
                <w:szCs w:val="18"/>
              </w:rPr>
            </w:pPr>
            <w:r>
              <w:rPr>
                <w:rFonts w:hint="eastAsia" w:cs="宋体"/>
                <w:kern w:val="0"/>
                <w:sz w:val="18"/>
                <w:szCs w:val="18"/>
              </w:rPr>
              <w:t>16</w:t>
            </w:r>
          </w:p>
        </w:tc>
        <w:tc>
          <w:tcPr>
            <w:tcW w:w="876" w:type="pct"/>
            <w:vAlign w:val="center"/>
          </w:tcPr>
          <w:p>
            <w:pPr>
              <w:widowControl/>
              <w:adjustRightInd w:val="0"/>
              <w:snapToGrid w:val="0"/>
              <w:jc w:val="center"/>
              <w:rPr>
                <w:rFonts w:cs="宋体"/>
                <w:kern w:val="0"/>
                <w:sz w:val="18"/>
                <w:szCs w:val="18"/>
              </w:rPr>
            </w:pPr>
            <w:r>
              <w:rPr>
                <w:rFonts w:hint="eastAsia" w:cs="宋体"/>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szCs w:val="21"/>
        </w:rPr>
      </w:pPr>
      <w:r>
        <w:rPr>
          <w:rFonts w:hint="eastAsia"/>
          <w:szCs w:val="21"/>
        </w:rPr>
        <w:t>1、周润景，《Altium Designer原理图与PCB设计》，电子工业出版社.2019.1</w:t>
      </w:r>
    </w:p>
    <w:p>
      <w:pPr>
        <w:spacing w:line="360" w:lineRule="auto"/>
        <w:ind w:firstLine="420" w:firstLineChars="200"/>
        <w:rPr>
          <w:szCs w:val="21"/>
        </w:rPr>
      </w:pPr>
      <w:r>
        <w:rPr>
          <w:rFonts w:hint="eastAsia"/>
          <w:szCs w:val="21"/>
        </w:rPr>
        <w:t>2、李崇伟，《Altium Designer 19 PCB设计官方指南》，清华大学出版社.2019年6月</w:t>
      </w:r>
    </w:p>
    <w:p>
      <w:pPr>
        <w:spacing w:line="360" w:lineRule="auto"/>
        <w:ind w:firstLine="420" w:firstLineChars="200"/>
        <w:rPr>
          <w:szCs w:val="21"/>
        </w:rPr>
      </w:pPr>
      <w:r>
        <w:rPr>
          <w:rFonts w:hint="eastAsia"/>
          <w:szCs w:val="21"/>
        </w:rPr>
        <w:t>3、天工在线，《Altium Designer 17电路设计与仿真从入门到精通 131集同步视频106个实例案例》，水利水电出版社.2018.4。</w:t>
      </w:r>
    </w:p>
    <w:p>
      <w:pPr>
        <w:spacing w:line="360" w:lineRule="auto"/>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w:t>
      </w:r>
      <w:r>
        <w:rPr>
          <w:rFonts w:ascii="Calibri" w:hAnsi="Calibri"/>
          <w:szCs w:val="21"/>
        </w:rPr>
        <w:t>考核学生对</w:t>
      </w:r>
      <w:r>
        <w:rPr>
          <w:szCs w:val="21"/>
        </w:rPr>
        <w:t>Altium Designer</w:t>
      </w:r>
      <w:r>
        <w:rPr>
          <w:rFonts w:ascii="Calibri" w:hAnsi="Calibri"/>
          <w:szCs w:val="21"/>
        </w:rPr>
        <w:t>软件设计方法的掌握程度</w:t>
      </w:r>
      <w:r>
        <w:rPr>
          <w:rFonts w:hint="eastAsia"/>
          <w:szCs w:val="21"/>
        </w:rPr>
        <w:t>。</w:t>
      </w:r>
    </w:p>
    <w:p>
      <w:pPr>
        <w:spacing w:line="360" w:lineRule="auto"/>
        <w:ind w:firstLine="420" w:firstLineChars="200"/>
        <w:rPr>
          <w:szCs w:val="21"/>
        </w:rPr>
      </w:pPr>
      <w:r>
        <w:rPr>
          <w:szCs w:val="21"/>
        </w:rPr>
        <w:t>2</w:t>
      </w:r>
      <w:r>
        <w:rPr>
          <w:rFonts w:hint="eastAsia"/>
          <w:szCs w:val="21"/>
        </w:rPr>
        <w:t>、考核方式：</w:t>
      </w:r>
      <w:r>
        <w:rPr>
          <w:rFonts w:ascii="Calibri" w:hAnsi="Calibri"/>
          <w:szCs w:val="21"/>
        </w:rPr>
        <w:t>期末大作业、实验报告及课堂提问</w:t>
      </w:r>
      <w:r>
        <w:rPr>
          <w:rFonts w:hint="eastAsia"/>
          <w:szCs w:val="21"/>
        </w:rPr>
        <w:t>。</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794"/>
        <w:gridCol w:w="2492"/>
        <w:gridCol w:w="2073"/>
        <w:gridCol w:w="1953"/>
      </w:tblGrid>
      <w:tr>
        <w:tblPrEx>
          <w:tblCellMar>
            <w:top w:w="0" w:type="dxa"/>
            <w:left w:w="108" w:type="dxa"/>
            <w:bottom w:w="0" w:type="dxa"/>
            <w:right w:w="108" w:type="dxa"/>
          </w:tblCellMar>
        </w:tblPrEx>
        <w:trPr>
          <w:trHeight w:val="691" w:hRule="atLeast"/>
          <w:jc w:val="center"/>
        </w:trPr>
        <w:tc>
          <w:tcPr>
            <w:tcW w:w="1079" w:type="pct"/>
            <w:tcBorders>
              <w:top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考察环节</w:t>
            </w:r>
          </w:p>
        </w:tc>
        <w:tc>
          <w:tcPr>
            <w:tcW w:w="1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课堂情况</w:t>
            </w:r>
          </w:p>
        </w:tc>
        <w:tc>
          <w:tcPr>
            <w:tcW w:w="1247"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实验</w:t>
            </w:r>
          </w:p>
        </w:tc>
        <w:tc>
          <w:tcPr>
            <w:tcW w:w="1175" w:type="pct"/>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期末大作业</w:t>
            </w:r>
          </w:p>
        </w:tc>
      </w:tr>
      <w:tr>
        <w:tblPrEx>
          <w:tblCellMar>
            <w:top w:w="0" w:type="dxa"/>
            <w:left w:w="108" w:type="dxa"/>
            <w:bottom w:w="0" w:type="dxa"/>
            <w:right w:w="108" w:type="dxa"/>
          </w:tblCellMar>
        </w:tblPrEx>
        <w:trPr>
          <w:trHeight w:val="775" w:hRule="atLeast"/>
          <w:jc w:val="center"/>
        </w:trPr>
        <w:tc>
          <w:tcPr>
            <w:tcW w:w="1079" w:type="pct"/>
            <w:tcBorders>
              <w:top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课程目标达成</w:t>
            </w:r>
          </w:p>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的贡献率</w:t>
            </w:r>
          </w:p>
        </w:tc>
        <w:tc>
          <w:tcPr>
            <w:tcW w:w="1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0.20</w:t>
            </w:r>
          </w:p>
        </w:tc>
        <w:tc>
          <w:tcPr>
            <w:tcW w:w="1247"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0.20</w:t>
            </w:r>
          </w:p>
        </w:tc>
        <w:tc>
          <w:tcPr>
            <w:tcW w:w="1175" w:type="pct"/>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0.60</w:t>
            </w:r>
          </w:p>
        </w:tc>
      </w:tr>
      <w:tr>
        <w:tblPrEx>
          <w:tblCellMar>
            <w:top w:w="0" w:type="dxa"/>
            <w:left w:w="108" w:type="dxa"/>
            <w:bottom w:w="0" w:type="dxa"/>
            <w:right w:w="108" w:type="dxa"/>
          </w:tblCellMar>
        </w:tblPrEx>
        <w:trPr>
          <w:trHeight w:val="1005" w:hRule="atLeast"/>
          <w:jc w:val="center"/>
        </w:trPr>
        <w:tc>
          <w:tcPr>
            <w:tcW w:w="1079" w:type="pct"/>
            <w:tcBorders>
              <w:top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支撑材料</w:t>
            </w:r>
          </w:p>
        </w:tc>
        <w:tc>
          <w:tcPr>
            <w:tcW w:w="1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课堂评价标准，课堂提问记录或随堂考试，结合出勤率等</w:t>
            </w:r>
          </w:p>
        </w:tc>
        <w:tc>
          <w:tcPr>
            <w:tcW w:w="1247" w:type="pct"/>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课内实验评价标准，实验课堂记录，实验报告</w:t>
            </w:r>
          </w:p>
        </w:tc>
        <w:tc>
          <w:tcPr>
            <w:tcW w:w="1175" w:type="pct"/>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设计报告</w:t>
            </w:r>
          </w:p>
          <w:p>
            <w:pPr>
              <w:widowControl/>
              <w:jc w:val="center"/>
              <w:rPr>
                <w:color w:val="000000" w:themeColor="text1"/>
                <w:kern w:val="0"/>
                <w:sz w:val="18"/>
                <w14:textFill>
                  <w14:solidFill>
                    <w14:schemeClr w14:val="tx1"/>
                  </w14:solidFill>
                </w14:textFill>
              </w:rPr>
            </w:pPr>
            <w:r>
              <w:rPr>
                <w:color w:val="000000" w:themeColor="text1"/>
                <w:kern w:val="0"/>
                <w:sz w:val="18"/>
                <w14:textFill>
                  <w14:solidFill>
                    <w14:schemeClr w14:val="tx1"/>
                  </w14:solidFill>
                </w14:textFill>
              </w:rPr>
              <w:t>评分标准</w:t>
            </w:r>
          </w:p>
        </w:tc>
      </w:tr>
    </w:tbl>
    <w:p>
      <w:pPr>
        <w:spacing w:line="360" w:lineRule="auto"/>
        <w:rPr>
          <w:color w:val="0000FF"/>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6"/>
        <w:gridCol w:w="1983"/>
        <w:gridCol w:w="19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44" w:type="pct"/>
            <w:vAlign w:val="center"/>
          </w:tcPr>
          <w:p>
            <w:pPr>
              <w:jc w:val="center"/>
              <w:rPr>
                <w:rFonts w:ascii="宋体" w:hAnsi="宋体"/>
                <w:sz w:val="18"/>
                <w:szCs w:val="18"/>
              </w:rPr>
            </w:pPr>
            <w:r>
              <w:rPr>
                <w:rFonts w:ascii="宋体" w:hAnsi="宋体"/>
                <w:sz w:val="18"/>
                <w:szCs w:val="18"/>
              </w:rPr>
              <w:t>知识点</w:t>
            </w:r>
          </w:p>
        </w:tc>
        <w:tc>
          <w:tcPr>
            <w:tcW w:w="1193" w:type="pct"/>
            <w:vAlign w:val="center"/>
          </w:tcPr>
          <w:p>
            <w:pPr>
              <w:jc w:val="center"/>
              <w:rPr>
                <w:rFonts w:ascii="宋体" w:hAnsi="宋体"/>
                <w:sz w:val="18"/>
                <w:szCs w:val="18"/>
              </w:rPr>
            </w:pPr>
            <w:r>
              <w:rPr>
                <w:rFonts w:ascii="宋体" w:hAnsi="宋体"/>
                <w:sz w:val="18"/>
                <w:szCs w:val="18"/>
              </w:rPr>
              <w:t>权重</w:t>
            </w:r>
          </w:p>
        </w:tc>
        <w:tc>
          <w:tcPr>
            <w:tcW w:w="1163" w:type="pct"/>
            <w:vAlign w:val="center"/>
          </w:tcPr>
          <w:p>
            <w:pPr>
              <w:jc w:val="center"/>
              <w:rPr>
                <w:rFonts w:ascii="宋体" w:hAnsi="宋体"/>
                <w:sz w:val="18"/>
                <w:szCs w:val="18"/>
              </w:rPr>
            </w:pPr>
            <w:r>
              <w:rPr>
                <w:rFonts w:ascii="宋体" w:hAnsi="宋体"/>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1、E</w:t>
            </w:r>
            <w:r>
              <w:rPr>
                <w:snapToGrid w:val="0"/>
                <w:kern w:val="0"/>
                <w:sz w:val="18"/>
                <w:szCs w:val="18"/>
              </w:rPr>
              <w:t>DA</w:t>
            </w:r>
            <w:r>
              <w:rPr>
                <w:rFonts w:hint="eastAsia"/>
                <w:snapToGrid w:val="0"/>
                <w:kern w:val="0"/>
                <w:sz w:val="18"/>
                <w:szCs w:val="18"/>
              </w:rPr>
              <w:t>的发展、用途、意义；</w:t>
            </w:r>
          </w:p>
        </w:tc>
        <w:tc>
          <w:tcPr>
            <w:tcW w:w="1193" w:type="pct"/>
            <w:vAlign w:val="center"/>
          </w:tcPr>
          <w:p>
            <w:pPr>
              <w:jc w:val="center"/>
              <w:rPr>
                <w:snapToGrid w:val="0"/>
                <w:kern w:val="0"/>
                <w:sz w:val="18"/>
                <w:szCs w:val="18"/>
              </w:rPr>
            </w:pPr>
            <w:r>
              <w:rPr>
                <w:rFonts w:hint="eastAsia"/>
                <w:snapToGrid w:val="0"/>
                <w:kern w:val="0"/>
                <w:sz w:val="18"/>
                <w:szCs w:val="18"/>
              </w:rPr>
              <w:t>0.05</w:t>
            </w:r>
          </w:p>
        </w:tc>
        <w:tc>
          <w:tcPr>
            <w:tcW w:w="1163" w:type="pct"/>
            <w:vAlign w:val="center"/>
          </w:tcPr>
          <w:p>
            <w:pPr>
              <w:jc w:val="center"/>
              <w:rPr>
                <w:snapToGrid w:val="0"/>
                <w:kern w:val="0"/>
                <w:sz w:val="18"/>
                <w:szCs w:val="18"/>
              </w:rPr>
            </w:pPr>
            <w:r>
              <w:rPr>
                <w:rFonts w:hint="eastAsia"/>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2、</w:t>
            </w:r>
            <w:r>
              <w:rPr>
                <w:snapToGrid w:val="0"/>
                <w:kern w:val="0"/>
                <w:sz w:val="18"/>
                <w:szCs w:val="18"/>
              </w:rPr>
              <w:t>原理图设计基础</w:t>
            </w:r>
            <w:r>
              <w:rPr>
                <w:rFonts w:hint="eastAsia"/>
                <w:snapToGrid w:val="0"/>
                <w:kern w:val="0"/>
                <w:sz w:val="18"/>
                <w:szCs w:val="18"/>
              </w:rPr>
              <w:t>；</w:t>
            </w:r>
          </w:p>
        </w:tc>
        <w:tc>
          <w:tcPr>
            <w:tcW w:w="1193" w:type="pct"/>
            <w:vAlign w:val="center"/>
          </w:tcPr>
          <w:p>
            <w:pPr>
              <w:jc w:val="center"/>
              <w:rPr>
                <w:snapToGrid w:val="0"/>
                <w:kern w:val="0"/>
                <w:sz w:val="18"/>
                <w:szCs w:val="18"/>
              </w:rPr>
            </w:pPr>
            <w:r>
              <w:rPr>
                <w:rFonts w:hint="eastAsia"/>
                <w:snapToGrid w:val="0"/>
                <w:kern w:val="0"/>
                <w:sz w:val="18"/>
                <w:szCs w:val="18"/>
              </w:rPr>
              <w:t>0.1</w:t>
            </w:r>
          </w:p>
        </w:tc>
        <w:tc>
          <w:tcPr>
            <w:tcW w:w="1163" w:type="pct"/>
            <w:vAlign w:val="center"/>
          </w:tcPr>
          <w:p>
            <w:pPr>
              <w:jc w:val="center"/>
              <w:rPr>
                <w:snapToGrid w:val="0"/>
                <w:kern w:val="0"/>
                <w:sz w:val="18"/>
                <w:szCs w:val="18"/>
              </w:rPr>
            </w:pPr>
            <w:r>
              <w:rPr>
                <w:rFonts w:hint="eastAsia"/>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3、</w:t>
            </w:r>
            <w:r>
              <w:rPr>
                <w:snapToGrid w:val="0"/>
                <w:kern w:val="0"/>
                <w:sz w:val="18"/>
                <w:szCs w:val="18"/>
              </w:rPr>
              <w:t>绘制原理图</w:t>
            </w:r>
            <w:r>
              <w:rPr>
                <w:rFonts w:hint="eastAsia"/>
                <w:snapToGrid w:val="0"/>
                <w:kern w:val="0"/>
                <w:sz w:val="18"/>
                <w:szCs w:val="18"/>
              </w:rPr>
              <w:t>；</w:t>
            </w:r>
          </w:p>
        </w:tc>
        <w:tc>
          <w:tcPr>
            <w:tcW w:w="1193" w:type="pct"/>
            <w:vAlign w:val="center"/>
          </w:tcPr>
          <w:p>
            <w:pPr>
              <w:jc w:val="center"/>
              <w:rPr>
                <w:snapToGrid w:val="0"/>
                <w:kern w:val="0"/>
                <w:sz w:val="18"/>
                <w:szCs w:val="18"/>
              </w:rPr>
            </w:pPr>
            <w:r>
              <w:rPr>
                <w:rFonts w:hint="eastAsia"/>
                <w:snapToGrid w:val="0"/>
                <w:kern w:val="0"/>
                <w:sz w:val="18"/>
                <w:szCs w:val="18"/>
              </w:rPr>
              <w:t>0.2</w:t>
            </w:r>
          </w:p>
        </w:tc>
        <w:tc>
          <w:tcPr>
            <w:tcW w:w="1163" w:type="pct"/>
            <w:vAlign w:val="center"/>
          </w:tcPr>
          <w:p>
            <w:pPr>
              <w:jc w:val="center"/>
              <w:rPr>
                <w:snapToGrid w:val="0"/>
                <w:kern w:val="0"/>
                <w:sz w:val="18"/>
                <w:szCs w:val="18"/>
              </w:rPr>
            </w:pPr>
            <w:r>
              <w:rPr>
                <w:rFonts w:hint="eastAsia"/>
                <w:snapToGrid w:val="0"/>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4、元件集成库设计与管理；</w:t>
            </w:r>
          </w:p>
        </w:tc>
        <w:tc>
          <w:tcPr>
            <w:tcW w:w="1193" w:type="pct"/>
            <w:vAlign w:val="center"/>
          </w:tcPr>
          <w:p>
            <w:pPr>
              <w:jc w:val="center"/>
              <w:rPr>
                <w:snapToGrid w:val="0"/>
                <w:kern w:val="0"/>
                <w:sz w:val="18"/>
                <w:szCs w:val="18"/>
              </w:rPr>
            </w:pPr>
            <w:r>
              <w:rPr>
                <w:rFonts w:hint="eastAsia"/>
                <w:snapToGrid w:val="0"/>
                <w:kern w:val="0"/>
                <w:sz w:val="18"/>
                <w:szCs w:val="18"/>
              </w:rPr>
              <w:t>0.15</w:t>
            </w:r>
          </w:p>
        </w:tc>
        <w:tc>
          <w:tcPr>
            <w:tcW w:w="1163" w:type="pct"/>
            <w:vAlign w:val="center"/>
          </w:tcPr>
          <w:p>
            <w:pPr>
              <w:jc w:val="center"/>
              <w:rPr>
                <w:snapToGrid w:val="0"/>
                <w:kern w:val="0"/>
                <w:sz w:val="18"/>
                <w:szCs w:val="18"/>
              </w:rPr>
            </w:pPr>
            <w:r>
              <w:rPr>
                <w:rFonts w:hint="eastAsia"/>
                <w:snapToGrid w:val="0"/>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5、</w:t>
            </w:r>
            <w:r>
              <w:rPr>
                <w:snapToGrid w:val="0"/>
                <w:kern w:val="0"/>
                <w:sz w:val="18"/>
                <w:szCs w:val="18"/>
              </w:rPr>
              <w:t>设计层次原理图</w:t>
            </w:r>
            <w:r>
              <w:rPr>
                <w:rFonts w:hint="eastAsia"/>
                <w:snapToGrid w:val="0"/>
                <w:kern w:val="0"/>
                <w:sz w:val="18"/>
                <w:szCs w:val="18"/>
              </w:rPr>
              <w:t>；</w:t>
            </w:r>
          </w:p>
        </w:tc>
        <w:tc>
          <w:tcPr>
            <w:tcW w:w="1193" w:type="pct"/>
            <w:vAlign w:val="center"/>
          </w:tcPr>
          <w:p>
            <w:pPr>
              <w:jc w:val="center"/>
              <w:rPr>
                <w:snapToGrid w:val="0"/>
                <w:kern w:val="0"/>
                <w:sz w:val="18"/>
                <w:szCs w:val="18"/>
              </w:rPr>
            </w:pPr>
            <w:r>
              <w:rPr>
                <w:rFonts w:hint="eastAsia"/>
                <w:snapToGrid w:val="0"/>
                <w:kern w:val="0"/>
                <w:sz w:val="18"/>
                <w:szCs w:val="18"/>
              </w:rPr>
              <w:t>0.1</w:t>
            </w:r>
          </w:p>
        </w:tc>
        <w:tc>
          <w:tcPr>
            <w:tcW w:w="1163" w:type="pct"/>
            <w:vAlign w:val="center"/>
          </w:tcPr>
          <w:p>
            <w:pPr>
              <w:jc w:val="center"/>
              <w:rPr>
                <w:snapToGrid w:val="0"/>
                <w:kern w:val="0"/>
                <w:sz w:val="18"/>
                <w:szCs w:val="18"/>
              </w:rPr>
            </w:pPr>
            <w:r>
              <w:rPr>
                <w:rFonts w:hint="eastAsia"/>
                <w:snapToGrid w:val="0"/>
                <w:kern w:val="0"/>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6、</w:t>
            </w:r>
            <w:r>
              <w:rPr>
                <w:snapToGrid w:val="0"/>
                <w:kern w:val="0"/>
                <w:sz w:val="18"/>
                <w:szCs w:val="18"/>
              </w:rPr>
              <w:t>PCB印制电路板设计基础</w:t>
            </w:r>
            <w:r>
              <w:rPr>
                <w:rFonts w:hint="eastAsia"/>
                <w:snapToGrid w:val="0"/>
                <w:kern w:val="0"/>
                <w:sz w:val="18"/>
                <w:szCs w:val="18"/>
              </w:rPr>
              <w:t>；</w:t>
            </w:r>
          </w:p>
        </w:tc>
        <w:tc>
          <w:tcPr>
            <w:tcW w:w="1193" w:type="pct"/>
            <w:vAlign w:val="center"/>
          </w:tcPr>
          <w:p>
            <w:pPr>
              <w:jc w:val="center"/>
              <w:rPr>
                <w:snapToGrid w:val="0"/>
                <w:kern w:val="0"/>
                <w:sz w:val="18"/>
                <w:szCs w:val="18"/>
              </w:rPr>
            </w:pPr>
            <w:r>
              <w:rPr>
                <w:rFonts w:hint="eastAsia"/>
                <w:snapToGrid w:val="0"/>
                <w:kern w:val="0"/>
                <w:sz w:val="18"/>
                <w:szCs w:val="18"/>
              </w:rPr>
              <w:t>0.2</w:t>
            </w:r>
          </w:p>
        </w:tc>
        <w:tc>
          <w:tcPr>
            <w:tcW w:w="1163" w:type="pct"/>
            <w:vAlign w:val="center"/>
          </w:tcPr>
          <w:p>
            <w:pPr>
              <w:jc w:val="center"/>
              <w:rPr>
                <w:snapToGrid w:val="0"/>
                <w:kern w:val="0"/>
                <w:sz w:val="18"/>
                <w:szCs w:val="18"/>
              </w:rPr>
            </w:pPr>
            <w:r>
              <w:rPr>
                <w:rFonts w:hint="eastAsia"/>
                <w:snapToGrid w:val="0"/>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4" w:type="pct"/>
            <w:vAlign w:val="center"/>
          </w:tcPr>
          <w:p>
            <w:pPr>
              <w:ind w:left="174" w:leftChars="83"/>
              <w:rPr>
                <w:snapToGrid w:val="0"/>
                <w:kern w:val="0"/>
                <w:sz w:val="18"/>
                <w:szCs w:val="18"/>
              </w:rPr>
            </w:pPr>
            <w:r>
              <w:rPr>
                <w:rFonts w:hint="eastAsia"/>
                <w:snapToGrid w:val="0"/>
                <w:kern w:val="0"/>
                <w:sz w:val="18"/>
                <w:szCs w:val="18"/>
              </w:rPr>
              <w:t>7、</w:t>
            </w:r>
            <w:r>
              <w:rPr>
                <w:snapToGrid w:val="0"/>
                <w:kern w:val="0"/>
                <w:sz w:val="18"/>
                <w:szCs w:val="18"/>
              </w:rPr>
              <w:t>制作印制电路板</w:t>
            </w:r>
            <w:r>
              <w:rPr>
                <w:rFonts w:hint="eastAsia"/>
                <w:snapToGrid w:val="0"/>
                <w:kern w:val="0"/>
                <w:sz w:val="18"/>
                <w:szCs w:val="18"/>
              </w:rPr>
              <w:t>。</w:t>
            </w:r>
          </w:p>
        </w:tc>
        <w:tc>
          <w:tcPr>
            <w:tcW w:w="1193" w:type="pct"/>
            <w:vAlign w:val="center"/>
          </w:tcPr>
          <w:p>
            <w:pPr>
              <w:jc w:val="center"/>
              <w:rPr>
                <w:snapToGrid w:val="0"/>
                <w:kern w:val="0"/>
                <w:sz w:val="18"/>
                <w:szCs w:val="18"/>
              </w:rPr>
            </w:pPr>
            <w:r>
              <w:rPr>
                <w:rFonts w:hint="eastAsia"/>
                <w:snapToGrid w:val="0"/>
                <w:kern w:val="0"/>
                <w:sz w:val="18"/>
                <w:szCs w:val="18"/>
              </w:rPr>
              <w:t>0.2</w:t>
            </w:r>
          </w:p>
        </w:tc>
        <w:tc>
          <w:tcPr>
            <w:tcW w:w="1163" w:type="pct"/>
            <w:vAlign w:val="center"/>
          </w:tcPr>
          <w:p>
            <w:pPr>
              <w:jc w:val="center"/>
              <w:rPr>
                <w:snapToGrid w:val="0"/>
                <w:kern w:val="0"/>
                <w:sz w:val="18"/>
                <w:szCs w:val="18"/>
              </w:rPr>
            </w:pPr>
            <w:r>
              <w:rPr>
                <w:rFonts w:hint="eastAsia"/>
                <w:snapToGrid w:val="0"/>
                <w:kern w:val="0"/>
                <w:sz w:val="18"/>
                <w:szCs w:val="18"/>
              </w:rPr>
              <w:t>1</w:t>
            </w:r>
            <w:r>
              <w:rPr>
                <w:snapToGrid w:val="0"/>
                <w:kern w:val="0"/>
                <w:sz w:val="18"/>
                <w:szCs w:val="18"/>
              </w:rPr>
              <w:t>、</w:t>
            </w:r>
            <w:r>
              <w:rPr>
                <w:rFonts w:hint="eastAsia"/>
                <w:snapToGrid w:val="0"/>
                <w:kern w:val="0"/>
                <w:sz w:val="18"/>
                <w:szCs w:val="18"/>
              </w:rPr>
              <w:t>2</w:t>
            </w:r>
          </w:p>
        </w:tc>
      </w:tr>
    </w:tbl>
    <w:p>
      <w:pPr>
        <w:adjustRightInd w:val="0"/>
        <w:snapToGrid w:val="0"/>
        <w:spacing w:before="120" w:beforeLines="50" w:line="360" w:lineRule="auto"/>
        <w:ind w:firstLine="420" w:firstLineChars="200"/>
        <w:rPr>
          <w:rFonts w:ascii="宋体" w:hAnsi="宋体" w:cs="宋体"/>
          <w:szCs w:val="21"/>
        </w:rPr>
      </w:pPr>
      <w:r>
        <w:rPr>
          <w:rFonts w:hint="eastAsia"/>
          <w:szCs w:val="22"/>
        </w:rPr>
        <w:t>学生可以依据仪器与电子学院相关文件，以允许的第二课堂成果折算单项成绩，与对应知识点加权累计达到75（含）以上，且对所有课程目标的支撑不能有缺项，即可申请本门课程免修。</w:t>
      </w:r>
    </w:p>
    <w:p>
      <w:pPr>
        <w:spacing w:line="360" w:lineRule="auto"/>
        <w:ind w:firstLine="420" w:firstLineChars="200"/>
        <w:rPr>
          <w:color w:val="0000FF"/>
          <w:szCs w:val="21"/>
        </w:rPr>
        <w:sectPr>
          <w:footerReference r:id="rId58" w:type="default"/>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7"/>
        <w:gridCol w:w="943"/>
        <w:gridCol w:w="1425"/>
        <w:gridCol w:w="1286"/>
        <w:gridCol w:w="1484"/>
        <w:gridCol w:w="1370"/>
        <w:gridCol w:w="1423"/>
        <w:gridCol w:w="1571"/>
        <w:gridCol w:w="1333"/>
        <w:gridCol w:w="1286"/>
        <w:gridCol w:w="1250"/>
      </w:tblGrid>
      <w:tr>
        <w:tblPrEx>
          <w:tblCellMar>
            <w:top w:w="0" w:type="dxa"/>
            <w:left w:w="108" w:type="dxa"/>
            <w:bottom w:w="0" w:type="dxa"/>
            <w:right w:w="108" w:type="dxa"/>
          </w:tblCellMar>
        </w:tblPrEx>
        <w:trPr>
          <w:trHeight w:val="1015" w:hRule="atLeast"/>
          <w:jc w:val="center"/>
        </w:trPr>
        <w:tc>
          <w:tcPr>
            <w:tcW w:w="2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5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63" w:type="pct"/>
            <w:gridSpan w:val="3"/>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38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51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p>
            <w:pPr>
              <w:widowControl/>
              <w:jc w:val="center"/>
              <w:rPr>
                <w:kern w:val="0"/>
                <w:sz w:val="18"/>
                <w:szCs w:val="18"/>
              </w:rPr>
            </w:pPr>
          </w:p>
        </w:tc>
        <w:tc>
          <w:tcPr>
            <w:tcW w:w="46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p>
            <w:pPr>
              <w:widowControl/>
              <w:jc w:val="center"/>
              <w:rPr>
                <w:kern w:val="0"/>
                <w:sz w:val="18"/>
                <w:szCs w:val="18"/>
              </w:rPr>
            </w:pPr>
          </w:p>
        </w:tc>
        <w:tc>
          <w:tcPr>
            <w:tcW w:w="532"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c>
          <w:tcPr>
            <w:tcW w:w="49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p>
            <w:pPr>
              <w:widowControl/>
              <w:jc w:val="center"/>
              <w:rPr>
                <w:kern w:val="0"/>
                <w:sz w:val="18"/>
                <w:szCs w:val="18"/>
              </w:rPr>
            </w:pPr>
          </w:p>
        </w:tc>
        <w:tc>
          <w:tcPr>
            <w:tcW w:w="51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p>
            <w:pPr>
              <w:widowControl/>
              <w:jc w:val="center"/>
              <w:rPr>
                <w:kern w:val="0"/>
                <w:sz w:val="18"/>
                <w:szCs w:val="18"/>
              </w:rPr>
            </w:pPr>
          </w:p>
        </w:tc>
        <w:tc>
          <w:tcPr>
            <w:tcW w:w="563" w:type="pct"/>
            <w:tcBorders>
              <w:top w:val="nil"/>
              <w:left w:val="nil"/>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p>
            <w:pPr>
              <w:widowControl/>
              <w:jc w:val="center"/>
              <w:rPr>
                <w:kern w:val="0"/>
                <w:sz w:val="18"/>
                <w:szCs w:val="18"/>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p>
            <w:pPr>
              <w:widowControl/>
              <w:jc w:val="center"/>
              <w:rPr>
                <w:kern w:val="0"/>
                <w:sz w:val="18"/>
                <w:szCs w:val="18"/>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r>
      <w:tr>
        <w:tblPrEx>
          <w:tblCellMar>
            <w:top w:w="0" w:type="dxa"/>
            <w:left w:w="108" w:type="dxa"/>
            <w:bottom w:w="0" w:type="dxa"/>
            <w:right w:w="108" w:type="dxa"/>
          </w:tblCellMar>
        </w:tblPrEx>
        <w:trPr>
          <w:trHeight w:val="1020" w:hRule="atLeast"/>
          <w:jc w:val="center"/>
        </w:trPr>
        <w:tc>
          <w:tcPr>
            <w:tcW w:w="20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511"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p>
          <w:p>
            <w:pPr>
              <w:jc w:val="center"/>
              <w:rPr>
                <w:sz w:val="18"/>
                <w:szCs w:val="18"/>
              </w:rPr>
            </w:pPr>
            <w:r>
              <w:rPr>
                <w:sz w:val="18"/>
                <w:szCs w:val="18"/>
              </w:rPr>
              <w:t>0.2</w:t>
            </w:r>
          </w:p>
          <w:p>
            <w:pPr>
              <w:jc w:val="center"/>
              <w:rPr>
                <w:sz w:val="18"/>
                <w:szCs w:val="18"/>
              </w:rPr>
            </w:pPr>
          </w:p>
        </w:tc>
        <w:tc>
          <w:tcPr>
            <w:tcW w:w="461"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32"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491"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0.12</w:t>
            </w:r>
          </w:p>
        </w:tc>
        <w:tc>
          <w:tcPr>
            <w:tcW w:w="510"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0.12</w:t>
            </w:r>
          </w:p>
        </w:tc>
        <w:tc>
          <w:tcPr>
            <w:tcW w:w="563"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0.36</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0.6</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0.8</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0.8</w:t>
            </w:r>
          </w:p>
        </w:tc>
      </w:tr>
      <w:tr>
        <w:tblPrEx>
          <w:tblCellMar>
            <w:top w:w="0" w:type="dxa"/>
            <w:left w:w="108" w:type="dxa"/>
            <w:bottom w:w="0" w:type="dxa"/>
            <w:right w:w="108" w:type="dxa"/>
          </w:tblCellMar>
        </w:tblPrEx>
        <w:trPr>
          <w:trHeight w:val="694" w:hRule="atLeast"/>
          <w:jc w:val="center"/>
        </w:trPr>
        <w:tc>
          <w:tcPr>
            <w:tcW w:w="20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1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4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3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49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0.04</w:t>
            </w:r>
          </w:p>
        </w:tc>
        <w:tc>
          <w:tcPr>
            <w:tcW w:w="51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0.04</w:t>
            </w:r>
          </w:p>
        </w:tc>
        <w:tc>
          <w:tcPr>
            <w:tcW w:w="563"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0.2</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0.1</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0.1</w:t>
            </w:r>
          </w:p>
        </w:tc>
      </w:tr>
      <w:tr>
        <w:tblPrEx>
          <w:tblCellMar>
            <w:top w:w="0" w:type="dxa"/>
            <w:left w:w="108" w:type="dxa"/>
            <w:bottom w:w="0" w:type="dxa"/>
            <w:right w:w="108" w:type="dxa"/>
          </w:tblCellMar>
        </w:tblPrEx>
        <w:trPr>
          <w:trHeight w:val="690" w:hRule="atLeast"/>
          <w:jc w:val="center"/>
        </w:trPr>
        <w:tc>
          <w:tcPr>
            <w:tcW w:w="20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1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46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32"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49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0.04</w:t>
            </w:r>
          </w:p>
        </w:tc>
        <w:tc>
          <w:tcPr>
            <w:tcW w:w="510"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0.04</w:t>
            </w:r>
          </w:p>
        </w:tc>
        <w:tc>
          <w:tcPr>
            <w:tcW w:w="563"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0.12</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0.2</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0.1</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0.1</w:t>
            </w:r>
          </w:p>
        </w:tc>
      </w:tr>
      <w:tr>
        <w:tblPrEx>
          <w:tblCellMar>
            <w:top w:w="0" w:type="dxa"/>
            <w:left w:w="108" w:type="dxa"/>
            <w:bottom w:w="0" w:type="dxa"/>
            <w:right w:w="108" w:type="dxa"/>
          </w:tblCellMar>
        </w:tblPrEx>
        <w:trPr>
          <w:trHeight w:val="1026" w:hRule="atLeast"/>
          <w:jc w:val="center"/>
        </w:trPr>
        <w:tc>
          <w:tcPr>
            <w:tcW w:w="2048"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49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10"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563"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138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26"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26" DrawAspect="Content" ObjectID="_1468075826" r:id="rId286">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27"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27" DrawAspect="Content" ObjectID="_1468075827" r:id="rId287">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28"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28" DrawAspect="Content" ObjectID="_1468075828" r:id="rId288">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29"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29" DrawAspect="Content" ObjectID="_1468075829" r:id="rId289">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30"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30" DrawAspect="Content" ObjectID="_1468075830" r:id="rId290">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31"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31" DrawAspect="Content" ObjectID="_1468075831" r:id="rId291">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197" w:name="_Toc17188"/>
      <w:bookmarkStart w:id="198" w:name="_Toc46996571"/>
      <w:r>
        <w:rPr>
          <w:rFonts w:hint="eastAsia"/>
        </w:rPr>
        <w:t>《</w:t>
      </w:r>
      <w:r>
        <w:t>Y06060027-</w:t>
      </w:r>
      <w:r>
        <w:rPr>
          <w:rFonts w:hint="eastAsia"/>
        </w:rPr>
        <w:t>光电探测技术》教学大纲</w:t>
      </w:r>
      <w:bookmarkEnd w:id="197"/>
      <w:bookmarkEnd w:id="198"/>
    </w:p>
    <w:p>
      <w:pPr>
        <w:adjustRightInd w:val="0"/>
        <w:snapToGrid w:val="0"/>
        <w:spacing w:line="360" w:lineRule="auto"/>
        <w:rPr>
          <w:bCs/>
          <w:kern w:val="0"/>
        </w:rPr>
      </w:pPr>
      <w:r>
        <w:rPr>
          <w:rFonts w:hint="eastAsia" w:eastAsia="黑体"/>
          <w:szCs w:val="21"/>
        </w:rPr>
        <w:t>课程编号：</w:t>
      </w:r>
      <w:r>
        <w:rPr>
          <w:bCs/>
          <w:kern w:val="0"/>
        </w:rPr>
        <w:t>Y06060027</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光电探测技术</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32 (</w:t>
      </w:r>
      <w:r>
        <w:rPr>
          <w:rFonts w:hint="eastAsia"/>
          <w:szCs w:val="21"/>
        </w:rPr>
        <w:t>实验</w:t>
      </w:r>
      <w:r>
        <w:rPr>
          <w:szCs w:val="21"/>
        </w:rPr>
        <w:t>10</w:t>
      </w:r>
      <w:r>
        <w:rPr>
          <w:rFonts w:hint="eastAsia"/>
          <w:szCs w:val="21"/>
        </w:rPr>
        <w:t>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大学物理、模拟电子技术、数字电子技术、半导体物理、传感器原理及设计</w:t>
      </w:r>
    </w:p>
    <w:p>
      <w:pPr>
        <w:adjustRightInd w:val="0"/>
        <w:snapToGrid w:val="0"/>
        <w:spacing w:line="360" w:lineRule="auto"/>
        <w:rPr>
          <w:szCs w:val="21"/>
        </w:rPr>
      </w:pPr>
      <w:r>
        <w:rPr>
          <w:rFonts w:hint="eastAsia" w:eastAsia="黑体"/>
          <w:szCs w:val="21"/>
        </w:rPr>
        <w:t>大纲撰写人：</w:t>
      </w:r>
      <w:r>
        <w:rPr>
          <w:rFonts w:hint="eastAsia"/>
          <w:szCs w:val="21"/>
        </w:rPr>
        <w:t>刘文耀</w:t>
      </w:r>
    </w:p>
    <w:p>
      <w:pPr>
        <w:adjustRightInd w:val="0"/>
        <w:snapToGrid w:val="0"/>
        <w:spacing w:line="360" w:lineRule="auto"/>
        <w:rPr>
          <w:szCs w:val="21"/>
        </w:rPr>
      </w:pPr>
      <w:r>
        <w:rPr>
          <w:rFonts w:hint="eastAsia" w:eastAsia="黑体"/>
          <w:szCs w:val="21"/>
        </w:rPr>
        <w:t>大纲编写（修订）</w:t>
      </w:r>
      <w:r>
        <w:rPr>
          <w:rFonts w:eastAsia="黑体"/>
          <w:szCs w:val="21"/>
        </w:rPr>
        <w:t>时间：</w:t>
      </w:r>
      <w:r>
        <w:rPr>
          <w:szCs w:val="21"/>
        </w:rPr>
        <w:t>2019年5月</w:t>
      </w:r>
    </w:p>
    <w:p>
      <w:pPr>
        <w:rPr>
          <w:b/>
          <w:szCs w:val="21"/>
        </w:rPr>
      </w:pPr>
    </w:p>
    <w:p>
      <w:pPr>
        <w:numPr>
          <w:ilvl w:val="0"/>
          <w:numId w:val="29"/>
        </w:numPr>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rFonts w:hint="eastAsia"/>
          <w:szCs w:val="21"/>
        </w:rPr>
        <w:t>光电探测技术是一门将传统的光学技术与现代微电子技术、计算机技术紧密结合在一起的一门高新技术，以光电技术为支撑的光电子产业是当今世界各国争相发展的支柱产业，是竞争激烈、发展最快的信息技术产业的主力军。这一技术具有高精度、高速度、远距离、大量程、非接触测量和寿命长等特点，目前已经渗透到诸多科学领域，在工业、农业、军事、航空航天以及日常生活中均得到了广泛的应用。课程内容以光电探测的物理原理、光电探测器、光电信号探测与处理和典型光电探测系统分析为主线，使学生理解掌握光电探测系统的总体框架，形成较完整的光电技术知识体系，具备光电探测所涉及的器件分析、设计能力。</w:t>
      </w:r>
    </w:p>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055"/>
        <w:gridCol w:w="36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439"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194"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439" w:type="pct"/>
          </w:tcPr>
          <w:p>
            <w:pPr>
              <w:adjustRightInd w:val="0"/>
              <w:snapToGrid w:val="0"/>
              <w:spacing w:line="360" w:lineRule="auto"/>
              <w:rPr>
                <w:rFonts w:ascii="宋体" w:hAnsi="宋体"/>
                <w:sz w:val="18"/>
                <w:szCs w:val="18"/>
              </w:rPr>
            </w:pPr>
            <w:r>
              <w:rPr>
                <w:rFonts w:hint="eastAsia" w:ascii="宋体" w:hAnsi="宋体"/>
                <w:sz w:val="18"/>
                <w:szCs w:val="18"/>
              </w:rPr>
              <w:t>能够掌握</w:t>
            </w:r>
            <w:r>
              <w:rPr>
                <w:rFonts w:ascii="宋体" w:hAnsi="宋体"/>
                <w:sz w:val="18"/>
                <w:szCs w:val="18"/>
              </w:rPr>
              <w:t>辐射度和光度学基本概念、</w:t>
            </w:r>
            <w:r>
              <w:rPr>
                <w:rFonts w:hint="eastAsia" w:ascii="宋体" w:hAnsi="宋体"/>
                <w:sz w:val="18"/>
                <w:szCs w:val="18"/>
              </w:rPr>
              <w:t>光电探测器中的常见光源，光电导探测器，光伏探测器，光电子发射探测器，热探测器，光电图像探测器等方面的基本理论知识和应用技术。</w:t>
            </w:r>
          </w:p>
        </w:tc>
        <w:tc>
          <w:tcPr>
            <w:tcW w:w="2194" w:type="pct"/>
          </w:tcPr>
          <w:p>
            <w:pPr>
              <w:adjustRightInd w:val="0"/>
              <w:snapToGrid w:val="0"/>
              <w:spacing w:line="360" w:lineRule="auto"/>
              <w:rPr>
                <w:rFonts w:ascii="宋体" w:hAnsi="宋体"/>
                <w:sz w:val="18"/>
                <w:szCs w:val="18"/>
              </w:rPr>
            </w:pPr>
            <w:r>
              <w:rPr>
                <w:rFonts w:hint="eastAsia" w:ascii="宋体" w:hAnsi="宋体"/>
                <w:b/>
                <w:bCs/>
                <w:sz w:val="18"/>
                <w:szCs w:val="18"/>
              </w:rPr>
              <w:t>指标点1-1 知识体系</w:t>
            </w:r>
            <w:r>
              <w:rPr>
                <w:rFonts w:hint="eastAsia" w:ascii="宋体" w:hAnsi="宋体"/>
                <w:sz w:val="18"/>
                <w:szCs w:val="18"/>
              </w:rPr>
              <w:t>：具备与本专业相关的数学、自然科学、光学和电子学工程基础及电子系统集成等多方面的知识。</w:t>
            </w:r>
          </w:p>
          <w:p>
            <w:pPr>
              <w:adjustRightInd w:val="0"/>
              <w:snapToGrid w:val="0"/>
              <w:spacing w:line="360" w:lineRule="auto"/>
              <w:rPr>
                <w:rFonts w:ascii="宋体" w:hAnsi="宋体"/>
                <w:b/>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439" w:type="pct"/>
          </w:tcPr>
          <w:p>
            <w:pPr>
              <w:adjustRightInd w:val="0"/>
              <w:snapToGrid w:val="0"/>
              <w:spacing w:line="360" w:lineRule="auto"/>
              <w:rPr>
                <w:rFonts w:ascii="宋体" w:hAnsi="宋体"/>
                <w:sz w:val="18"/>
                <w:szCs w:val="18"/>
              </w:rPr>
            </w:pPr>
            <w:r>
              <w:rPr>
                <w:rFonts w:ascii="宋体" w:hAnsi="宋体"/>
                <w:sz w:val="18"/>
                <w:szCs w:val="18"/>
              </w:rPr>
              <w:t>能够</w:t>
            </w:r>
            <w:r>
              <w:rPr>
                <w:rFonts w:hint="eastAsia" w:ascii="宋体" w:hAnsi="宋体"/>
                <w:sz w:val="18"/>
                <w:szCs w:val="18"/>
              </w:rPr>
              <w:t>了解典型光电器件的基本原理结构、特性参数和典型应用</w:t>
            </w:r>
            <w:r>
              <w:rPr>
                <w:rFonts w:ascii="宋体" w:hAnsi="宋体"/>
                <w:sz w:val="18"/>
                <w:szCs w:val="18"/>
              </w:rPr>
              <w:t>，</w:t>
            </w:r>
            <w:r>
              <w:rPr>
                <w:rFonts w:hint="eastAsia" w:ascii="宋体" w:hAnsi="宋体"/>
                <w:sz w:val="18"/>
                <w:szCs w:val="18"/>
              </w:rPr>
              <w:t>借助</w:t>
            </w:r>
            <w:r>
              <w:rPr>
                <w:rFonts w:ascii="宋体" w:hAnsi="宋体"/>
                <w:sz w:val="18"/>
                <w:szCs w:val="18"/>
              </w:rPr>
              <w:t>光电信号的转换电路与探测方法，能设计简单的光电探测系统</w:t>
            </w:r>
            <w:r>
              <w:rPr>
                <w:rFonts w:hint="eastAsia" w:ascii="宋体" w:hAnsi="宋体"/>
                <w:sz w:val="18"/>
                <w:szCs w:val="18"/>
              </w:rPr>
              <w:t>，</w:t>
            </w:r>
            <w:r>
              <w:rPr>
                <w:rFonts w:ascii="宋体" w:hAnsi="宋体"/>
                <w:sz w:val="18"/>
                <w:szCs w:val="18"/>
              </w:rPr>
              <w:t>并通过对领域最新进展的调研</w:t>
            </w:r>
            <w:r>
              <w:rPr>
                <w:rFonts w:hint="eastAsia" w:ascii="宋体" w:hAnsi="宋体"/>
                <w:sz w:val="18"/>
                <w:szCs w:val="18"/>
              </w:rPr>
              <w:t>，提出系统的改善和优化方法。</w:t>
            </w:r>
          </w:p>
        </w:tc>
        <w:tc>
          <w:tcPr>
            <w:tcW w:w="2194" w:type="pct"/>
          </w:tcPr>
          <w:p>
            <w:pPr>
              <w:adjustRightInd w:val="0"/>
              <w:snapToGrid w:val="0"/>
              <w:spacing w:line="360" w:lineRule="auto"/>
              <w:rPr>
                <w:rFonts w:ascii="宋体" w:hAnsi="宋体"/>
                <w:b/>
                <w:sz w:val="18"/>
                <w:szCs w:val="18"/>
              </w:rPr>
            </w:pPr>
            <w:r>
              <w:rPr>
                <w:rFonts w:hint="eastAsia" w:ascii="宋体" w:hAnsi="宋体"/>
                <w:b/>
                <w:bCs/>
                <w:sz w:val="18"/>
                <w:szCs w:val="18"/>
              </w:rPr>
              <w:t>指标点4-1 领域现状认知能力</w:t>
            </w:r>
            <w:r>
              <w:rPr>
                <w:rFonts w:hint="eastAsia" w:ascii="宋体" w:hAnsi="宋体"/>
                <w:sz w:val="18"/>
                <w:szCs w:val="18"/>
              </w:rPr>
              <w:t>：</w:t>
            </w:r>
            <w:r>
              <w:rPr>
                <w:rFonts w:hint="eastAsia" w:ascii="宋体" w:hAnsi="宋体"/>
                <w:kern w:val="0"/>
                <w:sz w:val="18"/>
                <w:szCs w:val="18"/>
              </w:rPr>
              <w:t>了解电子科学与技术专业领域背景及经典案例，能够针对复杂工程问题提出研究思路和分析方法，并有意识地将实验结果用于指导解决方案的改善和优化。</w:t>
            </w:r>
          </w:p>
        </w:tc>
      </w:tr>
    </w:tbl>
    <w:p>
      <w:pPr>
        <w:tabs>
          <w:tab w:val="left" w:pos="420"/>
        </w:tabs>
        <w:adjustRightInd w:val="0"/>
        <w:snapToGrid w:val="0"/>
        <w:spacing w:line="360" w:lineRule="auto"/>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szCs w:val="21"/>
        </w:rPr>
        <w:t>1、本课程为专业课，要求先修</w:t>
      </w:r>
      <w:r>
        <w:rPr>
          <w:rFonts w:hint="eastAsia"/>
          <w:szCs w:val="21"/>
        </w:rPr>
        <w:t>大学物理、模拟电子技术、传感器原理及设计、测控电路设计、半导体物理</w:t>
      </w:r>
      <w:r>
        <w:rPr>
          <w:szCs w:val="21"/>
        </w:rPr>
        <w:t>等课程，在教学中</w:t>
      </w:r>
      <w:r>
        <w:rPr>
          <w:rFonts w:hint="eastAsia"/>
          <w:szCs w:val="21"/>
        </w:rPr>
        <w:t>应注重基础知识、基本概念的回顾，同时运用类比式教学，使学生能快速掌握相近的概念，如辐射度和光度学、光电导探测器和光伏探测器等。</w:t>
      </w:r>
    </w:p>
    <w:p>
      <w:pPr>
        <w:adjustRightInd w:val="0"/>
        <w:snapToGrid w:val="0"/>
        <w:spacing w:line="360" w:lineRule="auto"/>
        <w:ind w:firstLine="420" w:firstLineChars="200"/>
        <w:rPr>
          <w:szCs w:val="21"/>
        </w:rPr>
      </w:pPr>
      <w:r>
        <w:rPr>
          <w:szCs w:val="21"/>
        </w:rPr>
        <w:t>2、教师应处理好各知识点之间的关系</w:t>
      </w:r>
      <w:r>
        <w:rPr>
          <w:rFonts w:hint="eastAsia"/>
          <w:szCs w:val="21"/>
        </w:rPr>
        <w:t>，</w:t>
      </w:r>
      <w:r>
        <w:rPr>
          <w:szCs w:val="21"/>
        </w:rPr>
        <w:t>在讲解每个知识点之后，能结合实例及典型应用</w:t>
      </w:r>
      <w:r>
        <w:rPr>
          <w:rFonts w:hint="eastAsia"/>
          <w:szCs w:val="21"/>
        </w:rPr>
        <w:t>，</w:t>
      </w:r>
      <w:r>
        <w:rPr>
          <w:szCs w:val="21"/>
        </w:rPr>
        <w:t>使学生对整个知识体系有个更全面、更深刻的理解，可以为以后的系统设计工作打下基础。</w:t>
      </w:r>
    </w:p>
    <w:p>
      <w:pPr>
        <w:adjustRightInd w:val="0"/>
        <w:snapToGrid w:val="0"/>
        <w:spacing w:line="360" w:lineRule="auto"/>
        <w:ind w:firstLine="420" w:firstLineChars="200"/>
        <w:rPr>
          <w:szCs w:val="21"/>
        </w:rPr>
      </w:pPr>
      <w:r>
        <w:rPr>
          <w:szCs w:val="21"/>
        </w:rPr>
        <w:t>3、因为光电探测技术发展较快，而目前的教材</w:t>
      </w:r>
      <w:r>
        <w:rPr>
          <w:rFonts w:hint="eastAsia"/>
          <w:szCs w:val="21"/>
        </w:rPr>
        <w:t>中</w:t>
      </w:r>
      <w:r>
        <w:rPr>
          <w:szCs w:val="21"/>
        </w:rPr>
        <w:t>部分内容已跟不上最新技术的发展，所以教学过程中教师应该针对前沿的进展适当地扩充讲授内容</w:t>
      </w:r>
      <w:r>
        <w:rPr>
          <w:rFonts w:hint="eastAsia"/>
          <w:szCs w:val="21"/>
        </w:rPr>
        <w:t>，最好能</w:t>
      </w:r>
      <w:r>
        <w:rPr>
          <w:szCs w:val="21"/>
        </w:rPr>
        <w:t>将最新相关科研成果融</w:t>
      </w:r>
      <w:r>
        <w:rPr>
          <w:rFonts w:hint="eastAsia"/>
          <w:szCs w:val="21"/>
        </w:rPr>
        <w:t>入</w:t>
      </w:r>
      <w:r>
        <w:rPr>
          <w:szCs w:val="21"/>
        </w:rPr>
        <w:t>在教学</w:t>
      </w:r>
      <w:r>
        <w:rPr>
          <w:rFonts w:hint="eastAsia"/>
          <w:szCs w:val="21"/>
        </w:rPr>
        <w:t>内容</w:t>
      </w:r>
      <w:r>
        <w:rPr>
          <w:szCs w:val="21"/>
        </w:rPr>
        <w:t>，拓宽学生的视野</w:t>
      </w:r>
      <w:r>
        <w:rPr>
          <w:rFonts w:hint="eastAsia"/>
          <w:szCs w:val="21"/>
        </w:rPr>
        <w:t>。</w:t>
      </w:r>
    </w:p>
    <w:p>
      <w:pPr>
        <w:adjustRightInd w:val="0"/>
        <w:snapToGrid w:val="0"/>
        <w:spacing w:line="360" w:lineRule="auto"/>
        <w:ind w:firstLine="420" w:firstLineChars="200"/>
        <w:rPr>
          <w:szCs w:val="21"/>
        </w:rPr>
      </w:pPr>
      <w:r>
        <w:rPr>
          <w:rFonts w:hint="eastAsia"/>
          <w:szCs w:val="21"/>
        </w:rPr>
        <w:t>4、课程讲授中可以适当拓展光电仪器的发展历程，如微光夜视仪、红外探测器等，写其在我国的重要意义与发展历程，及在国防和民用安全中意义；或者以我国为光学仪器发展做过贡献的人为例，激发学生向他们学习，鼓励学生以极致的态度对待事情，具有精雕细琢，精益求精、追求更完美的精神理念。</w:t>
      </w:r>
    </w:p>
    <w:p>
      <w:pPr>
        <w:adjustRightInd w:val="0"/>
        <w:snapToGrid w:val="0"/>
        <w:spacing w:line="360" w:lineRule="auto"/>
        <w:ind w:firstLine="420" w:firstLineChars="200"/>
        <w:rPr>
          <w:szCs w:val="21"/>
        </w:rPr>
      </w:pPr>
      <w:r>
        <w:rPr>
          <w:szCs w:val="21"/>
        </w:rPr>
        <w:t>5、</w:t>
      </w:r>
      <w:r>
        <w:t>深度和广度说明：</w:t>
      </w:r>
      <w:r>
        <w:rPr>
          <w:szCs w:val="21"/>
        </w:rPr>
        <w:t>本课程从工程技术中应用光电器件的角度出发，理论方面力求清楚易懂，阐述各种光电现象和光电效应；光电探测器件是课程的重点，它们的原理、结构、性能参数和应用要详细讲解。光电探测器件的偏置电路、光电探测电路的静态和动态设计、噪声与抑制前置放大电路适当了解。</w:t>
      </w:r>
    </w:p>
    <w:p>
      <w:pPr>
        <w:spacing w:line="360" w:lineRule="auto"/>
        <w:ind w:firstLine="420" w:firstLineChars="200"/>
        <w:rPr>
          <w:szCs w:val="21"/>
        </w:rPr>
      </w:pPr>
      <w:r>
        <w:rPr>
          <w:szCs w:val="21"/>
        </w:rPr>
        <w:t>6</w:t>
      </w:r>
      <w:r>
        <w:rPr>
          <w:rFonts w:hint="eastAsia"/>
          <w:szCs w:val="21"/>
        </w:rPr>
        <w:t>、</w:t>
      </w:r>
      <w:r>
        <w:rPr>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rFonts w:ascii="黑体" w:hAnsi="黑体" w:eastAsia="黑体"/>
          <w:szCs w:val="21"/>
        </w:rPr>
      </w:pPr>
      <w:r>
        <w:rPr>
          <w:rFonts w:hint="eastAsia"/>
          <w:szCs w:val="21"/>
        </w:rPr>
        <w:t>本课程重点讲授的内容包括：辐射度和光度学基本概念、光电探测器中的常见光源，光电导探测器，光伏探测器，光电子发射探测器，热探测器，光电图像探测器等方面的基本理论知识和应用技术。</w:t>
      </w:r>
    </w:p>
    <w:p>
      <w:pPr>
        <w:adjustRightInd w:val="0"/>
        <w:snapToGrid w:val="0"/>
        <w:spacing w:line="360" w:lineRule="auto"/>
        <w:ind w:firstLine="420" w:firstLineChars="200"/>
        <w:rPr>
          <w:szCs w:val="21"/>
        </w:rPr>
      </w:pPr>
      <w:r>
        <w:rPr>
          <w:szCs w:val="21"/>
        </w:rPr>
        <w:t>本课程在教学方法上，充分利用各种媒体教学手段，采取课堂教学、多媒体课件、课外分组实验方式有机结合，提高教学效率。也可</w:t>
      </w:r>
      <w:r>
        <w:rPr>
          <w:rFonts w:hint="eastAsia"/>
          <w:szCs w:val="21"/>
        </w:rPr>
        <w:t>登录大学</w:t>
      </w:r>
      <w:r>
        <w:rPr>
          <w:szCs w:val="21"/>
        </w:rPr>
        <w:t>MOOC</w:t>
      </w:r>
      <w:r>
        <w:rPr>
          <w:rFonts w:hint="eastAsia"/>
          <w:szCs w:val="21"/>
        </w:rPr>
        <w:t>观看视频资料：《光电技术》。为了提高学生的学习兴趣，并取得良好的教学效果，教师在知识讲解的过程中要充分利用问题引导、案例分析等多种教学方法，以进一步提高教学质量。此外，</w:t>
      </w:r>
      <w:r>
        <w:rPr>
          <w:szCs w:val="21"/>
        </w:rPr>
        <w:t>光电探测技术发展较快，固定的教材</w:t>
      </w:r>
      <w:r>
        <w:rPr>
          <w:rFonts w:hint="eastAsia"/>
          <w:szCs w:val="21"/>
        </w:rPr>
        <w:t>有时</w:t>
      </w:r>
      <w:r>
        <w:rPr>
          <w:szCs w:val="21"/>
        </w:rPr>
        <w:t>跟不上最新技术的发展，所以教学过程中须</w:t>
      </w:r>
      <w:r>
        <w:rPr>
          <w:rFonts w:hint="eastAsia"/>
          <w:szCs w:val="21"/>
        </w:rPr>
        <w:t>更新</w:t>
      </w:r>
      <w:r>
        <w:rPr>
          <w:szCs w:val="21"/>
        </w:rPr>
        <w:t>内容</w:t>
      </w:r>
      <w:r>
        <w:rPr>
          <w:rFonts w:hint="eastAsia"/>
          <w:szCs w:val="21"/>
        </w:rPr>
        <w:t>，能够将前沿的</w:t>
      </w:r>
      <w:r>
        <w:rPr>
          <w:szCs w:val="21"/>
        </w:rPr>
        <w:t>相关科研成果</w:t>
      </w:r>
      <w:r>
        <w:rPr>
          <w:rFonts w:hint="eastAsia"/>
          <w:szCs w:val="21"/>
        </w:rPr>
        <w:t>引入</w:t>
      </w:r>
      <w:r>
        <w:rPr>
          <w:szCs w:val="21"/>
        </w:rPr>
        <w:t>教学过程，提高</w:t>
      </w:r>
      <w:r>
        <w:rPr>
          <w:rFonts w:hint="eastAsia"/>
          <w:szCs w:val="21"/>
        </w:rPr>
        <w:t>学生</w:t>
      </w:r>
      <w:r>
        <w:rPr>
          <w:szCs w:val="21"/>
        </w:rPr>
        <w:t>们的学习兴趣。</w:t>
      </w:r>
    </w:p>
    <w:p>
      <w:pPr>
        <w:adjustRightInd w:val="0"/>
        <w:snapToGrid w:val="0"/>
        <w:spacing w:line="360" w:lineRule="auto"/>
        <w:ind w:left="426"/>
        <w:jc w:val="left"/>
        <w:rPr>
          <w:rFonts w:eastAsia="黑体"/>
          <w:szCs w:val="21"/>
        </w:rPr>
      </w:pPr>
    </w:p>
    <w:p>
      <w:pPr>
        <w:adjustRightInd w:val="0"/>
        <w:snapToGrid w:val="0"/>
        <w:spacing w:line="360" w:lineRule="auto"/>
        <w:ind w:left="426"/>
        <w:jc w:val="left"/>
        <w:rPr>
          <w:rFonts w:eastAsia="黑体"/>
          <w:kern w:val="0"/>
          <w:szCs w:val="21"/>
          <w:lang w:val="zh-CN"/>
        </w:rPr>
      </w:pPr>
      <w:r>
        <w:rPr>
          <w:rFonts w:eastAsia="黑体"/>
          <w:szCs w:val="21"/>
        </w:rPr>
        <w:t>1 绪论</w:t>
      </w:r>
      <w:r>
        <w:rPr>
          <w:rFonts w:eastAsia="黑体"/>
          <w:kern w:val="0"/>
          <w:szCs w:val="21"/>
          <w:lang w:val="zh-CN"/>
        </w:rPr>
        <w:t>（1学时）</w:t>
      </w:r>
    </w:p>
    <w:p>
      <w:pPr>
        <w:adjustRightInd w:val="0"/>
        <w:snapToGrid w:val="0"/>
        <w:spacing w:line="360" w:lineRule="auto"/>
        <w:ind w:left="426"/>
        <w:jc w:val="left"/>
        <w:rPr>
          <w:szCs w:val="21"/>
        </w:rPr>
      </w:pPr>
      <w:r>
        <w:rPr>
          <w:szCs w:val="21"/>
        </w:rPr>
        <w:t>1.1、</w:t>
      </w:r>
      <w:r>
        <w:rPr>
          <w:rFonts w:hint="eastAsia" w:cs="宋体"/>
          <w:snapToGrid w:val="0"/>
          <w:kern w:val="0"/>
          <w:szCs w:val="21"/>
        </w:rPr>
        <w:t>本课程在专业课程体系中的地位和作用介绍；</w:t>
      </w:r>
    </w:p>
    <w:p>
      <w:pPr>
        <w:adjustRightInd w:val="0"/>
        <w:snapToGrid w:val="0"/>
        <w:spacing w:line="360" w:lineRule="auto"/>
        <w:ind w:left="426"/>
        <w:jc w:val="left"/>
        <w:rPr>
          <w:szCs w:val="21"/>
        </w:rPr>
      </w:pPr>
      <w:r>
        <w:rPr>
          <w:rFonts w:hint="eastAsia"/>
          <w:szCs w:val="21"/>
        </w:rPr>
        <w:t>1</w:t>
      </w:r>
      <w:r>
        <w:rPr>
          <w:szCs w:val="21"/>
        </w:rPr>
        <w:t>.2</w:t>
      </w:r>
      <w:r>
        <w:rPr>
          <w:rFonts w:hint="eastAsia"/>
          <w:szCs w:val="21"/>
        </w:rPr>
        <w:t>、</w:t>
      </w:r>
      <w:r>
        <w:rPr>
          <w:rFonts w:hint="eastAsia" w:cs="宋体"/>
          <w:snapToGrid w:val="0"/>
          <w:kern w:val="0"/>
          <w:szCs w:val="21"/>
        </w:rPr>
        <w:t>课程内容、学习方法、讲授方式、评价方式介绍；</w:t>
      </w:r>
    </w:p>
    <w:p>
      <w:pPr>
        <w:adjustRightInd w:val="0"/>
        <w:snapToGrid w:val="0"/>
        <w:spacing w:line="360" w:lineRule="auto"/>
        <w:ind w:left="426"/>
        <w:jc w:val="left"/>
        <w:rPr>
          <w:szCs w:val="21"/>
        </w:rPr>
      </w:pPr>
      <w:r>
        <w:rPr>
          <w:rFonts w:hint="eastAsia"/>
          <w:szCs w:val="21"/>
        </w:rPr>
        <w:t>1</w:t>
      </w:r>
      <w:r>
        <w:rPr>
          <w:szCs w:val="21"/>
        </w:rPr>
        <w:t>.3</w:t>
      </w:r>
      <w:r>
        <w:rPr>
          <w:rFonts w:hint="eastAsia"/>
          <w:szCs w:val="21"/>
        </w:rPr>
        <w:t>、</w:t>
      </w:r>
      <w:r>
        <w:rPr>
          <w:szCs w:val="21"/>
        </w:rPr>
        <w:t>光电探测技术的内涵及发展</w:t>
      </w:r>
      <w:r>
        <w:rPr>
          <w:rFonts w:hint="eastAsia"/>
          <w:szCs w:val="21"/>
        </w:rPr>
        <w:t>；</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本章内容支撑课程目标2</w:t>
      </w:r>
      <w:r>
        <w:rPr>
          <w:rFonts w:hint="eastAsia" w:cs="宋体"/>
          <w:bCs/>
          <w:snapToGrid w:val="0"/>
          <w:kern w:val="0"/>
          <w:szCs w:val="21"/>
        </w:rPr>
        <w:t>。</w:t>
      </w:r>
    </w:p>
    <w:p>
      <w:pPr>
        <w:adjustRightInd w:val="0"/>
        <w:snapToGrid w:val="0"/>
        <w:spacing w:line="360" w:lineRule="auto"/>
        <w:ind w:left="426"/>
        <w:jc w:val="left"/>
        <w:rPr>
          <w:szCs w:val="21"/>
        </w:rPr>
      </w:pPr>
      <w:r>
        <w:rPr>
          <w:szCs w:val="21"/>
        </w:rPr>
        <w:t xml:space="preserve">2 </w:t>
      </w:r>
      <w:r>
        <w:rPr>
          <w:rFonts w:eastAsia="黑体"/>
          <w:szCs w:val="21"/>
        </w:rPr>
        <w:t>辐射度与光度学基础</w:t>
      </w:r>
      <w:r>
        <w:rPr>
          <w:rFonts w:eastAsia="黑体"/>
          <w:kern w:val="0"/>
          <w:szCs w:val="21"/>
          <w:lang w:val="zh-CN"/>
        </w:rPr>
        <w:t>（2学时）</w:t>
      </w:r>
    </w:p>
    <w:p>
      <w:pPr>
        <w:adjustRightInd w:val="0"/>
        <w:snapToGrid w:val="0"/>
        <w:spacing w:line="360" w:lineRule="auto"/>
        <w:ind w:left="426"/>
        <w:jc w:val="left"/>
        <w:rPr>
          <w:szCs w:val="21"/>
        </w:rPr>
      </w:pPr>
      <w:r>
        <w:rPr>
          <w:szCs w:val="21"/>
        </w:rPr>
        <w:t>2.1</w:t>
      </w:r>
      <w:r>
        <w:rPr>
          <w:rFonts w:hint="eastAsia"/>
          <w:szCs w:val="21"/>
        </w:rPr>
        <w:t>、掌握</w:t>
      </w:r>
      <w:r>
        <w:rPr>
          <w:szCs w:val="21"/>
        </w:rPr>
        <w:t>辐射度与光度学概念</w:t>
      </w:r>
      <w:r>
        <w:rPr>
          <w:rFonts w:hint="eastAsia"/>
          <w:szCs w:val="21"/>
        </w:rPr>
        <w:t>；</w:t>
      </w:r>
    </w:p>
    <w:p>
      <w:pPr>
        <w:adjustRightInd w:val="0"/>
        <w:snapToGrid w:val="0"/>
        <w:spacing w:line="360" w:lineRule="auto"/>
        <w:ind w:left="426"/>
        <w:jc w:val="left"/>
        <w:rPr>
          <w:szCs w:val="21"/>
        </w:rPr>
      </w:pPr>
      <w:r>
        <w:rPr>
          <w:rFonts w:hint="eastAsia"/>
          <w:szCs w:val="21"/>
        </w:rPr>
        <w:t>2</w:t>
      </w:r>
      <w:r>
        <w:rPr>
          <w:szCs w:val="21"/>
        </w:rPr>
        <w:t>.2</w:t>
      </w:r>
      <w:r>
        <w:rPr>
          <w:rFonts w:hint="eastAsia"/>
          <w:szCs w:val="21"/>
        </w:rPr>
        <w:t>、掌握</w:t>
      </w:r>
      <w:r>
        <w:rPr>
          <w:szCs w:val="21"/>
        </w:rPr>
        <w:t>辐射度与光度学的基本</w:t>
      </w:r>
      <w:r>
        <w:rPr>
          <w:rFonts w:hint="eastAsia"/>
          <w:szCs w:val="21"/>
        </w:rPr>
        <w:t>物理量；</w:t>
      </w:r>
      <w:r>
        <w:rPr>
          <w:bCs/>
          <w:szCs w:val="21"/>
        </w:rPr>
        <w:t>（重点）</w:t>
      </w:r>
    </w:p>
    <w:p>
      <w:pPr>
        <w:adjustRightInd w:val="0"/>
        <w:snapToGrid w:val="0"/>
        <w:spacing w:line="360" w:lineRule="auto"/>
        <w:ind w:left="426"/>
        <w:jc w:val="left"/>
        <w:rPr>
          <w:bCs/>
          <w:szCs w:val="21"/>
        </w:rPr>
      </w:pPr>
      <w:r>
        <w:rPr>
          <w:szCs w:val="21"/>
        </w:rPr>
        <w:t>2.3、</w:t>
      </w:r>
      <w:r>
        <w:rPr>
          <w:rFonts w:hint="eastAsia"/>
          <w:szCs w:val="21"/>
        </w:rPr>
        <w:t>了解</w:t>
      </w:r>
      <w:r>
        <w:rPr>
          <w:szCs w:val="21"/>
        </w:rPr>
        <w:t>辐射度与光度学的基本定律</w:t>
      </w:r>
      <w:r>
        <w:rPr>
          <w:rFonts w:hint="eastAsia"/>
          <w:szCs w:val="21"/>
        </w:rPr>
        <w:t>。</w:t>
      </w:r>
      <w:r>
        <w:rPr>
          <w:bCs/>
          <w:szCs w:val="21"/>
        </w:rPr>
        <w:t>（难点）</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w:t>
      </w:r>
    </w:p>
    <w:p>
      <w:pPr>
        <w:adjustRightInd w:val="0"/>
        <w:snapToGrid w:val="0"/>
        <w:spacing w:line="360" w:lineRule="auto"/>
        <w:ind w:left="426"/>
        <w:jc w:val="left"/>
        <w:rPr>
          <w:rFonts w:eastAsia="黑体"/>
          <w:szCs w:val="21"/>
        </w:rPr>
      </w:pPr>
      <w:r>
        <w:rPr>
          <w:rFonts w:eastAsia="黑体"/>
          <w:szCs w:val="21"/>
        </w:rPr>
        <w:t>3 光电仪器中常用的光源</w:t>
      </w:r>
      <w:r>
        <w:rPr>
          <w:rFonts w:eastAsia="黑体"/>
          <w:kern w:val="0"/>
          <w:szCs w:val="21"/>
          <w:lang w:val="zh-CN"/>
        </w:rPr>
        <w:t>（2学时）</w:t>
      </w:r>
    </w:p>
    <w:p>
      <w:pPr>
        <w:adjustRightInd w:val="0"/>
        <w:snapToGrid w:val="0"/>
        <w:spacing w:line="360" w:lineRule="auto"/>
        <w:ind w:left="426"/>
        <w:jc w:val="left"/>
        <w:rPr>
          <w:kern w:val="0"/>
          <w:szCs w:val="21"/>
        </w:rPr>
      </w:pPr>
      <w:r>
        <w:rPr>
          <w:szCs w:val="21"/>
        </w:rPr>
        <w:t>3.1、</w:t>
      </w:r>
      <w:r>
        <w:rPr>
          <w:rFonts w:hint="eastAsia"/>
          <w:szCs w:val="21"/>
        </w:rPr>
        <w:t>熟悉</w:t>
      </w:r>
      <w:r>
        <w:rPr>
          <w:szCs w:val="21"/>
        </w:rPr>
        <w:t>光源的基本特性参数</w:t>
      </w:r>
      <w:r>
        <w:rPr>
          <w:rFonts w:hint="eastAsia"/>
          <w:szCs w:val="21"/>
        </w:rPr>
        <w:t>；</w:t>
      </w:r>
      <w:r>
        <w:rPr>
          <w:bCs/>
          <w:szCs w:val="21"/>
        </w:rPr>
        <w:t>（重点）</w:t>
      </w:r>
    </w:p>
    <w:p>
      <w:pPr>
        <w:adjustRightInd w:val="0"/>
        <w:snapToGrid w:val="0"/>
        <w:spacing w:line="360" w:lineRule="auto"/>
        <w:ind w:left="426"/>
        <w:jc w:val="left"/>
        <w:rPr>
          <w:szCs w:val="21"/>
        </w:rPr>
      </w:pPr>
      <w:r>
        <w:rPr>
          <w:szCs w:val="21"/>
        </w:rPr>
        <w:t>3.2、了解气体放电光源和固体发光光源特点</w:t>
      </w:r>
      <w:r>
        <w:rPr>
          <w:rFonts w:hint="eastAsia"/>
          <w:szCs w:val="21"/>
        </w:rPr>
        <w:t>；</w:t>
      </w:r>
    </w:p>
    <w:p>
      <w:pPr>
        <w:adjustRightInd w:val="0"/>
        <w:snapToGrid w:val="0"/>
        <w:spacing w:line="360" w:lineRule="auto"/>
        <w:ind w:left="426"/>
        <w:jc w:val="left"/>
        <w:rPr>
          <w:szCs w:val="21"/>
        </w:rPr>
      </w:pPr>
      <w:r>
        <w:rPr>
          <w:szCs w:val="21"/>
        </w:rPr>
        <w:t>3.3、了解激光器的基本原理和分类</w:t>
      </w:r>
      <w:r>
        <w:rPr>
          <w:rFonts w:hint="eastAsia"/>
          <w:szCs w:val="21"/>
        </w:rPr>
        <w:t>；</w:t>
      </w:r>
    </w:p>
    <w:p>
      <w:pPr>
        <w:adjustRightInd w:val="0"/>
        <w:snapToGrid w:val="0"/>
        <w:spacing w:line="360" w:lineRule="auto"/>
        <w:ind w:left="426"/>
        <w:jc w:val="left"/>
        <w:rPr>
          <w:bCs/>
          <w:szCs w:val="21"/>
        </w:rPr>
      </w:pPr>
      <w:r>
        <w:rPr>
          <w:szCs w:val="21"/>
        </w:rPr>
        <w:t>3.4、</w:t>
      </w:r>
      <w:r>
        <w:rPr>
          <w:rFonts w:hint="eastAsia"/>
          <w:szCs w:val="21"/>
        </w:rPr>
        <w:t>了解</w:t>
      </w:r>
      <w:r>
        <w:rPr>
          <w:szCs w:val="21"/>
        </w:rPr>
        <w:t>半导体激光器特性与应用领域</w:t>
      </w:r>
      <w:r>
        <w:rPr>
          <w:rFonts w:hint="eastAsia"/>
          <w:szCs w:val="21"/>
        </w:rPr>
        <w:t>。</w:t>
      </w:r>
      <w:r>
        <w:rPr>
          <w:bCs/>
          <w:szCs w:val="21"/>
        </w:rPr>
        <w:t>（重点</w:t>
      </w:r>
      <w:r>
        <w:rPr>
          <w:rFonts w:hint="eastAsia"/>
          <w:bCs/>
          <w:szCs w:val="21"/>
        </w:rPr>
        <w:t>、</w:t>
      </w:r>
      <w:r>
        <w:rPr>
          <w:bCs/>
          <w:szCs w:val="21"/>
        </w:rPr>
        <w:t>难点）</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jc w:val="left"/>
        <w:rPr>
          <w:rFonts w:eastAsia="黑体"/>
          <w:szCs w:val="21"/>
        </w:rPr>
      </w:pPr>
      <w:r>
        <w:rPr>
          <w:rFonts w:eastAsia="黑体"/>
          <w:szCs w:val="21"/>
        </w:rPr>
        <w:t>4 光辐射探测器的理论基础</w:t>
      </w:r>
      <w:r>
        <w:rPr>
          <w:rFonts w:eastAsia="黑体"/>
          <w:kern w:val="0"/>
          <w:szCs w:val="21"/>
          <w:lang w:val="zh-CN"/>
        </w:rPr>
        <w:t>（2学时）</w:t>
      </w:r>
    </w:p>
    <w:p>
      <w:pPr>
        <w:adjustRightInd w:val="0"/>
        <w:snapToGrid w:val="0"/>
        <w:spacing w:line="360" w:lineRule="auto"/>
        <w:ind w:left="426"/>
        <w:jc w:val="left"/>
        <w:rPr>
          <w:szCs w:val="21"/>
        </w:rPr>
      </w:pPr>
      <w:r>
        <w:rPr>
          <w:szCs w:val="21"/>
        </w:rPr>
        <w:t>4.1、</w:t>
      </w:r>
      <w:r>
        <w:rPr>
          <w:rFonts w:hint="eastAsia"/>
          <w:szCs w:val="21"/>
        </w:rPr>
        <w:t>了解</w:t>
      </w:r>
      <w:r>
        <w:rPr>
          <w:szCs w:val="21"/>
        </w:rPr>
        <w:t>半导体的光电效应</w:t>
      </w:r>
      <w:r>
        <w:rPr>
          <w:rFonts w:hint="eastAsia"/>
          <w:szCs w:val="21"/>
        </w:rPr>
        <w:t>；</w:t>
      </w:r>
      <w:r>
        <w:rPr>
          <w:bCs/>
          <w:szCs w:val="21"/>
        </w:rPr>
        <w:t>（重点）</w:t>
      </w:r>
    </w:p>
    <w:p>
      <w:pPr>
        <w:adjustRightInd w:val="0"/>
        <w:snapToGrid w:val="0"/>
        <w:spacing w:line="360" w:lineRule="auto"/>
        <w:ind w:left="426"/>
        <w:jc w:val="left"/>
        <w:rPr>
          <w:szCs w:val="21"/>
        </w:rPr>
      </w:pPr>
      <w:r>
        <w:rPr>
          <w:szCs w:val="21"/>
        </w:rPr>
        <w:t>4.2、了解光电探测器中的噪声信号</w:t>
      </w:r>
      <w:r>
        <w:rPr>
          <w:rFonts w:hint="eastAsia"/>
          <w:szCs w:val="21"/>
        </w:rPr>
        <w:t>；</w:t>
      </w:r>
    </w:p>
    <w:p>
      <w:pPr>
        <w:adjustRightInd w:val="0"/>
        <w:snapToGrid w:val="0"/>
        <w:spacing w:line="360" w:lineRule="auto"/>
        <w:ind w:left="426"/>
        <w:jc w:val="left"/>
        <w:rPr>
          <w:bCs/>
          <w:szCs w:val="21"/>
        </w:rPr>
      </w:pPr>
      <w:r>
        <w:rPr>
          <w:szCs w:val="21"/>
        </w:rPr>
        <w:t>4.3、</w:t>
      </w:r>
      <w:r>
        <w:rPr>
          <w:rFonts w:hint="eastAsia"/>
          <w:szCs w:val="21"/>
        </w:rPr>
        <w:t>熟悉</w:t>
      </w:r>
      <w:r>
        <w:rPr>
          <w:szCs w:val="21"/>
        </w:rPr>
        <w:t>探测器的主要特性参数</w:t>
      </w:r>
      <w:r>
        <w:rPr>
          <w:rFonts w:hint="eastAsia"/>
          <w:szCs w:val="21"/>
        </w:rPr>
        <w:t>。</w:t>
      </w:r>
      <w:r>
        <w:rPr>
          <w:bCs/>
          <w:szCs w:val="21"/>
        </w:rPr>
        <w:t>（重点）</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w:t>
      </w:r>
    </w:p>
    <w:p>
      <w:pPr>
        <w:adjustRightInd w:val="0"/>
        <w:snapToGrid w:val="0"/>
        <w:spacing w:line="360" w:lineRule="auto"/>
        <w:ind w:left="426"/>
        <w:jc w:val="left"/>
        <w:rPr>
          <w:rFonts w:eastAsia="黑体"/>
          <w:szCs w:val="21"/>
        </w:rPr>
      </w:pPr>
      <w:r>
        <w:rPr>
          <w:rFonts w:eastAsia="黑体"/>
          <w:szCs w:val="21"/>
        </w:rPr>
        <w:t>5 真空光电器件</w:t>
      </w:r>
      <w:r>
        <w:rPr>
          <w:rFonts w:eastAsia="黑体"/>
          <w:kern w:val="0"/>
          <w:szCs w:val="21"/>
          <w:lang w:val="zh-CN"/>
        </w:rPr>
        <w:t>（3学时）</w:t>
      </w:r>
    </w:p>
    <w:p>
      <w:pPr>
        <w:adjustRightInd w:val="0"/>
        <w:snapToGrid w:val="0"/>
        <w:spacing w:line="360" w:lineRule="auto"/>
        <w:ind w:left="426"/>
        <w:jc w:val="left"/>
        <w:rPr>
          <w:szCs w:val="21"/>
        </w:rPr>
      </w:pPr>
      <w:r>
        <w:rPr>
          <w:szCs w:val="21"/>
        </w:rPr>
        <w:t>5.1、</w:t>
      </w:r>
      <w:r>
        <w:rPr>
          <w:rFonts w:hint="eastAsia"/>
          <w:szCs w:val="21"/>
        </w:rPr>
        <w:t>掌握</w:t>
      </w:r>
      <w:r>
        <w:rPr>
          <w:szCs w:val="21"/>
        </w:rPr>
        <w:t>光电管与光电倍增管的工作原理及主要特性参数</w:t>
      </w:r>
      <w:r>
        <w:rPr>
          <w:rFonts w:hint="eastAsia"/>
          <w:szCs w:val="21"/>
        </w:rPr>
        <w:t>；</w:t>
      </w:r>
      <w:r>
        <w:rPr>
          <w:bCs/>
          <w:szCs w:val="21"/>
        </w:rPr>
        <w:t>（重点）</w:t>
      </w:r>
    </w:p>
    <w:p>
      <w:pPr>
        <w:adjustRightInd w:val="0"/>
        <w:snapToGrid w:val="0"/>
        <w:spacing w:line="360" w:lineRule="auto"/>
        <w:ind w:left="426"/>
        <w:jc w:val="left"/>
        <w:rPr>
          <w:bCs/>
          <w:szCs w:val="21"/>
        </w:rPr>
      </w:pPr>
      <w:r>
        <w:rPr>
          <w:szCs w:val="21"/>
        </w:rPr>
        <w:t>5.2、</w:t>
      </w:r>
      <w:r>
        <w:rPr>
          <w:rFonts w:hint="eastAsia"/>
          <w:szCs w:val="21"/>
        </w:rPr>
        <w:t>熟悉</w:t>
      </w:r>
      <w:r>
        <w:rPr>
          <w:szCs w:val="21"/>
        </w:rPr>
        <w:t>光电倍增管的供电和信号输出电路</w:t>
      </w:r>
      <w:r>
        <w:rPr>
          <w:rFonts w:hint="eastAsia"/>
          <w:szCs w:val="21"/>
        </w:rPr>
        <w:t>；</w:t>
      </w:r>
      <w:r>
        <w:rPr>
          <w:bCs/>
          <w:szCs w:val="21"/>
        </w:rPr>
        <w:t>（重点</w:t>
      </w:r>
      <w:r>
        <w:rPr>
          <w:rFonts w:hint="eastAsia"/>
          <w:szCs w:val="21"/>
        </w:rPr>
        <w:t>、难点</w:t>
      </w:r>
      <w:r>
        <w:rPr>
          <w:bCs/>
          <w:szCs w:val="21"/>
        </w:rPr>
        <w:t>）</w:t>
      </w:r>
    </w:p>
    <w:p>
      <w:pPr>
        <w:adjustRightInd w:val="0"/>
        <w:snapToGrid w:val="0"/>
        <w:spacing w:line="360" w:lineRule="auto"/>
        <w:ind w:left="426"/>
        <w:jc w:val="left"/>
        <w:rPr>
          <w:szCs w:val="21"/>
        </w:rPr>
      </w:pPr>
      <w:r>
        <w:rPr>
          <w:szCs w:val="21"/>
        </w:rPr>
        <w:t>5.3、了解微通道板光电倍增管</w:t>
      </w:r>
      <w:r>
        <w:rPr>
          <w:rFonts w:hint="eastAsia"/>
          <w:szCs w:val="21"/>
        </w:rPr>
        <w:t>。</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jc w:val="left"/>
        <w:rPr>
          <w:rFonts w:eastAsia="黑体"/>
          <w:szCs w:val="21"/>
        </w:rPr>
      </w:pPr>
      <w:r>
        <w:rPr>
          <w:rFonts w:eastAsia="黑体"/>
          <w:szCs w:val="21"/>
        </w:rPr>
        <w:t>6 半导体光电导器件</w:t>
      </w:r>
      <w:r>
        <w:rPr>
          <w:rFonts w:eastAsia="黑体"/>
          <w:kern w:val="0"/>
          <w:szCs w:val="21"/>
          <w:lang w:val="zh-CN"/>
        </w:rPr>
        <w:t>（4学时）</w:t>
      </w:r>
    </w:p>
    <w:p>
      <w:pPr>
        <w:adjustRightInd w:val="0"/>
        <w:snapToGrid w:val="0"/>
        <w:spacing w:line="360" w:lineRule="auto"/>
        <w:ind w:left="426"/>
        <w:jc w:val="left"/>
        <w:rPr>
          <w:szCs w:val="21"/>
        </w:rPr>
      </w:pPr>
      <w:r>
        <w:rPr>
          <w:szCs w:val="21"/>
        </w:rPr>
        <w:t>6.1、熟悉</w:t>
      </w:r>
      <w:r>
        <w:rPr>
          <w:rFonts w:hint="eastAsia"/>
          <w:szCs w:val="21"/>
        </w:rPr>
        <w:t>光电导探测器的原理与结构；（重点）</w:t>
      </w:r>
    </w:p>
    <w:p>
      <w:pPr>
        <w:adjustRightInd w:val="0"/>
        <w:snapToGrid w:val="0"/>
        <w:spacing w:line="360" w:lineRule="auto"/>
        <w:ind w:left="426"/>
        <w:jc w:val="left"/>
        <w:rPr>
          <w:szCs w:val="21"/>
        </w:rPr>
      </w:pPr>
      <w:r>
        <w:rPr>
          <w:rFonts w:hint="eastAsia"/>
          <w:szCs w:val="21"/>
        </w:rPr>
        <w:t>6</w:t>
      </w:r>
      <w:r>
        <w:rPr>
          <w:szCs w:val="21"/>
        </w:rPr>
        <w:t>.2</w:t>
      </w:r>
      <w:r>
        <w:rPr>
          <w:rFonts w:hint="eastAsia"/>
          <w:szCs w:val="21"/>
        </w:rPr>
        <w:t>、了解</w:t>
      </w:r>
      <w:r>
        <w:rPr>
          <w:szCs w:val="21"/>
        </w:rPr>
        <w:t>光敏电阻的主要特性参数</w:t>
      </w:r>
      <w:r>
        <w:rPr>
          <w:rFonts w:hint="eastAsia"/>
          <w:szCs w:val="21"/>
        </w:rPr>
        <w:t>；</w:t>
      </w:r>
    </w:p>
    <w:p>
      <w:pPr>
        <w:adjustRightInd w:val="0"/>
        <w:snapToGrid w:val="0"/>
        <w:spacing w:line="360" w:lineRule="auto"/>
        <w:ind w:left="426"/>
        <w:jc w:val="left"/>
        <w:rPr>
          <w:szCs w:val="21"/>
        </w:rPr>
      </w:pPr>
      <w:r>
        <w:rPr>
          <w:szCs w:val="21"/>
        </w:rPr>
        <w:t>6.3、</w:t>
      </w:r>
      <w:r>
        <w:rPr>
          <w:rFonts w:hint="eastAsia"/>
          <w:szCs w:val="21"/>
        </w:rPr>
        <w:t>了解</w:t>
      </w:r>
      <w:r>
        <w:rPr>
          <w:szCs w:val="21"/>
        </w:rPr>
        <w:t>光敏电阻的基本偏置电路</w:t>
      </w:r>
      <w:r>
        <w:rPr>
          <w:rFonts w:hint="eastAsia"/>
          <w:szCs w:val="21"/>
        </w:rPr>
        <w:t>；</w:t>
      </w:r>
      <w:r>
        <w:rPr>
          <w:bCs/>
          <w:szCs w:val="21"/>
        </w:rPr>
        <w:t>（难点）</w:t>
      </w:r>
    </w:p>
    <w:p>
      <w:pPr>
        <w:adjustRightInd w:val="0"/>
        <w:snapToGrid w:val="0"/>
        <w:spacing w:line="360" w:lineRule="auto"/>
        <w:ind w:left="426"/>
        <w:jc w:val="left"/>
        <w:rPr>
          <w:szCs w:val="21"/>
        </w:rPr>
      </w:pPr>
      <w:r>
        <w:rPr>
          <w:szCs w:val="21"/>
        </w:rPr>
        <w:t>6.4</w:t>
      </w:r>
      <w:r>
        <w:rPr>
          <w:rFonts w:hint="eastAsia"/>
          <w:szCs w:val="21"/>
        </w:rPr>
        <w:t>、了解</w:t>
      </w:r>
      <w:r>
        <w:rPr>
          <w:szCs w:val="21"/>
        </w:rPr>
        <w:t>光敏电阻的典型应用</w:t>
      </w:r>
      <w:r>
        <w:rPr>
          <w:rFonts w:hint="eastAsia"/>
          <w:szCs w:val="21"/>
        </w:rPr>
        <w:t>。</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jc w:val="left"/>
        <w:rPr>
          <w:rFonts w:eastAsia="黑体"/>
          <w:szCs w:val="21"/>
        </w:rPr>
      </w:pPr>
      <w:r>
        <w:rPr>
          <w:rFonts w:eastAsia="黑体"/>
          <w:szCs w:val="21"/>
        </w:rPr>
        <w:t>7 半导体结型光电器件</w:t>
      </w:r>
      <w:r>
        <w:rPr>
          <w:rFonts w:eastAsia="黑体"/>
          <w:kern w:val="0"/>
          <w:szCs w:val="21"/>
          <w:lang w:val="zh-CN"/>
        </w:rPr>
        <w:t>（4学时）</w:t>
      </w:r>
    </w:p>
    <w:p>
      <w:pPr>
        <w:adjustRightInd w:val="0"/>
        <w:snapToGrid w:val="0"/>
        <w:spacing w:line="360" w:lineRule="auto"/>
        <w:ind w:left="426"/>
        <w:jc w:val="left"/>
        <w:rPr>
          <w:szCs w:val="21"/>
        </w:rPr>
      </w:pPr>
      <w:r>
        <w:rPr>
          <w:szCs w:val="21"/>
        </w:rPr>
        <w:t>7.1、</w:t>
      </w:r>
      <w:r>
        <w:rPr>
          <w:rFonts w:hint="eastAsia"/>
          <w:szCs w:val="21"/>
        </w:rPr>
        <w:t>掌握</w:t>
      </w:r>
      <w:r>
        <w:rPr>
          <w:szCs w:val="21"/>
        </w:rPr>
        <w:t>结型光电器件原理</w:t>
      </w:r>
      <w:r>
        <w:rPr>
          <w:rFonts w:hint="eastAsia"/>
          <w:szCs w:val="21"/>
        </w:rPr>
        <w:t>；（重点、难点）</w:t>
      </w:r>
    </w:p>
    <w:p>
      <w:pPr>
        <w:adjustRightInd w:val="0"/>
        <w:snapToGrid w:val="0"/>
        <w:spacing w:line="360" w:lineRule="auto"/>
        <w:ind w:left="426"/>
        <w:jc w:val="left"/>
        <w:rPr>
          <w:szCs w:val="21"/>
        </w:rPr>
      </w:pPr>
      <w:r>
        <w:rPr>
          <w:szCs w:val="21"/>
        </w:rPr>
        <w:t>7.2、</w:t>
      </w:r>
      <w:r>
        <w:rPr>
          <w:rFonts w:hint="eastAsia"/>
          <w:szCs w:val="21"/>
        </w:rPr>
        <w:t>熟悉</w:t>
      </w:r>
      <w:r>
        <w:rPr>
          <w:szCs w:val="21"/>
        </w:rPr>
        <w:t>硅光电池特性</w:t>
      </w:r>
      <w:r>
        <w:rPr>
          <w:rFonts w:hint="eastAsia"/>
          <w:szCs w:val="21"/>
        </w:rPr>
        <w:t>；</w:t>
      </w:r>
    </w:p>
    <w:p>
      <w:pPr>
        <w:adjustRightInd w:val="0"/>
        <w:snapToGrid w:val="0"/>
        <w:spacing w:line="360" w:lineRule="auto"/>
        <w:ind w:left="426"/>
        <w:jc w:val="left"/>
        <w:rPr>
          <w:bCs/>
          <w:szCs w:val="21"/>
        </w:rPr>
      </w:pPr>
      <w:r>
        <w:rPr>
          <w:szCs w:val="21"/>
        </w:rPr>
        <w:t>7.3、</w:t>
      </w:r>
      <w:r>
        <w:rPr>
          <w:rFonts w:hint="eastAsia"/>
          <w:szCs w:val="21"/>
        </w:rPr>
        <w:t>熟悉</w:t>
      </w:r>
      <w:r>
        <w:rPr>
          <w:szCs w:val="21"/>
        </w:rPr>
        <w:t>硅光电二极管和硅光电三极管特性及选型</w:t>
      </w:r>
      <w:r>
        <w:rPr>
          <w:rFonts w:hint="eastAsia"/>
          <w:szCs w:val="21"/>
        </w:rPr>
        <w:t>；</w:t>
      </w:r>
      <w:r>
        <w:rPr>
          <w:bCs/>
          <w:szCs w:val="21"/>
        </w:rPr>
        <w:t>（重点）</w:t>
      </w:r>
    </w:p>
    <w:p>
      <w:pPr>
        <w:adjustRightInd w:val="0"/>
        <w:snapToGrid w:val="0"/>
        <w:spacing w:line="360" w:lineRule="auto"/>
        <w:ind w:left="426"/>
        <w:jc w:val="left"/>
        <w:rPr>
          <w:szCs w:val="21"/>
        </w:rPr>
      </w:pPr>
      <w:r>
        <w:rPr>
          <w:szCs w:val="21"/>
        </w:rPr>
        <w:t>7.4、了解光电变换电路</w:t>
      </w:r>
      <w:r>
        <w:rPr>
          <w:rFonts w:hint="eastAsia"/>
          <w:szCs w:val="21"/>
        </w:rPr>
        <w:t>；（难点）</w:t>
      </w:r>
    </w:p>
    <w:p>
      <w:pPr>
        <w:adjustRightInd w:val="0"/>
        <w:snapToGrid w:val="0"/>
        <w:spacing w:line="360" w:lineRule="auto"/>
        <w:ind w:left="426"/>
        <w:jc w:val="left"/>
        <w:rPr>
          <w:bCs/>
          <w:szCs w:val="21"/>
        </w:rPr>
      </w:pPr>
      <w:r>
        <w:rPr>
          <w:szCs w:val="21"/>
        </w:rPr>
        <w:t>7.5、</w:t>
      </w:r>
      <w:r>
        <w:rPr>
          <w:rFonts w:hint="eastAsia"/>
          <w:szCs w:val="21"/>
        </w:rPr>
        <w:t>熟悉</w:t>
      </w:r>
      <w:r>
        <w:rPr>
          <w:szCs w:val="21"/>
        </w:rPr>
        <w:t>特殊结型光电器件</w:t>
      </w:r>
      <w:r>
        <w:rPr>
          <w:rFonts w:hint="eastAsia"/>
          <w:szCs w:val="21"/>
        </w:rPr>
        <w:t>。</w:t>
      </w:r>
      <w:r>
        <w:rPr>
          <w:bCs/>
          <w:szCs w:val="21"/>
        </w:rPr>
        <w:t>（难点）</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jc w:val="left"/>
        <w:rPr>
          <w:rFonts w:eastAsia="黑体"/>
          <w:szCs w:val="21"/>
        </w:rPr>
      </w:pPr>
      <w:r>
        <w:rPr>
          <w:rFonts w:eastAsia="黑体"/>
          <w:szCs w:val="21"/>
        </w:rPr>
        <w:t>8 光电成像器件</w:t>
      </w:r>
      <w:r>
        <w:rPr>
          <w:rFonts w:eastAsia="黑体"/>
          <w:kern w:val="0"/>
          <w:szCs w:val="21"/>
          <w:lang w:val="zh-CN"/>
        </w:rPr>
        <w:t>（2学时）</w:t>
      </w:r>
    </w:p>
    <w:p>
      <w:pPr>
        <w:adjustRightInd w:val="0"/>
        <w:snapToGrid w:val="0"/>
        <w:spacing w:line="360" w:lineRule="auto"/>
        <w:ind w:left="426"/>
        <w:jc w:val="left"/>
        <w:rPr>
          <w:szCs w:val="21"/>
        </w:rPr>
      </w:pPr>
      <w:r>
        <w:rPr>
          <w:szCs w:val="21"/>
        </w:rPr>
        <w:t>8.1、</w:t>
      </w:r>
      <w:r>
        <w:rPr>
          <w:rFonts w:hint="eastAsia"/>
          <w:szCs w:val="21"/>
        </w:rPr>
        <w:t>掌握</w:t>
      </w:r>
      <w:r>
        <w:rPr>
          <w:szCs w:val="21"/>
        </w:rPr>
        <w:t>变像管和像增强器的工作原理</w:t>
      </w:r>
      <w:r>
        <w:rPr>
          <w:rFonts w:hint="eastAsia"/>
          <w:szCs w:val="21"/>
        </w:rPr>
        <w:t>；（重点）</w:t>
      </w:r>
    </w:p>
    <w:p>
      <w:pPr>
        <w:adjustRightInd w:val="0"/>
        <w:snapToGrid w:val="0"/>
        <w:spacing w:line="360" w:lineRule="auto"/>
        <w:ind w:left="426"/>
        <w:jc w:val="left"/>
        <w:rPr>
          <w:bCs/>
          <w:szCs w:val="21"/>
        </w:rPr>
      </w:pPr>
      <w:r>
        <w:rPr>
          <w:szCs w:val="21"/>
        </w:rPr>
        <w:t>8.2、</w:t>
      </w:r>
      <w:r>
        <w:rPr>
          <w:rFonts w:hint="eastAsia"/>
          <w:szCs w:val="21"/>
        </w:rPr>
        <w:t>熟悉</w:t>
      </w:r>
      <w:r>
        <w:rPr>
          <w:szCs w:val="21"/>
        </w:rPr>
        <w:t>电荷耦合器件的工作原理及其典型应用</w:t>
      </w:r>
      <w:r>
        <w:rPr>
          <w:rFonts w:hint="eastAsia"/>
          <w:szCs w:val="21"/>
        </w:rPr>
        <w:t>；</w:t>
      </w:r>
      <w:r>
        <w:rPr>
          <w:bCs/>
          <w:szCs w:val="21"/>
        </w:rPr>
        <w:t>（重点</w:t>
      </w:r>
      <w:r>
        <w:rPr>
          <w:rFonts w:hint="eastAsia"/>
          <w:bCs/>
          <w:szCs w:val="21"/>
        </w:rPr>
        <w:t>、</w:t>
      </w:r>
      <w:r>
        <w:rPr>
          <w:bCs/>
          <w:szCs w:val="21"/>
        </w:rPr>
        <w:t>难点）</w:t>
      </w:r>
    </w:p>
    <w:p>
      <w:pPr>
        <w:adjustRightInd w:val="0"/>
        <w:snapToGrid w:val="0"/>
        <w:spacing w:line="360" w:lineRule="auto"/>
        <w:ind w:left="426"/>
        <w:jc w:val="left"/>
        <w:rPr>
          <w:bCs/>
          <w:szCs w:val="21"/>
        </w:rPr>
      </w:pPr>
      <w:r>
        <w:rPr>
          <w:rFonts w:hint="eastAsia"/>
          <w:szCs w:val="21"/>
        </w:rPr>
        <w:t>8</w:t>
      </w:r>
      <w:r>
        <w:rPr>
          <w:szCs w:val="21"/>
        </w:rPr>
        <w:t>.3</w:t>
      </w:r>
      <w:r>
        <w:rPr>
          <w:rFonts w:hint="eastAsia"/>
          <w:szCs w:val="21"/>
        </w:rPr>
        <w:t>、了解CMOS图像传感器</w:t>
      </w:r>
      <w:r>
        <w:rPr>
          <w:szCs w:val="21"/>
        </w:rPr>
        <w:t>的工作原理及其典型应用</w:t>
      </w:r>
      <w:r>
        <w:rPr>
          <w:rFonts w:hint="eastAsia"/>
          <w:szCs w:val="21"/>
        </w:rPr>
        <w:t>。</w:t>
      </w:r>
      <w:r>
        <w:rPr>
          <w:bCs/>
          <w:szCs w:val="21"/>
        </w:rPr>
        <w:t>（难点）</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、2。</w:t>
      </w:r>
    </w:p>
    <w:p>
      <w:pPr>
        <w:adjustRightInd w:val="0"/>
        <w:snapToGrid w:val="0"/>
        <w:spacing w:line="360" w:lineRule="auto"/>
        <w:ind w:left="426"/>
        <w:jc w:val="left"/>
        <w:rPr>
          <w:rFonts w:eastAsia="黑体"/>
          <w:szCs w:val="21"/>
        </w:rPr>
      </w:pPr>
      <w:r>
        <w:rPr>
          <w:rFonts w:eastAsia="黑体"/>
          <w:szCs w:val="21"/>
        </w:rPr>
        <w:t>9 常用红外光电探测技术</w:t>
      </w:r>
      <w:r>
        <w:rPr>
          <w:rFonts w:eastAsia="黑体"/>
          <w:kern w:val="0"/>
          <w:szCs w:val="21"/>
          <w:lang w:val="zh-CN"/>
        </w:rPr>
        <w:t>（2学时）</w:t>
      </w:r>
    </w:p>
    <w:p>
      <w:pPr>
        <w:adjustRightInd w:val="0"/>
        <w:snapToGrid w:val="0"/>
        <w:spacing w:line="360" w:lineRule="auto"/>
        <w:ind w:left="426"/>
        <w:jc w:val="left"/>
        <w:rPr>
          <w:szCs w:val="21"/>
        </w:rPr>
      </w:pPr>
      <w:r>
        <w:rPr>
          <w:szCs w:val="21"/>
        </w:rPr>
        <w:t>9.1、了解红外</w:t>
      </w:r>
      <w:r>
        <w:rPr>
          <w:rFonts w:hint="eastAsia"/>
          <w:szCs w:val="21"/>
        </w:rPr>
        <w:t>探测器的基本</w:t>
      </w:r>
      <w:r>
        <w:rPr>
          <w:szCs w:val="21"/>
        </w:rPr>
        <w:t>原理</w:t>
      </w:r>
      <w:r>
        <w:rPr>
          <w:rFonts w:hint="eastAsia"/>
          <w:szCs w:val="21"/>
        </w:rPr>
        <w:t>；</w:t>
      </w:r>
    </w:p>
    <w:p>
      <w:pPr>
        <w:adjustRightInd w:val="0"/>
        <w:snapToGrid w:val="0"/>
        <w:spacing w:line="360" w:lineRule="auto"/>
        <w:ind w:left="426"/>
        <w:jc w:val="left"/>
        <w:rPr>
          <w:szCs w:val="21"/>
        </w:rPr>
      </w:pPr>
      <w:r>
        <w:rPr>
          <w:szCs w:val="21"/>
        </w:rPr>
        <w:t>9.2、</w:t>
      </w:r>
      <w:r>
        <w:rPr>
          <w:rFonts w:hint="eastAsia"/>
          <w:szCs w:val="21"/>
        </w:rPr>
        <w:t>了解热电偶与热释电探测器；（难点）</w:t>
      </w:r>
    </w:p>
    <w:p>
      <w:pPr>
        <w:adjustRightInd w:val="0"/>
        <w:snapToGrid w:val="0"/>
        <w:spacing w:line="360" w:lineRule="auto"/>
        <w:ind w:left="426"/>
        <w:jc w:val="left"/>
        <w:rPr>
          <w:szCs w:val="21"/>
        </w:rPr>
      </w:pPr>
      <w:r>
        <w:rPr>
          <w:szCs w:val="21"/>
        </w:rPr>
        <w:t>9</w:t>
      </w:r>
      <w:r>
        <w:rPr>
          <w:rFonts w:hint="eastAsia"/>
          <w:szCs w:val="21"/>
        </w:rPr>
        <w:t>.3、了解红外探测器的典型应用。</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adjustRightInd w:val="0"/>
        <w:snapToGrid w:val="0"/>
        <w:spacing w:line="360" w:lineRule="auto"/>
        <w:rPr>
          <w:kern w:val="0"/>
          <w:szCs w:val="21"/>
        </w:rPr>
      </w:pPr>
      <w:r>
        <w:rPr>
          <w:rFonts w:eastAsia="黑体"/>
          <w:szCs w:val="21"/>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是利用现有的操作台和光电元件，进行简单光电探测系统的搭建，以实现巩固课堂所学内容的目的。要求学生熟悉半导体光电导器件、结型光电器件的特性参数与应用环境；掌握主要光电器件的工作原理，并能动手搭建简单的光电探测系统，并能从实验曲线中探究相关的物理特性。</w:t>
      </w:r>
    </w:p>
    <w:p>
      <w:pPr>
        <w:adjustRightInd w:val="0"/>
        <w:snapToGrid w:val="0"/>
        <w:spacing w:line="360" w:lineRule="auto"/>
        <w:ind w:firstLine="420" w:firstLineChars="200"/>
        <w:rPr>
          <w:rFonts w:cs="宋体"/>
          <w:kern w:val="0"/>
          <w:szCs w:val="21"/>
        </w:rPr>
      </w:pPr>
      <w:r>
        <w:rPr>
          <w:rFonts w:cs="宋体"/>
          <w:kern w:val="0"/>
          <w:szCs w:val="21"/>
        </w:rPr>
        <w:t>10</w:t>
      </w:r>
      <w:r>
        <w:rPr>
          <w:rFonts w:hint="eastAsia" w:cs="宋体"/>
          <w:kern w:val="0"/>
          <w:szCs w:val="21"/>
        </w:rPr>
        <w:t>个学时共完成</w:t>
      </w:r>
      <w:r>
        <w:rPr>
          <w:rFonts w:cs="宋体"/>
          <w:kern w:val="0"/>
          <w:szCs w:val="21"/>
        </w:rPr>
        <w:t>5</w:t>
      </w:r>
      <w:r>
        <w:rPr>
          <w:rFonts w:hint="eastAsia" w:cs="宋体"/>
          <w:kern w:val="0"/>
          <w:szCs w:val="21"/>
        </w:rPr>
        <w:t>个实验，均为正常课内实验。分配</w:t>
      </w:r>
      <w:r>
        <w:rPr>
          <w:rFonts w:cs="宋体"/>
          <w:kern w:val="0"/>
          <w:szCs w:val="21"/>
        </w:rPr>
        <w:t>1</w:t>
      </w:r>
      <w:r>
        <w:rPr>
          <w:rFonts w:hint="eastAsia" w:cs="宋体"/>
          <w:kern w:val="0"/>
          <w:szCs w:val="21"/>
        </w:rPr>
        <w:t>学时用来讲解实验要求和指导，学生课外完成后，再分配</w:t>
      </w:r>
      <w:r>
        <w:rPr>
          <w:rFonts w:cs="宋体"/>
          <w:kern w:val="0"/>
          <w:szCs w:val="21"/>
        </w:rPr>
        <w:t>1</w:t>
      </w:r>
      <w:r>
        <w:rPr>
          <w:rFonts w:hint="eastAsia" w:cs="宋体"/>
          <w:kern w:val="0"/>
          <w:szCs w:val="21"/>
        </w:rPr>
        <w:t>学时组织讨论与检查。</w:t>
      </w:r>
    </w:p>
    <w:p>
      <w:pPr>
        <w:widowControl/>
        <w:adjustRightInd w:val="0"/>
        <w:snapToGrid w:val="0"/>
        <w:spacing w:line="360" w:lineRule="auto"/>
        <w:ind w:firstLine="420" w:firstLineChars="200"/>
        <w:jc w:val="left"/>
        <w:rPr>
          <w:rFonts w:eastAsia="黑体"/>
          <w:szCs w:val="21"/>
        </w:rPr>
      </w:pPr>
      <w:r>
        <w:rPr>
          <w:rFonts w:eastAsia="黑体"/>
          <w:szCs w:val="21"/>
        </w:rPr>
        <w:t>实验一光敏电阻特性测试及应用（3学时）</w:t>
      </w:r>
    </w:p>
    <w:p>
      <w:pPr>
        <w:autoSpaceDE w:val="0"/>
        <w:autoSpaceDN w:val="0"/>
        <w:adjustRightInd w:val="0"/>
        <w:snapToGrid w:val="0"/>
        <w:spacing w:line="360" w:lineRule="auto"/>
        <w:ind w:firstLine="420" w:firstLineChars="200"/>
        <w:jc w:val="left"/>
        <w:rPr>
          <w:szCs w:val="21"/>
        </w:rPr>
      </w:pPr>
      <w:r>
        <w:rPr>
          <w:kern w:val="0"/>
          <w:szCs w:val="21"/>
          <w:lang w:val="zh-CN"/>
        </w:rPr>
        <w:t>内容</w:t>
      </w:r>
      <w:r>
        <w:rPr>
          <w:szCs w:val="21"/>
        </w:rPr>
        <w:t>：分别测出两种光敏电阻的亮电流，并做性能比较。画出伏安特性曲线。</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基本要求：</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1、</w:t>
      </w:r>
      <w:r>
        <w:rPr>
          <w:kern w:val="0"/>
          <w:szCs w:val="21"/>
        </w:rPr>
        <w:t>测试光敏电阻的暗电阻，亮电阻，光电阻</w:t>
      </w:r>
      <w:r>
        <w:rPr>
          <w:kern w:val="0"/>
          <w:szCs w:val="21"/>
          <w:lang w:val="zh-CN"/>
        </w:rPr>
        <w:t>；</w:t>
      </w:r>
    </w:p>
    <w:p>
      <w:pPr>
        <w:autoSpaceDE w:val="0"/>
        <w:autoSpaceDN w:val="0"/>
        <w:adjustRightInd w:val="0"/>
        <w:snapToGrid w:val="0"/>
        <w:spacing w:line="360" w:lineRule="auto"/>
        <w:ind w:firstLine="420" w:firstLineChars="200"/>
        <w:jc w:val="left"/>
        <w:rPr>
          <w:kern w:val="0"/>
          <w:szCs w:val="21"/>
        </w:rPr>
      </w:pPr>
      <w:r>
        <w:rPr>
          <w:kern w:val="0"/>
          <w:szCs w:val="21"/>
          <w:lang w:val="zh-CN"/>
        </w:rPr>
        <w:t>2、</w:t>
      </w:r>
      <w:r>
        <w:rPr>
          <w:kern w:val="0"/>
          <w:szCs w:val="21"/>
        </w:rPr>
        <w:t>光敏电阻的暗电流，亮电流，光电流；</w:t>
      </w:r>
    </w:p>
    <w:p>
      <w:pPr>
        <w:autoSpaceDE w:val="0"/>
        <w:autoSpaceDN w:val="0"/>
        <w:adjustRightInd w:val="0"/>
        <w:snapToGrid w:val="0"/>
        <w:spacing w:line="360" w:lineRule="auto"/>
        <w:ind w:firstLine="420" w:firstLineChars="200"/>
        <w:jc w:val="left"/>
        <w:rPr>
          <w:kern w:val="0"/>
          <w:szCs w:val="21"/>
        </w:rPr>
      </w:pPr>
      <w:r>
        <w:rPr>
          <w:kern w:val="0"/>
          <w:szCs w:val="21"/>
        </w:rPr>
        <w:t>3、光敏电阻的光谱特性；</w:t>
      </w:r>
    </w:p>
    <w:p>
      <w:pPr>
        <w:autoSpaceDE w:val="0"/>
        <w:autoSpaceDN w:val="0"/>
        <w:adjustRightInd w:val="0"/>
        <w:snapToGrid w:val="0"/>
        <w:spacing w:line="360" w:lineRule="auto"/>
        <w:ind w:firstLine="420" w:firstLineChars="200"/>
        <w:jc w:val="left"/>
        <w:rPr>
          <w:kern w:val="0"/>
          <w:szCs w:val="21"/>
          <w:lang w:val="zh-CN"/>
        </w:rPr>
      </w:pPr>
      <w:r>
        <w:rPr>
          <w:kern w:val="0"/>
          <w:szCs w:val="21"/>
        </w:rPr>
        <w:t>4、光敏电阻的伏安特性；</w:t>
      </w:r>
    </w:p>
    <w:p>
      <w:pPr>
        <w:autoSpaceDE w:val="0"/>
        <w:autoSpaceDN w:val="0"/>
        <w:adjustRightInd w:val="0"/>
        <w:snapToGrid w:val="0"/>
        <w:spacing w:line="360" w:lineRule="auto"/>
        <w:ind w:firstLine="420" w:firstLineChars="200"/>
        <w:jc w:val="left"/>
        <w:rPr>
          <w:kern w:val="0"/>
          <w:szCs w:val="21"/>
        </w:rPr>
      </w:pPr>
      <w:r>
        <w:rPr>
          <w:kern w:val="0"/>
          <w:szCs w:val="21"/>
        </w:rPr>
        <w:t>5、绘制曲线图，总结规律。</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firstLine="420" w:firstLineChars="200"/>
        <w:jc w:val="left"/>
        <w:rPr>
          <w:rFonts w:eastAsia="黑体"/>
          <w:szCs w:val="21"/>
        </w:rPr>
      </w:pPr>
      <w:r>
        <w:rPr>
          <w:rFonts w:eastAsia="黑体"/>
          <w:szCs w:val="21"/>
        </w:rPr>
        <w:t>实验二光敏管的应用—光控电路（2学时）</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内容：设计基于</w:t>
      </w:r>
      <w:r>
        <w:rPr>
          <w:kern w:val="0"/>
          <w:szCs w:val="21"/>
        </w:rPr>
        <w:t>光敏管的光控电路，在不同光照条件下验证光强对电路影响。</w:t>
      </w:r>
    </w:p>
    <w:p>
      <w:pPr>
        <w:autoSpaceDE w:val="0"/>
        <w:autoSpaceDN w:val="0"/>
        <w:adjustRightInd w:val="0"/>
        <w:snapToGrid w:val="0"/>
        <w:spacing w:line="360" w:lineRule="auto"/>
        <w:ind w:firstLine="420" w:firstLineChars="200"/>
        <w:jc w:val="left"/>
        <w:rPr>
          <w:rFonts w:eastAsia="黑体"/>
          <w:kern w:val="0"/>
          <w:szCs w:val="21"/>
          <w:lang w:val="zh-CN"/>
        </w:rPr>
      </w:pPr>
      <w:r>
        <w:rPr>
          <w:kern w:val="0"/>
          <w:szCs w:val="21"/>
          <w:lang w:val="zh-CN"/>
        </w:rPr>
        <w:t>基本要求：</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1、</w:t>
      </w:r>
      <w:r>
        <w:rPr>
          <w:rFonts w:hint="eastAsia"/>
          <w:kern w:val="0"/>
          <w:szCs w:val="21"/>
        </w:rPr>
        <w:t>了解</w:t>
      </w:r>
      <w:r>
        <w:rPr>
          <w:kern w:val="0"/>
          <w:szCs w:val="21"/>
        </w:rPr>
        <w:t>光敏管的基本原理；</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2、</w:t>
      </w:r>
      <w:r>
        <w:rPr>
          <w:rFonts w:hint="eastAsia"/>
          <w:kern w:val="0"/>
          <w:szCs w:val="21"/>
        </w:rPr>
        <w:t>学会</w:t>
      </w:r>
      <w:r>
        <w:rPr>
          <w:kern w:val="0"/>
          <w:szCs w:val="21"/>
        </w:rPr>
        <w:t>光敏管的使用方法；</w:t>
      </w:r>
    </w:p>
    <w:p>
      <w:pPr>
        <w:autoSpaceDE w:val="0"/>
        <w:autoSpaceDN w:val="0"/>
        <w:adjustRightInd w:val="0"/>
        <w:snapToGrid w:val="0"/>
        <w:spacing w:line="360" w:lineRule="auto"/>
        <w:ind w:firstLine="420" w:firstLineChars="200"/>
        <w:jc w:val="left"/>
        <w:rPr>
          <w:kern w:val="0"/>
          <w:szCs w:val="21"/>
        </w:rPr>
      </w:pPr>
      <w:r>
        <w:rPr>
          <w:kern w:val="0"/>
          <w:szCs w:val="21"/>
          <w:lang w:val="zh-CN"/>
        </w:rPr>
        <w:t>3、设计并验证</w:t>
      </w:r>
      <w:r>
        <w:rPr>
          <w:kern w:val="0"/>
          <w:szCs w:val="21"/>
        </w:rPr>
        <w:t>光控电路；</w:t>
      </w:r>
    </w:p>
    <w:p>
      <w:pPr>
        <w:autoSpaceDE w:val="0"/>
        <w:autoSpaceDN w:val="0"/>
        <w:adjustRightInd w:val="0"/>
        <w:snapToGrid w:val="0"/>
        <w:spacing w:line="360" w:lineRule="auto"/>
        <w:ind w:firstLine="420" w:firstLineChars="200"/>
        <w:jc w:val="left"/>
        <w:rPr>
          <w:kern w:val="0"/>
          <w:szCs w:val="21"/>
        </w:rPr>
      </w:pPr>
      <w:r>
        <w:rPr>
          <w:kern w:val="0"/>
          <w:szCs w:val="21"/>
        </w:rPr>
        <w:t>4、根据暗通电路原理，设计亮通电路。</w:t>
      </w:r>
    </w:p>
    <w:p>
      <w:pPr>
        <w:autoSpaceDE w:val="0"/>
        <w:autoSpaceDN w:val="0"/>
        <w:adjustRightInd w:val="0"/>
        <w:snapToGrid w:val="0"/>
        <w:spacing w:line="360" w:lineRule="auto"/>
        <w:ind w:firstLine="420" w:firstLineChars="200"/>
        <w:jc w:val="left"/>
        <w:rPr>
          <w:kern w:val="0"/>
          <w:szCs w:val="21"/>
        </w:rPr>
      </w:pPr>
      <w:r>
        <w:rPr>
          <w:kern w:val="0"/>
          <w:szCs w:val="21"/>
        </w:rPr>
        <w:t>此实验要求完成光电器件的原理、光敏管在使用方法、基本电路的设计。</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2。</w:t>
      </w:r>
    </w:p>
    <w:p>
      <w:pPr>
        <w:widowControl/>
        <w:adjustRightInd w:val="0"/>
        <w:snapToGrid w:val="0"/>
        <w:spacing w:line="360" w:lineRule="auto"/>
        <w:ind w:firstLine="420" w:firstLineChars="200"/>
        <w:jc w:val="left"/>
        <w:rPr>
          <w:rFonts w:eastAsia="黑体"/>
          <w:szCs w:val="21"/>
        </w:rPr>
      </w:pPr>
      <w:r>
        <w:rPr>
          <w:rFonts w:eastAsia="黑体"/>
          <w:szCs w:val="21"/>
        </w:rPr>
        <w:t>实验三光敏三极管特性测试及应用（3学时）设计性</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内容：测出给定光敏三极管对不同光谱的响应曲线，总结使用光敏三极管时对光源的选择规律。</w:t>
      </w:r>
    </w:p>
    <w:p>
      <w:pPr>
        <w:autoSpaceDE w:val="0"/>
        <w:autoSpaceDN w:val="0"/>
        <w:adjustRightInd w:val="0"/>
        <w:snapToGrid w:val="0"/>
        <w:spacing w:line="360" w:lineRule="auto"/>
        <w:ind w:firstLine="420" w:firstLineChars="200"/>
        <w:jc w:val="left"/>
        <w:rPr>
          <w:rFonts w:eastAsia="黑体"/>
          <w:kern w:val="0"/>
          <w:szCs w:val="21"/>
          <w:lang w:val="zh-CN"/>
        </w:rPr>
      </w:pPr>
      <w:r>
        <w:rPr>
          <w:kern w:val="0"/>
          <w:szCs w:val="21"/>
          <w:lang w:val="zh-CN"/>
        </w:rPr>
        <w:t>基本要求：</w:t>
      </w:r>
    </w:p>
    <w:p>
      <w:pPr>
        <w:widowControl/>
        <w:adjustRightInd w:val="0"/>
        <w:snapToGrid w:val="0"/>
        <w:spacing w:line="360" w:lineRule="auto"/>
        <w:ind w:right="26" w:firstLine="420" w:firstLineChars="200"/>
        <w:jc w:val="left"/>
        <w:rPr>
          <w:kern w:val="0"/>
          <w:szCs w:val="21"/>
        </w:rPr>
      </w:pPr>
      <w:r>
        <w:rPr>
          <w:kern w:val="0"/>
          <w:szCs w:val="21"/>
        </w:rPr>
        <w:t>1、搭建测量电路；</w:t>
      </w:r>
    </w:p>
    <w:p>
      <w:pPr>
        <w:widowControl/>
        <w:adjustRightInd w:val="0"/>
        <w:snapToGrid w:val="0"/>
        <w:spacing w:line="360" w:lineRule="auto"/>
        <w:ind w:right="26" w:firstLine="420" w:firstLineChars="200"/>
        <w:jc w:val="left"/>
        <w:rPr>
          <w:kern w:val="0"/>
          <w:szCs w:val="21"/>
        </w:rPr>
      </w:pPr>
      <w:r>
        <w:rPr>
          <w:kern w:val="0"/>
          <w:szCs w:val="21"/>
        </w:rPr>
        <w:t>2、</w:t>
      </w:r>
      <w:r>
        <w:rPr>
          <w:rFonts w:hint="eastAsia"/>
          <w:kern w:val="0"/>
          <w:szCs w:val="21"/>
        </w:rPr>
        <w:t>判断光敏三极管C、E极性，测试光敏三极管的伏安特性；</w:t>
      </w:r>
    </w:p>
    <w:p>
      <w:pPr>
        <w:widowControl/>
        <w:adjustRightInd w:val="0"/>
        <w:snapToGrid w:val="0"/>
        <w:spacing w:line="360" w:lineRule="auto"/>
        <w:ind w:right="26" w:firstLine="420" w:firstLineChars="200"/>
        <w:jc w:val="left"/>
        <w:rPr>
          <w:kern w:val="0"/>
          <w:szCs w:val="21"/>
        </w:rPr>
      </w:pPr>
      <w:r>
        <w:rPr>
          <w:kern w:val="0"/>
          <w:szCs w:val="21"/>
        </w:rPr>
        <w:t>3</w:t>
      </w:r>
      <w:r>
        <w:rPr>
          <w:rFonts w:hint="eastAsia"/>
          <w:kern w:val="0"/>
          <w:szCs w:val="21"/>
        </w:rPr>
        <w:t>、</w:t>
      </w:r>
      <w:r>
        <w:rPr>
          <w:kern w:val="0"/>
          <w:szCs w:val="21"/>
        </w:rPr>
        <w:t>分别用不同光源照射</w:t>
      </w:r>
      <w:r>
        <w:rPr>
          <w:kern w:val="0"/>
          <w:szCs w:val="21"/>
          <w:lang w:val="zh-CN"/>
        </w:rPr>
        <w:t>光敏三极管光敏面，测试光电流的大小；</w:t>
      </w:r>
    </w:p>
    <w:p>
      <w:pPr>
        <w:widowControl/>
        <w:adjustRightInd w:val="0"/>
        <w:snapToGrid w:val="0"/>
        <w:spacing w:line="360" w:lineRule="auto"/>
        <w:ind w:right="26" w:firstLine="420" w:firstLineChars="200"/>
        <w:jc w:val="left"/>
        <w:rPr>
          <w:kern w:val="0"/>
          <w:szCs w:val="21"/>
          <w:lang w:val="zh-CN"/>
        </w:rPr>
      </w:pPr>
      <w:r>
        <w:rPr>
          <w:kern w:val="0"/>
          <w:szCs w:val="21"/>
        </w:rPr>
        <w:t>3、选用不同颜色的发光二极管，连接光源电路；</w:t>
      </w:r>
      <w:r>
        <w:rPr>
          <w:kern w:val="0"/>
          <w:szCs w:val="21"/>
          <w:lang w:val="zh-CN"/>
        </w:rPr>
        <w:t>绘制光谱响应曲线。</w:t>
      </w:r>
    </w:p>
    <w:p>
      <w:pPr>
        <w:autoSpaceDE w:val="0"/>
        <w:autoSpaceDN w:val="0"/>
        <w:adjustRightInd w:val="0"/>
        <w:snapToGrid w:val="0"/>
        <w:spacing w:line="360" w:lineRule="auto"/>
        <w:ind w:firstLine="420" w:firstLineChars="200"/>
        <w:jc w:val="left"/>
        <w:rPr>
          <w:kern w:val="0"/>
          <w:szCs w:val="21"/>
        </w:rPr>
      </w:pPr>
      <w:r>
        <w:rPr>
          <w:kern w:val="0"/>
          <w:szCs w:val="21"/>
        </w:rPr>
        <w:t>此实验要求完成光敏</w:t>
      </w:r>
      <w:r>
        <w:rPr>
          <w:kern w:val="0"/>
          <w:szCs w:val="21"/>
          <w:lang w:val="zh-CN"/>
        </w:rPr>
        <w:t>三极管</w:t>
      </w:r>
      <w:r>
        <w:rPr>
          <w:kern w:val="0"/>
          <w:szCs w:val="21"/>
        </w:rPr>
        <w:t>在使用方法、光源的电路的设计。</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autoSpaceDE w:val="0"/>
        <w:autoSpaceDN w:val="0"/>
        <w:adjustRightInd w:val="0"/>
        <w:snapToGrid w:val="0"/>
        <w:spacing w:line="360" w:lineRule="auto"/>
        <w:ind w:firstLine="420" w:firstLineChars="200"/>
        <w:jc w:val="left"/>
        <w:rPr>
          <w:rFonts w:eastAsia="黑体"/>
          <w:kern w:val="0"/>
          <w:szCs w:val="21"/>
          <w:lang w:val="zh-CN"/>
        </w:rPr>
      </w:pPr>
      <w:r>
        <w:rPr>
          <w:rFonts w:eastAsia="黑体"/>
          <w:kern w:val="0"/>
          <w:szCs w:val="21"/>
          <w:lang w:val="zh-CN"/>
        </w:rPr>
        <w:t>实验四</w:t>
      </w:r>
      <w:r>
        <w:rPr>
          <w:rFonts w:eastAsia="黑体"/>
          <w:kern w:val="0"/>
          <w:szCs w:val="21"/>
        </w:rPr>
        <w:t>衍射光栅-</w:t>
      </w:r>
      <w:r>
        <w:rPr>
          <w:rFonts w:hint="eastAsia" w:eastAsia="黑体"/>
          <w:kern w:val="0"/>
          <w:szCs w:val="21"/>
        </w:rPr>
        <w:t>距离</w:t>
      </w:r>
      <w:r>
        <w:rPr>
          <w:rFonts w:eastAsia="黑体"/>
          <w:kern w:val="0"/>
          <w:szCs w:val="21"/>
        </w:rPr>
        <w:t>测试实验</w:t>
      </w:r>
      <w:r>
        <w:rPr>
          <w:rFonts w:eastAsia="黑体"/>
          <w:szCs w:val="21"/>
        </w:rPr>
        <w:t>（1学时）</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内容：研究衍射光栅位移测量原理，测试位移-光斑距离输出曲线。</w:t>
      </w:r>
    </w:p>
    <w:p>
      <w:pPr>
        <w:autoSpaceDE w:val="0"/>
        <w:autoSpaceDN w:val="0"/>
        <w:adjustRightInd w:val="0"/>
        <w:snapToGrid w:val="0"/>
        <w:spacing w:line="360" w:lineRule="auto"/>
        <w:ind w:firstLine="420" w:firstLineChars="200"/>
        <w:jc w:val="left"/>
        <w:rPr>
          <w:rFonts w:eastAsia="黑体"/>
          <w:kern w:val="0"/>
          <w:szCs w:val="21"/>
          <w:lang w:val="zh-CN"/>
        </w:rPr>
      </w:pPr>
      <w:r>
        <w:rPr>
          <w:kern w:val="0"/>
          <w:szCs w:val="21"/>
          <w:lang w:val="zh-CN"/>
        </w:rPr>
        <w:t>基本要求：</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1、</w:t>
      </w:r>
      <w:r>
        <w:rPr>
          <w:rFonts w:hint="eastAsia"/>
          <w:kern w:val="0"/>
          <w:szCs w:val="21"/>
        </w:rPr>
        <w:t>理解</w:t>
      </w:r>
      <w:r>
        <w:rPr>
          <w:kern w:val="0"/>
          <w:szCs w:val="21"/>
          <w:lang w:val="zh-CN"/>
        </w:rPr>
        <w:t>衍射光栅</w:t>
      </w:r>
      <w:r>
        <w:rPr>
          <w:rFonts w:hint="eastAsia"/>
          <w:kern w:val="0"/>
          <w:szCs w:val="21"/>
          <w:lang w:val="zh-CN"/>
        </w:rPr>
        <w:t>距离</w:t>
      </w:r>
      <w:r>
        <w:rPr>
          <w:kern w:val="0"/>
          <w:szCs w:val="21"/>
          <w:lang w:val="zh-CN"/>
        </w:rPr>
        <w:t>测量的基本原理；</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2、观察光电检测系统的结构；</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3、测试出位移-光斑距离曲线。</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2。</w:t>
      </w:r>
    </w:p>
    <w:p>
      <w:pPr>
        <w:autoSpaceDE w:val="0"/>
        <w:autoSpaceDN w:val="0"/>
        <w:adjustRightInd w:val="0"/>
        <w:snapToGrid w:val="0"/>
        <w:spacing w:line="360" w:lineRule="auto"/>
        <w:ind w:firstLine="420" w:firstLineChars="200"/>
        <w:jc w:val="left"/>
        <w:rPr>
          <w:rFonts w:eastAsia="黑体"/>
          <w:kern w:val="0"/>
          <w:szCs w:val="21"/>
          <w:lang w:val="zh-CN"/>
        </w:rPr>
      </w:pPr>
      <w:r>
        <w:rPr>
          <w:rFonts w:eastAsia="黑体"/>
          <w:kern w:val="0"/>
          <w:szCs w:val="21"/>
          <w:lang w:val="zh-CN"/>
        </w:rPr>
        <w:t>实验五</w:t>
      </w:r>
      <w:r>
        <w:rPr>
          <w:rFonts w:eastAsia="黑体"/>
          <w:kern w:val="0"/>
          <w:szCs w:val="21"/>
        </w:rPr>
        <w:t>光电位置敏感器件—PSD</w:t>
      </w:r>
      <w:r>
        <w:rPr>
          <w:rFonts w:eastAsia="黑体"/>
          <w:kern w:val="0"/>
          <w:szCs w:val="21"/>
          <w:lang w:val="zh-CN"/>
        </w:rPr>
        <w:t>（</w:t>
      </w:r>
      <w:r>
        <w:rPr>
          <w:rFonts w:hint="eastAsia" w:eastAsia="黑体"/>
          <w:kern w:val="0"/>
          <w:szCs w:val="21"/>
          <w:lang w:val="zh-CN"/>
        </w:rPr>
        <w:t>1</w:t>
      </w:r>
      <w:r>
        <w:rPr>
          <w:rFonts w:eastAsia="黑体"/>
          <w:kern w:val="0"/>
          <w:szCs w:val="21"/>
          <w:lang w:val="zh-CN"/>
        </w:rPr>
        <w:t>学时）</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内容：验证PSD的原理，找出光斑大小与输出电流之间的关系。测试给定系统位移-电压曲线，求出其灵敏度。</w:t>
      </w:r>
    </w:p>
    <w:p>
      <w:pPr>
        <w:autoSpaceDE w:val="0"/>
        <w:autoSpaceDN w:val="0"/>
        <w:adjustRightInd w:val="0"/>
        <w:snapToGrid w:val="0"/>
        <w:spacing w:line="360" w:lineRule="auto"/>
        <w:ind w:firstLine="420" w:firstLineChars="200"/>
        <w:jc w:val="left"/>
        <w:rPr>
          <w:rFonts w:eastAsia="黑体"/>
          <w:kern w:val="0"/>
          <w:szCs w:val="21"/>
          <w:lang w:val="zh-CN"/>
        </w:rPr>
      </w:pPr>
      <w:r>
        <w:rPr>
          <w:kern w:val="0"/>
          <w:szCs w:val="21"/>
          <w:lang w:val="zh-CN"/>
        </w:rPr>
        <w:t>基本要求：</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1、</w:t>
      </w:r>
      <w:r>
        <w:rPr>
          <w:rFonts w:hint="eastAsia"/>
          <w:kern w:val="0"/>
          <w:szCs w:val="21"/>
        </w:rPr>
        <w:t>了解</w:t>
      </w:r>
      <w:r>
        <w:rPr>
          <w:kern w:val="0"/>
          <w:szCs w:val="21"/>
          <w:lang w:val="zh-CN"/>
        </w:rPr>
        <w:t>PSD的光电特性；</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2、测试位移检测系统的输出曲线。</w:t>
      </w:r>
    </w:p>
    <w:p>
      <w:pPr>
        <w:autoSpaceDE w:val="0"/>
        <w:autoSpaceDN w:val="0"/>
        <w:adjustRightInd w:val="0"/>
        <w:snapToGrid w:val="0"/>
        <w:spacing w:line="360" w:lineRule="auto"/>
        <w:ind w:firstLine="420" w:firstLineChars="200"/>
        <w:jc w:val="left"/>
        <w:rPr>
          <w:kern w:val="0"/>
          <w:szCs w:val="21"/>
          <w:lang w:val="zh-CN"/>
        </w:rPr>
      </w:pPr>
      <w:r>
        <w:rPr>
          <w:kern w:val="0"/>
          <w:szCs w:val="21"/>
          <w:lang w:val="zh-CN"/>
        </w:rPr>
        <w:t>此实验要求学生完成选择光源，PSD器件，PSD的信号处理电路，画出光路图。</w:t>
      </w:r>
    </w:p>
    <w:p>
      <w:pPr>
        <w:adjustRightInd w:val="0"/>
        <w:snapToGrid w:val="0"/>
        <w:spacing w:line="360" w:lineRule="auto"/>
        <w:ind w:firstLine="420" w:firstLineChars="200"/>
        <w:rPr>
          <w:rFonts w:cs="宋体"/>
          <w:bCs/>
          <w:snapToGrid w:val="0"/>
          <w:kern w:val="0"/>
          <w:szCs w:val="21"/>
        </w:rPr>
      </w:pPr>
      <w:r>
        <w:rPr>
          <w:rFonts w:cs="宋体"/>
          <w:bCs/>
          <w:snapToGrid w:val="0"/>
          <w:kern w:val="0"/>
          <w:szCs w:val="21"/>
        </w:rPr>
        <w:t>本章内容支撑课程目标</w:t>
      </w:r>
      <w:r>
        <w:rPr>
          <w:rFonts w:hint="eastAsia" w:cs="宋体"/>
          <w:bCs/>
          <w:snapToGrid w:val="0"/>
          <w:kern w:val="0"/>
          <w:szCs w:val="21"/>
        </w:rPr>
        <w:t>2。</w:t>
      </w:r>
    </w:p>
    <w:p>
      <w:pPr>
        <w:adjustRightInd w:val="0"/>
        <w:snapToGrid w:val="0"/>
        <w:spacing w:line="360" w:lineRule="auto"/>
        <w:ind w:firstLine="420" w:firstLineChars="200"/>
        <w:rPr>
          <w:rFonts w:cs="宋体"/>
          <w:bCs/>
          <w:snapToGrid w:val="0"/>
          <w:kern w:val="0"/>
          <w:szCs w:val="21"/>
        </w:rPr>
      </w:pPr>
    </w:p>
    <w:p>
      <w:pPr>
        <w:adjustRightInd w:val="0"/>
        <w:snapToGrid w:val="0"/>
        <w:spacing w:line="360" w:lineRule="auto"/>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161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jc w:val="center"/>
              <w:rPr>
                <w:sz w:val="18"/>
                <w:szCs w:val="18"/>
              </w:rPr>
            </w:pPr>
            <w:r>
              <w:rPr>
                <w:sz w:val="18"/>
                <w:szCs w:val="18"/>
              </w:rPr>
              <w:t>讲授的知识点及内容</w:t>
            </w:r>
          </w:p>
        </w:tc>
        <w:tc>
          <w:tcPr>
            <w:tcW w:w="972" w:type="pct"/>
            <w:vAlign w:val="center"/>
          </w:tcPr>
          <w:p>
            <w:pPr>
              <w:adjustRightInd w:val="0"/>
              <w:snapToGrid w:val="0"/>
              <w:jc w:val="center"/>
              <w:rPr>
                <w:sz w:val="18"/>
                <w:szCs w:val="18"/>
              </w:rPr>
            </w:pPr>
            <w:r>
              <w:rPr>
                <w:sz w:val="18"/>
                <w:szCs w:val="18"/>
              </w:rPr>
              <w:t>讲授（学时）</w:t>
            </w:r>
          </w:p>
        </w:tc>
        <w:tc>
          <w:tcPr>
            <w:tcW w:w="983" w:type="pct"/>
            <w:vAlign w:val="center"/>
          </w:tcPr>
          <w:p>
            <w:pPr>
              <w:adjustRightInd w:val="0"/>
              <w:snapToGrid w:val="0"/>
              <w:jc w:val="center"/>
              <w:rPr>
                <w:sz w:val="18"/>
                <w:szCs w:val="18"/>
              </w:rPr>
            </w:pPr>
            <w:r>
              <w:rPr>
                <w:sz w:val="18"/>
                <w:szCs w:val="18"/>
              </w:rPr>
              <w:t>实验（学时）</w:t>
            </w:r>
          </w:p>
        </w:tc>
        <w:tc>
          <w:tcPr>
            <w:tcW w:w="804"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1绪论</w:t>
            </w:r>
          </w:p>
        </w:tc>
        <w:tc>
          <w:tcPr>
            <w:tcW w:w="972" w:type="pct"/>
            <w:vAlign w:val="center"/>
          </w:tcPr>
          <w:p>
            <w:pPr>
              <w:widowControl/>
              <w:adjustRightInd w:val="0"/>
              <w:snapToGrid w:val="0"/>
              <w:jc w:val="center"/>
              <w:rPr>
                <w:kern w:val="0"/>
                <w:sz w:val="18"/>
                <w:szCs w:val="18"/>
              </w:rPr>
            </w:pPr>
            <w:r>
              <w:rPr>
                <w:kern w:val="0"/>
                <w:sz w:val="18"/>
                <w:szCs w:val="18"/>
              </w:rPr>
              <w:t>1</w:t>
            </w:r>
          </w:p>
        </w:tc>
        <w:tc>
          <w:tcPr>
            <w:tcW w:w="983" w:type="pct"/>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2辐射度与光度学基础</w:t>
            </w:r>
          </w:p>
        </w:tc>
        <w:tc>
          <w:tcPr>
            <w:tcW w:w="972" w:type="pct"/>
            <w:vAlign w:val="center"/>
          </w:tcPr>
          <w:p>
            <w:pPr>
              <w:widowControl/>
              <w:adjustRightInd w:val="0"/>
              <w:snapToGrid w:val="0"/>
              <w:jc w:val="center"/>
              <w:rPr>
                <w:kern w:val="0"/>
                <w:sz w:val="18"/>
                <w:szCs w:val="18"/>
              </w:rPr>
            </w:pPr>
            <w:r>
              <w:rPr>
                <w:rFonts w:hint="eastAsia"/>
                <w:kern w:val="0"/>
                <w:sz w:val="18"/>
                <w:szCs w:val="18"/>
              </w:rPr>
              <w:t>2</w:t>
            </w:r>
          </w:p>
        </w:tc>
        <w:tc>
          <w:tcPr>
            <w:tcW w:w="983" w:type="pct"/>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4" w:type="pct"/>
            <w:vAlign w:val="center"/>
          </w:tcPr>
          <w:p>
            <w:pPr>
              <w:widowControl/>
              <w:adjustRightInd w:val="0"/>
              <w:snapToGrid w:val="0"/>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3光电仪器中常用的光源</w:t>
            </w:r>
          </w:p>
        </w:tc>
        <w:tc>
          <w:tcPr>
            <w:tcW w:w="972" w:type="pct"/>
            <w:vAlign w:val="center"/>
          </w:tcPr>
          <w:p>
            <w:pPr>
              <w:widowControl/>
              <w:adjustRightInd w:val="0"/>
              <w:snapToGrid w:val="0"/>
              <w:jc w:val="center"/>
              <w:rPr>
                <w:kern w:val="0"/>
                <w:sz w:val="18"/>
                <w:szCs w:val="18"/>
              </w:rPr>
            </w:pPr>
            <w:r>
              <w:rPr>
                <w:kern w:val="0"/>
                <w:sz w:val="18"/>
                <w:szCs w:val="18"/>
              </w:rPr>
              <w:t>2</w:t>
            </w:r>
          </w:p>
        </w:tc>
        <w:tc>
          <w:tcPr>
            <w:tcW w:w="983"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1</w:t>
            </w:r>
          </w:p>
        </w:tc>
        <w:tc>
          <w:tcPr>
            <w:tcW w:w="804" w:type="pct"/>
            <w:vAlign w:val="center"/>
          </w:tcPr>
          <w:p>
            <w:pPr>
              <w:widowControl/>
              <w:adjustRightInd w:val="0"/>
              <w:snapToGrid w:val="0"/>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4光辐射探测器的理论基础</w:t>
            </w:r>
          </w:p>
        </w:tc>
        <w:tc>
          <w:tcPr>
            <w:tcW w:w="972" w:type="pct"/>
            <w:vAlign w:val="center"/>
          </w:tcPr>
          <w:p>
            <w:pPr>
              <w:widowControl/>
              <w:adjustRightInd w:val="0"/>
              <w:snapToGrid w:val="0"/>
              <w:jc w:val="center"/>
              <w:rPr>
                <w:kern w:val="0"/>
                <w:sz w:val="18"/>
                <w:szCs w:val="18"/>
              </w:rPr>
            </w:pPr>
            <w:r>
              <w:rPr>
                <w:kern w:val="0"/>
                <w:sz w:val="18"/>
                <w:szCs w:val="18"/>
              </w:rPr>
              <w:t>2</w:t>
            </w:r>
          </w:p>
        </w:tc>
        <w:tc>
          <w:tcPr>
            <w:tcW w:w="983" w:type="pct"/>
            <w:vAlign w:val="center"/>
          </w:tcPr>
          <w:p>
            <w:pPr>
              <w:widowControl/>
              <w:adjustRightInd w:val="0"/>
              <w:snapToGrid w:val="0"/>
              <w:spacing w:before="100" w:beforeAutospacing="1" w:after="100" w:afterAutospacing="1"/>
              <w:jc w:val="center"/>
              <w:rPr>
                <w:kern w:val="0"/>
                <w:sz w:val="18"/>
                <w:szCs w:val="18"/>
              </w:rPr>
            </w:pPr>
            <w:r>
              <w:rPr>
                <w:rFonts w:hint="eastAsia"/>
                <w:kern w:val="0"/>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5真空光电器件</w:t>
            </w:r>
          </w:p>
        </w:tc>
        <w:tc>
          <w:tcPr>
            <w:tcW w:w="972" w:type="pct"/>
            <w:vAlign w:val="center"/>
          </w:tcPr>
          <w:p>
            <w:pPr>
              <w:widowControl/>
              <w:adjustRightInd w:val="0"/>
              <w:snapToGrid w:val="0"/>
              <w:jc w:val="center"/>
              <w:rPr>
                <w:kern w:val="0"/>
                <w:sz w:val="18"/>
                <w:szCs w:val="18"/>
              </w:rPr>
            </w:pPr>
            <w:r>
              <w:rPr>
                <w:kern w:val="0"/>
                <w:sz w:val="18"/>
                <w:szCs w:val="18"/>
              </w:rPr>
              <w:t>3</w:t>
            </w:r>
          </w:p>
        </w:tc>
        <w:tc>
          <w:tcPr>
            <w:tcW w:w="983" w:type="pct"/>
            <w:vAlign w:val="center"/>
          </w:tcPr>
          <w:p>
            <w:pPr>
              <w:widowControl/>
              <w:adjustRightInd w:val="0"/>
              <w:snapToGrid w:val="0"/>
              <w:jc w:val="center"/>
              <w:rPr>
                <w:kern w:val="0"/>
                <w:sz w:val="18"/>
                <w:szCs w:val="18"/>
              </w:rPr>
            </w:pPr>
            <w:r>
              <w:rPr>
                <w:kern w:val="0"/>
                <w:sz w:val="18"/>
                <w:szCs w:val="18"/>
              </w:rPr>
              <w:t>2</w:t>
            </w:r>
          </w:p>
        </w:tc>
        <w:tc>
          <w:tcPr>
            <w:tcW w:w="804" w:type="pct"/>
            <w:vAlign w:val="center"/>
          </w:tcPr>
          <w:p>
            <w:pPr>
              <w:widowControl/>
              <w:adjustRightInd w:val="0"/>
              <w:snapToGrid w:val="0"/>
              <w:jc w:val="center"/>
              <w:rPr>
                <w:kern w:val="0"/>
                <w:sz w:val="18"/>
                <w:szCs w:val="18"/>
              </w:rPr>
            </w:pPr>
            <w:r>
              <w:rPr>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6半导体光电导器件</w:t>
            </w:r>
          </w:p>
        </w:tc>
        <w:tc>
          <w:tcPr>
            <w:tcW w:w="972" w:type="pct"/>
            <w:vAlign w:val="center"/>
          </w:tcPr>
          <w:p>
            <w:pPr>
              <w:widowControl/>
              <w:adjustRightInd w:val="0"/>
              <w:snapToGrid w:val="0"/>
              <w:jc w:val="center"/>
              <w:rPr>
                <w:kern w:val="0"/>
                <w:sz w:val="18"/>
                <w:szCs w:val="18"/>
              </w:rPr>
            </w:pPr>
            <w:r>
              <w:rPr>
                <w:kern w:val="0"/>
                <w:sz w:val="18"/>
                <w:szCs w:val="18"/>
              </w:rPr>
              <w:t>4</w:t>
            </w:r>
          </w:p>
        </w:tc>
        <w:tc>
          <w:tcPr>
            <w:tcW w:w="983" w:type="pct"/>
            <w:vAlign w:val="center"/>
          </w:tcPr>
          <w:p>
            <w:pPr>
              <w:widowControl/>
              <w:adjustRightInd w:val="0"/>
              <w:snapToGrid w:val="0"/>
              <w:jc w:val="center"/>
              <w:rPr>
                <w:kern w:val="0"/>
                <w:sz w:val="18"/>
                <w:szCs w:val="18"/>
              </w:rPr>
            </w:pPr>
            <w:r>
              <w:rPr>
                <w:kern w:val="0"/>
                <w:sz w:val="18"/>
                <w:szCs w:val="18"/>
              </w:rPr>
              <w:t>4</w:t>
            </w:r>
          </w:p>
        </w:tc>
        <w:tc>
          <w:tcPr>
            <w:tcW w:w="804" w:type="pct"/>
            <w:vAlign w:val="center"/>
          </w:tcPr>
          <w:p>
            <w:pPr>
              <w:widowControl/>
              <w:adjustRightInd w:val="0"/>
              <w:snapToGrid w:val="0"/>
              <w:jc w:val="center"/>
              <w:rPr>
                <w:kern w:val="0"/>
                <w:sz w:val="18"/>
                <w:szCs w:val="18"/>
              </w:rPr>
            </w:pPr>
            <w:r>
              <w:rPr>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snapToGrid w:val="0"/>
                <w:kern w:val="0"/>
                <w:sz w:val="18"/>
                <w:szCs w:val="18"/>
              </w:rPr>
            </w:pPr>
            <w:r>
              <w:rPr>
                <w:kern w:val="0"/>
                <w:sz w:val="18"/>
                <w:szCs w:val="18"/>
              </w:rPr>
              <w:t>7半导体结型光电器件</w:t>
            </w:r>
          </w:p>
        </w:tc>
        <w:tc>
          <w:tcPr>
            <w:tcW w:w="972" w:type="pct"/>
            <w:vAlign w:val="center"/>
          </w:tcPr>
          <w:p>
            <w:pPr>
              <w:widowControl/>
              <w:adjustRightInd w:val="0"/>
              <w:snapToGrid w:val="0"/>
              <w:jc w:val="center"/>
              <w:rPr>
                <w:kern w:val="0"/>
                <w:sz w:val="18"/>
                <w:szCs w:val="18"/>
              </w:rPr>
            </w:pPr>
            <w:r>
              <w:rPr>
                <w:kern w:val="0"/>
                <w:sz w:val="18"/>
                <w:szCs w:val="18"/>
              </w:rPr>
              <w:t>4</w:t>
            </w:r>
          </w:p>
        </w:tc>
        <w:tc>
          <w:tcPr>
            <w:tcW w:w="983" w:type="pct"/>
            <w:vAlign w:val="center"/>
          </w:tcPr>
          <w:p>
            <w:pPr>
              <w:widowControl/>
              <w:adjustRightInd w:val="0"/>
              <w:snapToGrid w:val="0"/>
              <w:jc w:val="center"/>
              <w:rPr>
                <w:kern w:val="0"/>
                <w:sz w:val="18"/>
                <w:szCs w:val="18"/>
              </w:rPr>
            </w:pPr>
            <w:r>
              <w:rPr>
                <w:kern w:val="0"/>
                <w:sz w:val="18"/>
                <w:szCs w:val="18"/>
              </w:rPr>
              <w:t>3</w:t>
            </w:r>
          </w:p>
        </w:tc>
        <w:tc>
          <w:tcPr>
            <w:tcW w:w="804" w:type="pct"/>
            <w:vAlign w:val="center"/>
          </w:tcPr>
          <w:p>
            <w:pPr>
              <w:widowControl/>
              <w:adjustRightInd w:val="0"/>
              <w:snapToGrid w:val="0"/>
              <w:jc w:val="center"/>
              <w:rPr>
                <w:kern w:val="0"/>
                <w:sz w:val="18"/>
                <w:szCs w:val="18"/>
              </w:rPr>
            </w:pPr>
            <w:r>
              <w:rPr>
                <w:kern w:val="0"/>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8光电成像器件</w:t>
            </w:r>
          </w:p>
        </w:tc>
        <w:tc>
          <w:tcPr>
            <w:tcW w:w="972" w:type="pct"/>
            <w:vAlign w:val="center"/>
          </w:tcPr>
          <w:p>
            <w:pPr>
              <w:widowControl/>
              <w:adjustRightInd w:val="0"/>
              <w:snapToGrid w:val="0"/>
              <w:jc w:val="center"/>
              <w:rPr>
                <w:kern w:val="0"/>
                <w:sz w:val="18"/>
                <w:szCs w:val="18"/>
              </w:rPr>
            </w:pPr>
            <w:r>
              <w:rPr>
                <w:kern w:val="0"/>
                <w:sz w:val="18"/>
                <w:szCs w:val="18"/>
              </w:rPr>
              <w:t>2</w:t>
            </w:r>
          </w:p>
        </w:tc>
        <w:tc>
          <w:tcPr>
            <w:tcW w:w="983" w:type="pct"/>
            <w:vAlign w:val="center"/>
          </w:tcPr>
          <w:p>
            <w:pPr>
              <w:widowControl/>
              <w:adjustRightInd w:val="0"/>
              <w:snapToGrid w:val="0"/>
              <w:jc w:val="center"/>
              <w:rPr>
                <w:kern w:val="0"/>
                <w:sz w:val="18"/>
                <w:szCs w:val="18"/>
              </w:rPr>
            </w:pPr>
            <w:r>
              <w:rPr>
                <w:kern w:val="0"/>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9常用红外光电探测技术</w:t>
            </w:r>
          </w:p>
        </w:tc>
        <w:tc>
          <w:tcPr>
            <w:tcW w:w="972" w:type="pct"/>
            <w:vAlign w:val="center"/>
          </w:tcPr>
          <w:p>
            <w:pPr>
              <w:widowControl/>
              <w:adjustRightInd w:val="0"/>
              <w:snapToGrid w:val="0"/>
              <w:jc w:val="center"/>
              <w:rPr>
                <w:kern w:val="0"/>
                <w:sz w:val="18"/>
                <w:szCs w:val="18"/>
              </w:rPr>
            </w:pPr>
            <w:r>
              <w:rPr>
                <w:kern w:val="0"/>
                <w:sz w:val="18"/>
                <w:szCs w:val="18"/>
              </w:rPr>
              <w:t>2</w:t>
            </w:r>
          </w:p>
        </w:tc>
        <w:tc>
          <w:tcPr>
            <w:tcW w:w="983" w:type="pct"/>
            <w:vAlign w:val="center"/>
          </w:tcPr>
          <w:p>
            <w:pPr>
              <w:widowControl/>
              <w:adjustRightInd w:val="0"/>
              <w:snapToGrid w:val="0"/>
              <w:jc w:val="center"/>
              <w:rPr>
                <w:kern w:val="0"/>
                <w:sz w:val="18"/>
                <w:szCs w:val="18"/>
              </w:rPr>
            </w:pPr>
            <w:r>
              <w:rPr>
                <w:rFonts w:hint="eastAsia"/>
                <w:kern w:val="0"/>
                <w:sz w:val="18"/>
                <w:szCs w:val="18"/>
              </w:rPr>
              <w:t>0</w:t>
            </w:r>
          </w:p>
        </w:tc>
        <w:tc>
          <w:tcPr>
            <w:tcW w:w="804" w:type="pct"/>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widowControl/>
              <w:adjustRightInd w:val="0"/>
              <w:snapToGrid w:val="0"/>
              <w:spacing w:before="100" w:beforeAutospacing="1" w:after="100" w:afterAutospacing="1"/>
              <w:jc w:val="center"/>
              <w:rPr>
                <w:kern w:val="0"/>
                <w:sz w:val="18"/>
                <w:szCs w:val="18"/>
              </w:rPr>
            </w:pPr>
            <w:r>
              <w:rPr>
                <w:kern w:val="0"/>
                <w:sz w:val="18"/>
                <w:szCs w:val="18"/>
              </w:rPr>
              <w:t>合计</w:t>
            </w:r>
          </w:p>
        </w:tc>
        <w:tc>
          <w:tcPr>
            <w:tcW w:w="972" w:type="pct"/>
            <w:vAlign w:val="center"/>
          </w:tcPr>
          <w:p>
            <w:pPr>
              <w:widowControl/>
              <w:adjustRightInd w:val="0"/>
              <w:snapToGrid w:val="0"/>
              <w:jc w:val="center"/>
              <w:rPr>
                <w:kern w:val="0"/>
                <w:sz w:val="18"/>
                <w:szCs w:val="18"/>
              </w:rPr>
            </w:pPr>
            <w:r>
              <w:rPr>
                <w:kern w:val="0"/>
                <w:sz w:val="18"/>
                <w:szCs w:val="18"/>
              </w:rPr>
              <w:t>22</w:t>
            </w:r>
          </w:p>
        </w:tc>
        <w:tc>
          <w:tcPr>
            <w:tcW w:w="983" w:type="pct"/>
            <w:vAlign w:val="center"/>
          </w:tcPr>
          <w:p>
            <w:pPr>
              <w:widowControl/>
              <w:adjustRightInd w:val="0"/>
              <w:snapToGrid w:val="0"/>
              <w:jc w:val="center"/>
              <w:rPr>
                <w:kern w:val="0"/>
                <w:sz w:val="18"/>
                <w:szCs w:val="18"/>
              </w:rPr>
            </w:pPr>
            <w:r>
              <w:rPr>
                <w:kern w:val="0"/>
                <w:sz w:val="18"/>
                <w:szCs w:val="18"/>
              </w:rPr>
              <w:t>10</w:t>
            </w:r>
          </w:p>
        </w:tc>
        <w:tc>
          <w:tcPr>
            <w:tcW w:w="804" w:type="pct"/>
            <w:vAlign w:val="center"/>
          </w:tcPr>
          <w:p>
            <w:pPr>
              <w:widowControl/>
              <w:adjustRightInd w:val="0"/>
              <w:snapToGrid w:val="0"/>
              <w:jc w:val="center"/>
              <w:rPr>
                <w:kern w:val="0"/>
                <w:sz w:val="18"/>
                <w:szCs w:val="18"/>
              </w:rPr>
            </w:pPr>
            <w:r>
              <w:rPr>
                <w:kern w:val="0"/>
                <w:sz w:val="18"/>
                <w:szCs w:val="18"/>
              </w:rPr>
              <w:t>32</w:t>
            </w:r>
          </w:p>
        </w:tc>
      </w:tr>
    </w:tbl>
    <w:p>
      <w:pPr>
        <w:adjustRightInd w:val="0"/>
        <w:snapToGrid w:val="0"/>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szCs w:val="21"/>
        </w:rPr>
      </w:pPr>
      <w:r>
        <w:rPr>
          <w:rFonts w:hint="eastAsia"/>
          <w:szCs w:val="21"/>
        </w:rPr>
        <w:t>1、《光电技术》，杨应平，胡昌奎，陈梦苇等编著，清华大学出版社，2019 (2)</w:t>
      </w:r>
    </w:p>
    <w:p>
      <w:pPr>
        <w:spacing w:line="360" w:lineRule="auto"/>
        <w:ind w:firstLine="420" w:firstLineChars="200"/>
        <w:rPr>
          <w:szCs w:val="21"/>
        </w:rPr>
      </w:pPr>
      <w:r>
        <w:rPr>
          <w:szCs w:val="21"/>
        </w:rPr>
        <w:t>2</w:t>
      </w:r>
      <w:r>
        <w:rPr>
          <w:rFonts w:hint="eastAsia"/>
          <w:szCs w:val="21"/>
        </w:rPr>
        <w:t>、《光电技术》, 江文杰等主编，(第2版)2014年，科学出版社</w:t>
      </w:r>
    </w:p>
    <w:p>
      <w:pPr>
        <w:spacing w:line="360" w:lineRule="auto"/>
        <w:ind w:firstLine="420" w:firstLineChars="200"/>
        <w:rPr>
          <w:szCs w:val="21"/>
        </w:rPr>
      </w:pPr>
      <w:r>
        <w:rPr>
          <w:szCs w:val="21"/>
        </w:rPr>
        <w:t>3</w:t>
      </w:r>
      <w:r>
        <w:rPr>
          <w:rFonts w:hint="eastAsia"/>
          <w:szCs w:val="21"/>
        </w:rPr>
        <w:t>、《Optoelectronics and Photonics-Principle and Practics》,S.O.Kasap，电子工业出版社，2003</w:t>
      </w:r>
    </w:p>
    <w:p>
      <w:pPr>
        <w:spacing w:line="360" w:lineRule="auto"/>
        <w:ind w:firstLine="420" w:firstLineChars="200"/>
        <w:rPr>
          <w:szCs w:val="21"/>
        </w:rPr>
      </w:pPr>
      <w:r>
        <w:rPr>
          <w:szCs w:val="21"/>
        </w:rPr>
        <w:t>4</w:t>
      </w:r>
      <w:r>
        <w:rPr>
          <w:rFonts w:hint="eastAsia"/>
          <w:szCs w:val="21"/>
        </w:rPr>
        <w:t xml:space="preserve">、《光电探测与信号处理》，安毓英曾晓东冯喆珺编著，科学出版社，2009.12  </w:t>
      </w:r>
    </w:p>
    <w:p>
      <w:pPr>
        <w:spacing w:line="360" w:lineRule="auto"/>
        <w:ind w:firstLine="420" w:firstLineChars="200"/>
        <w:rPr>
          <w:szCs w:val="21"/>
        </w:rPr>
      </w:pPr>
      <w:r>
        <w:rPr>
          <w:szCs w:val="21"/>
        </w:rPr>
        <w:t>5</w:t>
      </w:r>
      <w:r>
        <w:rPr>
          <w:rFonts w:hint="eastAsia"/>
          <w:szCs w:val="21"/>
        </w:rPr>
        <w:t>、《CCD/CMOS图像传感器基础与应用》，米本和也著，科学出版社，2007年</w:t>
      </w:r>
    </w:p>
    <w:p>
      <w:pPr>
        <w:spacing w:line="360" w:lineRule="auto"/>
        <w:ind w:firstLine="420" w:firstLineChars="200"/>
        <w:rPr>
          <w:szCs w:val="21"/>
        </w:rPr>
      </w:pPr>
      <w:r>
        <w:rPr>
          <w:szCs w:val="21"/>
        </w:rPr>
        <w:t>6</w:t>
      </w:r>
      <w:r>
        <w:rPr>
          <w:rFonts w:hint="eastAsia"/>
          <w:szCs w:val="21"/>
        </w:rPr>
        <w:t>、《光电技术与实验》，江月松主编，北京理工大学出版社，2000.5</w:t>
      </w:r>
    </w:p>
    <w:p>
      <w:pPr>
        <w:spacing w:line="360" w:lineRule="auto"/>
        <w:ind w:firstLine="420" w:firstLineChars="200"/>
        <w:rPr>
          <w:szCs w:val="21"/>
        </w:rPr>
      </w:pPr>
      <w:r>
        <w:rPr>
          <w:szCs w:val="21"/>
        </w:rPr>
        <w:t>7</w:t>
      </w:r>
      <w:r>
        <w:rPr>
          <w:rFonts w:hint="eastAsia"/>
          <w:szCs w:val="21"/>
        </w:rPr>
        <w:t>、视频资料：《光电技术》，中国大学</w:t>
      </w:r>
      <w:r>
        <w:rPr>
          <w:szCs w:val="21"/>
        </w:rPr>
        <w:t>MOOC</w:t>
      </w:r>
      <w:r>
        <w:rPr>
          <w:rFonts w:hint="eastAsia"/>
          <w:szCs w:val="21"/>
        </w:rPr>
        <w:t>，资料链接：</w:t>
      </w:r>
      <w:r>
        <w:rPr>
          <w:rStyle w:val="27"/>
          <w:color w:val="auto"/>
          <w:szCs w:val="21"/>
        </w:rPr>
        <w:t>http://www.icourse163.org/course/WHUT-1205966810</w:t>
      </w:r>
      <w:r>
        <w:rPr>
          <w:rFonts w:hint="eastAsia"/>
          <w:szCs w:val="21"/>
        </w:rPr>
        <w:t>。</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1、考核目标：在考核学生对</w:t>
      </w:r>
      <w:r>
        <w:rPr>
          <w:rFonts w:hint="eastAsia"/>
          <w:szCs w:val="21"/>
        </w:rPr>
        <w:t>光电探测器中的常见光源，光电导探测器，光伏探测器，光电子发射探测器，热探测器，光电图像探测器等基本理论知识和应用技术的基础上，</w:t>
      </w:r>
      <w:r>
        <w:rPr>
          <w:szCs w:val="21"/>
        </w:rPr>
        <w:t>重点考核学生</w:t>
      </w:r>
      <w:r>
        <w:rPr>
          <w:rFonts w:hint="eastAsia"/>
          <w:szCs w:val="21"/>
        </w:rPr>
        <w:t>对</w:t>
      </w:r>
      <w:r>
        <w:rPr>
          <w:rFonts w:hint="eastAsia"/>
        </w:rPr>
        <w:t>典型光电器件的基本原理结构、特性参数和典型应用的理解，并能设计简单的测试系统，通过对领域最新进展的调研，提出改善和优化方法。</w:t>
      </w:r>
    </w:p>
    <w:p>
      <w:pPr>
        <w:spacing w:line="360" w:lineRule="auto"/>
        <w:ind w:firstLine="420" w:firstLineChars="200"/>
        <w:rPr>
          <w:szCs w:val="21"/>
        </w:rPr>
      </w:pPr>
      <w:r>
        <w:rPr>
          <w:szCs w:val="21"/>
        </w:rPr>
        <w:t>2、考核方式：</w:t>
      </w:r>
      <w:r>
        <w:rPr>
          <w:rFonts w:hint="eastAsia"/>
          <w:szCs w:val="21"/>
        </w:rPr>
        <w:t>课堂情况、作业、实验、课程考查报告</w:t>
      </w:r>
      <w:r>
        <w:rPr>
          <w:szCs w:val="21"/>
        </w:rPr>
        <w:t>。</w:t>
      </w:r>
    </w:p>
    <w:p>
      <w:pPr>
        <w:spacing w:line="360" w:lineRule="auto"/>
        <w:ind w:firstLine="420" w:firstLineChars="200"/>
      </w:pPr>
      <w:r>
        <w:rPr>
          <w:szCs w:val="21"/>
        </w:rPr>
        <w:t>3、评价环节对课程目标达成贡献率及支撑材料：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642"/>
        <w:gridCol w:w="1780"/>
        <w:gridCol w:w="1381"/>
        <w:gridCol w:w="1797"/>
        <w:gridCol w:w="1712"/>
      </w:tblGrid>
      <w:tr>
        <w:tblPrEx>
          <w:tblCellMar>
            <w:top w:w="0" w:type="dxa"/>
            <w:left w:w="108" w:type="dxa"/>
            <w:bottom w:w="0" w:type="dxa"/>
            <w:right w:w="108" w:type="dxa"/>
          </w:tblCellMar>
        </w:tblPrEx>
        <w:trPr>
          <w:trHeight w:val="567" w:hRule="atLeast"/>
          <w:jc w:val="center"/>
        </w:trPr>
        <w:tc>
          <w:tcPr>
            <w:tcW w:w="987"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考察环节</w:t>
            </w:r>
          </w:p>
        </w:tc>
        <w:tc>
          <w:tcPr>
            <w:tcW w:w="107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课堂情况</w:t>
            </w:r>
          </w:p>
        </w:tc>
        <w:tc>
          <w:tcPr>
            <w:tcW w:w="83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108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实验</w:t>
            </w:r>
          </w:p>
        </w:tc>
        <w:tc>
          <w:tcPr>
            <w:tcW w:w="1030" w:type="pct"/>
            <w:tcBorders>
              <w:top w:val="single" w:color="auto" w:sz="4" w:space="0"/>
              <w:left w:val="single" w:color="auto" w:sz="4" w:space="0"/>
              <w:bottom w:val="single" w:color="auto" w:sz="4" w:space="0"/>
            </w:tcBorders>
            <w:vAlign w:val="center"/>
          </w:tcPr>
          <w:p>
            <w:pPr>
              <w:widowControl/>
              <w:jc w:val="center"/>
              <w:rPr>
                <w:kern w:val="0"/>
                <w:sz w:val="18"/>
                <w:szCs w:val="18"/>
              </w:rPr>
            </w:pPr>
            <w:r>
              <w:rPr>
                <w:kern w:val="0"/>
                <w:sz w:val="18"/>
                <w:szCs w:val="18"/>
              </w:rPr>
              <w:t>课程考查报告</w:t>
            </w:r>
          </w:p>
        </w:tc>
      </w:tr>
      <w:tr>
        <w:tblPrEx>
          <w:tblCellMar>
            <w:top w:w="0" w:type="dxa"/>
            <w:left w:w="108" w:type="dxa"/>
            <w:bottom w:w="0" w:type="dxa"/>
            <w:right w:w="108" w:type="dxa"/>
          </w:tblCellMar>
        </w:tblPrEx>
        <w:trPr>
          <w:trHeight w:val="570" w:hRule="atLeast"/>
          <w:jc w:val="center"/>
        </w:trPr>
        <w:tc>
          <w:tcPr>
            <w:tcW w:w="987"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107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0.10</w:t>
            </w:r>
          </w:p>
        </w:tc>
        <w:tc>
          <w:tcPr>
            <w:tcW w:w="83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0.13</w:t>
            </w:r>
          </w:p>
        </w:tc>
        <w:tc>
          <w:tcPr>
            <w:tcW w:w="1081"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0.31</w:t>
            </w:r>
          </w:p>
        </w:tc>
        <w:tc>
          <w:tcPr>
            <w:tcW w:w="1030" w:type="pct"/>
            <w:tcBorders>
              <w:top w:val="single" w:color="auto" w:sz="4" w:space="0"/>
              <w:left w:val="single" w:color="auto" w:sz="4" w:space="0"/>
              <w:bottom w:val="single" w:color="auto" w:sz="4" w:space="0"/>
            </w:tcBorders>
            <w:vAlign w:val="center"/>
          </w:tcPr>
          <w:p>
            <w:pPr>
              <w:jc w:val="center"/>
              <w:rPr>
                <w:sz w:val="18"/>
                <w:szCs w:val="18"/>
              </w:rPr>
            </w:pPr>
            <w:r>
              <w:rPr>
                <w:sz w:val="18"/>
                <w:szCs w:val="18"/>
              </w:rPr>
              <w:t>0.46</w:t>
            </w:r>
          </w:p>
        </w:tc>
      </w:tr>
      <w:tr>
        <w:tblPrEx>
          <w:tblCellMar>
            <w:top w:w="0" w:type="dxa"/>
            <w:left w:w="108" w:type="dxa"/>
            <w:bottom w:w="0" w:type="dxa"/>
            <w:right w:w="108" w:type="dxa"/>
          </w:tblCellMar>
        </w:tblPrEx>
        <w:trPr>
          <w:trHeight w:val="976" w:hRule="atLeast"/>
          <w:jc w:val="center"/>
        </w:trPr>
        <w:tc>
          <w:tcPr>
            <w:tcW w:w="987" w:type="pct"/>
            <w:tcBorders>
              <w:top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支撑材料</w:t>
            </w:r>
          </w:p>
        </w:tc>
        <w:tc>
          <w:tcPr>
            <w:tcW w:w="107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课堂评价标准，课堂提问记录或随堂考试，结合出勤率等</w:t>
            </w:r>
          </w:p>
        </w:tc>
        <w:tc>
          <w:tcPr>
            <w:tcW w:w="83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作业评价标准，典型作业拍照，或电子版</w:t>
            </w:r>
          </w:p>
        </w:tc>
        <w:tc>
          <w:tcPr>
            <w:tcW w:w="108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课内实验评价标准，实验课堂记录记录，典型实验报告</w:t>
            </w:r>
          </w:p>
        </w:tc>
        <w:tc>
          <w:tcPr>
            <w:tcW w:w="1030" w:type="pct"/>
            <w:tcBorders>
              <w:top w:val="single" w:color="auto" w:sz="4" w:space="0"/>
              <w:left w:val="single" w:color="auto" w:sz="4" w:space="0"/>
              <w:bottom w:val="single" w:color="auto" w:sz="4" w:space="0"/>
            </w:tcBorders>
            <w:vAlign w:val="center"/>
          </w:tcPr>
          <w:p>
            <w:pPr>
              <w:widowControl/>
              <w:jc w:val="center"/>
              <w:rPr>
                <w:kern w:val="0"/>
                <w:sz w:val="18"/>
                <w:szCs w:val="18"/>
              </w:rPr>
            </w:pPr>
            <w:r>
              <w:rPr>
                <w:kern w:val="0"/>
                <w:sz w:val="18"/>
                <w:szCs w:val="18"/>
              </w:rPr>
              <w:t>课程考查报告评分标准，课程考查报告</w:t>
            </w:r>
          </w:p>
        </w:tc>
      </w:tr>
    </w:tbl>
    <w:p>
      <w:pPr>
        <w:spacing w:line="360" w:lineRule="auto"/>
        <w:rPr>
          <w:rFonts w:eastAsia="黑体"/>
          <w:szCs w:val="24"/>
        </w:rPr>
      </w:pPr>
    </w:p>
    <w:p>
      <w:pPr>
        <w:spacing w:line="360" w:lineRule="auto"/>
        <w:rPr>
          <w:rFonts w:eastAsia="黑体"/>
          <w:szCs w:val="24"/>
        </w:rPr>
      </w:pPr>
      <w:r>
        <w:rPr>
          <w:rFonts w:hint="eastAsia" w:eastAsia="黑体"/>
          <w:szCs w:val="24"/>
        </w:rPr>
        <w:t>九</w:t>
      </w:r>
      <w:r>
        <w:rPr>
          <w:rFonts w:eastAsia="黑体"/>
          <w:szCs w:val="24"/>
        </w:rPr>
        <w:t>、</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1、辐射度与光度学概念及基本物理量</w:t>
            </w:r>
          </w:p>
        </w:tc>
        <w:tc>
          <w:tcPr>
            <w:tcW w:w="691" w:type="pct"/>
            <w:vAlign w:val="center"/>
          </w:tcPr>
          <w:p>
            <w:pPr>
              <w:jc w:val="center"/>
              <w:rPr>
                <w:sz w:val="18"/>
                <w:szCs w:val="18"/>
              </w:rPr>
            </w:pPr>
            <w:r>
              <w:rPr>
                <w:rFonts w:hint="eastAsia"/>
                <w:sz w:val="18"/>
                <w:szCs w:val="18"/>
              </w:rPr>
              <w:t>0.</w:t>
            </w:r>
            <w:r>
              <w:rPr>
                <w:sz w:val="18"/>
                <w:szCs w:val="18"/>
              </w:rPr>
              <w:t>15</w:t>
            </w:r>
          </w:p>
        </w:tc>
        <w:tc>
          <w:tcPr>
            <w:tcW w:w="1048" w:type="pct"/>
            <w:vAlign w:val="center"/>
          </w:tcPr>
          <w:p>
            <w:pPr>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2、半导体激光光源的基本特性参数</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3、半导体的光电效应，探测器的主要特性参数</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4、光电管与光电倍增管的工作原理及主要特性参数</w:t>
            </w:r>
          </w:p>
        </w:tc>
        <w:tc>
          <w:tcPr>
            <w:tcW w:w="691" w:type="pct"/>
            <w:vAlign w:val="center"/>
          </w:tcPr>
          <w:p>
            <w:pPr>
              <w:jc w:val="center"/>
              <w:rPr>
                <w:sz w:val="18"/>
                <w:szCs w:val="18"/>
              </w:rPr>
            </w:pPr>
            <w:r>
              <w:rPr>
                <w:rFonts w:hint="eastAsia"/>
                <w:sz w:val="18"/>
                <w:szCs w:val="18"/>
              </w:rPr>
              <w:t>0.</w:t>
            </w:r>
            <w:r>
              <w:rPr>
                <w:sz w:val="18"/>
                <w:szCs w:val="18"/>
              </w:rPr>
              <w:t>15</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5、光电导探测器的原理与结构</w:t>
            </w:r>
          </w:p>
        </w:tc>
        <w:tc>
          <w:tcPr>
            <w:tcW w:w="691" w:type="pct"/>
            <w:vAlign w:val="center"/>
          </w:tcPr>
          <w:p>
            <w:pPr>
              <w:jc w:val="center"/>
              <w:rPr>
                <w:sz w:val="18"/>
                <w:szCs w:val="18"/>
              </w:rPr>
            </w:pPr>
            <w:r>
              <w:rPr>
                <w:rFonts w:hint="eastAsia"/>
                <w:sz w:val="18"/>
                <w:szCs w:val="18"/>
              </w:rPr>
              <w:t>0.</w:t>
            </w:r>
            <w:r>
              <w:rPr>
                <w:sz w:val="18"/>
                <w:szCs w:val="18"/>
              </w:rPr>
              <w:t>15</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6、结型光电器件原理，硅光电二极管光电池特性及选型</w:t>
            </w:r>
          </w:p>
        </w:tc>
        <w:tc>
          <w:tcPr>
            <w:tcW w:w="691" w:type="pct"/>
            <w:vAlign w:val="center"/>
          </w:tcPr>
          <w:p>
            <w:pPr>
              <w:jc w:val="center"/>
              <w:rPr>
                <w:sz w:val="18"/>
                <w:szCs w:val="18"/>
              </w:rPr>
            </w:pPr>
            <w:r>
              <w:rPr>
                <w:rFonts w:hint="eastAsia"/>
                <w:sz w:val="18"/>
                <w:szCs w:val="18"/>
              </w:rPr>
              <w:t>0.</w:t>
            </w:r>
            <w:r>
              <w:rPr>
                <w:sz w:val="18"/>
                <w:szCs w:val="18"/>
              </w:rPr>
              <w:t>20</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rFonts w:hint="eastAsia"/>
                <w:sz w:val="18"/>
                <w:szCs w:val="18"/>
              </w:rPr>
              <w:t>7、CCD的工作原理与典型应用</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61" w:type="pct"/>
            <w:vAlign w:val="center"/>
          </w:tcPr>
          <w:p>
            <w:pPr>
              <w:ind w:left="174" w:leftChars="83"/>
              <w:rPr>
                <w:sz w:val="18"/>
                <w:szCs w:val="18"/>
              </w:rPr>
            </w:pPr>
            <w:r>
              <w:rPr>
                <w:sz w:val="18"/>
                <w:szCs w:val="18"/>
              </w:rPr>
              <w:t>8</w:t>
            </w:r>
            <w:r>
              <w:rPr>
                <w:rFonts w:hint="eastAsia"/>
                <w:sz w:val="18"/>
                <w:szCs w:val="18"/>
              </w:rPr>
              <w:t>、热电偶与热释电探测器的原理与应用</w:t>
            </w:r>
          </w:p>
        </w:tc>
        <w:tc>
          <w:tcPr>
            <w:tcW w:w="691" w:type="pct"/>
            <w:vAlign w:val="center"/>
          </w:tcPr>
          <w:p>
            <w:pPr>
              <w:jc w:val="center"/>
              <w:rPr>
                <w:sz w:val="18"/>
                <w:szCs w:val="18"/>
              </w:rPr>
            </w:pPr>
            <w:r>
              <w:rPr>
                <w:rFonts w:hint="eastAsia"/>
                <w:sz w:val="18"/>
                <w:szCs w:val="18"/>
              </w:rPr>
              <w:t>0.0</w:t>
            </w:r>
            <w:r>
              <w:rPr>
                <w:sz w:val="18"/>
                <w:szCs w:val="18"/>
              </w:rPr>
              <w:t>5</w:t>
            </w:r>
          </w:p>
        </w:tc>
        <w:tc>
          <w:tcPr>
            <w:tcW w:w="1048" w:type="pct"/>
            <w:vAlign w:val="center"/>
          </w:tcPr>
          <w:p>
            <w:pPr>
              <w:jc w:val="center"/>
              <w:rPr>
                <w:sz w:val="18"/>
                <w:szCs w:val="18"/>
              </w:rPr>
            </w:pPr>
            <w:r>
              <w:rPr>
                <w:rFonts w:hint="eastAsia"/>
                <w:sz w:val="18"/>
                <w:szCs w:val="18"/>
              </w:rPr>
              <w:t>1、2</w:t>
            </w:r>
          </w:p>
        </w:tc>
      </w:tr>
    </w:tbl>
    <w:p>
      <w:pPr>
        <w:spacing w:before="120" w:beforeLines="50" w:line="360" w:lineRule="auto"/>
        <w:ind w:firstLine="420" w:firstLineChars="200"/>
        <w:rPr>
          <w:color w:val="000000"/>
          <w:sz w:val="24"/>
          <w:szCs w:val="24"/>
        </w:rPr>
        <w:sectPr>
          <w:footerReference r:id="rId59" w:type="default"/>
          <w:pgSz w:w="11906" w:h="16838"/>
          <w:pgMar w:top="1440" w:right="1797" w:bottom="1440" w:left="1797" w:header="851" w:footer="992" w:gutter="0"/>
          <w:cols w:space="425" w:num="1"/>
          <w:docGrid w:linePitch="312" w:charSpace="0"/>
        </w:sect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235"/>
        <w:gridCol w:w="973"/>
        <w:gridCol w:w="946"/>
        <w:gridCol w:w="960"/>
        <w:gridCol w:w="971"/>
        <w:gridCol w:w="960"/>
        <w:gridCol w:w="957"/>
        <w:gridCol w:w="960"/>
        <w:gridCol w:w="971"/>
        <w:gridCol w:w="976"/>
        <w:gridCol w:w="1063"/>
        <w:gridCol w:w="882"/>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333" w:type="pct"/>
            <w:vMerge w:val="restart"/>
            <w:shd w:val="clear" w:color="auto" w:fill="auto"/>
            <w:vAlign w:val="center"/>
          </w:tcPr>
          <w:p>
            <w:pPr>
              <w:widowControl/>
              <w:jc w:val="center"/>
              <w:rPr>
                <w:kern w:val="0"/>
                <w:sz w:val="18"/>
                <w:szCs w:val="18"/>
              </w:rPr>
            </w:pPr>
            <w:r>
              <w:rPr>
                <w:kern w:val="0"/>
                <w:sz w:val="18"/>
                <w:szCs w:val="18"/>
              </w:rPr>
              <w:t>课程目标</w:t>
            </w:r>
          </w:p>
        </w:tc>
        <w:tc>
          <w:tcPr>
            <w:tcW w:w="443" w:type="pct"/>
            <w:vMerge w:val="restart"/>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380" w:type="pct"/>
            <w:gridSpan w:val="4"/>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379" w:type="pct"/>
            <w:gridSpan w:val="4"/>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65" w:type="pct"/>
            <w:gridSpan w:val="4"/>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333" w:type="pct"/>
            <w:vMerge w:val="continue"/>
            <w:shd w:val="clear" w:color="auto" w:fill="auto"/>
            <w:vAlign w:val="center"/>
          </w:tcPr>
          <w:p>
            <w:pPr>
              <w:widowControl/>
              <w:jc w:val="left"/>
              <w:rPr>
                <w:kern w:val="0"/>
                <w:sz w:val="18"/>
                <w:szCs w:val="18"/>
              </w:rPr>
            </w:pPr>
          </w:p>
        </w:tc>
        <w:tc>
          <w:tcPr>
            <w:tcW w:w="443" w:type="pct"/>
            <w:vMerge w:val="continue"/>
            <w:shd w:val="clear" w:color="auto" w:fill="auto"/>
            <w:vAlign w:val="center"/>
          </w:tcPr>
          <w:p>
            <w:pPr>
              <w:widowControl/>
              <w:jc w:val="left"/>
              <w:rPr>
                <w:kern w:val="0"/>
                <w:sz w:val="18"/>
                <w:szCs w:val="18"/>
              </w:rPr>
            </w:pPr>
          </w:p>
        </w:tc>
        <w:tc>
          <w:tcPr>
            <w:tcW w:w="349" w:type="pct"/>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39" w:type="pct"/>
            <w:shd w:val="clear" w:color="auto" w:fill="auto"/>
            <w:vAlign w:val="center"/>
          </w:tcPr>
          <w:p>
            <w:pPr>
              <w:widowControl/>
              <w:jc w:val="center"/>
              <w:rPr>
                <w:kern w:val="0"/>
                <w:sz w:val="18"/>
                <w:szCs w:val="18"/>
              </w:rPr>
            </w:pPr>
            <w:r>
              <w:rPr>
                <w:kern w:val="0"/>
                <w:sz w:val="18"/>
                <w:szCs w:val="18"/>
              </w:rPr>
              <w:t>作业</w:t>
            </w:r>
          </w:p>
        </w:tc>
        <w:tc>
          <w:tcPr>
            <w:tcW w:w="344" w:type="pct"/>
            <w:shd w:val="clear" w:color="auto" w:fill="auto"/>
            <w:vAlign w:val="center"/>
          </w:tcPr>
          <w:p>
            <w:pPr>
              <w:widowControl/>
              <w:jc w:val="center"/>
              <w:rPr>
                <w:kern w:val="0"/>
                <w:sz w:val="18"/>
                <w:szCs w:val="18"/>
              </w:rPr>
            </w:pPr>
            <w:r>
              <w:rPr>
                <w:kern w:val="0"/>
                <w:sz w:val="18"/>
                <w:szCs w:val="18"/>
              </w:rPr>
              <w:t>实验</w:t>
            </w:r>
          </w:p>
        </w:tc>
        <w:tc>
          <w:tcPr>
            <w:tcW w:w="348" w:type="pct"/>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考查报告</w:t>
            </w:r>
          </w:p>
        </w:tc>
        <w:tc>
          <w:tcPr>
            <w:tcW w:w="344" w:type="pct"/>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43" w:type="pct"/>
            <w:shd w:val="clear" w:color="auto" w:fill="auto"/>
            <w:vAlign w:val="center"/>
          </w:tcPr>
          <w:p>
            <w:pPr>
              <w:widowControl/>
              <w:jc w:val="center"/>
              <w:rPr>
                <w:kern w:val="0"/>
                <w:sz w:val="18"/>
                <w:szCs w:val="18"/>
              </w:rPr>
            </w:pPr>
            <w:r>
              <w:rPr>
                <w:kern w:val="0"/>
                <w:sz w:val="18"/>
                <w:szCs w:val="18"/>
              </w:rPr>
              <w:t>作业</w:t>
            </w:r>
          </w:p>
        </w:tc>
        <w:tc>
          <w:tcPr>
            <w:tcW w:w="344" w:type="pct"/>
            <w:shd w:val="clear" w:color="auto" w:fill="auto"/>
            <w:vAlign w:val="center"/>
          </w:tcPr>
          <w:p>
            <w:pPr>
              <w:widowControl/>
              <w:jc w:val="center"/>
              <w:rPr>
                <w:kern w:val="0"/>
                <w:sz w:val="18"/>
                <w:szCs w:val="18"/>
              </w:rPr>
            </w:pPr>
            <w:r>
              <w:rPr>
                <w:kern w:val="0"/>
                <w:sz w:val="18"/>
                <w:szCs w:val="18"/>
              </w:rPr>
              <w:t>实验</w:t>
            </w:r>
          </w:p>
        </w:tc>
        <w:tc>
          <w:tcPr>
            <w:tcW w:w="348" w:type="pct"/>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考查报告</w:t>
            </w:r>
          </w:p>
        </w:tc>
        <w:tc>
          <w:tcPr>
            <w:tcW w:w="350" w:type="pct"/>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81" w:type="pct"/>
            <w:shd w:val="clear" w:color="auto" w:fill="auto"/>
            <w:vAlign w:val="center"/>
          </w:tcPr>
          <w:p>
            <w:pPr>
              <w:widowControl/>
              <w:jc w:val="center"/>
              <w:rPr>
                <w:kern w:val="0"/>
                <w:sz w:val="18"/>
                <w:szCs w:val="18"/>
              </w:rPr>
            </w:pPr>
            <w:r>
              <w:rPr>
                <w:kern w:val="0"/>
                <w:sz w:val="18"/>
                <w:szCs w:val="18"/>
              </w:rPr>
              <w:t>作业</w:t>
            </w:r>
          </w:p>
        </w:tc>
        <w:tc>
          <w:tcPr>
            <w:tcW w:w="316" w:type="pct"/>
            <w:shd w:val="clear" w:color="auto" w:fill="auto"/>
            <w:vAlign w:val="center"/>
          </w:tcPr>
          <w:p>
            <w:pPr>
              <w:widowControl/>
              <w:jc w:val="center"/>
              <w:rPr>
                <w:kern w:val="0"/>
                <w:sz w:val="18"/>
                <w:szCs w:val="18"/>
              </w:rPr>
            </w:pPr>
            <w:r>
              <w:rPr>
                <w:kern w:val="0"/>
                <w:sz w:val="18"/>
                <w:szCs w:val="18"/>
              </w:rPr>
              <w:t>实验</w:t>
            </w:r>
          </w:p>
        </w:tc>
        <w:tc>
          <w:tcPr>
            <w:tcW w:w="418" w:type="pct"/>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333" w:type="pct"/>
            <w:shd w:val="clear" w:color="auto" w:fill="auto"/>
            <w:vAlign w:val="center"/>
          </w:tcPr>
          <w:p>
            <w:pPr>
              <w:ind w:firstLine="360" w:firstLineChars="200"/>
              <w:rPr>
                <w:sz w:val="18"/>
                <w:szCs w:val="18"/>
              </w:rPr>
            </w:pPr>
            <w:r>
              <w:rPr>
                <w:sz w:val="18"/>
                <w:szCs w:val="18"/>
              </w:rPr>
              <w:t>1</w:t>
            </w:r>
          </w:p>
        </w:tc>
        <w:tc>
          <w:tcPr>
            <w:tcW w:w="443" w:type="pct"/>
            <w:shd w:val="clear" w:color="auto" w:fill="auto"/>
            <w:vAlign w:val="center"/>
          </w:tcPr>
          <w:p>
            <w:pPr>
              <w:jc w:val="center"/>
              <w:rPr>
                <w:sz w:val="18"/>
                <w:szCs w:val="18"/>
              </w:rPr>
            </w:pPr>
            <w:r>
              <w:rPr>
                <w:sz w:val="18"/>
                <w:szCs w:val="18"/>
              </w:rPr>
              <w:t>0.6</w:t>
            </w:r>
          </w:p>
        </w:tc>
        <w:tc>
          <w:tcPr>
            <w:tcW w:w="349" w:type="pct"/>
            <w:shd w:val="clear" w:color="auto" w:fill="auto"/>
            <w:vAlign w:val="center"/>
          </w:tcPr>
          <w:p>
            <w:pPr>
              <w:jc w:val="center"/>
              <w:rPr>
                <w:sz w:val="18"/>
                <w:szCs w:val="18"/>
              </w:rPr>
            </w:pPr>
            <w:r>
              <w:rPr>
                <w:sz w:val="18"/>
                <w:szCs w:val="18"/>
              </w:rPr>
              <w:t>0.1</w:t>
            </w:r>
          </w:p>
        </w:tc>
        <w:tc>
          <w:tcPr>
            <w:tcW w:w="339" w:type="pct"/>
            <w:shd w:val="clear" w:color="auto" w:fill="auto"/>
            <w:vAlign w:val="center"/>
          </w:tcPr>
          <w:p>
            <w:pPr>
              <w:jc w:val="center"/>
              <w:rPr>
                <w:sz w:val="18"/>
                <w:szCs w:val="18"/>
              </w:rPr>
            </w:pPr>
            <w:r>
              <w:rPr>
                <w:sz w:val="18"/>
                <w:szCs w:val="18"/>
              </w:rPr>
              <w:t>0.15</w:t>
            </w:r>
          </w:p>
        </w:tc>
        <w:tc>
          <w:tcPr>
            <w:tcW w:w="344" w:type="pct"/>
            <w:shd w:val="clear" w:color="auto" w:fill="auto"/>
            <w:vAlign w:val="center"/>
          </w:tcPr>
          <w:p>
            <w:pPr>
              <w:jc w:val="center"/>
              <w:rPr>
                <w:sz w:val="18"/>
                <w:szCs w:val="18"/>
              </w:rPr>
            </w:pPr>
            <w:r>
              <w:rPr>
                <w:sz w:val="18"/>
                <w:szCs w:val="18"/>
              </w:rPr>
              <w:t>0.25</w:t>
            </w:r>
          </w:p>
        </w:tc>
        <w:tc>
          <w:tcPr>
            <w:tcW w:w="348" w:type="pct"/>
            <w:shd w:val="clear" w:color="auto" w:fill="auto"/>
            <w:vAlign w:val="center"/>
          </w:tcPr>
          <w:p>
            <w:pPr>
              <w:jc w:val="center"/>
              <w:rPr>
                <w:sz w:val="18"/>
                <w:szCs w:val="18"/>
              </w:rPr>
            </w:pPr>
            <w:r>
              <w:rPr>
                <w:sz w:val="18"/>
                <w:szCs w:val="18"/>
              </w:rPr>
              <w:t>0.5</w:t>
            </w:r>
          </w:p>
        </w:tc>
        <w:tc>
          <w:tcPr>
            <w:tcW w:w="344" w:type="pct"/>
            <w:shd w:val="clear" w:color="auto" w:fill="auto"/>
            <w:vAlign w:val="center"/>
          </w:tcPr>
          <w:p>
            <w:pPr>
              <w:jc w:val="center"/>
              <w:rPr>
                <w:sz w:val="18"/>
                <w:szCs w:val="18"/>
              </w:rPr>
            </w:pPr>
            <w:r>
              <w:rPr>
                <w:sz w:val="18"/>
                <w:szCs w:val="18"/>
              </w:rPr>
              <w:t>0.06</w:t>
            </w:r>
          </w:p>
        </w:tc>
        <w:tc>
          <w:tcPr>
            <w:tcW w:w="343" w:type="pct"/>
            <w:shd w:val="clear" w:color="auto" w:fill="auto"/>
            <w:vAlign w:val="center"/>
          </w:tcPr>
          <w:p>
            <w:pPr>
              <w:jc w:val="center"/>
              <w:rPr>
                <w:sz w:val="18"/>
                <w:szCs w:val="18"/>
              </w:rPr>
            </w:pPr>
            <w:r>
              <w:rPr>
                <w:sz w:val="18"/>
                <w:szCs w:val="18"/>
              </w:rPr>
              <w:t>0.09</w:t>
            </w:r>
          </w:p>
        </w:tc>
        <w:tc>
          <w:tcPr>
            <w:tcW w:w="344" w:type="pct"/>
            <w:shd w:val="clear" w:color="auto" w:fill="auto"/>
            <w:vAlign w:val="center"/>
          </w:tcPr>
          <w:p>
            <w:pPr>
              <w:jc w:val="center"/>
              <w:rPr>
                <w:sz w:val="18"/>
                <w:szCs w:val="18"/>
              </w:rPr>
            </w:pPr>
            <w:r>
              <w:rPr>
                <w:sz w:val="18"/>
                <w:szCs w:val="18"/>
              </w:rPr>
              <w:t>0.15</w:t>
            </w:r>
          </w:p>
        </w:tc>
        <w:tc>
          <w:tcPr>
            <w:tcW w:w="348" w:type="pct"/>
            <w:shd w:val="clear" w:color="auto" w:fill="auto"/>
            <w:vAlign w:val="center"/>
          </w:tcPr>
          <w:p>
            <w:pPr>
              <w:jc w:val="center"/>
              <w:rPr>
                <w:sz w:val="18"/>
                <w:szCs w:val="18"/>
              </w:rPr>
            </w:pPr>
            <w:r>
              <w:rPr>
                <w:sz w:val="18"/>
                <w:szCs w:val="18"/>
              </w:rPr>
              <w:t>0.3</w:t>
            </w:r>
          </w:p>
        </w:tc>
        <w:tc>
          <w:tcPr>
            <w:tcW w:w="350" w:type="pct"/>
            <w:shd w:val="clear" w:color="auto" w:fill="auto"/>
            <w:vAlign w:val="center"/>
          </w:tcPr>
          <w:p>
            <w:pPr>
              <w:jc w:val="center"/>
              <w:rPr>
                <w:sz w:val="18"/>
                <w:szCs w:val="18"/>
              </w:rPr>
            </w:pPr>
            <w:r>
              <w:rPr>
                <w:sz w:val="18"/>
                <w:szCs w:val="18"/>
              </w:rPr>
              <w:t>0.60</w:t>
            </w:r>
          </w:p>
        </w:tc>
        <w:tc>
          <w:tcPr>
            <w:tcW w:w="381" w:type="pct"/>
            <w:shd w:val="clear" w:color="auto" w:fill="auto"/>
            <w:vAlign w:val="center"/>
          </w:tcPr>
          <w:p>
            <w:pPr>
              <w:jc w:val="center"/>
              <w:rPr>
                <w:sz w:val="18"/>
                <w:szCs w:val="18"/>
              </w:rPr>
            </w:pPr>
            <w:r>
              <w:rPr>
                <w:sz w:val="18"/>
                <w:szCs w:val="18"/>
              </w:rPr>
              <w:t>0.69</w:t>
            </w:r>
          </w:p>
        </w:tc>
        <w:tc>
          <w:tcPr>
            <w:tcW w:w="316" w:type="pct"/>
            <w:shd w:val="clear" w:color="auto" w:fill="auto"/>
            <w:vAlign w:val="center"/>
          </w:tcPr>
          <w:p>
            <w:pPr>
              <w:jc w:val="center"/>
              <w:rPr>
                <w:sz w:val="18"/>
                <w:szCs w:val="18"/>
              </w:rPr>
            </w:pPr>
            <w:r>
              <w:rPr>
                <w:sz w:val="18"/>
                <w:szCs w:val="18"/>
              </w:rPr>
              <w:t>0.48</w:t>
            </w:r>
          </w:p>
        </w:tc>
        <w:tc>
          <w:tcPr>
            <w:tcW w:w="418" w:type="pct"/>
            <w:shd w:val="clear" w:color="auto" w:fill="auto"/>
            <w:vAlign w:val="center"/>
          </w:tcPr>
          <w:p>
            <w:pPr>
              <w:jc w:val="center"/>
              <w:rPr>
                <w:sz w:val="18"/>
                <w:szCs w:val="18"/>
              </w:rPr>
            </w:pPr>
            <w:r>
              <w:rPr>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33" w:type="pct"/>
            <w:shd w:val="clear" w:color="auto" w:fill="auto"/>
            <w:vAlign w:val="center"/>
          </w:tcPr>
          <w:p>
            <w:pPr>
              <w:adjustRightInd w:val="0"/>
              <w:ind w:firstLine="360" w:firstLineChars="200"/>
              <w:rPr>
                <w:sz w:val="18"/>
                <w:szCs w:val="18"/>
              </w:rPr>
            </w:pPr>
            <w:r>
              <w:rPr>
                <w:sz w:val="18"/>
                <w:szCs w:val="18"/>
              </w:rPr>
              <w:t>2</w:t>
            </w:r>
          </w:p>
        </w:tc>
        <w:tc>
          <w:tcPr>
            <w:tcW w:w="443" w:type="pct"/>
            <w:shd w:val="clear" w:color="auto" w:fill="auto"/>
            <w:vAlign w:val="center"/>
          </w:tcPr>
          <w:p>
            <w:pPr>
              <w:jc w:val="center"/>
              <w:rPr>
                <w:sz w:val="18"/>
                <w:szCs w:val="18"/>
              </w:rPr>
            </w:pPr>
            <w:r>
              <w:rPr>
                <w:sz w:val="18"/>
                <w:szCs w:val="18"/>
              </w:rPr>
              <w:t>0.4</w:t>
            </w:r>
          </w:p>
        </w:tc>
        <w:tc>
          <w:tcPr>
            <w:tcW w:w="349" w:type="pct"/>
            <w:shd w:val="clear" w:color="auto" w:fill="auto"/>
            <w:vAlign w:val="center"/>
          </w:tcPr>
          <w:p>
            <w:pPr>
              <w:jc w:val="center"/>
              <w:rPr>
                <w:sz w:val="18"/>
                <w:szCs w:val="18"/>
              </w:rPr>
            </w:pPr>
            <w:r>
              <w:rPr>
                <w:sz w:val="18"/>
                <w:szCs w:val="18"/>
              </w:rPr>
              <w:t>0.1</w:t>
            </w:r>
          </w:p>
        </w:tc>
        <w:tc>
          <w:tcPr>
            <w:tcW w:w="339" w:type="pct"/>
            <w:shd w:val="clear" w:color="auto" w:fill="auto"/>
            <w:vAlign w:val="center"/>
          </w:tcPr>
          <w:p>
            <w:pPr>
              <w:jc w:val="center"/>
              <w:rPr>
                <w:sz w:val="18"/>
                <w:szCs w:val="18"/>
              </w:rPr>
            </w:pPr>
            <w:r>
              <w:rPr>
                <w:sz w:val="18"/>
                <w:szCs w:val="18"/>
              </w:rPr>
              <w:t>0.1</w:t>
            </w:r>
          </w:p>
        </w:tc>
        <w:tc>
          <w:tcPr>
            <w:tcW w:w="344" w:type="pct"/>
            <w:shd w:val="clear" w:color="auto" w:fill="auto"/>
            <w:vAlign w:val="center"/>
          </w:tcPr>
          <w:p>
            <w:pPr>
              <w:jc w:val="center"/>
              <w:rPr>
                <w:sz w:val="18"/>
                <w:szCs w:val="18"/>
              </w:rPr>
            </w:pPr>
            <w:r>
              <w:rPr>
                <w:sz w:val="18"/>
                <w:szCs w:val="18"/>
              </w:rPr>
              <w:t>0.4</w:t>
            </w:r>
          </w:p>
        </w:tc>
        <w:tc>
          <w:tcPr>
            <w:tcW w:w="348" w:type="pct"/>
            <w:shd w:val="clear" w:color="auto" w:fill="auto"/>
            <w:vAlign w:val="center"/>
          </w:tcPr>
          <w:p>
            <w:pPr>
              <w:jc w:val="center"/>
              <w:rPr>
                <w:sz w:val="18"/>
                <w:szCs w:val="18"/>
              </w:rPr>
            </w:pPr>
            <w:r>
              <w:rPr>
                <w:sz w:val="18"/>
                <w:szCs w:val="18"/>
              </w:rPr>
              <w:t>0.4</w:t>
            </w:r>
          </w:p>
        </w:tc>
        <w:tc>
          <w:tcPr>
            <w:tcW w:w="344" w:type="pct"/>
            <w:shd w:val="clear" w:color="auto" w:fill="auto"/>
            <w:vAlign w:val="center"/>
          </w:tcPr>
          <w:p>
            <w:pPr>
              <w:jc w:val="center"/>
              <w:rPr>
                <w:sz w:val="18"/>
                <w:szCs w:val="18"/>
              </w:rPr>
            </w:pPr>
            <w:r>
              <w:rPr>
                <w:sz w:val="18"/>
                <w:szCs w:val="18"/>
              </w:rPr>
              <w:t>0.04</w:t>
            </w:r>
          </w:p>
        </w:tc>
        <w:tc>
          <w:tcPr>
            <w:tcW w:w="343" w:type="pct"/>
            <w:shd w:val="clear" w:color="auto" w:fill="auto"/>
            <w:vAlign w:val="center"/>
          </w:tcPr>
          <w:p>
            <w:pPr>
              <w:jc w:val="center"/>
              <w:rPr>
                <w:sz w:val="18"/>
                <w:szCs w:val="18"/>
              </w:rPr>
            </w:pPr>
            <w:r>
              <w:rPr>
                <w:sz w:val="18"/>
                <w:szCs w:val="18"/>
              </w:rPr>
              <w:t>0.04</w:t>
            </w:r>
          </w:p>
        </w:tc>
        <w:tc>
          <w:tcPr>
            <w:tcW w:w="344" w:type="pct"/>
            <w:shd w:val="clear" w:color="auto" w:fill="auto"/>
            <w:vAlign w:val="center"/>
          </w:tcPr>
          <w:p>
            <w:pPr>
              <w:jc w:val="center"/>
              <w:rPr>
                <w:sz w:val="18"/>
                <w:szCs w:val="18"/>
              </w:rPr>
            </w:pPr>
            <w:r>
              <w:rPr>
                <w:sz w:val="18"/>
                <w:szCs w:val="18"/>
              </w:rPr>
              <w:t>0.16</w:t>
            </w:r>
          </w:p>
        </w:tc>
        <w:tc>
          <w:tcPr>
            <w:tcW w:w="348" w:type="pct"/>
            <w:shd w:val="clear" w:color="auto" w:fill="auto"/>
            <w:vAlign w:val="center"/>
          </w:tcPr>
          <w:p>
            <w:pPr>
              <w:jc w:val="center"/>
              <w:rPr>
                <w:sz w:val="18"/>
                <w:szCs w:val="18"/>
              </w:rPr>
            </w:pPr>
            <w:r>
              <w:rPr>
                <w:sz w:val="18"/>
                <w:szCs w:val="18"/>
              </w:rPr>
              <w:t>0.16</w:t>
            </w:r>
          </w:p>
        </w:tc>
        <w:tc>
          <w:tcPr>
            <w:tcW w:w="350" w:type="pct"/>
            <w:shd w:val="clear" w:color="auto" w:fill="auto"/>
            <w:vAlign w:val="center"/>
          </w:tcPr>
          <w:p>
            <w:pPr>
              <w:jc w:val="center"/>
              <w:rPr>
                <w:sz w:val="18"/>
                <w:szCs w:val="18"/>
              </w:rPr>
            </w:pPr>
            <w:r>
              <w:rPr>
                <w:sz w:val="18"/>
                <w:szCs w:val="18"/>
              </w:rPr>
              <w:t>0.40</w:t>
            </w:r>
          </w:p>
        </w:tc>
        <w:tc>
          <w:tcPr>
            <w:tcW w:w="381" w:type="pct"/>
            <w:shd w:val="clear" w:color="auto" w:fill="auto"/>
            <w:vAlign w:val="center"/>
          </w:tcPr>
          <w:p>
            <w:pPr>
              <w:jc w:val="center"/>
              <w:rPr>
                <w:sz w:val="18"/>
                <w:szCs w:val="18"/>
              </w:rPr>
            </w:pPr>
            <w:r>
              <w:rPr>
                <w:sz w:val="18"/>
                <w:szCs w:val="18"/>
              </w:rPr>
              <w:t>0.31</w:t>
            </w:r>
          </w:p>
        </w:tc>
        <w:tc>
          <w:tcPr>
            <w:tcW w:w="316" w:type="pct"/>
            <w:shd w:val="clear" w:color="auto" w:fill="auto"/>
            <w:vAlign w:val="center"/>
          </w:tcPr>
          <w:p>
            <w:pPr>
              <w:jc w:val="center"/>
              <w:rPr>
                <w:sz w:val="18"/>
                <w:szCs w:val="18"/>
              </w:rPr>
            </w:pPr>
            <w:r>
              <w:rPr>
                <w:sz w:val="18"/>
                <w:szCs w:val="18"/>
              </w:rPr>
              <w:t>0.52</w:t>
            </w:r>
          </w:p>
        </w:tc>
        <w:tc>
          <w:tcPr>
            <w:tcW w:w="418" w:type="pct"/>
            <w:shd w:val="clear" w:color="auto" w:fill="auto"/>
            <w:vAlign w:val="center"/>
          </w:tcPr>
          <w:p>
            <w:pPr>
              <w:jc w:val="center"/>
              <w:rPr>
                <w:sz w:val="18"/>
                <w:szCs w:val="18"/>
              </w:rPr>
            </w:pPr>
            <w:r>
              <w:rPr>
                <w:sz w:val="18"/>
                <w:szCs w:val="18"/>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156" w:type="pct"/>
            <w:gridSpan w:val="6"/>
            <w:shd w:val="clear" w:color="auto" w:fill="auto"/>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44" w:type="pct"/>
            <w:shd w:val="clear" w:color="auto" w:fill="auto"/>
            <w:vAlign w:val="center"/>
          </w:tcPr>
          <w:p>
            <w:pPr>
              <w:jc w:val="center"/>
              <w:rPr>
                <w:sz w:val="18"/>
                <w:szCs w:val="18"/>
              </w:rPr>
            </w:pPr>
            <w:r>
              <w:rPr>
                <w:sz w:val="18"/>
                <w:szCs w:val="18"/>
              </w:rPr>
              <w:t>0.10</w:t>
            </w:r>
          </w:p>
        </w:tc>
        <w:tc>
          <w:tcPr>
            <w:tcW w:w="343" w:type="pct"/>
            <w:shd w:val="clear" w:color="auto" w:fill="auto"/>
            <w:vAlign w:val="center"/>
          </w:tcPr>
          <w:p>
            <w:pPr>
              <w:jc w:val="center"/>
              <w:rPr>
                <w:sz w:val="18"/>
                <w:szCs w:val="18"/>
              </w:rPr>
            </w:pPr>
            <w:r>
              <w:rPr>
                <w:sz w:val="18"/>
                <w:szCs w:val="18"/>
              </w:rPr>
              <w:t>0.13</w:t>
            </w:r>
          </w:p>
        </w:tc>
        <w:tc>
          <w:tcPr>
            <w:tcW w:w="344" w:type="pct"/>
            <w:shd w:val="clear" w:color="auto" w:fill="auto"/>
            <w:vAlign w:val="center"/>
          </w:tcPr>
          <w:p>
            <w:pPr>
              <w:jc w:val="center"/>
              <w:rPr>
                <w:sz w:val="18"/>
                <w:szCs w:val="18"/>
              </w:rPr>
            </w:pPr>
            <w:r>
              <w:rPr>
                <w:sz w:val="18"/>
                <w:szCs w:val="18"/>
              </w:rPr>
              <w:t>0.31</w:t>
            </w:r>
          </w:p>
        </w:tc>
        <w:tc>
          <w:tcPr>
            <w:tcW w:w="348" w:type="pct"/>
            <w:shd w:val="clear" w:color="auto" w:fill="auto"/>
            <w:vAlign w:val="center"/>
          </w:tcPr>
          <w:p>
            <w:pPr>
              <w:jc w:val="center"/>
              <w:rPr>
                <w:sz w:val="18"/>
                <w:szCs w:val="18"/>
              </w:rPr>
            </w:pPr>
            <w:r>
              <w:rPr>
                <w:sz w:val="18"/>
                <w:szCs w:val="18"/>
              </w:rPr>
              <w:t>0.46</w:t>
            </w:r>
          </w:p>
        </w:tc>
        <w:tc>
          <w:tcPr>
            <w:tcW w:w="1465" w:type="pct"/>
            <w:gridSpan w:val="4"/>
            <w:shd w:val="clear" w:color="auto" w:fill="auto"/>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tbl>
    <w:p>
      <w:pPr>
        <w:spacing w:line="360" w:lineRule="auto"/>
        <w:ind w:firstLine="1260" w:firstLineChars="600"/>
        <w:jc w:val="left"/>
      </w:pPr>
    </w:p>
    <w:p>
      <w:pPr>
        <w:spacing w:line="360" w:lineRule="auto"/>
        <w:ind w:firstLine="1260" w:firstLineChars="600"/>
        <w:jc w:val="left"/>
      </w:pPr>
    </w:p>
    <w:p>
      <w:pPr>
        <w:spacing w:line="360" w:lineRule="auto"/>
      </w:pPr>
    </w:p>
    <w:p>
      <w:pPr>
        <w:adjustRightInd w:val="0"/>
        <w:snapToGrid w:val="0"/>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bookmarkStart w:id="199" w:name="_Toc9386"/>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13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32" DrawAspect="Content" ObjectID="_1468075832" r:id="rId292">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13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33" DrawAspect="Content" ObjectID="_1468075833" r:id="rId293">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13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34" DrawAspect="Content" ObjectID="_1468075834" r:id="rId294">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13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35" DrawAspect="Content" ObjectID="_1468075835" r:id="rId295">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13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36" DrawAspect="Content" ObjectID="_1468075836" r:id="rId296">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13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37" DrawAspect="Content" ObjectID="_1468075837" r:id="rId297">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sectPr>
          <w:pgSz w:w="11906" w:h="16838"/>
          <w:pgMar w:top="1440" w:right="1800" w:bottom="1440" w:left="1800" w:header="851" w:footer="992" w:gutter="0"/>
          <w:cols w:space="425" w:num="1"/>
          <w:docGrid w:type="lines" w:linePitch="312" w:charSpace="0"/>
        </w:sect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bookmarkEnd w:id="199"/>
    <w:p>
      <w:pPr>
        <w:pStyle w:val="20"/>
        <w:spacing w:before="240" w:after="360"/>
      </w:pPr>
      <w:bookmarkStart w:id="200" w:name="_Toc46996572"/>
      <w:bookmarkStart w:id="201" w:name="_Toc16035"/>
      <w:r>
        <w:rPr>
          <w:rFonts w:hint="eastAsia"/>
        </w:rPr>
        <w:t>《</w:t>
      </w:r>
      <w:r>
        <w:t>Y06060029-</w:t>
      </w:r>
      <w:r>
        <w:rPr>
          <w:rFonts w:hint="eastAsia"/>
        </w:rPr>
        <w:t>通信原理导论》教学大纲</w:t>
      </w:r>
      <w:bookmarkEnd w:id="200"/>
      <w:bookmarkEnd w:id="201"/>
    </w:p>
    <w:p>
      <w:pPr>
        <w:adjustRightInd w:val="0"/>
        <w:snapToGrid w:val="0"/>
        <w:spacing w:line="360" w:lineRule="auto"/>
        <w:rPr>
          <w:bCs/>
          <w:kern w:val="0"/>
        </w:rPr>
      </w:pPr>
      <w:r>
        <w:rPr>
          <w:rFonts w:hint="eastAsia" w:eastAsia="黑体"/>
          <w:szCs w:val="21"/>
        </w:rPr>
        <w:t>课程编号：</w:t>
      </w:r>
      <w:r>
        <w:rPr>
          <w:bCs/>
          <w:kern w:val="0"/>
        </w:rPr>
        <w:t>Y06060029</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通信原理导论</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rFonts w:hint="eastAsia"/>
          <w:szCs w:val="21"/>
        </w:rPr>
        <w:t xml:space="preserve">24              </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分：1.5</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高等数学、数字电子技术、信号与系统</w:t>
      </w:r>
    </w:p>
    <w:p>
      <w:pPr>
        <w:adjustRightInd w:val="0"/>
        <w:snapToGrid w:val="0"/>
        <w:spacing w:line="360" w:lineRule="auto"/>
        <w:rPr>
          <w:szCs w:val="21"/>
        </w:rPr>
      </w:pPr>
      <w:r>
        <w:rPr>
          <w:rFonts w:hint="eastAsia" w:eastAsia="黑体"/>
          <w:szCs w:val="21"/>
        </w:rPr>
        <w:t>大纲撰写人：</w:t>
      </w:r>
      <w:r>
        <w:rPr>
          <w:rFonts w:hint="eastAsia"/>
          <w:szCs w:val="21"/>
        </w:rPr>
        <w:t>甄国涌</w:t>
      </w:r>
    </w:p>
    <w:p>
      <w:pPr>
        <w:adjustRightInd w:val="0"/>
        <w:snapToGrid w:val="0"/>
        <w:spacing w:line="360" w:lineRule="auto"/>
        <w:rPr>
          <w:szCs w:val="21"/>
        </w:rPr>
      </w:pPr>
      <w:r>
        <w:rPr>
          <w:rFonts w:hint="eastAsia" w:eastAsia="黑体"/>
          <w:szCs w:val="21"/>
        </w:rPr>
        <w:t>大纲编写（修订）时间：</w:t>
      </w:r>
      <w:r>
        <w:rPr>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adjustRightInd w:val="0"/>
        <w:snapToGrid w:val="0"/>
        <w:spacing w:line="360" w:lineRule="auto"/>
        <w:ind w:firstLine="420" w:firstLineChars="200"/>
        <w:rPr>
          <w:szCs w:val="21"/>
        </w:rPr>
      </w:pPr>
      <w:r>
        <w:rPr>
          <w:rFonts w:hint="eastAsia"/>
          <w:szCs w:val="21"/>
        </w:rPr>
        <w:t>本课程是非通信电子信息类专业的一门</w:t>
      </w:r>
      <w:r>
        <w:rPr>
          <w:szCs w:val="21"/>
        </w:rPr>
        <w:t>选修课程。该课程主要</w:t>
      </w:r>
      <w:r>
        <w:rPr>
          <w:rFonts w:hint="eastAsia"/>
          <w:szCs w:val="21"/>
        </w:rPr>
        <w:t>介绍通信的基本原理。通过该课程的学习，能让学生对目前常用的通信技术中包含的原理有一定的认识，拓展学生对通信过程的理解，为学生开展相关方面的工作打下一定基础。</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503"/>
        <w:gridCol w:w="41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before="120" w:beforeLines="50" w:line="360" w:lineRule="auto"/>
              <w:jc w:val="center"/>
              <w:rPr>
                <w:sz w:val="18"/>
                <w:szCs w:val="18"/>
              </w:rPr>
            </w:pPr>
            <w:r>
              <w:rPr>
                <w:sz w:val="18"/>
                <w:szCs w:val="18"/>
              </w:rPr>
              <w:t>序号</w:t>
            </w:r>
          </w:p>
        </w:tc>
        <w:tc>
          <w:tcPr>
            <w:tcW w:w="2107" w:type="pct"/>
            <w:vAlign w:val="center"/>
          </w:tcPr>
          <w:p>
            <w:pPr>
              <w:spacing w:before="120" w:beforeLines="50" w:line="360" w:lineRule="auto"/>
              <w:jc w:val="center"/>
              <w:rPr>
                <w:sz w:val="18"/>
                <w:szCs w:val="18"/>
              </w:rPr>
            </w:pPr>
            <w:r>
              <w:rPr>
                <w:sz w:val="18"/>
                <w:szCs w:val="18"/>
              </w:rPr>
              <w:t>课程目标</w:t>
            </w:r>
          </w:p>
        </w:tc>
        <w:tc>
          <w:tcPr>
            <w:tcW w:w="2526" w:type="pct"/>
            <w:vAlign w:val="center"/>
          </w:tcPr>
          <w:p>
            <w:pPr>
              <w:spacing w:before="120" w:beforeLines="50"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sz w:val="18"/>
                <w:szCs w:val="18"/>
              </w:rPr>
            </w:pPr>
            <w:r>
              <w:rPr>
                <w:rFonts w:hint="eastAsia"/>
                <w:sz w:val="18"/>
                <w:szCs w:val="18"/>
              </w:rPr>
              <w:t>1</w:t>
            </w:r>
          </w:p>
        </w:tc>
        <w:tc>
          <w:tcPr>
            <w:tcW w:w="2107" w:type="pct"/>
          </w:tcPr>
          <w:p>
            <w:pPr>
              <w:spacing w:line="360" w:lineRule="auto"/>
              <w:rPr>
                <w:sz w:val="18"/>
                <w:szCs w:val="18"/>
              </w:rPr>
            </w:pPr>
            <w:r>
              <w:rPr>
                <w:rFonts w:hint="eastAsia"/>
                <w:sz w:val="18"/>
                <w:szCs w:val="18"/>
              </w:rPr>
              <w:t>能够利用信号、信道及编码等知识分析基本通信系统的构成；能够设计基本的通信编码。</w:t>
            </w:r>
          </w:p>
        </w:tc>
        <w:tc>
          <w:tcPr>
            <w:tcW w:w="2526" w:type="pct"/>
          </w:tcPr>
          <w:p>
            <w:pPr>
              <w:spacing w:line="360" w:lineRule="auto"/>
              <w:rPr>
                <w:sz w:val="18"/>
                <w:szCs w:val="18"/>
              </w:rPr>
            </w:pPr>
            <w:r>
              <w:rPr>
                <w:rFonts w:hint="eastAsia"/>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sz w:val="18"/>
                <w:szCs w:val="18"/>
              </w:rPr>
            </w:pPr>
            <w:r>
              <w:rPr>
                <w:rFonts w:hint="eastAsia"/>
                <w:sz w:val="18"/>
                <w:szCs w:val="18"/>
              </w:rPr>
              <w:t>2</w:t>
            </w:r>
          </w:p>
        </w:tc>
        <w:tc>
          <w:tcPr>
            <w:tcW w:w="2107" w:type="pct"/>
          </w:tcPr>
          <w:p>
            <w:pPr>
              <w:spacing w:line="360" w:lineRule="auto"/>
              <w:rPr>
                <w:sz w:val="18"/>
                <w:szCs w:val="18"/>
              </w:rPr>
            </w:pPr>
            <w:r>
              <w:rPr>
                <w:rFonts w:hint="eastAsia"/>
                <w:sz w:val="18"/>
                <w:szCs w:val="18"/>
              </w:rPr>
              <w:t>了解一般电子设备、系统常用的通信方式、编码方式等；了解相关的典型案例；能够针对工程问题特定需求分析优化通信实现方案。</w:t>
            </w:r>
          </w:p>
        </w:tc>
        <w:tc>
          <w:tcPr>
            <w:tcW w:w="2526" w:type="pct"/>
          </w:tcPr>
          <w:p>
            <w:pPr>
              <w:spacing w:line="360" w:lineRule="auto"/>
              <w:rPr>
                <w:sz w:val="18"/>
                <w:szCs w:val="18"/>
              </w:rPr>
            </w:pPr>
            <w:r>
              <w:rPr>
                <w:rFonts w:hint="eastAsia"/>
                <w:b/>
                <w:sz w:val="18"/>
                <w:szCs w:val="18"/>
              </w:rPr>
              <w:t>指标点4-1 领域现状认知能力：</w:t>
            </w:r>
            <w:r>
              <w:rPr>
                <w:rFonts w:hint="eastAsia"/>
                <w:sz w:val="18"/>
                <w:szCs w:val="18"/>
              </w:rPr>
              <w:t>了解电子科学与技术专业领域背景及经典案例，能够针对复杂工程问题提出研究思路和分析方法，并有意识地将实验结果用于指导解决方案的改善和优化。</w:t>
            </w:r>
          </w:p>
        </w:tc>
      </w:tr>
    </w:tbl>
    <w:p>
      <w:pPr>
        <w:tabs>
          <w:tab w:val="left" w:pos="420"/>
        </w:tabs>
        <w:adjustRightInd w:val="0"/>
        <w:snapToGrid w:val="0"/>
        <w:spacing w:line="360" w:lineRule="auto"/>
        <w:rPr>
          <w:rFonts w:eastAsia="黑体"/>
          <w:szCs w:val="21"/>
        </w:rPr>
      </w:pPr>
    </w:p>
    <w:p>
      <w:pPr>
        <w:adjustRightInd w:val="0"/>
        <w:snapToGrid w:val="0"/>
        <w:spacing w:line="360" w:lineRule="auto"/>
        <w:ind w:firstLine="420" w:firstLineChars="200"/>
        <w:rPr>
          <w:szCs w:val="21"/>
        </w:rPr>
      </w:pPr>
      <w:r>
        <w:rPr>
          <w:rFonts w:hint="eastAsia"/>
          <w:szCs w:val="21"/>
        </w:rPr>
        <w:t>思政目标：</w:t>
      </w:r>
    </w:p>
    <w:p>
      <w:pPr>
        <w:adjustRightInd w:val="0"/>
        <w:snapToGrid w:val="0"/>
        <w:spacing w:line="360" w:lineRule="auto"/>
        <w:ind w:firstLine="420" w:firstLineChars="200"/>
        <w:rPr>
          <w:szCs w:val="21"/>
        </w:rPr>
      </w:pPr>
      <w:r>
        <w:rPr>
          <w:rFonts w:hint="eastAsia"/>
          <w:szCs w:val="21"/>
        </w:rPr>
        <w:t>通信技术是信息与计算机产业的基础与核心。通过了解国内外该技术的发展历程，激发学生重视通信技术进步与创新的意识，结合我国5G技术的领先发展现状，使学生树立民族自信心和民族自豪感，激励学生为国民经济发展及国家科技进步贡献力量。</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adjustRightInd w:val="0"/>
        <w:snapToGrid w:val="0"/>
        <w:spacing w:line="360" w:lineRule="auto"/>
        <w:ind w:firstLine="420" w:firstLineChars="200"/>
        <w:rPr>
          <w:szCs w:val="21"/>
        </w:rPr>
      </w:pPr>
      <w:r>
        <w:rPr>
          <w:szCs w:val="21"/>
        </w:rPr>
        <w:t>1、本课程</w:t>
      </w:r>
      <w:r>
        <w:rPr>
          <w:rFonts w:hint="eastAsia"/>
          <w:szCs w:val="21"/>
        </w:rPr>
        <w:t>课时较短，需要学生通过视频及预习在课前做好准备</w:t>
      </w:r>
      <w:r>
        <w:rPr>
          <w:szCs w:val="21"/>
        </w:rPr>
        <w:t>。</w:t>
      </w:r>
    </w:p>
    <w:p>
      <w:pPr>
        <w:spacing w:line="360" w:lineRule="auto"/>
        <w:ind w:firstLine="420" w:firstLineChars="200"/>
        <w:rPr>
          <w:szCs w:val="21"/>
        </w:rPr>
      </w:pPr>
      <w:r>
        <w:rPr>
          <w:rFonts w:hint="eastAsia"/>
          <w:szCs w:val="21"/>
        </w:rPr>
        <w:t>2、深度和广度说明：</w:t>
      </w:r>
      <w:r>
        <w:rPr>
          <w:szCs w:val="21"/>
        </w:rPr>
        <w:t>对</w:t>
      </w:r>
      <w:r>
        <w:rPr>
          <w:rFonts w:hint="eastAsia"/>
          <w:szCs w:val="21"/>
        </w:rPr>
        <w:t>通信过程中码型、差错控制等</w:t>
      </w:r>
      <w:r>
        <w:rPr>
          <w:szCs w:val="21"/>
        </w:rPr>
        <w:t>要深入讲解，对于</w:t>
      </w:r>
      <w:r>
        <w:rPr>
          <w:rFonts w:hint="eastAsia"/>
          <w:szCs w:val="21"/>
        </w:rPr>
        <w:t>通信系统模型</w:t>
      </w:r>
      <w:r>
        <w:rPr>
          <w:szCs w:val="21"/>
        </w:rPr>
        <w:t>只做简单介绍</w:t>
      </w:r>
      <w:r>
        <w:rPr>
          <w:rFonts w:hint="eastAsia"/>
          <w:szCs w:val="21"/>
        </w:rPr>
        <w:t>；</w:t>
      </w:r>
      <w:r>
        <w:rPr>
          <w:szCs w:val="21"/>
        </w:rPr>
        <w:t>对</w:t>
      </w:r>
      <w:r>
        <w:rPr>
          <w:rFonts w:hint="eastAsia"/>
          <w:szCs w:val="21"/>
        </w:rPr>
        <w:t>通信过程各环节保障要</w:t>
      </w:r>
      <w:r>
        <w:rPr>
          <w:szCs w:val="21"/>
        </w:rPr>
        <w:t>拓展讲解</w:t>
      </w:r>
      <w:r>
        <w:rPr>
          <w:rFonts w:hint="eastAsia"/>
          <w:szCs w:val="21"/>
        </w:rPr>
        <w:t>，尤其是通信技术途径对电子系统模块、设备间交换数据及控制的参考性</w:t>
      </w:r>
      <w:r>
        <w:rPr>
          <w:szCs w:val="21"/>
        </w:rPr>
        <w:t>。</w:t>
      </w:r>
    </w:p>
    <w:p>
      <w:pPr>
        <w:spacing w:line="360" w:lineRule="auto"/>
        <w:ind w:firstLine="420" w:firstLineChars="200"/>
        <w:rPr>
          <w:szCs w:val="21"/>
        </w:rPr>
      </w:pPr>
      <w:r>
        <w:rPr>
          <w:rFonts w:hint="eastAsia"/>
          <w:szCs w:val="21"/>
        </w:rPr>
        <w:t>3</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adjustRightInd w:val="0"/>
        <w:snapToGrid w:val="0"/>
        <w:spacing w:line="360" w:lineRule="auto"/>
        <w:ind w:firstLine="420" w:firstLineChars="200"/>
        <w:rPr>
          <w:szCs w:val="21"/>
        </w:rPr>
      </w:pPr>
      <w:r>
        <w:rPr>
          <w:szCs w:val="21"/>
        </w:rPr>
        <w:t>本课程重点讲授的内容包括：</w:t>
      </w:r>
      <w:r>
        <w:rPr>
          <w:rFonts w:hint="eastAsia"/>
          <w:szCs w:val="21"/>
        </w:rPr>
        <w:t>通信系统的相关概念及实现中模拟、数字调制方式</w:t>
      </w:r>
      <w:r>
        <w:rPr>
          <w:szCs w:val="21"/>
        </w:rPr>
        <w:t>。</w:t>
      </w:r>
      <w:r>
        <w:rPr>
          <w:rFonts w:hint="eastAsia"/>
          <w:szCs w:val="21"/>
        </w:rPr>
        <w:t>特别是对数字基带信号编码及差错、纠错码等内容进行重点讲解。</w:t>
      </w:r>
    </w:p>
    <w:p>
      <w:pPr>
        <w:widowControl/>
        <w:adjustRightInd w:val="0"/>
        <w:snapToGrid w:val="0"/>
        <w:spacing w:line="360" w:lineRule="auto"/>
        <w:ind w:firstLine="420" w:firstLineChars="200"/>
        <w:rPr>
          <w:rFonts w:eastAsia="黑体"/>
          <w:kern w:val="0"/>
          <w:szCs w:val="21"/>
        </w:rPr>
      </w:pPr>
      <w:r>
        <w:rPr>
          <w:rFonts w:eastAsia="黑体"/>
          <w:snapToGrid w:val="0"/>
          <w:kern w:val="0"/>
          <w:szCs w:val="21"/>
        </w:rPr>
        <w:t xml:space="preserve">1  </w:t>
      </w:r>
      <w:r>
        <w:rPr>
          <w:rFonts w:hint="eastAsia" w:eastAsia="黑体"/>
          <w:snapToGrid w:val="0"/>
          <w:kern w:val="0"/>
          <w:szCs w:val="21"/>
        </w:rPr>
        <w:t>绪论</w:t>
      </w:r>
      <w:r>
        <w:rPr>
          <w:rFonts w:eastAsia="黑体"/>
          <w:snapToGrid w:val="0"/>
          <w:kern w:val="0"/>
          <w:szCs w:val="21"/>
        </w:rPr>
        <w:t>（</w:t>
      </w:r>
      <w:r>
        <w:rPr>
          <w:rFonts w:hint="eastAsia" w:eastAsia="黑体"/>
          <w:snapToGrid w:val="0"/>
          <w:kern w:val="0"/>
          <w:szCs w:val="21"/>
        </w:rPr>
        <w:t>6</w:t>
      </w:r>
      <w:r>
        <w:rPr>
          <w:rFonts w:eastAsia="黑体"/>
          <w:snapToGrid w:val="0"/>
          <w:kern w:val="0"/>
          <w:szCs w:val="21"/>
        </w:rPr>
        <w:t>学时）</w:t>
      </w:r>
    </w:p>
    <w:p>
      <w:pPr>
        <w:widowControl/>
        <w:adjustRightInd w:val="0"/>
        <w:snapToGrid w:val="0"/>
        <w:spacing w:line="360" w:lineRule="auto"/>
        <w:ind w:firstLine="420" w:firstLineChars="200"/>
        <w:rPr>
          <w:snapToGrid w:val="0"/>
          <w:kern w:val="0"/>
          <w:szCs w:val="21"/>
        </w:rPr>
      </w:pPr>
      <w:r>
        <w:rPr>
          <w:snapToGrid w:val="0"/>
          <w:kern w:val="0"/>
          <w:szCs w:val="21"/>
        </w:rPr>
        <w:t>1.1、</w:t>
      </w:r>
      <w:r>
        <w:rPr>
          <w:rFonts w:hint="eastAsia"/>
          <w:snapToGrid w:val="0"/>
          <w:kern w:val="0"/>
          <w:szCs w:val="21"/>
        </w:rPr>
        <w:t>本课程在专业课程体系中的地位和作用介绍；</w:t>
      </w:r>
    </w:p>
    <w:p>
      <w:pPr>
        <w:widowControl/>
        <w:adjustRightInd w:val="0"/>
        <w:snapToGrid w:val="0"/>
        <w:spacing w:line="360" w:lineRule="auto"/>
        <w:ind w:firstLine="420" w:firstLineChars="200"/>
        <w:rPr>
          <w:snapToGrid w:val="0"/>
          <w:kern w:val="0"/>
          <w:szCs w:val="21"/>
        </w:rPr>
      </w:pPr>
      <w:r>
        <w:rPr>
          <w:rFonts w:hint="eastAsia"/>
          <w:snapToGrid w:val="0"/>
          <w:kern w:val="0"/>
          <w:szCs w:val="21"/>
        </w:rPr>
        <w:t>1.2、了解通信技术的发展历程与现状</w:t>
      </w:r>
    </w:p>
    <w:p>
      <w:pPr>
        <w:widowControl/>
        <w:adjustRightInd w:val="0"/>
        <w:snapToGrid w:val="0"/>
        <w:spacing w:line="360" w:lineRule="auto"/>
        <w:ind w:firstLine="420" w:firstLineChars="200"/>
        <w:rPr>
          <w:snapToGrid w:val="0"/>
          <w:kern w:val="0"/>
          <w:szCs w:val="21"/>
        </w:rPr>
      </w:pPr>
      <w:r>
        <w:rPr>
          <w:rFonts w:hint="eastAsia"/>
          <w:snapToGrid w:val="0"/>
          <w:kern w:val="0"/>
          <w:szCs w:val="21"/>
        </w:rPr>
        <w:t xml:space="preserve">1.3、课程内容、学习方法、讲授方式、评价方式介绍； </w:t>
      </w:r>
    </w:p>
    <w:p>
      <w:pPr>
        <w:widowControl/>
        <w:adjustRightInd w:val="0"/>
        <w:snapToGrid w:val="0"/>
        <w:spacing w:line="360" w:lineRule="auto"/>
        <w:ind w:firstLine="420" w:firstLineChars="200"/>
        <w:rPr>
          <w:snapToGrid w:val="0"/>
          <w:kern w:val="0"/>
          <w:szCs w:val="21"/>
        </w:rPr>
      </w:pPr>
      <w:r>
        <w:rPr>
          <w:rFonts w:hint="eastAsia"/>
          <w:snapToGrid w:val="0"/>
          <w:kern w:val="0"/>
          <w:szCs w:val="21"/>
        </w:rPr>
        <w:t xml:space="preserve">1.4、了解通信的概念、通信系统、通信方式，掌握信道与传输介质； </w:t>
      </w:r>
    </w:p>
    <w:p>
      <w:pPr>
        <w:widowControl/>
        <w:adjustRightInd w:val="0"/>
        <w:snapToGrid w:val="0"/>
        <w:spacing w:line="360" w:lineRule="auto"/>
        <w:ind w:firstLine="420" w:firstLineChars="200"/>
        <w:rPr>
          <w:snapToGrid w:val="0"/>
          <w:kern w:val="0"/>
          <w:szCs w:val="21"/>
        </w:rPr>
      </w:pPr>
      <w:r>
        <w:rPr>
          <w:rFonts w:hint="eastAsia"/>
          <w:snapToGrid w:val="0"/>
          <w:kern w:val="0"/>
          <w:szCs w:val="21"/>
        </w:rPr>
        <w:t>1.5、熟练掌握</w:t>
      </w:r>
      <w:bookmarkStart w:id="202" w:name="_Hlk114126384"/>
      <w:r>
        <w:rPr>
          <w:rFonts w:hint="eastAsia"/>
          <w:snapToGrid w:val="0"/>
          <w:kern w:val="0"/>
          <w:szCs w:val="21"/>
        </w:rPr>
        <w:t>信号与噪声、信号频谱、信息度量</w:t>
      </w:r>
      <w:bookmarkEnd w:id="202"/>
      <w:r>
        <w:rPr>
          <w:rFonts w:hint="eastAsia"/>
          <w:snapToGrid w:val="0"/>
          <w:kern w:val="0"/>
          <w:szCs w:val="21"/>
        </w:rPr>
        <w:t>。</w:t>
      </w:r>
    </w:p>
    <w:p>
      <w:pPr>
        <w:widowControl/>
        <w:adjustRightInd w:val="0"/>
        <w:snapToGrid w:val="0"/>
        <w:spacing w:line="360" w:lineRule="auto"/>
        <w:ind w:firstLine="420" w:firstLineChars="200"/>
        <w:rPr>
          <w:snapToGrid w:val="0"/>
          <w:kern w:val="0"/>
          <w:szCs w:val="21"/>
        </w:rPr>
      </w:pPr>
      <w:r>
        <w:rPr>
          <w:snapToGrid w:val="0"/>
          <w:kern w:val="0"/>
          <w:szCs w:val="21"/>
        </w:rPr>
        <w:t>重点：</w:t>
      </w:r>
      <w:r>
        <w:rPr>
          <w:rFonts w:hint="eastAsia"/>
          <w:snapToGrid w:val="0"/>
          <w:kern w:val="0"/>
          <w:szCs w:val="21"/>
        </w:rPr>
        <w:t>信号与噪声、信号频谱、信息度量</w:t>
      </w:r>
      <w:r>
        <w:rPr>
          <w:snapToGrid w:val="0"/>
          <w:kern w:val="0"/>
          <w:szCs w:val="21"/>
        </w:rPr>
        <w:t>。</w:t>
      </w:r>
    </w:p>
    <w:p>
      <w:pPr>
        <w:adjustRightInd w:val="0"/>
        <w:snapToGrid w:val="0"/>
        <w:spacing w:line="360" w:lineRule="auto"/>
        <w:ind w:firstLine="454"/>
        <w:rPr>
          <w:szCs w:val="21"/>
        </w:rPr>
      </w:pPr>
      <w:r>
        <w:rPr>
          <w:rFonts w:hint="eastAsia"/>
          <w:szCs w:val="21"/>
        </w:rPr>
        <w:t>本章内容支撑课程目标1、2</w:t>
      </w:r>
    </w:p>
    <w:p>
      <w:pPr>
        <w:adjustRightInd w:val="0"/>
        <w:snapToGrid w:val="0"/>
        <w:spacing w:line="360" w:lineRule="auto"/>
        <w:ind w:firstLine="422" w:firstLineChars="200"/>
        <w:rPr>
          <w:b/>
          <w:bCs/>
          <w:szCs w:val="21"/>
        </w:rPr>
      </w:pPr>
      <w:r>
        <w:rPr>
          <w:rFonts w:hint="eastAsia"/>
          <w:b/>
          <w:bCs/>
          <w:szCs w:val="21"/>
        </w:rPr>
        <w:t>思政元素：通过对比分析国内外发展现状，激发学生的使命感和责任感。通过阐述相关应用需求和背景，提高学生学习的积极性和主动性。</w:t>
      </w:r>
    </w:p>
    <w:p>
      <w:pPr>
        <w:adjustRightInd w:val="0"/>
        <w:snapToGrid w:val="0"/>
        <w:spacing w:line="360" w:lineRule="auto"/>
        <w:ind w:firstLine="454"/>
        <w:rPr>
          <w:szCs w:val="21"/>
        </w:rPr>
      </w:pPr>
    </w:p>
    <w:p>
      <w:pPr>
        <w:widowControl/>
        <w:adjustRightInd w:val="0"/>
        <w:snapToGrid w:val="0"/>
        <w:spacing w:line="360" w:lineRule="auto"/>
        <w:ind w:firstLine="420" w:firstLineChars="200"/>
        <w:rPr>
          <w:rFonts w:eastAsia="黑体"/>
          <w:kern w:val="0"/>
          <w:szCs w:val="21"/>
        </w:rPr>
      </w:pPr>
      <w:r>
        <w:rPr>
          <w:rFonts w:eastAsia="黑体"/>
          <w:snapToGrid w:val="0"/>
          <w:kern w:val="0"/>
          <w:szCs w:val="21"/>
        </w:rPr>
        <w:t>2  </w:t>
      </w:r>
      <w:r>
        <w:rPr>
          <w:rFonts w:hint="eastAsia" w:eastAsia="黑体"/>
          <w:snapToGrid w:val="0"/>
          <w:kern w:val="0"/>
          <w:szCs w:val="21"/>
        </w:rPr>
        <w:t>模拟调制</w:t>
      </w:r>
      <w:r>
        <w:rPr>
          <w:rFonts w:eastAsia="黑体"/>
          <w:snapToGrid w:val="0"/>
          <w:kern w:val="0"/>
          <w:szCs w:val="21"/>
        </w:rPr>
        <w:t>（4学时）</w:t>
      </w:r>
    </w:p>
    <w:p>
      <w:pPr>
        <w:widowControl/>
        <w:adjustRightInd w:val="0"/>
        <w:snapToGrid w:val="0"/>
        <w:spacing w:line="360" w:lineRule="auto"/>
        <w:ind w:firstLine="420" w:firstLineChars="200"/>
        <w:rPr>
          <w:snapToGrid w:val="0"/>
          <w:kern w:val="0"/>
          <w:szCs w:val="21"/>
        </w:rPr>
      </w:pPr>
      <w:r>
        <w:rPr>
          <w:snapToGrid w:val="0"/>
          <w:kern w:val="0"/>
          <w:szCs w:val="21"/>
        </w:rPr>
        <w:t>2.1、</w:t>
      </w:r>
      <w:r>
        <w:rPr>
          <w:rFonts w:hint="eastAsia"/>
          <w:snapToGrid w:val="0"/>
          <w:kern w:val="0"/>
          <w:szCs w:val="21"/>
        </w:rPr>
        <w:t>了解调制的概念、功能及分类；</w:t>
      </w:r>
    </w:p>
    <w:p>
      <w:pPr>
        <w:widowControl/>
        <w:adjustRightInd w:val="0"/>
        <w:snapToGrid w:val="0"/>
        <w:spacing w:line="360" w:lineRule="auto"/>
        <w:ind w:firstLine="420" w:firstLineChars="200"/>
        <w:rPr>
          <w:snapToGrid w:val="0"/>
          <w:kern w:val="0"/>
          <w:szCs w:val="21"/>
        </w:rPr>
      </w:pPr>
      <w:r>
        <w:rPr>
          <w:rFonts w:hint="eastAsia"/>
          <w:snapToGrid w:val="0"/>
          <w:kern w:val="0"/>
          <w:szCs w:val="21"/>
        </w:rPr>
        <w:t>2.2、掌握抑制载波的双边带调幅、常规双边带调幅的调制和解调；</w:t>
      </w:r>
    </w:p>
    <w:p>
      <w:pPr>
        <w:widowControl/>
        <w:adjustRightInd w:val="0"/>
        <w:snapToGrid w:val="0"/>
        <w:spacing w:line="360" w:lineRule="auto"/>
        <w:ind w:firstLine="420" w:firstLineChars="200"/>
        <w:rPr>
          <w:snapToGrid w:val="0"/>
          <w:kern w:val="0"/>
          <w:szCs w:val="21"/>
        </w:rPr>
      </w:pPr>
      <w:r>
        <w:rPr>
          <w:rFonts w:hint="eastAsia"/>
          <w:snapToGrid w:val="0"/>
          <w:kern w:val="0"/>
          <w:szCs w:val="21"/>
        </w:rPr>
        <w:t>2.3、了解AM与DSB的性能比较；</w:t>
      </w:r>
    </w:p>
    <w:p>
      <w:pPr>
        <w:widowControl/>
        <w:adjustRightInd w:val="0"/>
        <w:snapToGrid w:val="0"/>
        <w:spacing w:line="360" w:lineRule="auto"/>
        <w:ind w:firstLine="420" w:firstLineChars="200"/>
        <w:rPr>
          <w:snapToGrid w:val="0"/>
          <w:kern w:val="0"/>
          <w:szCs w:val="21"/>
        </w:rPr>
      </w:pPr>
      <w:r>
        <w:rPr>
          <w:rFonts w:hint="eastAsia"/>
          <w:snapToGrid w:val="0"/>
          <w:kern w:val="0"/>
          <w:szCs w:val="21"/>
        </w:rPr>
        <w:t>2.4、了解单边带调制、残留边带调制、插入载波的包络检波；</w:t>
      </w:r>
    </w:p>
    <w:p>
      <w:pPr>
        <w:widowControl/>
        <w:adjustRightInd w:val="0"/>
        <w:snapToGrid w:val="0"/>
        <w:spacing w:line="360" w:lineRule="auto"/>
        <w:ind w:firstLine="420" w:firstLineChars="200"/>
        <w:rPr>
          <w:snapToGrid w:val="0"/>
          <w:kern w:val="0"/>
          <w:szCs w:val="21"/>
        </w:rPr>
      </w:pPr>
      <w:r>
        <w:rPr>
          <w:rFonts w:hint="eastAsia"/>
          <w:snapToGrid w:val="0"/>
          <w:kern w:val="0"/>
          <w:szCs w:val="21"/>
        </w:rPr>
        <w:t>2.5、掌握角调制的概念、调制/解调方法。</w:t>
      </w:r>
    </w:p>
    <w:p>
      <w:pPr>
        <w:widowControl/>
        <w:adjustRightInd w:val="0"/>
        <w:snapToGrid w:val="0"/>
        <w:spacing w:line="360" w:lineRule="auto"/>
        <w:ind w:firstLine="420" w:firstLineChars="200"/>
        <w:rPr>
          <w:snapToGrid w:val="0"/>
          <w:kern w:val="0"/>
          <w:szCs w:val="21"/>
        </w:rPr>
      </w:pPr>
      <w:r>
        <w:rPr>
          <w:snapToGrid w:val="0"/>
          <w:kern w:val="0"/>
          <w:szCs w:val="21"/>
        </w:rPr>
        <w:t>重点：</w:t>
      </w:r>
      <w:r>
        <w:rPr>
          <w:rFonts w:hint="eastAsia"/>
          <w:snapToGrid w:val="0"/>
          <w:kern w:val="0"/>
          <w:szCs w:val="21"/>
        </w:rPr>
        <w:t>角调制的概念、调制/解调方法</w:t>
      </w:r>
    </w:p>
    <w:p>
      <w:pPr>
        <w:adjustRightInd w:val="0"/>
        <w:snapToGrid w:val="0"/>
        <w:spacing w:line="360" w:lineRule="auto"/>
        <w:ind w:firstLine="454"/>
        <w:rPr>
          <w:szCs w:val="21"/>
        </w:rPr>
      </w:pPr>
      <w:r>
        <w:rPr>
          <w:rFonts w:hint="eastAsia"/>
          <w:szCs w:val="21"/>
        </w:rPr>
        <w:t>本章内容支撑课程目标1</w:t>
      </w:r>
    </w:p>
    <w:p>
      <w:pPr>
        <w:widowControl/>
        <w:adjustRightInd w:val="0"/>
        <w:snapToGrid w:val="0"/>
        <w:spacing w:line="360" w:lineRule="auto"/>
        <w:ind w:firstLine="420" w:firstLineChars="200"/>
        <w:rPr>
          <w:rFonts w:eastAsia="黑体"/>
          <w:bCs/>
          <w:snapToGrid w:val="0"/>
          <w:kern w:val="0"/>
          <w:szCs w:val="21"/>
        </w:rPr>
      </w:pPr>
      <w:r>
        <w:rPr>
          <w:rFonts w:eastAsia="黑体"/>
          <w:bCs/>
          <w:snapToGrid w:val="0"/>
          <w:kern w:val="0"/>
          <w:szCs w:val="21"/>
        </w:rPr>
        <w:t xml:space="preserve">3  </w:t>
      </w:r>
      <w:r>
        <w:rPr>
          <w:rFonts w:hint="eastAsia" w:eastAsia="黑体"/>
          <w:bCs/>
          <w:snapToGrid w:val="0"/>
          <w:kern w:val="0"/>
          <w:szCs w:val="21"/>
        </w:rPr>
        <w:t>脉冲编码调制</w:t>
      </w:r>
      <w:r>
        <w:rPr>
          <w:rFonts w:eastAsia="黑体"/>
          <w:snapToGrid w:val="0"/>
          <w:kern w:val="0"/>
          <w:szCs w:val="21"/>
        </w:rPr>
        <w:t>（2学时）</w:t>
      </w:r>
    </w:p>
    <w:p>
      <w:pPr>
        <w:adjustRightInd w:val="0"/>
        <w:snapToGrid w:val="0"/>
        <w:spacing w:line="360" w:lineRule="auto"/>
        <w:ind w:firstLine="420" w:firstLineChars="200"/>
      </w:pPr>
      <w:r>
        <w:t>3.1、</w:t>
      </w:r>
      <w:r>
        <w:rPr>
          <w:rFonts w:hint="eastAsia"/>
        </w:rPr>
        <w:t>掌握PCM编码</w:t>
      </w:r>
      <w:r>
        <w:t>；</w:t>
      </w:r>
    </w:p>
    <w:p>
      <w:pPr>
        <w:adjustRightInd w:val="0"/>
        <w:snapToGrid w:val="0"/>
        <w:spacing w:line="360" w:lineRule="auto"/>
        <w:ind w:firstLine="420" w:firstLineChars="200"/>
      </w:pPr>
      <w:r>
        <w:t>3.2、</w:t>
      </w:r>
      <w:r>
        <w:rPr>
          <w:rFonts w:hint="eastAsia"/>
        </w:rPr>
        <w:t>掌握抽样定理</w:t>
      </w:r>
      <w:r>
        <w:t>；</w:t>
      </w:r>
    </w:p>
    <w:p>
      <w:pPr>
        <w:adjustRightInd w:val="0"/>
        <w:snapToGrid w:val="0"/>
        <w:spacing w:line="360" w:lineRule="auto"/>
        <w:ind w:firstLine="420" w:firstLineChars="200"/>
        <w:rPr>
          <w:snapToGrid w:val="0"/>
          <w:kern w:val="0"/>
          <w:szCs w:val="21"/>
        </w:rPr>
      </w:pPr>
      <w:r>
        <w:t>3.3、</w:t>
      </w:r>
      <w:r>
        <w:rPr>
          <w:rFonts w:hint="eastAsia"/>
        </w:rPr>
        <w:t>掌握时分复用</w:t>
      </w:r>
      <w:r>
        <w:rPr>
          <w:snapToGrid w:val="0"/>
          <w:kern w:val="0"/>
          <w:szCs w:val="21"/>
        </w:rPr>
        <w:t>。</w:t>
      </w:r>
    </w:p>
    <w:p>
      <w:pPr>
        <w:adjustRightInd w:val="0"/>
        <w:snapToGrid w:val="0"/>
        <w:spacing w:line="360" w:lineRule="auto"/>
        <w:ind w:firstLine="420" w:firstLineChars="200"/>
        <w:rPr>
          <w:snapToGrid w:val="0"/>
          <w:kern w:val="0"/>
          <w:szCs w:val="21"/>
        </w:rPr>
      </w:pPr>
      <w:r>
        <w:rPr>
          <w:snapToGrid w:val="0"/>
          <w:kern w:val="0"/>
          <w:szCs w:val="21"/>
        </w:rPr>
        <w:t>重点：</w:t>
      </w:r>
      <w:r>
        <w:rPr>
          <w:rFonts w:hint="eastAsia"/>
          <w:snapToGrid w:val="0"/>
          <w:kern w:val="0"/>
          <w:szCs w:val="21"/>
        </w:rPr>
        <w:t>PCM编码</w:t>
      </w:r>
    </w:p>
    <w:p>
      <w:pPr>
        <w:adjustRightInd w:val="0"/>
        <w:snapToGrid w:val="0"/>
        <w:spacing w:line="360" w:lineRule="auto"/>
        <w:ind w:firstLine="420" w:firstLineChars="200"/>
        <w:rPr>
          <w:snapToGrid w:val="0"/>
          <w:kern w:val="0"/>
          <w:szCs w:val="21"/>
        </w:rPr>
      </w:pPr>
      <w:r>
        <w:rPr>
          <w:snapToGrid w:val="0"/>
          <w:kern w:val="0"/>
          <w:szCs w:val="21"/>
        </w:rPr>
        <w:t>难点：</w:t>
      </w:r>
      <w:r>
        <w:rPr>
          <w:rFonts w:hint="eastAsia"/>
          <w:snapToGrid w:val="0"/>
          <w:kern w:val="0"/>
          <w:szCs w:val="21"/>
        </w:rPr>
        <w:t>抽样定理</w:t>
      </w:r>
    </w:p>
    <w:p>
      <w:pPr>
        <w:adjustRightInd w:val="0"/>
        <w:snapToGrid w:val="0"/>
        <w:spacing w:line="360" w:lineRule="auto"/>
        <w:ind w:firstLine="454"/>
        <w:rPr>
          <w:szCs w:val="21"/>
        </w:rPr>
      </w:pPr>
      <w:r>
        <w:rPr>
          <w:rFonts w:hint="eastAsia"/>
          <w:szCs w:val="21"/>
        </w:rPr>
        <w:t>本章内容支撑课程目标1</w:t>
      </w:r>
    </w:p>
    <w:p>
      <w:pPr>
        <w:tabs>
          <w:tab w:val="left" w:pos="1260"/>
        </w:tabs>
        <w:adjustRightInd w:val="0"/>
        <w:snapToGrid w:val="0"/>
        <w:spacing w:line="360" w:lineRule="auto"/>
        <w:ind w:firstLine="420" w:firstLineChars="200"/>
      </w:pPr>
      <w:r>
        <w:rPr>
          <w:rFonts w:eastAsia="黑体"/>
        </w:rPr>
        <w:t xml:space="preserve">4  </w:t>
      </w:r>
      <w:r>
        <w:rPr>
          <w:rFonts w:hint="eastAsia" w:eastAsia="黑体"/>
          <w:snapToGrid w:val="0"/>
          <w:kern w:val="0"/>
          <w:szCs w:val="21"/>
        </w:rPr>
        <w:t>增量调制</w:t>
      </w:r>
      <w:r>
        <w:rPr>
          <w:rFonts w:eastAsia="黑体"/>
          <w:snapToGrid w:val="0"/>
          <w:kern w:val="0"/>
          <w:szCs w:val="21"/>
        </w:rPr>
        <w:t>（2学时）</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4.1、</w:t>
      </w:r>
      <w:r>
        <w:rPr>
          <w:rFonts w:hint="eastAsia"/>
          <w:bCs/>
          <w:snapToGrid w:val="0"/>
          <w:kern w:val="0"/>
          <w:szCs w:val="21"/>
        </w:rPr>
        <w:t>掌握简单增量调制</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4.2、</w:t>
      </w:r>
      <w:r>
        <w:rPr>
          <w:rFonts w:hint="eastAsia"/>
          <w:bCs/>
          <w:snapToGrid w:val="0"/>
          <w:kern w:val="0"/>
          <w:szCs w:val="21"/>
        </w:rPr>
        <w:t>掌握增量总和调制。</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重点：</w:t>
      </w:r>
      <w:r>
        <w:rPr>
          <w:rFonts w:hint="eastAsia"/>
          <w:bCs/>
          <w:snapToGrid w:val="0"/>
          <w:kern w:val="0"/>
          <w:szCs w:val="21"/>
        </w:rPr>
        <w:t>简单增量调制</w:t>
      </w:r>
    </w:p>
    <w:p>
      <w:pPr>
        <w:adjustRightInd w:val="0"/>
        <w:snapToGrid w:val="0"/>
        <w:spacing w:line="360" w:lineRule="auto"/>
        <w:ind w:firstLine="454"/>
        <w:rPr>
          <w:szCs w:val="21"/>
        </w:rPr>
      </w:pPr>
      <w:r>
        <w:rPr>
          <w:rFonts w:hint="eastAsia"/>
          <w:szCs w:val="21"/>
        </w:rPr>
        <w:t>本章内容支撑课程目标1</w:t>
      </w:r>
    </w:p>
    <w:p>
      <w:pPr>
        <w:tabs>
          <w:tab w:val="left" w:pos="1260"/>
        </w:tabs>
        <w:adjustRightInd w:val="0"/>
        <w:snapToGrid w:val="0"/>
        <w:spacing w:line="360" w:lineRule="auto"/>
        <w:ind w:firstLine="420" w:firstLineChars="200"/>
        <w:rPr>
          <w:rFonts w:eastAsia="黑体"/>
          <w:snapToGrid w:val="0"/>
          <w:kern w:val="0"/>
          <w:szCs w:val="21"/>
        </w:rPr>
      </w:pPr>
      <w:r>
        <w:rPr>
          <w:rFonts w:hint="eastAsia" w:eastAsia="黑体"/>
          <w:snapToGrid w:val="0"/>
          <w:kern w:val="0"/>
          <w:szCs w:val="21"/>
        </w:rPr>
        <w:t>5 数字复接与SDH</w:t>
      </w:r>
      <w:r>
        <w:rPr>
          <w:rFonts w:eastAsia="黑体"/>
          <w:snapToGrid w:val="0"/>
          <w:kern w:val="0"/>
          <w:szCs w:val="21"/>
        </w:rPr>
        <w:t>（2学时）</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5.1、掌握PCM复用与数字复接</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5.2、掌握同步数字序列SDH</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重点：SDH</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本章内容支撑课程目标1、2</w:t>
      </w:r>
    </w:p>
    <w:p>
      <w:pPr>
        <w:widowControl/>
        <w:adjustRightInd w:val="0"/>
        <w:snapToGrid w:val="0"/>
        <w:spacing w:line="360" w:lineRule="auto"/>
        <w:ind w:firstLine="420" w:firstLineChars="200"/>
        <w:rPr>
          <w:rFonts w:eastAsia="黑体"/>
          <w:bCs/>
          <w:snapToGrid w:val="0"/>
          <w:kern w:val="0"/>
          <w:szCs w:val="21"/>
        </w:rPr>
      </w:pPr>
      <w:r>
        <w:rPr>
          <w:rFonts w:hint="eastAsia" w:eastAsia="黑体"/>
          <w:bCs/>
          <w:snapToGrid w:val="0"/>
          <w:kern w:val="0"/>
          <w:szCs w:val="21"/>
        </w:rPr>
        <w:t>6数字信号的基带传输</w:t>
      </w:r>
      <w:r>
        <w:rPr>
          <w:rFonts w:eastAsia="黑体"/>
          <w:snapToGrid w:val="0"/>
          <w:kern w:val="0"/>
          <w:szCs w:val="21"/>
        </w:rPr>
        <w:t>（2学时）</w:t>
      </w:r>
    </w:p>
    <w:p>
      <w:pPr>
        <w:adjustRightInd w:val="0"/>
        <w:snapToGrid w:val="0"/>
        <w:spacing w:line="360" w:lineRule="auto"/>
        <w:ind w:firstLine="420" w:firstLineChars="200"/>
      </w:pPr>
      <w:r>
        <w:rPr>
          <w:rFonts w:hint="eastAsia"/>
        </w:rPr>
        <w:t>6</w:t>
      </w:r>
      <w:r>
        <w:t>.1、</w:t>
      </w:r>
      <w:r>
        <w:rPr>
          <w:rFonts w:hint="eastAsia"/>
        </w:rPr>
        <w:t>掌握数字基带信号的码型</w:t>
      </w:r>
      <w:r>
        <w:t>；</w:t>
      </w:r>
    </w:p>
    <w:p>
      <w:pPr>
        <w:adjustRightInd w:val="0"/>
        <w:snapToGrid w:val="0"/>
        <w:spacing w:line="360" w:lineRule="auto"/>
        <w:ind w:firstLine="420" w:firstLineChars="200"/>
      </w:pPr>
      <w:r>
        <w:rPr>
          <w:rFonts w:hint="eastAsia"/>
        </w:rPr>
        <w:t>6</w:t>
      </w:r>
      <w:r>
        <w:t>.2、</w:t>
      </w:r>
      <w:r>
        <w:rPr>
          <w:rFonts w:hint="eastAsia"/>
        </w:rPr>
        <w:t>掌握无码间串扰的传输波形。</w:t>
      </w:r>
    </w:p>
    <w:p>
      <w:pPr>
        <w:adjustRightInd w:val="0"/>
        <w:snapToGrid w:val="0"/>
        <w:spacing w:line="360" w:lineRule="auto"/>
        <w:ind w:firstLine="420" w:firstLineChars="200"/>
        <w:rPr>
          <w:snapToGrid w:val="0"/>
          <w:kern w:val="0"/>
          <w:szCs w:val="21"/>
        </w:rPr>
      </w:pPr>
      <w:r>
        <w:rPr>
          <w:snapToGrid w:val="0"/>
          <w:kern w:val="0"/>
          <w:szCs w:val="21"/>
        </w:rPr>
        <w:t>重点：</w:t>
      </w:r>
      <w:r>
        <w:rPr>
          <w:rFonts w:hint="eastAsia"/>
          <w:snapToGrid w:val="0"/>
          <w:kern w:val="0"/>
          <w:szCs w:val="21"/>
        </w:rPr>
        <w:t>数字基带信号的码型</w:t>
      </w:r>
    </w:p>
    <w:p>
      <w:pPr>
        <w:adjustRightInd w:val="0"/>
        <w:snapToGrid w:val="0"/>
        <w:spacing w:line="360" w:lineRule="auto"/>
        <w:ind w:firstLine="420" w:firstLineChars="200"/>
        <w:rPr>
          <w:snapToGrid w:val="0"/>
          <w:kern w:val="0"/>
          <w:szCs w:val="21"/>
        </w:rPr>
      </w:pPr>
      <w:r>
        <w:rPr>
          <w:snapToGrid w:val="0"/>
          <w:kern w:val="0"/>
          <w:szCs w:val="21"/>
        </w:rPr>
        <w:t>难点：</w:t>
      </w:r>
      <w:r>
        <w:rPr>
          <w:rFonts w:hint="eastAsia"/>
          <w:snapToGrid w:val="0"/>
          <w:kern w:val="0"/>
          <w:szCs w:val="21"/>
        </w:rPr>
        <w:t>扰码和解扰</w:t>
      </w:r>
    </w:p>
    <w:p>
      <w:pPr>
        <w:adjustRightInd w:val="0"/>
        <w:snapToGrid w:val="0"/>
        <w:spacing w:line="360" w:lineRule="auto"/>
        <w:ind w:firstLine="454"/>
        <w:rPr>
          <w:szCs w:val="21"/>
        </w:rPr>
      </w:pPr>
      <w:r>
        <w:rPr>
          <w:rFonts w:hint="eastAsia"/>
          <w:szCs w:val="21"/>
        </w:rPr>
        <w:t>本章内容支撑课程目标1、2</w:t>
      </w:r>
    </w:p>
    <w:p>
      <w:pPr>
        <w:tabs>
          <w:tab w:val="left" w:pos="1260"/>
        </w:tabs>
        <w:adjustRightInd w:val="0"/>
        <w:snapToGrid w:val="0"/>
        <w:spacing w:line="360" w:lineRule="auto"/>
        <w:ind w:firstLine="420" w:firstLineChars="200"/>
      </w:pPr>
      <w:r>
        <w:rPr>
          <w:rFonts w:hint="eastAsia" w:eastAsia="黑体"/>
        </w:rPr>
        <w:t>7数字信号的频带传输</w:t>
      </w:r>
      <w:r>
        <w:rPr>
          <w:rFonts w:eastAsia="黑体"/>
          <w:snapToGrid w:val="0"/>
          <w:kern w:val="0"/>
          <w:szCs w:val="21"/>
        </w:rPr>
        <w:t>（2学时）</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7</w:t>
      </w:r>
      <w:r>
        <w:rPr>
          <w:bCs/>
          <w:snapToGrid w:val="0"/>
          <w:kern w:val="0"/>
          <w:szCs w:val="21"/>
        </w:rPr>
        <w:t>.1、</w:t>
      </w:r>
      <w:r>
        <w:rPr>
          <w:rFonts w:hint="eastAsia"/>
          <w:bCs/>
          <w:snapToGrid w:val="0"/>
          <w:kern w:val="0"/>
          <w:szCs w:val="21"/>
        </w:rPr>
        <w:t>掌握二进制幅、频、相键控</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7</w:t>
      </w:r>
      <w:r>
        <w:rPr>
          <w:bCs/>
          <w:snapToGrid w:val="0"/>
          <w:kern w:val="0"/>
          <w:szCs w:val="21"/>
        </w:rPr>
        <w:t>.2、</w:t>
      </w:r>
      <w:r>
        <w:rPr>
          <w:rFonts w:hint="eastAsia"/>
          <w:bCs/>
          <w:snapToGrid w:val="0"/>
          <w:kern w:val="0"/>
          <w:szCs w:val="21"/>
        </w:rPr>
        <w:t>掌握二进制差分相移键控；</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7.3、了解多进制数字调制。</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重点：</w:t>
      </w:r>
      <w:r>
        <w:rPr>
          <w:rFonts w:hint="eastAsia"/>
          <w:bCs/>
          <w:snapToGrid w:val="0"/>
          <w:kern w:val="0"/>
          <w:szCs w:val="21"/>
        </w:rPr>
        <w:t>二进制幅值键控</w:t>
      </w:r>
    </w:p>
    <w:p>
      <w:pPr>
        <w:adjustRightInd w:val="0"/>
        <w:snapToGrid w:val="0"/>
        <w:spacing w:line="360" w:lineRule="auto"/>
        <w:ind w:firstLine="454"/>
        <w:rPr>
          <w:szCs w:val="21"/>
        </w:rPr>
      </w:pPr>
      <w:r>
        <w:rPr>
          <w:rFonts w:hint="eastAsia"/>
          <w:szCs w:val="21"/>
        </w:rPr>
        <w:t>本章内容支撑课程目标1、2</w:t>
      </w:r>
    </w:p>
    <w:p>
      <w:pPr>
        <w:tabs>
          <w:tab w:val="left" w:pos="1260"/>
        </w:tabs>
        <w:adjustRightInd w:val="0"/>
        <w:snapToGrid w:val="0"/>
        <w:spacing w:line="360" w:lineRule="auto"/>
        <w:ind w:firstLine="420" w:firstLineChars="200"/>
        <w:rPr>
          <w:rFonts w:eastAsia="黑体"/>
          <w:snapToGrid w:val="0"/>
          <w:kern w:val="0"/>
          <w:szCs w:val="21"/>
        </w:rPr>
      </w:pPr>
      <w:r>
        <w:rPr>
          <w:rFonts w:hint="eastAsia" w:eastAsia="黑体"/>
          <w:snapToGrid w:val="0"/>
          <w:kern w:val="0"/>
          <w:szCs w:val="21"/>
        </w:rPr>
        <w:t>8 差错控制编码</w:t>
      </w:r>
      <w:r>
        <w:rPr>
          <w:rFonts w:eastAsia="黑体"/>
          <w:snapToGrid w:val="0"/>
          <w:kern w:val="0"/>
          <w:szCs w:val="21"/>
        </w:rPr>
        <w:t>（</w:t>
      </w:r>
      <w:r>
        <w:rPr>
          <w:rFonts w:hint="eastAsia" w:eastAsia="黑体"/>
          <w:snapToGrid w:val="0"/>
          <w:kern w:val="0"/>
          <w:szCs w:val="21"/>
        </w:rPr>
        <w:t>4</w:t>
      </w:r>
      <w:r>
        <w:rPr>
          <w:rFonts w:eastAsia="黑体"/>
          <w:snapToGrid w:val="0"/>
          <w:kern w:val="0"/>
          <w:szCs w:val="21"/>
        </w:rPr>
        <w:t>学时）</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8.1、了解差错控制编码概念、方式及分类；</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8.2、掌握检错和纠错原理；</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8.3、掌握几种常用的检错码。</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重点：检错码编码</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本章内容支撑课程目标1、2</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spacing w:line="360" w:lineRule="auto"/>
        <w:ind w:firstLine="435"/>
        <w:rPr>
          <w:szCs w:val="21"/>
        </w:rPr>
      </w:pPr>
      <w:r>
        <w:rPr>
          <w:rFonts w:hint="eastAsia"/>
          <w:szCs w:val="21"/>
        </w:rPr>
        <w:t>无。</w:t>
      </w:r>
    </w:p>
    <w:p>
      <w:pPr>
        <w:spacing w:line="360" w:lineRule="auto"/>
        <w:ind w:firstLine="435"/>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2"/>
        <w:gridCol w:w="1762"/>
        <w:gridCol w:w="1782"/>
        <w:gridCol w:w="14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讲授的知识点及内容</w:t>
            </w:r>
          </w:p>
        </w:tc>
        <w:tc>
          <w:tcPr>
            <w:tcW w:w="1060" w:type="pct"/>
            <w:shd w:val="clear" w:color="auto" w:fill="auto"/>
            <w:vAlign w:val="center"/>
          </w:tcPr>
          <w:p>
            <w:pPr>
              <w:adjustRightInd w:val="0"/>
              <w:snapToGrid w:val="0"/>
              <w:jc w:val="center"/>
              <w:rPr>
                <w:sz w:val="18"/>
                <w:szCs w:val="18"/>
              </w:rPr>
            </w:pPr>
            <w:r>
              <w:rPr>
                <w:sz w:val="18"/>
                <w:szCs w:val="18"/>
              </w:rPr>
              <w:t>讲授（学时）</w:t>
            </w:r>
          </w:p>
        </w:tc>
        <w:tc>
          <w:tcPr>
            <w:tcW w:w="1072" w:type="pct"/>
            <w:shd w:val="clear" w:color="auto" w:fill="auto"/>
            <w:vAlign w:val="center"/>
          </w:tcPr>
          <w:p>
            <w:pPr>
              <w:adjustRightInd w:val="0"/>
              <w:snapToGrid w:val="0"/>
              <w:jc w:val="center"/>
              <w:rPr>
                <w:sz w:val="18"/>
                <w:szCs w:val="18"/>
              </w:rPr>
            </w:pPr>
            <w:r>
              <w:rPr>
                <w:sz w:val="18"/>
                <w:szCs w:val="18"/>
              </w:rPr>
              <w:t>实验（学时）</w:t>
            </w:r>
          </w:p>
        </w:tc>
        <w:tc>
          <w:tcPr>
            <w:tcW w:w="877"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1通信与通信系统的基本概念</w:t>
            </w:r>
          </w:p>
        </w:tc>
        <w:tc>
          <w:tcPr>
            <w:tcW w:w="1060" w:type="pct"/>
            <w:shd w:val="clear" w:color="auto" w:fill="auto"/>
            <w:vAlign w:val="center"/>
          </w:tcPr>
          <w:p>
            <w:pPr>
              <w:adjustRightInd w:val="0"/>
              <w:snapToGrid w:val="0"/>
              <w:jc w:val="center"/>
              <w:rPr>
                <w:sz w:val="18"/>
                <w:szCs w:val="18"/>
              </w:rPr>
            </w:pPr>
            <w:r>
              <w:rPr>
                <w:sz w:val="18"/>
                <w:szCs w:val="18"/>
              </w:rPr>
              <w:t>6</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2模拟调制</w:t>
            </w:r>
          </w:p>
        </w:tc>
        <w:tc>
          <w:tcPr>
            <w:tcW w:w="1060" w:type="pct"/>
            <w:shd w:val="clear" w:color="auto" w:fill="auto"/>
            <w:vAlign w:val="center"/>
          </w:tcPr>
          <w:p>
            <w:pPr>
              <w:adjustRightInd w:val="0"/>
              <w:snapToGrid w:val="0"/>
              <w:jc w:val="center"/>
              <w:rPr>
                <w:sz w:val="18"/>
                <w:szCs w:val="18"/>
              </w:rPr>
            </w:pPr>
            <w:r>
              <w:rPr>
                <w:sz w:val="18"/>
                <w:szCs w:val="18"/>
              </w:rPr>
              <w:t>4</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3脉冲编码调制</w:t>
            </w:r>
          </w:p>
        </w:tc>
        <w:tc>
          <w:tcPr>
            <w:tcW w:w="1060" w:type="pct"/>
            <w:shd w:val="clear" w:color="auto" w:fill="auto"/>
            <w:vAlign w:val="center"/>
          </w:tcPr>
          <w:p>
            <w:pPr>
              <w:adjustRightInd w:val="0"/>
              <w:snapToGrid w:val="0"/>
              <w:jc w:val="center"/>
              <w:rPr>
                <w:sz w:val="18"/>
                <w:szCs w:val="18"/>
              </w:rPr>
            </w:pPr>
            <w:r>
              <w:rPr>
                <w:sz w:val="18"/>
                <w:szCs w:val="18"/>
              </w:rPr>
              <w:t>2</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4增量调制</w:t>
            </w:r>
          </w:p>
        </w:tc>
        <w:tc>
          <w:tcPr>
            <w:tcW w:w="1060" w:type="pct"/>
            <w:shd w:val="clear" w:color="auto" w:fill="auto"/>
            <w:vAlign w:val="center"/>
          </w:tcPr>
          <w:p>
            <w:pPr>
              <w:adjustRightInd w:val="0"/>
              <w:snapToGrid w:val="0"/>
              <w:jc w:val="center"/>
              <w:rPr>
                <w:sz w:val="18"/>
                <w:szCs w:val="18"/>
              </w:rPr>
            </w:pPr>
            <w:r>
              <w:rPr>
                <w:sz w:val="18"/>
                <w:szCs w:val="18"/>
              </w:rPr>
              <w:t>2</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5 数字复接与SDH</w:t>
            </w:r>
          </w:p>
        </w:tc>
        <w:tc>
          <w:tcPr>
            <w:tcW w:w="1060" w:type="pct"/>
            <w:shd w:val="clear" w:color="auto" w:fill="auto"/>
            <w:vAlign w:val="center"/>
          </w:tcPr>
          <w:p>
            <w:pPr>
              <w:adjustRightInd w:val="0"/>
              <w:snapToGrid w:val="0"/>
              <w:jc w:val="center"/>
              <w:rPr>
                <w:sz w:val="18"/>
                <w:szCs w:val="18"/>
              </w:rPr>
            </w:pPr>
            <w:r>
              <w:rPr>
                <w:sz w:val="18"/>
                <w:szCs w:val="18"/>
              </w:rPr>
              <w:t>2</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6 数字信号基带传输</w:t>
            </w:r>
          </w:p>
        </w:tc>
        <w:tc>
          <w:tcPr>
            <w:tcW w:w="1060" w:type="pct"/>
            <w:shd w:val="clear" w:color="auto" w:fill="auto"/>
            <w:vAlign w:val="center"/>
          </w:tcPr>
          <w:p>
            <w:pPr>
              <w:adjustRightInd w:val="0"/>
              <w:snapToGrid w:val="0"/>
              <w:jc w:val="center"/>
              <w:rPr>
                <w:sz w:val="18"/>
                <w:szCs w:val="18"/>
              </w:rPr>
            </w:pPr>
            <w:r>
              <w:rPr>
                <w:sz w:val="18"/>
                <w:szCs w:val="18"/>
              </w:rPr>
              <w:t>2</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7 数字信号频带传输</w:t>
            </w:r>
          </w:p>
        </w:tc>
        <w:tc>
          <w:tcPr>
            <w:tcW w:w="1060" w:type="pct"/>
            <w:shd w:val="clear" w:color="auto" w:fill="auto"/>
            <w:vAlign w:val="center"/>
          </w:tcPr>
          <w:p>
            <w:pPr>
              <w:adjustRightInd w:val="0"/>
              <w:snapToGrid w:val="0"/>
              <w:jc w:val="center"/>
              <w:rPr>
                <w:sz w:val="18"/>
                <w:szCs w:val="18"/>
              </w:rPr>
            </w:pPr>
            <w:r>
              <w:rPr>
                <w:sz w:val="18"/>
                <w:szCs w:val="18"/>
              </w:rPr>
              <w:t>2</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8 差错控制编码</w:t>
            </w:r>
          </w:p>
        </w:tc>
        <w:tc>
          <w:tcPr>
            <w:tcW w:w="1060" w:type="pct"/>
            <w:shd w:val="clear" w:color="auto" w:fill="auto"/>
            <w:vAlign w:val="center"/>
          </w:tcPr>
          <w:p>
            <w:pPr>
              <w:adjustRightInd w:val="0"/>
              <w:snapToGrid w:val="0"/>
              <w:jc w:val="center"/>
              <w:rPr>
                <w:sz w:val="18"/>
                <w:szCs w:val="18"/>
              </w:rPr>
            </w:pPr>
            <w:r>
              <w:rPr>
                <w:sz w:val="18"/>
                <w:szCs w:val="18"/>
              </w:rPr>
              <w:t>4</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2" w:type="pct"/>
            <w:shd w:val="clear" w:color="auto" w:fill="auto"/>
            <w:vAlign w:val="center"/>
          </w:tcPr>
          <w:p>
            <w:pPr>
              <w:adjustRightInd w:val="0"/>
              <w:snapToGrid w:val="0"/>
              <w:jc w:val="center"/>
              <w:rPr>
                <w:sz w:val="18"/>
                <w:szCs w:val="18"/>
              </w:rPr>
            </w:pPr>
            <w:r>
              <w:rPr>
                <w:sz w:val="18"/>
                <w:szCs w:val="18"/>
              </w:rPr>
              <w:t>合计</w:t>
            </w:r>
          </w:p>
        </w:tc>
        <w:tc>
          <w:tcPr>
            <w:tcW w:w="1060" w:type="pct"/>
            <w:shd w:val="clear" w:color="auto" w:fill="auto"/>
            <w:vAlign w:val="center"/>
          </w:tcPr>
          <w:p>
            <w:pPr>
              <w:adjustRightInd w:val="0"/>
              <w:snapToGrid w:val="0"/>
              <w:jc w:val="center"/>
              <w:rPr>
                <w:sz w:val="18"/>
                <w:szCs w:val="18"/>
              </w:rPr>
            </w:pPr>
            <w:r>
              <w:rPr>
                <w:sz w:val="18"/>
                <w:szCs w:val="18"/>
              </w:rPr>
              <w:t>24</w:t>
            </w:r>
          </w:p>
        </w:tc>
        <w:tc>
          <w:tcPr>
            <w:tcW w:w="1072" w:type="pct"/>
            <w:shd w:val="clear" w:color="auto" w:fill="auto"/>
            <w:vAlign w:val="center"/>
          </w:tcPr>
          <w:p>
            <w:pPr>
              <w:adjustRightInd w:val="0"/>
              <w:snapToGrid w:val="0"/>
              <w:jc w:val="center"/>
              <w:rPr>
                <w:sz w:val="18"/>
                <w:szCs w:val="18"/>
              </w:rPr>
            </w:pPr>
            <w:r>
              <w:rPr>
                <w:sz w:val="18"/>
                <w:szCs w:val="18"/>
              </w:rPr>
              <w:t>0</w:t>
            </w:r>
          </w:p>
        </w:tc>
        <w:tc>
          <w:tcPr>
            <w:tcW w:w="877" w:type="pct"/>
            <w:shd w:val="clear" w:color="auto" w:fill="auto"/>
            <w:vAlign w:val="center"/>
          </w:tcPr>
          <w:p>
            <w:pPr>
              <w:adjustRightInd w:val="0"/>
              <w:snapToGrid w:val="0"/>
              <w:jc w:val="center"/>
              <w:rPr>
                <w:sz w:val="18"/>
                <w:szCs w:val="18"/>
              </w:rPr>
            </w:pPr>
            <w:r>
              <w:rPr>
                <w:sz w:val="18"/>
                <w:szCs w:val="18"/>
              </w:rPr>
              <w:t>24</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1、</w:t>
      </w:r>
      <w:r>
        <w:rPr>
          <w:rFonts w:hint="eastAsia"/>
          <w:bCs/>
          <w:snapToGrid w:val="0"/>
          <w:kern w:val="0"/>
          <w:szCs w:val="21"/>
        </w:rPr>
        <w:t>张卫刚</w:t>
      </w:r>
      <w:r>
        <w:rPr>
          <w:bCs/>
          <w:snapToGrid w:val="0"/>
          <w:kern w:val="0"/>
          <w:szCs w:val="21"/>
        </w:rPr>
        <w:t>，《</w:t>
      </w:r>
      <w:r>
        <w:rPr>
          <w:rFonts w:hint="eastAsia"/>
          <w:bCs/>
          <w:snapToGrid w:val="0"/>
          <w:kern w:val="0"/>
          <w:szCs w:val="21"/>
        </w:rPr>
        <w:t>通信原理与通信技术</w:t>
      </w:r>
      <w:r>
        <w:rPr>
          <w:bCs/>
          <w:snapToGrid w:val="0"/>
          <w:kern w:val="0"/>
          <w:szCs w:val="21"/>
        </w:rPr>
        <w:t>》，ISBN9787560612485，</w:t>
      </w:r>
      <w:r>
        <w:rPr>
          <w:rFonts w:hint="eastAsia"/>
          <w:bCs/>
          <w:snapToGrid w:val="0"/>
          <w:kern w:val="0"/>
          <w:szCs w:val="21"/>
        </w:rPr>
        <w:t>西安电子科技大学</w:t>
      </w:r>
      <w:r>
        <w:rPr>
          <w:bCs/>
          <w:snapToGrid w:val="0"/>
          <w:kern w:val="0"/>
          <w:szCs w:val="21"/>
        </w:rPr>
        <w:t>出版社 20</w:t>
      </w:r>
      <w:r>
        <w:rPr>
          <w:rFonts w:hint="eastAsia"/>
          <w:bCs/>
          <w:snapToGrid w:val="0"/>
          <w:kern w:val="0"/>
          <w:szCs w:val="21"/>
        </w:rPr>
        <w:t>08</w:t>
      </w:r>
      <w:r>
        <w:rPr>
          <w:bCs/>
          <w:snapToGrid w:val="0"/>
          <w:kern w:val="0"/>
          <w:szCs w:val="21"/>
        </w:rPr>
        <w:t>.0</w:t>
      </w:r>
      <w:r>
        <w:rPr>
          <w:rFonts w:hint="eastAsia"/>
          <w:bCs/>
          <w:snapToGrid w:val="0"/>
          <w:kern w:val="0"/>
          <w:szCs w:val="21"/>
        </w:rPr>
        <w:t>1</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2、</w:t>
      </w:r>
      <w:r>
        <w:rPr>
          <w:rFonts w:hint="eastAsia"/>
          <w:bCs/>
          <w:snapToGrid w:val="0"/>
          <w:kern w:val="0"/>
          <w:szCs w:val="21"/>
        </w:rPr>
        <w:t>樊昌兴，《通信原理》，ISBN</w:t>
      </w:r>
      <w:r>
        <w:rPr>
          <w:bCs/>
          <w:snapToGrid w:val="0"/>
          <w:kern w:val="0"/>
          <w:szCs w:val="21"/>
        </w:rPr>
        <w:t>9787118087680</w:t>
      </w:r>
      <w:r>
        <w:rPr>
          <w:rFonts w:hint="eastAsia"/>
          <w:bCs/>
          <w:snapToGrid w:val="0"/>
          <w:kern w:val="0"/>
          <w:szCs w:val="21"/>
        </w:rPr>
        <w:t>，国防工业出版社，2013-9</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3、李晓峰，《通信原理》，</w:t>
      </w:r>
      <w:r>
        <w:rPr>
          <w:bCs/>
          <w:snapToGrid w:val="0"/>
          <w:kern w:val="0"/>
          <w:szCs w:val="21"/>
        </w:rPr>
        <w:t>ISBN 9787302181668</w:t>
      </w:r>
      <w:r>
        <w:rPr>
          <w:rFonts w:hint="eastAsia"/>
          <w:bCs/>
          <w:snapToGrid w:val="0"/>
          <w:kern w:val="0"/>
          <w:szCs w:val="21"/>
        </w:rPr>
        <w:t>，清华大学出版社，2008-11</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rFonts w:hint="eastAsia"/>
          <w:bCs/>
          <w:snapToGrid w:val="0"/>
          <w:kern w:val="0"/>
          <w:szCs w:val="21"/>
        </w:rPr>
        <w:t>4</w:t>
      </w:r>
      <w:r>
        <w:rPr>
          <w:bCs/>
          <w:snapToGrid w:val="0"/>
          <w:kern w:val="0"/>
          <w:szCs w:val="21"/>
        </w:rPr>
        <w:t>、</w:t>
      </w:r>
      <w:r>
        <w:rPr>
          <w:rFonts w:hint="eastAsia"/>
          <w:bCs/>
          <w:snapToGrid w:val="0"/>
          <w:kern w:val="0"/>
          <w:szCs w:val="21"/>
        </w:rPr>
        <w:t>普埃克，《通信系统工程》，ISBN</w:t>
      </w:r>
      <w:r>
        <w:rPr>
          <w:bCs/>
          <w:snapToGrid w:val="0"/>
          <w:kern w:val="0"/>
          <w:szCs w:val="21"/>
        </w:rPr>
        <w:t xml:space="preserve"> 9787121040474</w:t>
      </w:r>
      <w:r>
        <w:rPr>
          <w:rFonts w:hint="eastAsia"/>
          <w:bCs/>
          <w:snapToGrid w:val="0"/>
          <w:kern w:val="0"/>
          <w:szCs w:val="21"/>
        </w:rPr>
        <w:t>，电子工业出版社，2007-6</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rFonts w:hint="eastAsia" w:eastAsia="黑体"/>
          <w:szCs w:val="24"/>
        </w:rPr>
        <w:t>5、</w:t>
      </w:r>
      <w:r>
        <w:rPr>
          <w:rFonts w:hint="eastAsia"/>
          <w:bCs/>
          <w:snapToGrid w:val="0"/>
          <w:kern w:val="0"/>
          <w:szCs w:val="21"/>
        </w:rPr>
        <w:t>李晓峰《通信原理》资料链接：</w:t>
      </w:r>
    </w:p>
    <w:p>
      <w:pPr>
        <w:tabs>
          <w:tab w:val="left" w:pos="420"/>
        </w:tabs>
        <w:spacing w:line="360" w:lineRule="auto"/>
        <w:ind w:left="105" w:leftChars="50" w:firstLine="315" w:firstLineChars="150"/>
        <w:rPr>
          <w:rFonts w:eastAsia="黑体"/>
          <w:szCs w:val="24"/>
        </w:rPr>
      </w:pPr>
      <w:r>
        <w:rPr>
          <w:bCs/>
          <w:snapToGrid w:val="0"/>
          <w:kern w:val="0"/>
          <w:szCs w:val="21"/>
        </w:rPr>
        <w:t>https://www.bilibili.com/video/av7853485/?p=1</w:t>
      </w: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w:t>
      </w:r>
      <w:r>
        <w:rPr>
          <w:rFonts w:hint="eastAsia"/>
          <w:bCs/>
          <w:snapToGrid w:val="0"/>
          <w:kern w:val="0"/>
          <w:szCs w:val="21"/>
        </w:rPr>
        <w:t>学生对通信系统的认识及数字信号编码、差错纠错控制</w:t>
      </w:r>
      <w:r>
        <w:rPr>
          <w:bCs/>
          <w:snapToGrid w:val="0"/>
          <w:kern w:val="0"/>
          <w:szCs w:val="21"/>
        </w:rPr>
        <w:t>。</w:t>
      </w:r>
    </w:p>
    <w:p>
      <w:pPr>
        <w:spacing w:line="360" w:lineRule="auto"/>
        <w:ind w:firstLine="420" w:firstLineChars="200"/>
        <w:rPr>
          <w:szCs w:val="21"/>
        </w:rPr>
      </w:pPr>
      <w:r>
        <w:rPr>
          <w:szCs w:val="21"/>
        </w:rPr>
        <w:t>2</w:t>
      </w:r>
      <w:r>
        <w:rPr>
          <w:rFonts w:hint="eastAsia"/>
          <w:szCs w:val="21"/>
        </w:rPr>
        <w:t>、考核方式：</w:t>
      </w:r>
      <w:r>
        <w:rPr>
          <w:rFonts w:hint="eastAsia"/>
          <w:bCs/>
          <w:snapToGrid w:val="0"/>
          <w:kern w:val="0"/>
          <w:szCs w:val="21"/>
        </w:rPr>
        <w:t>课堂随堂考核、作业及期末考试</w:t>
      </w:r>
      <w:r>
        <w:rPr>
          <w:bCs/>
          <w:snapToGrid w:val="0"/>
          <w:kern w:val="0"/>
          <w:szCs w:val="21"/>
        </w:rPr>
        <w:t>。</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2078"/>
        <w:gridCol w:w="2078"/>
        <w:gridCol w:w="2078"/>
        <w:gridCol w:w="2078"/>
      </w:tblGrid>
      <w:tr>
        <w:tblPrEx>
          <w:tblCellMar>
            <w:top w:w="0" w:type="dxa"/>
            <w:left w:w="108" w:type="dxa"/>
            <w:bottom w:w="0" w:type="dxa"/>
            <w:right w:w="108" w:type="dxa"/>
          </w:tblCellMar>
        </w:tblPrEx>
        <w:trPr>
          <w:trHeight w:val="691"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考察环节</w:t>
            </w:r>
          </w:p>
        </w:tc>
        <w:tc>
          <w:tcPr>
            <w:tcW w:w="125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rFonts w:hint="eastAsia"/>
                <w:color w:val="000000"/>
                <w:kern w:val="0"/>
                <w:sz w:val="18"/>
                <w:szCs w:val="18"/>
              </w:rPr>
              <w:t>课堂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作业</w:t>
            </w:r>
          </w:p>
        </w:tc>
        <w:tc>
          <w:tcPr>
            <w:tcW w:w="1250" w:type="pct"/>
            <w:tcBorders>
              <w:top w:val="single" w:color="auto" w:sz="4" w:space="0"/>
              <w:left w:val="single" w:color="auto" w:sz="4" w:space="0"/>
              <w:bottom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期末考试</w:t>
            </w:r>
          </w:p>
        </w:tc>
      </w:tr>
      <w:tr>
        <w:tblPrEx>
          <w:tblCellMar>
            <w:top w:w="0" w:type="dxa"/>
            <w:left w:w="108" w:type="dxa"/>
            <w:bottom w:w="0" w:type="dxa"/>
            <w:right w:w="108" w:type="dxa"/>
          </w:tblCellMar>
        </w:tblPrEx>
        <w:trPr>
          <w:trHeight w:val="265"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课程目标达成</w:t>
            </w:r>
          </w:p>
          <w:p>
            <w:pPr>
              <w:widowControl/>
              <w:jc w:val="center"/>
              <w:rPr>
                <w:color w:val="000000"/>
                <w:kern w:val="0"/>
                <w:sz w:val="18"/>
                <w:szCs w:val="18"/>
              </w:rPr>
            </w:pPr>
            <w:r>
              <w:rPr>
                <w:color w:val="000000"/>
                <w:kern w:val="0"/>
                <w:sz w:val="18"/>
                <w:szCs w:val="18"/>
              </w:rPr>
              <w:t>的贡献率</w:t>
            </w:r>
          </w:p>
        </w:tc>
        <w:tc>
          <w:tcPr>
            <w:tcW w:w="1250" w:type="pct"/>
            <w:tcBorders>
              <w:top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.20</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0.30</w:t>
            </w:r>
          </w:p>
        </w:tc>
        <w:tc>
          <w:tcPr>
            <w:tcW w:w="1250" w:type="pct"/>
            <w:tcBorders>
              <w:top w:val="single" w:color="auto" w:sz="4" w:space="0"/>
              <w:left w:val="single" w:color="auto" w:sz="4" w:space="0"/>
              <w:bottom w:val="single" w:color="auto" w:sz="4" w:space="0"/>
            </w:tcBorders>
            <w:shd w:val="clear" w:color="auto" w:fill="auto"/>
            <w:noWrap/>
            <w:vAlign w:val="center"/>
          </w:tcPr>
          <w:p>
            <w:pPr>
              <w:jc w:val="center"/>
              <w:rPr>
                <w:sz w:val="18"/>
                <w:szCs w:val="18"/>
              </w:rPr>
            </w:pPr>
            <w:r>
              <w:rPr>
                <w:sz w:val="18"/>
                <w:szCs w:val="18"/>
              </w:rPr>
              <w:t>0.50</w:t>
            </w:r>
          </w:p>
        </w:tc>
      </w:tr>
      <w:tr>
        <w:tblPrEx>
          <w:tblCellMar>
            <w:top w:w="0" w:type="dxa"/>
            <w:left w:w="108" w:type="dxa"/>
            <w:bottom w:w="0" w:type="dxa"/>
            <w:right w:w="108" w:type="dxa"/>
          </w:tblCellMar>
        </w:tblPrEx>
        <w:trPr>
          <w:trHeight w:val="641"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支撑材料</w:t>
            </w:r>
          </w:p>
        </w:tc>
        <w:tc>
          <w:tcPr>
            <w:tcW w:w="125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rFonts w:hint="eastAsia"/>
                <w:color w:val="000000"/>
                <w:kern w:val="0"/>
                <w:sz w:val="18"/>
                <w:szCs w:val="18"/>
              </w:rPr>
              <w:t>课堂回答问题程度</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作业</w:t>
            </w:r>
            <w:r>
              <w:rPr>
                <w:rFonts w:hint="eastAsia"/>
                <w:color w:val="000000"/>
                <w:kern w:val="0"/>
                <w:sz w:val="18"/>
                <w:szCs w:val="18"/>
              </w:rPr>
              <w:t>评分标准，作业评分登记表</w:t>
            </w:r>
          </w:p>
        </w:tc>
        <w:tc>
          <w:tcPr>
            <w:tcW w:w="1250" w:type="pct"/>
            <w:tcBorders>
              <w:top w:val="single" w:color="auto" w:sz="4" w:space="0"/>
              <w:left w:val="single" w:color="auto" w:sz="4" w:space="0"/>
              <w:bottom w:val="single" w:color="auto" w:sz="4" w:space="0"/>
            </w:tcBorders>
            <w:shd w:val="clear" w:color="auto" w:fill="auto"/>
            <w:noWrap/>
            <w:vAlign w:val="center"/>
          </w:tcPr>
          <w:p>
            <w:pPr>
              <w:widowControl/>
              <w:jc w:val="center"/>
              <w:rPr>
                <w:color w:val="000000"/>
                <w:kern w:val="0"/>
                <w:sz w:val="18"/>
                <w:szCs w:val="18"/>
              </w:rPr>
            </w:pPr>
            <w:r>
              <w:rPr>
                <w:rFonts w:hint="eastAsia"/>
                <w:color w:val="000000"/>
                <w:kern w:val="0"/>
                <w:sz w:val="18"/>
                <w:szCs w:val="18"/>
              </w:rPr>
              <w:t>试题评分标准，试卷</w:t>
            </w:r>
          </w:p>
        </w:tc>
      </w:tr>
    </w:tbl>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rFonts w:hint="eastAsia"/>
                <w:sz w:val="18"/>
                <w:szCs w:val="18"/>
              </w:rPr>
              <w:t>1通信与通信系统的基本概念</w:t>
            </w:r>
          </w:p>
        </w:tc>
        <w:tc>
          <w:tcPr>
            <w:tcW w:w="691" w:type="pct"/>
            <w:vAlign w:val="center"/>
          </w:tcPr>
          <w:p>
            <w:pPr>
              <w:spacing w:before="156"/>
              <w:jc w:val="center"/>
              <w:rPr>
                <w:sz w:val="18"/>
                <w:szCs w:val="18"/>
              </w:rPr>
            </w:pPr>
            <w:r>
              <w:rPr>
                <w:rFonts w:hint="eastAsia"/>
                <w:sz w:val="18"/>
                <w:szCs w:val="18"/>
              </w:rPr>
              <w:t>0.25</w:t>
            </w:r>
            <w:r>
              <w:rPr>
                <w:sz w:val="18"/>
                <w:szCs w:val="18"/>
              </w:rPr>
              <w:t>0</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sz w:val="18"/>
                <w:szCs w:val="18"/>
              </w:rPr>
              <w:t>2</w:t>
            </w:r>
            <w:r>
              <w:rPr>
                <w:rFonts w:hint="eastAsia"/>
                <w:sz w:val="18"/>
                <w:szCs w:val="18"/>
              </w:rPr>
              <w:t>模拟调制</w:t>
            </w:r>
          </w:p>
        </w:tc>
        <w:tc>
          <w:tcPr>
            <w:tcW w:w="691" w:type="pct"/>
            <w:vAlign w:val="center"/>
          </w:tcPr>
          <w:p>
            <w:pPr>
              <w:spacing w:before="156"/>
              <w:jc w:val="center"/>
              <w:rPr>
                <w:sz w:val="18"/>
                <w:szCs w:val="18"/>
              </w:rPr>
            </w:pPr>
            <w:r>
              <w:rPr>
                <w:rFonts w:hint="eastAsia"/>
                <w:sz w:val="18"/>
                <w:szCs w:val="18"/>
              </w:rPr>
              <w:t>0.</w:t>
            </w:r>
            <w:r>
              <w:rPr>
                <w:sz w:val="18"/>
                <w:szCs w:val="18"/>
              </w:rPr>
              <w:t>167</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sz w:val="18"/>
                <w:szCs w:val="18"/>
              </w:rPr>
              <w:t>3</w:t>
            </w:r>
            <w:r>
              <w:rPr>
                <w:rFonts w:hint="eastAsia"/>
                <w:sz w:val="18"/>
                <w:szCs w:val="18"/>
              </w:rPr>
              <w:t>脉冲编码调制</w:t>
            </w:r>
          </w:p>
        </w:tc>
        <w:tc>
          <w:tcPr>
            <w:tcW w:w="691" w:type="pct"/>
            <w:vAlign w:val="center"/>
          </w:tcPr>
          <w:p>
            <w:pPr>
              <w:spacing w:before="156"/>
              <w:jc w:val="center"/>
              <w:rPr>
                <w:sz w:val="18"/>
                <w:szCs w:val="18"/>
              </w:rPr>
            </w:pPr>
            <w:r>
              <w:rPr>
                <w:rFonts w:hint="eastAsia"/>
                <w:sz w:val="18"/>
                <w:szCs w:val="18"/>
              </w:rPr>
              <w:t>0.08</w:t>
            </w:r>
            <w:r>
              <w:rPr>
                <w:sz w:val="18"/>
                <w:szCs w:val="18"/>
              </w:rPr>
              <w:t>3</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sz w:val="18"/>
                <w:szCs w:val="18"/>
              </w:rPr>
              <w:t>4</w:t>
            </w:r>
            <w:r>
              <w:rPr>
                <w:rFonts w:hint="eastAsia"/>
                <w:sz w:val="18"/>
                <w:szCs w:val="18"/>
              </w:rPr>
              <w:t>增量调制</w:t>
            </w:r>
          </w:p>
        </w:tc>
        <w:tc>
          <w:tcPr>
            <w:tcW w:w="691" w:type="pct"/>
            <w:vAlign w:val="center"/>
          </w:tcPr>
          <w:p>
            <w:pPr>
              <w:spacing w:before="156"/>
              <w:jc w:val="center"/>
              <w:rPr>
                <w:sz w:val="18"/>
                <w:szCs w:val="18"/>
              </w:rPr>
            </w:pPr>
            <w:r>
              <w:rPr>
                <w:rFonts w:hint="eastAsia"/>
                <w:sz w:val="18"/>
                <w:szCs w:val="18"/>
              </w:rPr>
              <w:t>0.08</w:t>
            </w:r>
            <w:r>
              <w:rPr>
                <w:sz w:val="18"/>
                <w:szCs w:val="18"/>
              </w:rPr>
              <w:t>3</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rFonts w:hint="eastAsia"/>
                <w:sz w:val="18"/>
                <w:szCs w:val="18"/>
              </w:rPr>
              <w:t>5 数字复接与SDH</w:t>
            </w:r>
          </w:p>
        </w:tc>
        <w:tc>
          <w:tcPr>
            <w:tcW w:w="691" w:type="pct"/>
            <w:vAlign w:val="center"/>
          </w:tcPr>
          <w:p>
            <w:pPr>
              <w:spacing w:before="156"/>
              <w:jc w:val="center"/>
              <w:rPr>
                <w:sz w:val="18"/>
                <w:szCs w:val="18"/>
              </w:rPr>
            </w:pPr>
            <w:r>
              <w:rPr>
                <w:rFonts w:hint="eastAsia"/>
                <w:sz w:val="18"/>
                <w:szCs w:val="18"/>
              </w:rPr>
              <w:t>0.08</w:t>
            </w:r>
            <w:r>
              <w:rPr>
                <w:sz w:val="18"/>
                <w:szCs w:val="18"/>
              </w:rPr>
              <w:t>3</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rFonts w:hint="eastAsia"/>
                <w:sz w:val="18"/>
                <w:szCs w:val="18"/>
              </w:rPr>
              <w:t>6 数字信号基带传输</w:t>
            </w:r>
          </w:p>
        </w:tc>
        <w:tc>
          <w:tcPr>
            <w:tcW w:w="691" w:type="pct"/>
            <w:vAlign w:val="center"/>
          </w:tcPr>
          <w:p>
            <w:pPr>
              <w:spacing w:before="156"/>
              <w:jc w:val="center"/>
              <w:rPr>
                <w:sz w:val="18"/>
                <w:szCs w:val="18"/>
              </w:rPr>
            </w:pPr>
            <w:r>
              <w:rPr>
                <w:rFonts w:hint="eastAsia"/>
                <w:sz w:val="18"/>
                <w:szCs w:val="18"/>
              </w:rPr>
              <w:t>0.</w:t>
            </w:r>
            <w:r>
              <w:rPr>
                <w:sz w:val="18"/>
                <w:szCs w:val="18"/>
              </w:rPr>
              <w:t>083</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rFonts w:hint="eastAsia"/>
                <w:sz w:val="18"/>
                <w:szCs w:val="18"/>
              </w:rPr>
              <w:t>7 数字信号频带传输</w:t>
            </w:r>
          </w:p>
        </w:tc>
        <w:tc>
          <w:tcPr>
            <w:tcW w:w="691" w:type="pct"/>
            <w:vAlign w:val="center"/>
          </w:tcPr>
          <w:p>
            <w:pPr>
              <w:spacing w:before="156"/>
              <w:jc w:val="center"/>
              <w:rPr>
                <w:sz w:val="18"/>
                <w:szCs w:val="18"/>
              </w:rPr>
            </w:pPr>
            <w:r>
              <w:rPr>
                <w:rFonts w:hint="eastAsia"/>
                <w:sz w:val="18"/>
                <w:szCs w:val="18"/>
              </w:rPr>
              <w:t>0.08</w:t>
            </w:r>
            <w:r>
              <w:rPr>
                <w:sz w:val="18"/>
                <w:szCs w:val="18"/>
              </w:rPr>
              <w:t>3</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vAlign w:val="center"/>
          </w:tcPr>
          <w:p>
            <w:pPr>
              <w:spacing w:before="156"/>
              <w:ind w:left="174" w:leftChars="83"/>
              <w:rPr>
                <w:sz w:val="18"/>
                <w:szCs w:val="18"/>
              </w:rPr>
            </w:pPr>
            <w:r>
              <w:rPr>
                <w:rFonts w:hint="eastAsia"/>
                <w:sz w:val="18"/>
                <w:szCs w:val="18"/>
              </w:rPr>
              <w:t>8 差错控制编码</w:t>
            </w:r>
          </w:p>
        </w:tc>
        <w:tc>
          <w:tcPr>
            <w:tcW w:w="691" w:type="pct"/>
            <w:vAlign w:val="center"/>
          </w:tcPr>
          <w:p>
            <w:pPr>
              <w:spacing w:before="156"/>
              <w:jc w:val="center"/>
              <w:rPr>
                <w:sz w:val="18"/>
                <w:szCs w:val="18"/>
              </w:rPr>
            </w:pPr>
            <w:r>
              <w:rPr>
                <w:rFonts w:hint="eastAsia"/>
                <w:sz w:val="18"/>
                <w:szCs w:val="18"/>
              </w:rPr>
              <w:t>0.</w:t>
            </w:r>
            <w:r>
              <w:rPr>
                <w:sz w:val="18"/>
                <w:szCs w:val="18"/>
              </w:rPr>
              <w:t>167</w:t>
            </w:r>
          </w:p>
        </w:tc>
        <w:tc>
          <w:tcPr>
            <w:tcW w:w="1048" w:type="pct"/>
            <w:vAlign w:val="center"/>
          </w:tcPr>
          <w:p>
            <w:pPr>
              <w:jc w:val="center"/>
              <w:rPr>
                <w:sz w:val="18"/>
                <w:szCs w:val="18"/>
              </w:rPr>
            </w:pPr>
            <w:r>
              <w:rPr>
                <w:rFonts w:hint="eastAsia"/>
                <w:sz w:val="18"/>
                <w:szCs w:val="18"/>
              </w:rPr>
              <w:t>1、2</w:t>
            </w:r>
          </w:p>
        </w:tc>
      </w:tr>
    </w:tbl>
    <w:p>
      <w:pPr>
        <w:spacing w:before="120" w:beforeLines="50" w:line="360" w:lineRule="auto"/>
        <w:ind w:firstLine="420" w:firstLineChars="200"/>
        <w:rPr>
          <w:color w:val="000000"/>
          <w:sz w:val="24"/>
          <w:szCs w:val="24"/>
        </w:rPr>
        <w:sectPr>
          <w:headerReference r:id="rId62" w:type="first"/>
          <w:footerReference r:id="rId65" w:type="first"/>
          <w:headerReference r:id="rId60" w:type="default"/>
          <w:footerReference r:id="rId63" w:type="default"/>
          <w:headerReference r:id="rId61" w:type="even"/>
          <w:footerReference r:id="rId64" w:type="even"/>
          <w:pgSz w:w="11906" w:h="16838"/>
          <w:pgMar w:top="1440" w:right="1797" w:bottom="1440" w:left="1797" w:header="851" w:footer="992" w:gutter="0"/>
          <w:cols w:space="425" w:num="1"/>
          <w:docGrid w:linePitch="312" w:charSpace="0"/>
        </w:sect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6"/>
        <w:gridCol w:w="943"/>
        <w:gridCol w:w="1400"/>
        <w:gridCol w:w="1400"/>
        <w:gridCol w:w="1400"/>
        <w:gridCol w:w="1453"/>
        <w:gridCol w:w="1453"/>
        <w:gridCol w:w="1456"/>
        <w:gridCol w:w="1289"/>
        <w:gridCol w:w="1289"/>
        <w:gridCol w:w="1289"/>
      </w:tblGrid>
      <w:tr>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50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64"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50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期末考试</w:t>
            </w:r>
          </w:p>
        </w:tc>
        <w:tc>
          <w:tcPr>
            <w:tcW w:w="5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tc>
        <w:tc>
          <w:tcPr>
            <w:tcW w:w="5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52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期末考试</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期末考试</w:t>
            </w:r>
          </w:p>
        </w:tc>
      </w:tr>
      <w:tr>
        <w:tblPrEx>
          <w:tblCellMar>
            <w:top w:w="0" w:type="dxa"/>
            <w:left w:w="108" w:type="dxa"/>
            <w:bottom w:w="0" w:type="dxa"/>
            <w:right w:w="108" w:type="dxa"/>
          </w:tblCellMar>
        </w:tblPrEx>
        <w:trPr>
          <w:trHeight w:val="1020"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50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.20</w:t>
            </w:r>
          </w:p>
        </w:tc>
        <w:tc>
          <w:tcPr>
            <w:tcW w:w="502" w:type="pct"/>
            <w:tcBorders>
              <w:top w:val="single" w:color="auto" w:sz="4" w:space="0"/>
              <w:left w:val="nil"/>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c>
          <w:tcPr>
            <w:tcW w:w="50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0.5</w:t>
            </w:r>
            <w:r>
              <w:rPr>
                <w:bCs/>
                <w:sz w:val="18"/>
                <w:szCs w:val="18"/>
              </w:rPr>
              <w:t>0</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0.16</w:t>
            </w:r>
          </w:p>
        </w:tc>
        <w:tc>
          <w:tcPr>
            <w:tcW w:w="521" w:type="pct"/>
            <w:tcBorders>
              <w:top w:val="single" w:color="auto" w:sz="4" w:space="0"/>
              <w:left w:val="nil"/>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.24</w:t>
            </w:r>
          </w:p>
        </w:tc>
        <w:tc>
          <w:tcPr>
            <w:tcW w:w="52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04</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0.80</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.80</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80</w:t>
            </w:r>
          </w:p>
        </w:tc>
      </w:tr>
      <w:tr>
        <w:tblPrEx>
          <w:tblCellMar>
            <w:top w:w="0" w:type="dxa"/>
            <w:left w:w="108" w:type="dxa"/>
            <w:bottom w:w="0" w:type="dxa"/>
            <w:right w:w="108" w:type="dxa"/>
          </w:tblCellMar>
        </w:tblPrEx>
        <w:trPr>
          <w:trHeight w:val="94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5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.20</w:t>
            </w:r>
          </w:p>
        </w:tc>
        <w:tc>
          <w:tcPr>
            <w:tcW w:w="502" w:type="pct"/>
            <w:tcBorders>
              <w:top w:val="nil"/>
              <w:left w:val="nil"/>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30</w:t>
            </w:r>
          </w:p>
        </w:tc>
        <w:tc>
          <w:tcPr>
            <w:tcW w:w="5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50</w:t>
            </w:r>
          </w:p>
        </w:tc>
        <w:tc>
          <w:tcPr>
            <w:tcW w:w="5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04</w:t>
            </w:r>
          </w:p>
        </w:tc>
        <w:tc>
          <w:tcPr>
            <w:tcW w:w="521" w:type="pct"/>
            <w:tcBorders>
              <w:top w:val="nil"/>
              <w:left w:val="nil"/>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.06</w:t>
            </w:r>
          </w:p>
        </w:tc>
        <w:tc>
          <w:tcPr>
            <w:tcW w:w="52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10</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0.20</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.20</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20</w:t>
            </w:r>
          </w:p>
        </w:tc>
      </w:tr>
      <w:tr>
        <w:tblPrEx>
          <w:tblCellMar>
            <w:top w:w="0" w:type="dxa"/>
            <w:left w:w="108" w:type="dxa"/>
            <w:bottom w:w="0" w:type="dxa"/>
            <w:right w:w="108" w:type="dxa"/>
          </w:tblCellMar>
        </w:tblPrEx>
        <w:trPr>
          <w:trHeight w:val="1026" w:hRule="atLeast"/>
          <w:jc w:val="center"/>
        </w:trPr>
        <w:tc>
          <w:tcPr>
            <w:tcW w:w="2050"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ind w:firstLine="180" w:firstLineChars="100"/>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52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20</w:t>
            </w:r>
          </w:p>
        </w:tc>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w:t>
            </w:r>
            <w:r>
              <w:rPr>
                <w:bCs/>
                <w:sz w:val="18"/>
                <w:szCs w:val="18"/>
              </w:rPr>
              <w:t>.30</w:t>
            </w:r>
          </w:p>
        </w:tc>
        <w:tc>
          <w:tcPr>
            <w:tcW w:w="52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0.5</w:t>
            </w:r>
            <w:r>
              <w:rPr>
                <w:bCs/>
                <w:sz w:val="18"/>
                <w:szCs w:val="18"/>
              </w:rPr>
              <w:t>0</w:t>
            </w:r>
          </w:p>
        </w:tc>
        <w:tc>
          <w:tcPr>
            <w:tcW w:w="138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jc w:val="left"/>
      </w:pPr>
    </w:p>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3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38" DrawAspect="Content" ObjectID="_1468075838" r:id="rId298">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3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39" DrawAspect="Content" ObjectID="_1468075839" r:id="rId299">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4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40" DrawAspect="Content" ObjectID="_1468075840" r:id="rId300">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4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41" DrawAspect="Content" ObjectID="_1468075841" r:id="rId301">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4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42" DrawAspect="Content" ObjectID="_1468075842" r:id="rId302">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4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43" DrawAspect="Content" ObjectID="_1468075843" r:id="rId303">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rPr>
          <w:szCs w:val="21"/>
        </w:rPr>
        <w:sectPr>
          <w:pgSz w:w="11906" w:h="16838"/>
          <w:pgMar w:top="1440" w:right="1797" w:bottom="1440" w:left="1797" w:header="851" w:footer="992" w:gutter="0"/>
          <w:cols w:space="425" w:num="1"/>
          <w:docGrid w:linePitch="312" w:charSpace="0"/>
        </w:sectPr>
      </w:pPr>
    </w:p>
    <w:p>
      <w:pPr>
        <w:pStyle w:val="20"/>
        <w:spacing w:before="240" w:after="360"/>
        <w:rPr>
          <w:rFonts w:ascii="Times New Roman" w:hAnsi="Times New Roman" w:cs="Times New Roman"/>
        </w:rPr>
      </w:pPr>
      <w:bookmarkStart w:id="203" w:name="_Toc16063"/>
      <w:bookmarkStart w:id="204" w:name="_Toc46996573"/>
      <w:r>
        <w:rPr>
          <w:rFonts w:ascii="Times New Roman" w:hAnsi="Times New Roman" w:cs="Times New Roman"/>
        </w:rPr>
        <w:t>《Y06060069-VB程序设计》教学大纲</w:t>
      </w:r>
      <w:bookmarkEnd w:id="203"/>
      <w:bookmarkEnd w:id="204"/>
    </w:p>
    <w:p>
      <w:pPr>
        <w:adjustRightInd w:val="0"/>
        <w:snapToGrid w:val="0"/>
        <w:spacing w:line="360" w:lineRule="auto"/>
        <w:rPr>
          <w:bCs/>
          <w:kern w:val="0"/>
        </w:rPr>
      </w:pPr>
      <w:r>
        <w:rPr>
          <w:rFonts w:hint="eastAsia" w:eastAsia="黑体"/>
          <w:szCs w:val="21"/>
        </w:rPr>
        <w:t>课程编号：</w:t>
      </w:r>
      <w:r>
        <w:rPr>
          <w:bCs/>
          <w:kern w:val="0"/>
        </w:rPr>
        <w:t>Y06060069</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VB程序设计</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rFonts w:hint="eastAsia"/>
          <w:szCs w:val="21"/>
        </w:rPr>
        <w:t>32</w:t>
      </w:r>
      <w:r>
        <w:rPr>
          <w:szCs w:val="21"/>
        </w:rPr>
        <w:t xml:space="preserve"> (</w:t>
      </w:r>
      <w:r>
        <w:rPr>
          <w:rFonts w:hint="eastAsia"/>
          <w:szCs w:val="21"/>
        </w:rPr>
        <w:t>实验</w:t>
      </w:r>
      <w:r>
        <w:rPr>
          <w:szCs w:val="21"/>
        </w:rPr>
        <w:t>1</w:t>
      </w:r>
      <w:r>
        <w:rPr>
          <w:rFonts w:hint="eastAsia"/>
          <w:szCs w:val="21"/>
        </w:rPr>
        <w:t>2学时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无</w:t>
      </w:r>
    </w:p>
    <w:p>
      <w:pPr>
        <w:adjustRightInd w:val="0"/>
        <w:snapToGrid w:val="0"/>
        <w:spacing w:line="360" w:lineRule="auto"/>
        <w:rPr>
          <w:szCs w:val="21"/>
        </w:rPr>
      </w:pPr>
      <w:r>
        <w:rPr>
          <w:rFonts w:hint="eastAsia" w:eastAsia="黑体"/>
          <w:szCs w:val="21"/>
        </w:rPr>
        <w:t>大纲撰写人：</w:t>
      </w:r>
      <w:r>
        <w:rPr>
          <w:rFonts w:hint="eastAsia"/>
          <w:szCs w:val="21"/>
        </w:rPr>
        <w:t>甄国涌</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adjustRightInd w:val="0"/>
        <w:snapToGrid w:val="0"/>
        <w:spacing w:line="360" w:lineRule="auto"/>
        <w:ind w:firstLine="420" w:firstLineChars="200"/>
        <w:rPr>
          <w:szCs w:val="21"/>
        </w:rPr>
      </w:pPr>
      <w:r>
        <w:rPr>
          <w:szCs w:val="21"/>
        </w:rPr>
        <w:t>本课程属于专业任选课程。该课程主要培养学生在计算机程序设计、调试、测试等方面的基本能力。VB程序设计平台简单易学，选择VB程序设计作为本专业学生学习的一门语言课，可以较好的引导学生认识理解计算机程序设计的相关概念；认识程序设计语言的数据表示；认识程序的流程控制；认识将一个具体的问题抽象到数据表示；学会使用流程图来表示数据处理过程。</w:t>
      </w:r>
    </w:p>
    <w:p>
      <w:pPr>
        <w:spacing w:line="360" w:lineRule="auto"/>
        <w:ind w:firstLine="420" w:firstLineChars="200"/>
        <w:rPr>
          <w:szCs w:val="21"/>
        </w:rPr>
      </w:pPr>
      <w:r>
        <w:drawing>
          <wp:anchor distT="0" distB="0" distL="114300" distR="114300" simplePos="0" relativeHeight="251709440" behindDoc="0" locked="0" layoutInCell="1" allowOverlap="1">
            <wp:simplePos x="0" y="0"/>
            <wp:positionH relativeFrom="character">
              <wp:posOffset>1632585</wp:posOffset>
            </wp:positionH>
            <wp:positionV relativeFrom="line">
              <wp:posOffset>269875</wp:posOffset>
            </wp:positionV>
            <wp:extent cx="0" cy="16510"/>
            <wp:effectExtent l="19050" t="19050" r="19050" b="21590"/>
            <wp:wrapNone/>
            <wp:docPr id="286" name="图片 286"/>
            <wp:cNvGraphicFramePr/>
            <a:graphic xmlns:a="http://schemas.openxmlformats.org/drawingml/2006/main">
              <a:graphicData uri="http://schemas.openxmlformats.org/drawingml/2006/picture">
                <pic:pic xmlns:pic="http://schemas.openxmlformats.org/drawingml/2006/picture">
                  <pic:nvPicPr>
                    <pic:cNvPr id="286" name="图片 286"/>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0" cy="16510"/>
                    </a:xfrm>
                    <a:prstGeom prst="rect">
                      <a:avLst/>
                    </a:prstGeom>
                    <a:solidFill>
                      <a:srgbClr val="FFFFFF"/>
                    </a:solidFill>
                    <a:ln w="9525">
                      <a:solidFill>
                        <a:srgbClr val="000000"/>
                      </a:solidFill>
                      <a:round/>
                    </a:ln>
                  </pic:spPr>
                </pic:pic>
              </a:graphicData>
            </a:graphic>
          </wp:anchor>
        </w:drawing>
      </w: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sz w:val="18"/>
                <w:szCs w:val="18"/>
              </w:rPr>
            </w:pPr>
            <w:r>
              <w:rPr>
                <w:rFonts w:hint="eastAsia"/>
                <w:sz w:val="18"/>
                <w:szCs w:val="18"/>
              </w:rPr>
              <w:t>1</w:t>
            </w:r>
          </w:p>
        </w:tc>
        <w:tc>
          <w:tcPr>
            <w:tcW w:w="2345" w:type="pct"/>
          </w:tcPr>
          <w:p>
            <w:pPr>
              <w:spacing w:line="360" w:lineRule="auto"/>
              <w:rPr>
                <w:sz w:val="18"/>
                <w:szCs w:val="18"/>
              </w:rPr>
            </w:pPr>
            <w:r>
              <w:rPr>
                <w:rFonts w:hint="eastAsia"/>
                <w:sz w:val="18"/>
                <w:szCs w:val="18"/>
              </w:rPr>
              <w:t>在复杂工程问题的解决方案中，能够使用VB6开发环境完成特定功能程序的编写、调试。</w:t>
            </w:r>
            <w:r>
              <w:rPr>
                <w:sz w:val="18"/>
                <w:szCs w:val="18"/>
              </w:rPr>
              <w:drawing>
                <wp:anchor distT="0" distB="0" distL="114300" distR="114300" simplePos="0" relativeHeight="251710464" behindDoc="0" locked="0" layoutInCell="1" allowOverlap="1">
                  <wp:simplePos x="0" y="0"/>
                  <wp:positionH relativeFrom="character">
                    <wp:posOffset>1591310</wp:posOffset>
                  </wp:positionH>
                  <wp:positionV relativeFrom="line">
                    <wp:posOffset>77470</wp:posOffset>
                  </wp:positionV>
                  <wp:extent cx="6985" cy="23495"/>
                  <wp:effectExtent l="19050" t="19050" r="12065" b="14605"/>
                  <wp:wrapNone/>
                  <wp:docPr id="285" name="图片 285"/>
                  <wp:cNvGraphicFramePr/>
                  <a:graphic xmlns:a="http://schemas.openxmlformats.org/drawingml/2006/main">
                    <a:graphicData uri="http://schemas.openxmlformats.org/drawingml/2006/picture">
                      <pic:pic xmlns:pic="http://schemas.openxmlformats.org/drawingml/2006/picture">
                        <pic:nvPicPr>
                          <pic:cNvPr id="285" name="图片 285"/>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6985" cy="23495"/>
                          </a:xfrm>
                          <a:prstGeom prst="rect">
                            <a:avLst/>
                          </a:prstGeom>
                          <a:solidFill>
                            <a:srgbClr val="FFFFFF"/>
                          </a:solidFill>
                          <a:ln w="9525">
                            <a:solidFill>
                              <a:srgbClr val="000000"/>
                            </a:solidFill>
                            <a:round/>
                          </a:ln>
                        </pic:spPr>
                      </pic:pic>
                    </a:graphicData>
                  </a:graphic>
                </wp:anchor>
              </w:drawing>
            </w:r>
          </w:p>
        </w:tc>
        <w:tc>
          <w:tcPr>
            <w:tcW w:w="2288" w:type="pct"/>
          </w:tcPr>
          <w:p>
            <w:pPr>
              <w:spacing w:line="360" w:lineRule="auto"/>
              <w:rPr>
                <w:sz w:val="18"/>
                <w:szCs w:val="18"/>
              </w:rPr>
            </w:pPr>
            <w:r>
              <w:rPr>
                <w:rFonts w:hint="eastAsia"/>
                <w:b/>
                <w:sz w:val="18"/>
                <w:szCs w:val="18"/>
              </w:rPr>
              <w:t>指标点5-2专业工具使用：</w:t>
            </w:r>
            <w:r>
              <w:rPr>
                <w:rFonts w:hint="eastAsia"/>
                <w:sz w:val="18"/>
                <w:szCs w:val="18"/>
              </w:rPr>
              <w:t>能使用工具对电路系统、协议等进行设计和仿真，确定功能和相关设计参数。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sz w:val="18"/>
                <w:szCs w:val="18"/>
              </w:rPr>
            </w:pPr>
            <w:r>
              <w:rPr>
                <w:rFonts w:hint="eastAsia"/>
                <w:sz w:val="18"/>
                <w:szCs w:val="18"/>
              </w:rPr>
              <w:t>2</w:t>
            </w:r>
          </w:p>
        </w:tc>
        <w:tc>
          <w:tcPr>
            <w:tcW w:w="2345" w:type="pct"/>
          </w:tcPr>
          <w:p>
            <w:pPr>
              <w:spacing w:line="360" w:lineRule="auto"/>
              <w:rPr>
                <w:sz w:val="18"/>
                <w:szCs w:val="18"/>
              </w:rPr>
            </w:pPr>
            <w:r>
              <w:rPr>
                <w:sz w:val="18"/>
                <w:szCs w:val="18"/>
              </w:rPr>
              <w:t>能够使用程序设计的基本方法和技巧，针对特定工程问题</w:t>
            </w:r>
            <w:r>
              <w:rPr>
                <w:rFonts w:hint="eastAsia"/>
                <w:sz w:val="18"/>
                <w:szCs w:val="18"/>
              </w:rPr>
              <w:t>开展实验，帮助完成数据分析和处理。</w:t>
            </w:r>
          </w:p>
        </w:tc>
        <w:tc>
          <w:tcPr>
            <w:tcW w:w="2288" w:type="pct"/>
          </w:tcPr>
          <w:p>
            <w:pPr>
              <w:spacing w:line="360" w:lineRule="auto"/>
              <w:rPr>
                <w:sz w:val="18"/>
                <w:szCs w:val="18"/>
              </w:rPr>
            </w:pPr>
            <w:r>
              <w:rPr>
                <w:rFonts w:hint="eastAsia"/>
                <w:b/>
                <w:sz w:val="18"/>
                <w:szCs w:val="18"/>
              </w:rPr>
              <w:t>指标点5-3 其它手段与资源：</w:t>
            </w:r>
            <w:r>
              <w:rPr>
                <w:rFonts w:hint="eastAsia"/>
                <w:sz w:val="18"/>
                <w:szCs w:val="18"/>
              </w:rPr>
              <w:t>能够充分利用高级语言、通用数据处理软件和字处理等其它信息技术工具与资源，提高工作效率。</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1、本课程是程序设计的入门课程，无先修课要求；</w:t>
      </w:r>
    </w:p>
    <w:p>
      <w:pPr>
        <w:spacing w:line="360" w:lineRule="auto"/>
        <w:ind w:firstLine="420" w:firstLineChars="200"/>
        <w:rPr>
          <w:szCs w:val="21"/>
        </w:rPr>
      </w:pPr>
      <w:r>
        <w:rPr>
          <w:rFonts w:hint="eastAsia"/>
          <w:szCs w:val="21"/>
        </w:rPr>
        <w:t>2、在带多媒体设备的计算机实验室上课；</w:t>
      </w:r>
    </w:p>
    <w:p>
      <w:pPr>
        <w:spacing w:line="360" w:lineRule="auto"/>
        <w:ind w:firstLine="420" w:firstLineChars="200"/>
        <w:rPr>
          <w:szCs w:val="21"/>
        </w:rPr>
      </w:pPr>
      <w:r>
        <w:rPr>
          <w:rFonts w:hint="eastAsia"/>
          <w:szCs w:val="21"/>
        </w:rPr>
        <w:t>3、讲解程序设计的基本知识，初步具备程序设计能力；</w:t>
      </w:r>
    </w:p>
    <w:p>
      <w:pPr>
        <w:spacing w:line="360" w:lineRule="auto"/>
        <w:ind w:firstLine="420" w:firstLineChars="200"/>
        <w:rPr>
          <w:szCs w:val="21"/>
        </w:rPr>
      </w:pPr>
      <w:r>
        <w:rPr>
          <w:rFonts w:hint="eastAsia"/>
          <w:szCs w:val="21"/>
        </w:rPr>
        <w:t>4、通过例程，培养学生的程序阅读能力；</w:t>
      </w:r>
    </w:p>
    <w:p>
      <w:pPr>
        <w:spacing w:line="360" w:lineRule="auto"/>
        <w:ind w:firstLine="420" w:firstLineChars="200"/>
        <w:rPr>
          <w:szCs w:val="21"/>
        </w:rPr>
      </w:pPr>
      <w:r>
        <w:rPr>
          <w:rFonts w:hint="eastAsia"/>
          <w:szCs w:val="21"/>
        </w:rPr>
        <w:t>5、通过实验，培养学生调试程序的能力；</w:t>
      </w:r>
    </w:p>
    <w:p>
      <w:pPr>
        <w:spacing w:line="360" w:lineRule="auto"/>
        <w:ind w:firstLine="420" w:firstLineChars="200"/>
        <w:rPr>
          <w:rFonts w:ascii="黑体" w:hAnsi="黑体" w:eastAsia="黑体"/>
          <w:color w:val="0000FF"/>
          <w:szCs w:val="21"/>
        </w:rPr>
      </w:pPr>
      <w:r>
        <w:rPr>
          <w:rFonts w:hint="eastAsia"/>
          <w:szCs w:val="21"/>
        </w:rPr>
        <w:t>6、在VB环境行下完成。</w:t>
      </w:r>
    </w:p>
    <w:p>
      <w:pPr>
        <w:spacing w:line="360" w:lineRule="auto"/>
        <w:ind w:firstLine="420" w:firstLineChars="200"/>
        <w:rPr>
          <w:szCs w:val="21"/>
        </w:rPr>
      </w:pPr>
      <w:r>
        <w:rPr>
          <w:rFonts w:hint="eastAsia"/>
          <w:szCs w:val="21"/>
        </w:rPr>
        <w:t>7、深度和广度说明：对于工程问题对应的数据、算法模型要深入讲解，对使用的编程平台可以简单介绍，对于通过程序和工程问题之间的关系可以尽可能展开；能针对特定问题编程实现是重点。</w:t>
      </w:r>
    </w:p>
    <w:p>
      <w:pPr>
        <w:spacing w:line="360" w:lineRule="auto"/>
        <w:ind w:firstLine="420" w:firstLineChars="200"/>
        <w:rPr>
          <w:szCs w:val="21"/>
        </w:rPr>
      </w:pPr>
      <w:r>
        <w:rPr>
          <w:rFonts w:hint="eastAsia"/>
          <w:szCs w:val="21"/>
        </w:rPr>
        <w:t>8</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tabs>
          <w:tab w:val="left" w:pos="0"/>
        </w:tabs>
        <w:adjustRightInd w:val="0"/>
        <w:snapToGrid w:val="0"/>
        <w:spacing w:line="360" w:lineRule="auto"/>
        <w:ind w:firstLine="426"/>
      </w:pPr>
      <w:r>
        <w:t>本课程重点介绍内容包括：VB数据类型、定义；VB常用内部函数；VB运算符及表达式；VB控制语句；VB常用控件；VB程序设计及调试；VB集成开发平台。</w:t>
      </w:r>
    </w:p>
    <w:p>
      <w:pPr>
        <w:tabs>
          <w:tab w:val="left" w:pos="0"/>
        </w:tabs>
        <w:adjustRightInd w:val="0"/>
        <w:snapToGrid w:val="0"/>
        <w:spacing w:line="360" w:lineRule="auto"/>
        <w:ind w:firstLine="426"/>
      </w:pPr>
      <w:r>
        <w:t>在教学中，讲解内容应结合实际应用。以实例为驱动，介绍实现问题过程中的设计考虑，分步实现设计时与对应语法要求的关系等。培养学生思考、解决问题的能力。</w:t>
      </w:r>
    </w:p>
    <w:p>
      <w:pPr>
        <w:tabs>
          <w:tab w:val="left" w:pos="0"/>
        </w:tabs>
        <w:adjustRightInd w:val="0"/>
        <w:snapToGrid w:val="0"/>
        <w:spacing w:line="360" w:lineRule="auto"/>
        <w:ind w:firstLine="426"/>
      </w:pPr>
      <w:r>
        <w:t>在教学中，加强对学生程序设计能力的考核。通过提问学生、学生问答等多种方式引导学生提出问题、团结协作的能力。</w:t>
      </w:r>
    </w:p>
    <w:p>
      <w:pPr>
        <w:spacing w:line="360" w:lineRule="auto"/>
        <w:ind w:left="426"/>
        <w:rPr>
          <w:rFonts w:eastAsia="黑体"/>
          <w:szCs w:val="21"/>
        </w:rPr>
      </w:pPr>
    </w:p>
    <w:p>
      <w:pPr>
        <w:adjustRightInd w:val="0"/>
        <w:snapToGrid w:val="0"/>
        <w:spacing w:line="360" w:lineRule="auto"/>
        <w:ind w:firstLine="454"/>
        <w:rPr>
          <w:rFonts w:eastAsia="黑体"/>
          <w:szCs w:val="21"/>
        </w:rPr>
      </w:pPr>
      <w:r>
        <w:rPr>
          <w:rFonts w:hint="eastAsia" w:eastAsia="黑体"/>
          <w:snapToGrid w:val="0"/>
          <w:kern w:val="0"/>
          <w:szCs w:val="21"/>
        </w:rPr>
        <w:t>1</w:t>
      </w:r>
      <w:r>
        <w:rPr>
          <w:rFonts w:eastAsia="黑体"/>
          <w:szCs w:val="21"/>
        </w:rPr>
        <w:t>引言（2学时）</w:t>
      </w:r>
    </w:p>
    <w:p>
      <w:pPr>
        <w:adjustRightInd w:val="0"/>
        <w:snapToGrid w:val="0"/>
        <w:spacing w:line="360" w:lineRule="auto"/>
        <w:ind w:firstLine="454"/>
        <w:rPr>
          <w:szCs w:val="21"/>
        </w:rPr>
      </w:pPr>
      <w:r>
        <w:rPr>
          <w:szCs w:val="21"/>
        </w:rPr>
        <w:t>1.1、掌握计算机硬件环境和Windows基本操作方法</w:t>
      </w:r>
    </w:p>
    <w:p>
      <w:pPr>
        <w:adjustRightInd w:val="0"/>
        <w:snapToGrid w:val="0"/>
        <w:spacing w:line="360" w:lineRule="auto"/>
        <w:ind w:firstLine="454"/>
        <w:rPr>
          <w:szCs w:val="21"/>
        </w:rPr>
      </w:pPr>
      <w:r>
        <w:rPr>
          <w:szCs w:val="21"/>
        </w:rPr>
        <w:t>1.2、了解与本课程相关的计算机相关知识，了解VB的主要功能和特点</w:t>
      </w:r>
    </w:p>
    <w:p>
      <w:pPr>
        <w:adjustRightInd w:val="0"/>
        <w:snapToGrid w:val="0"/>
        <w:spacing w:line="360" w:lineRule="auto"/>
        <w:ind w:firstLine="454"/>
        <w:rPr>
          <w:szCs w:val="21"/>
        </w:rPr>
      </w:pPr>
      <w:r>
        <w:rPr>
          <w:szCs w:val="21"/>
        </w:rPr>
        <w:t>1.3、掌握VB集成开发环境的使用</w:t>
      </w:r>
    </w:p>
    <w:p>
      <w:pPr>
        <w:adjustRightInd w:val="0"/>
        <w:snapToGrid w:val="0"/>
        <w:spacing w:line="360" w:lineRule="auto"/>
        <w:ind w:firstLine="454"/>
        <w:rPr>
          <w:szCs w:val="21"/>
        </w:rPr>
      </w:pPr>
      <w:r>
        <w:rPr>
          <w:szCs w:val="21"/>
        </w:rPr>
        <w:t>1.4、掌握建立一个VB程序步骤，了解VB中面向对象的程序设计</w:t>
      </w:r>
    </w:p>
    <w:p>
      <w:pPr>
        <w:adjustRightInd w:val="0"/>
        <w:snapToGrid w:val="0"/>
        <w:spacing w:line="360" w:lineRule="auto"/>
        <w:ind w:firstLine="454"/>
        <w:rPr>
          <w:szCs w:val="21"/>
        </w:rPr>
      </w:pPr>
      <w:r>
        <w:rPr>
          <w:szCs w:val="21"/>
        </w:rPr>
        <w:t>重点：VB集成环境各功能窗口的操作及功能</w:t>
      </w:r>
    </w:p>
    <w:p>
      <w:pPr>
        <w:adjustRightInd w:val="0"/>
        <w:snapToGrid w:val="0"/>
        <w:spacing w:line="360" w:lineRule="auto"/>
        <w:ind w:firstLine="454"/>
        <w:rPr>
          <w:szCs w:val="21"/>
        </w:rPr>
      </w:pPr>
      <w:r>
        <w:rPr>
          <w:rFonts w:hint="eastAsia"/>
          <w:szCs w:val="21"/>
        </w:rPr>
        <w:t>本章内容支撑课程目标1</w:t>
      </w:r>
    </w:p>
    <w:p>
      <w:pPr>
        <w:adjustRightInd w:val="0"/>
        <w:snapToGrid w:val="0"/>
        <w:spacing w:line="360" w:lineRule="auto"/>
        <w:ind w:firstLine="454"/>
        <w:rPr>
          <w:rFonts w:eastAsia="黑体"/>
          <w:szCs w:val="21"/>
        </w:rPr>
      </w:pPr>
      <w:r>
        <w:rPr>
          <w:rFonts w:hint="eastAsia" w:eastAsia="黑体"/>
          <w:szCs w:val="21"/>
        </w:rPr>
        <w:t>2</w:t>
      </w:r>
      <w:r>
        <w:rPr>
          <w:rFonts w:eastAsia="黑体"/>
          <w:szCs w:val="21"/>
        </w:rPr>
        <w:t>程序设计基础（4学时）</w:t>
      </w:r>
    </w:p>
    <w:p>
      <w:pPr>
        <w:adjustRightInd w:val="0"/>
        <w:snapToGrid w:val="0"/>
        <w:spacing w:line="360" w:lineRule="auto"/>
        <w:ind w:firstLine="454"/>
        <w:rPr>
          <w:szCs w:val="21"/>
        </w:rPr>
      </w:pPr>
      <w:r>
        <w:rPr>
          <w:snapToGrid w:val="0"/>
          <w:kern w:val="0"/>
          <w:szCs w:val="21"/>
        </w:rPr>
        <w:t>2.1、</w:t>
      </w:r>
      <w:r>
        <w:rPr>
          <w:szCs w:val="21"/>
        </w:rPr>
        <w:t>了解自定义数据类型</w:t>
      </w:r>
    </w:p>
    <w:p>
      <w:pPr>
        <w:adjustRightInd w:val="0"/>
        <w:snapToGrid w:val="0"/>
        <w:spacing w:line="360" w:lineRule="auto"/>
        <w:ind w:firstLine="454"/>
        <w:rPr>
          <w:szCs w:val="21"/>
        </w:rPr>
      </w:pPr>
      <w:r>
        <w:rPr>
          <w:szCs w:val="21"/>
        </w:rPr>
        <w:t>2.2、理解数据类型、数据存储、内部函数</w:t>
      </w:r>
    </w:p>
    <w:p>
      <w:pPr>
        <w:adjustRightInd w:val="0"/>
        <w:snapToGrid w:val="0"/>
        <w:spacing w:line="360" w:lineRule="auto"/>
        <w:ind w:firstLine="454"/>
        <w:rPr>
          <w:szCs w:val="21"/>
        </w:rPr>
      </w:pPr>
      <w:r>
        <w:rPr>
          <w:szCs w:val="21"/>
        </w:rPr>
        <w:t>结合本知识点，比较不同程序设计语言的数据类型设计。使学生认识到类比方式学习掌握新知识的途径，培养学生不断学习、终身学习能力。</w:t>
      </w:r>
    </w:p>
    <w:p>
      <w:pPr>
        <w:adjustRightInd w:val="0"/>
        <w:snapToGrid w:val="0"/>
        <w:spacing w:line="360" w:lineRule="auto"/>
        <w:ind w:firstLine="454"/>
        <w:rPr>
          <w:szCs w:val="21"/>
        </w:rPr>
      </w:pPr>
      <w:r>
        <w:rPr>
          <w:szCs w:val="21"/>
        </w:rPr>
        <w:t>2.3、掌握表达式的书写与求值</w:t>
      </w:r>
    </w:p>
    <w:p>
      <w:pPr>
        <w:adjustRightInd w:val="0"/>
        <w:snapToGrid w:val="0"/>
        <w:spacing w:line="360" w:lineRule="auto"/>
        <w:ind w:firstLine="454"/>
        <w:rPr>
          <w:szCs w:val="21"/>
        </w:rPr>
      </w:pPr>
      <w:r>
        <w:rPr>
          <w:szCs w:val="21"/>
        </w:rPr>
        <w:t>重点：数据的定义；数据的计算表达</w:t>
      </w:r>
    </w:p>
    <w:p>
      <w:pPr>
        <w:adjustRightInd w:val="0"/>
        <w:snapToGrid w:val="0"/>
        <w:spacing w:line="360" w:lineRule="auto"/>
        <w:ind w:firstLine="454"/>
        <w:rPr>
          <w:szCs w:val="21"/>
        </w:rPr>
      </w:pPr>
      <w:r>
        <w:rPr>
          <w:szCs w:val="21"/>
        </w:rPr>
        <w:t>难点：程序中数据分类表达、作用域、生存期</w:t>
      </w:r>
    </w:p>
    <w:p>
      <w:pPr>
        <w:adjustRightInd w:val="0"/>
        <w:snapToGrid w:val="0"/>
        <w:spacing w:line="360" w:lineRule="auto"/>
        <w:ind w:firstLine="454"/>
        <w:rPr>
          <w:szCs w:val="21"/>
        </w:rPr>
      </w:pPr>
      <w:r>
        <w:rPr>
          <w:rFonts w:hint="eastAsia"/>
          <w:szCs w:val="21"/>
        </w:rPr>
        <w:t>本章内容支撑课程目标1</w:t>
      </w:r>
    </w:p>
    <w:p>
      <w:pPr>
        <w:adjustRightInd w:val="0"/>
        <w:snapToGrid w:val="0"/>
        <w:spacing w:line="360" w:lineRule="auto"/>
        <w:ind w:firstLine="454"/>
        <w:rPr>
          <w:rFonts w:eastAsia="黑体"/>
          <w:szCs w:val="21"/>
        </w:rPr>
      </w:pPr>
      <w:r>
        <w:rPr>
          <w:rFonts w:eastAsia="黑体"/>
          <w:szCs w:val="21"/>
        </w:rPr>
        <w:t>3 程序基本控制结构（6学时）</w:t>
      </w:r>
    </w:p>
    <w:p>
      <w:pPr>
        <w:adjustRightInd w:val="0"/>
        <w:snapToGrid w:val="0"/>
        <w:spacing w:line="360" w:lineRule="auto"/>
        <w:ind w:firstLine="454"/>
        <w:rPr>
          <w:szCs w:val="21"/>
        </w:rPr>
      </w:pPr>
      <w:r>
        <w:rPr>
          <w:szCs w:val="21"/>
        </w:rPr>
        <w:t>3.1、理解顺序结构、分支结构和循环结构程序设计方法</w:t>
      </w:r>
    </w:p>
    <w:p>
      <w:pPr>
        <w:adjustRightInd w:val="0"/>
        <w:snapToGrid w:val="0"/>
        <w:spacing w:line="360" w:lineRule="auto"/>
        <w:ind w:firstLine="454"/>
        <w:rPr>
          <w:szCs w:val="21"/>
        </w:rPr>
      </w:pPr>
      <w:r>
        <w:rPr>
          <w:szCs w:val="21"/>
        </w:rPr>
        <w:t>结合本知识点，总结不同程序设计语言中程序控制结构。培养学生不断学习、终身学习能力。</w:t>
      </w:r>
    </w:p>
    <w:p>
      <w:pPr>
        <w:adjustRightInd w:val="0"/>
        <w:snapToGrid w:val="0"/>
        <w:spacing w:line="360" w:lineRule="auto"/>
        <w:ind w:firstLine="454"/>
        <w:rPr>
          <w:szCs w:val="21"/>
        </w:rPr>
      </w:pPr>
      <w:r>
        <w:rPr>
          <w:szCs w:val="21"/>
        </w:rPr>
        <w:t>3.2、理解循环结构的执行过程</w:t>
      </w:r>
    </w:p>
    <w:p>
      <w:pPr>
        <w:adjustRightInd w:val="0"/>
        <w:snapToGrid w:val="0"/>
        <w:spacing w:line="360" w:lineRule="auto"/>
        <w:ind w:firstLine="454"/>
        <w:rPr>
          <w:szCs w:val="21"/>
        </w:rPr>
      </w:pPr>
      <w:r>
        <w:rPr>
          <w:szCs w:val="21"/>
        </w:rPr>
        <w:t>3.3、掌握分支结构语句、循环结构语句及其应用</w:t>
      </w:r>
    </w:p>
    <w:p>
      <w:pPr>
        <w:adjustRightInd w:val="0"/>
        <w:snapToGrid w:val="0"/>
        <w:spacing w:line="360" w:lineRule="auto"/>
        <w:ind w:firstLine="454"/>
        <w:rPr>
          <w:szCs w:val="21"/>
        </w:rPr>
      </w:pPr>
      <w:r>
        <w:rPr>
          <w:szCs w:val="21"/>
        </w:rPr>
        <w:t>重点：条件及循环语句</w:t>
      </w:r>
    </w:p>
    <w:p>
      <w:pPr>
        <w:adjustRightInd w:val="0"/>
        <w:snapToGrid w:val="0"/>
        <w:spacing w:line="360" w:lineRule="auto"/>
        <w:ind w:firstLine="454"/>
        <w:rPr>
          <w:szCs w:val="21"/>
        </w:rPr>
      </w:pPr>
      <w:r>
        <w:rPr>
          <w:szCs w:val="21"/>
        </w:rPr>
        <w:t>难点：算法实现过程规范化到标准结构中</w:t>
      </w:r>
    </w:p>
    <w:p>
      <w:pPr>
        <w:adjustRightInd w:val="0"/>
        <w:snapToGrid w:val="0"/>
        <w:spacing w:line="360" w:lineRule="auto"/>
        <w:ind w:firstLine="454"/>
        <w:rPr>
          <w:szCs w:val="21"/>
        </w:rPr>
      </w:pPr>
      <w:r>
        <w:rPr>
          <w:rFonts w:hint="eastAsia"/>
          <w:szCs w:val="21"/>
        </w:rPr>
        <w:t>本章内容支撑课程目标1、2</w:t>
      </w:r>
    </w:p>
    <w:p>
      <w:pPr>
        <w:adjustRightInd w:val="0"/>
        <w:snapToGrid w:val="0"/>
        <w:spacing w:line="360" w:lineRule="auto"/>
        <w:ind w:firstLine="454"/>
        <w:rPr>
          <w:rFonts w:eastAsia="黑体"/>
          <w:szCs w:val="21"/>
        </w:rPr>
      </w:pPr>
      <w:r>
        <w:rPr>
          <w:rFonts w:hint="eastAsia" w:eastAsia="黑体"/>
          <w:szCs w:val="21"/>
        </w:rPr>
        <w:t>4</w:t>
      </w:r>
      <w:r>
        <w:rPr>
          <w:rFonts w:eastAsia="黑体"/>
          <w:szCs w:val="21"/>
        </w:rPr>
        <w:t>窗体及相关操作（4学时）</w:t>
      </w:r>
    </w:p>
    <w:p>
      <w:pPr>
        <w:adjustRightInd w:val="0"/>
        <w:snapToGrid w:val="0"/>
        <w:spacing w:line="360" w:lineRule="auto"/>
        <w:ind w:firstLine="454"/>
        <w:rPr>
          <w:szCs w:val="21"/>
        </w:rPr>
      </w:pPr>
      <w:r>
        <w:rPr>
          <w:szCs w:val="21"/>
        </w:rPr>
        <w:t>4.1、理解输入输出操作及标准模块</w:t>
      </w:r>
    </w:p>
    <w:p>
      <w:pPr>
        <w:adjustRightInd w:val="0"/>
        <w:snapToGrid w:val="0"/>
        <w:spacing w:line="360" w:lineRule="auto"/>
        <w:ind w:firstLine="454"/>
        <w:rPr>
          <w:szCs w:val="21"/>
        </w:rPr>
      </w:pPr>
      <w:r>
        <w:rPr>
          <w:szCs w:val="21"/>
        </w:rPr>
        <w:t>4.2、掌握窗体和几个基本内部控件的使用</w:t>
      </w:r>
    </w:p>
    <w:p>
      <w:pPr>
        <w:adjustRightInd w:val="0"/>
        <w:snapToGrid w:val="0"/>
        <w:spacing w:line="360" w:lineRule="auto"/>
        <w:ind w:firstLine="454"/>
        <w:rPr>
          <w:szCs w:val="21"/>
        </w:rPr>
      </w:pPr>
      <w:r>
        <w:rPr>
          <w:szCs w:val="21"/>
        </w:rPr>
        <w:t>重点：控件的事件过程实现</w:t>
      </w:r>
    </w:p>
    <w:p>
      <w:pPr>
        <w:adjustRightInd w:val="0"/>
        <w:snapToGrid w:val="0"/>
        <w:spacing w:line="360" w:lineRule="auto"/>
        <w:ind w:firstLine="454"/>
        <w:rPr>
          <w:szCs w:val="21"/>
        </w:rPr>
      </w:pPr>
      <w:r>
        <w:rPr>
          <w:szCs w:val="21"/>
        </w:rPr>
        <w:t>难点：程序的输入输出和控件选择</w:t>
      </w:r>
    </w:p>
    <w:p>
      <w:pPr>
        <w:adjustRightInd w:val="0"/>
        <w:snapToGrid w:val="0"/>
        <w:spacing w:line="360" w:lineRule="auto"/>
        <w:ind w:firstLine="454"/>
        <w:rPr>
          <w:szCs w:val="21"/>
        </w:rPr>
      </w:pPr>
      <w:r>
        <w:rPr>
          <w:rFonts w:hint="eastAsia"/>
          <w:szCs w:val="21"/>
        </w:rPr>
        <w:t>本章内容支撑课程目标1、2</w:t>
      </w:r>
    </w:p>
    <w:p>
      <w:pPr>
        <w:adjustRightInd w:val="0"/>
        <w:snapToGrid w:val="0"/>
        <w:spacing w:line="360" w:lineRule="auto"/>
        <w:ind w:firstLine="454"/>
        <w:rPr>
          <w:rFonts w:eastAsia="黑体"/>
          <w:szCs w:val="21"/>
        </w:rPr>
      </w:pPr>
      <w:r>
        <w:rPr>
          <w:rFonts w:hint="eastAsia" w:eastAsia="黑体"/>
          <w:szCs w:val="21"/>
        </w:rPr>
        <w:t>5</w:t>
      </w:r>
      <w:r>
        <w:rPr>
          <w:rFonts w:eastAsia="黑体"/>
          <w:szCs w:val="21"/>
        </w:rPr>
        <w:t>数组（4学时）</w:t>
      </w:r>
    </w:p>
    <w:p>
      <w:pPr>
        <w:adjustRightInd w:val="0"/>
        <w:snapToGrid w:val="0"/>
        <w:spacing w:line="360" w:lineRule="auto"/>
        <w:ind w:firstLine="454"/>
        <w:rPr>
          <w:szCs w:val="21"/>
        </w:rPr>
      </w:pPr>
      <w:r>
        <w:rPr>
          <w:szCs w:val="21"/>
        </w:rPr>
        <w:t>5.1、了解控件数组的使用</w:t>
      </w:r>
    </w:p>
    <w:p>
      <w:pPr>
        <w:adjustRightInd w:val="0"/>
        <w:snapToGrid w:val="0"/>
        <w:spacing w:line="360" w:lineRule="auto"/>
        <w:ind w:firstLine="454"/>
        <w:rPr>
          <w:szCs w:val="21"/>
        </w:rPr>
      </w:pPr>
      <w:r>
        <w:rPr>
          <w:szCs w:val="21"/>
        </w:rPr>
        <w:t>5.2、理解用数组和程序基本控制结构实现矩阵运算的方法，理解与数组相关的操作函数</w:t>
      </w:r>
    </w:p>
    <w:p>
      <w:pPr>
        <w:adjustRightInd w:val="0"/>
        <w:snapToGrid w:val="0"/>
        <w:spacing w:line="360" w:lineRule="auto"/>
        <w:ind w:firstLine="454"/>
        <w:rPr>
          <w:szCs w:val="21"/>
        </w:rPr>
      </w:pPr>
      <w:r>
        <w:rPr>
          <w:szCs w:val="21"/>
        </w:rPr>
        <w:t>5.3、掌握数组的概念和定义</w:t>
      </w:r>
    </w:p>
    <w:p>
      <w:pPr>
        <w:adjustRightInd w:val="0"/>
        <w:snapToGrid w:val="0"/>
        <w:spacing w:line="360" w:lineRule="auto"/>
        <w:ind w:firstLine="454"/>
        <w:rPr>
          <w:szCs w:val="21"/>
        </w:rPr>
      </w:pPr>
      <w:r>
        <w:rPr>
          <w:szCs w:val="21"/>
        </w:rPr>
        <w:t>5.4、掌握用数组和程序基本控制结构实现数据的求和、求平均、求极值和排序等算法，加强循环结构的应用</w:t>
      </w:r>
    </w:p>
    <w:p>
      <w:pPr>
        <w:widowControl/>
        <w:adjustRightInd w:val="0"/>
        <w:snapToGrid w:val="0"/>
        <w:spacing w:line="360" w:lineRule="auto"/>
        <w:ind w:left="426"/>
        <w:jc w:val="left"/>
        <w:rPr>
          <w:kern w:val="0"/>
          <w:szCs w:val="21"/>
        </w:rPr>
      </w:pPr>
      <w:r>
        <w:rPr>
          <w:kern w:val="0"/>
          <w:szCs w:val="21"/>
        </w:rPr>
        <w:t>重点：数组定义及应用</w:t>
      </w:r>
    </w:p>
    <w:p>
      <w:pPr>
        <w:widowControl/>
        <w:adjustRightInd w:val="0"/>
        <w:snapToGrid w:val="0"/>
        <w:spacing w:line="360" w:lineRule="auto"/>
        <w:ind w:left="426"/>
        <w:jc w:val="left"/>
        <w:rPr>
          <w:kern w:val="0"/>
          <w:szCs w:val="21"/>
        </w:rPr>
      </w:pPr>
      <w:r>
        <w:rPr>
          <w:kern w:val="0"/>
          <w:szCs w:val="21"/>
        </w:rPr>
        <w:t>难点：动态数组空间分配，控件数组应用</w:t>
      </w:r>
    </w:p>
    <w:p>
      <w:pPr>
        <w:widowControl/>
        <w:adjustRightInd w:val="0"/>
        <w:snapToGrid w:val="0"/>
        <w:spacing w:line="360" w:lineRule="auto"/>
        <w:ind w:left="426"/>
        <w:jc w:val="left"/>
        <w:rPr>
          <w:kern w:val="0"/>
          <w:szCs w:val="21"/>
        </w:rPr>
      </w:pPr>
      <w:r>
        <w:rPr>
          <w:rFonts w:hint="eastAsia"/>
          <w:szCs w:val="21"/>
        </w:rPr>
        <w:t>本章内容支撑课程目标1、2</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rPr>
          <w:szCs w:val="21"/>
        </w:rPr>
      </w:pPr>
      <w:r>
        <w:rPr>
          <w:szCs w:val="21"/>
        </w:rPr>
        <w:t>实验在计算机上完成。使用的计算机要求安装Windows操作系统和VB6.0开发环境。实验内容按照实验要求完成。在完成基本实验要求的基础上，引导学生设计实现和实际应用相结合的实验。实践调试程序的方法，培养学生调试程序的能力。</w:t>
      </w:r>
    </w:p>
    <w:p>
      <w:pPr>
        <w:adjustRightInd w:val="0"/>
        <w:snapToGrid w:val="0"/>
        <w:spacing w:line="360" w:lineRule="auto"/>
        <w:ind w:firstLine="420"/>
        <w:rPr>
          <w:szCs w:val="21"/>
        </w:rPr>
      </w:pPr>
    </w:p>
    <w:p>
      <w:pPr>
        <w:adjustRightInd w:val="0"/>
        <w:snapToGrid w:val="0"/>
        <w:spacing w:line="360" w:lineRule="auto"/>
        <w:ind w:firstLine="420"/>
        <w:rPr>
          <w:rFonts w:eastAsia="黑体"/>
        </w:rPr>
      </w:pPr>
      <w:r>
        <w:rPr>
          <w:rFonts w:eastAsia="黑体"/>
        </w:rPr>
        <w:t>实验一熟悉VB集成开发环境（1学时）</w:t>
      </w:r>
    </w:p>
    <w:p>
      <w:pPr>
        <w:adjustRightInd w:val="0"/>
        <w:snapToGrid w:val="0"/>
        <w:spacing w:line="360" w:lineRule="auto"/>
        <w:ind w:firstLine="420"/>
      </w:pPr>
      <w:r>
        <w:t>内容：</w:t>
      </w:r>
    </w:p>
    <w:p>
      <w:pPr>
        <w:adjustRightInd w:val="0"/>
        <w:snapToGrid w:val="0"/>
        <w:spacing w:line="360" w:lineRule="auto"/>
        <w:ind w:firstLine="420"/>
        <w:rPr>
          <w:szCs w:val="21"/>
        </w:rPr>
      </w:pPr>
      <w:r>
        <w:rPr>
          <w:szCs w:val="21"/>
        </w:rPr>
        <w:t>1、练习Windows的基本操作</w:t>
      </w:r>
    </w:p>
    <w:p>
      <w:pPr>
        <w:adjustRightInd w:val="0"/>
        <w:snapToGrid w:val="0"/>
        <w:spacing w:line="360" w:lineRule="auto"/>
        <w:ind w:left="360" w:firstLine="57"/>
        <w:rPr>
          <w:szCs w:val="21"/>
        </w:rPr>
      </w:pPr>
      <w:r>
        <w:t>2、学习</w:t>
      </w:r>
      <w:r>
        <w:rPr>
          <w:szCs w:val="21"/>
        </w:rPr>
        <w:t>VB的安装、启动与退出</w:t>
      </w:r>
    </w:p>
    <w:p>
      <w:pPr>
        <w:adjustRightInd w:val="0"/>
        <w:snapToGrid w:val="0"/>
        <w:spacing w:line="360" w:lineRule="auto"/>
        <w:ind w:left="360" w:firstLine="57"/>
        <w:rPr>
          <w:szCs w:val="21"/>
        </w:rPr>
      </w:pPr>
      <w:r>
        <w:rPr>
          <w:szCs w:val="21"/>
        </w:rPr>
        <w:t>3、VB集成开发环境的初步使用</w:t>
      </w:r>
    </w:p>
    <w:p>
      <w:pPr>
        <w:widowControl/>
        <w:adjustRightInd w:val="0"/>
        <w:snapToGrid w:val="0"/>
        <w:spacing w:line="360" w:lineRule="auto"/>
        <w:ind w:left="420" w:leftChars="200"/>
        <w:jc w:val="left"/>
      </w:pPr>
      <w:r>
        <w:t>4、通过简单的VB程序例子，熟悉创建VB程序的步骤</w:t>
      </w:r>
    </w:p>
    <w:p>
      <w:pPr>
        <w:adjustRightInd w:val="0"/>
        <w:snapToGrid w:val="0"/>
        <w:spacing w:line="360" w:lineRule="auto"/>
        <w:ind w:left="360" w:firstLine="57"/>
      </w:pPr>
      <w:r>
        <w:t>基本要求：</w:t>
      </w:r>
    </w:p>
    <w:p>
      <w:pPr>
        <w:widowControl/>
        <w:tabs>
          <w:tab w:val="left" w:pos="420"/>
          <w:tab w:val="left" w:pos="780"/>
        </w:tabs>
        <w:adjustRightInd w:val="0"/>
        <w:snapToGrid w:val="0"/>
        <w:spacing w:line="360" w:lineRule="auto"/>
        <w:ind w:firstLine="420" w:firstLineChars="200"/>
        <w:jc w:val="left"/>
      </w:pPr>
      <w:r>
        <w:rPr>
          <w:rFonts w:hint="eastAsia"/>
        </w:rPr>
        <w:t>1、</w:t>
      </w:r>
      <w:r>
        <w:t>熟悉计算机环境，掌握Windows的基本操作</w:t>
      </w:r>
    </w:p>
    <w:p>
      <w:pPr>
        <w:widowControl/>
        <w:tabs>
          <w:tab w:val="left" w:pos="420"/>
          <w:tab w:val="left" w:pos="780"/>
        </w:tabs>
        <w:adjustRightInd w:val="0"/>
        <w:snapToGrid w:val="0"/>
        <w:spacing w:line="360" w:lineRule="auto"/>
        <w:ind w:firstLine="420" w:firstLineChars="200"/>
        <w:jc w:val="left"/>
      </w:pPr>
      <w:r>
        <w:rPr>
          <w:rFonts w:hint="eastAsia"/>
        </w:rPr>
        <w:t>2、</w:t>
      </w:r>
      <w:r>
        <w:t>学会 VB的安装、启动与退出操作</w:t>
      </w:r>
    </w:p>
    <w:p>
      <w:pPr>
        <w:widowControl/>
        <w:tabs>
          <w:tab w:val="left" w:pos="420"/>
          <w:tab w:val="left" w:pos="780"/>
        </w:tabs>
        <w:adjustRightInd w:val="0"/>
        <w:snapToGrid w:val="0"/>
        <w:spacing w:line="360" w:lineRule="auto"/>
        <w:ind w:firstLine="420" w:firstLineChars="200"/>
        <w:jc w:val="left"/>
      </w:pPr>
      <w:r>
        <w:t>3</w:t>
      </w:r>
      <w:r>
        <w:rPr>
          <w:rFonts w:hint="eastAsia"/>
        </w:rPr>
        <w:t>、</w:t>
      </w:r>
      <w:r>
        <w:t>熟悉VB</w:t>
      </w:r>
      <w:r>
        <w:rPr>
          <w:szCs w:val="21"/>
        </w:rPr>
        <w:t>集成开发环境</w:t>
      </w:r>
    </w:p>
    <w:p>
      <w:pPr>
        <w:pStyle w:val="31"/>
        <w:widowControl/>
        <w:tabs>
          <w:tab w:val="left" w:pos="420"/>
          <w:tab w:val="left" w:pos="780"/>
        </w:tabs>
        <w:adjustRightInd w:val="0"/>
        <w:snapToGrid w:val="0"/>
        <w:spacing w:line="360" w:lineRule="auto"/>
        <w:jc w:val="left"/>
      </w:pPr>
      <w:r>
        <w:t>4</w:t>
      </w:r>
      <w:r>
        <w:rPr>
          <w:rFonts w:hint="eastAsia"/>
        </w:rPr>
        <w:t>、</w:t>
      </w:r>
      <w:r>
        <w:t>掌握创建VB程序的步骤</w:t>
      </w:r>
    </w:p>
    <w:p>
      <w:pPr>
        <w:widowControl/>
        <w:adjustRightInd w:val="0"/>
        <w:snapToGrid w:val="0"/>
        <w:spacing w:line="360" w:lineRule="auto"/>
        <w:ind w:left="420"/>
        <w:jc w:val="left"/>
      </w:pPr>
      <w:r>
        <w:rPr>
          <w:rFonts w:hint="eastAsia"/>
        </w:rPr>
        <w:t>本实验支撑课程目标1</w:t>
      </w:r>
    </w:p>
    <w:p>
      <w:pPr>
        <w:widowControl/>
        <w:adjustRightInd w:val="0"/>
        <w:snapToGrid w:val="0"/>
        <w:spacing w:line="360" w:lineRule="auto"/>
        <w:ind w:left="420" w:leftChars="200"/>
        <w:jc w:val="left"/>
        <w:rPr>
          <w:rFonts w:eastAsia="黑体"/>
        </w:rPr>
      </w:pPr>
      <w:r>
        <w:rPr>
          <w:rFonts w:eastAsia="黑体"/>
        </w:rPr>
        <w:t>实验二</w:t>
      </w:r>
      <w:r>
        <w:rPr>
          <w:rFonts w:eastAsia="黑体"/>
          <w:kern w:val="0"/>
          <w:szCs w:val="21"/>
        </w:rPr>
        <w:t>数据表示及处理</w:t>
      </w:r>
      <w:r>
        <w:rPr>
          <w:rFonts w:eastAsia="黑体"/>
        </w:rPr>
        <w:t>（1学时）</w:t>
      </w:r>
    </w:p>
    <w:p>
      <w:pPr>
        <w:widowControl/>
        <w:adjustRightInd w:val="0"/>
        <w:snapToGrid w:val="0"/>
        <w:spacing w:line="360" w:lineRule="auto"/>
        <w:ind w:left="420" w:leftChars="200"/>
        <w:jc w:val="left"/>
      </w:pPr>
      <w:r>
        <w:t>内容：</w:t>
      </w:r>
    </w:p>
    <w:p>
      <w:pPr>
        <w:widowControl/>
        <w:adjustRightInd w:val="0"/>
        <w:snapToGrid w:val="0"/>
        <w:spacing w:line="360" w:lineRule="auto"/>
        <w:ind w:left="420" w:leftChars="200"/>
        <w:jc w:val="left"/>
      </w:pPr>
      <w:r>
        <w:t>1、练习使用常用的数学函数</w:t>
      </w:r>
    </w:p>
    <w:p>
      <w:pPr>
        <w:adjustRightInd w:val="0"/>
        <w:snapToGrid w:val="0"/>
        <w:spacing w:line="360" w:lineRule="auto"/>
        <w:ind w:left="360" w:firstLine="57"/>
      </w:pPr>
      <w:r>
        <w:t>2、练习使用常用的字符函数</w:t>
      </w:r>
    </w:p>
    <w:p>
      <w:pPr>
        <w:adjustRightInd w:val="0"/>
        <w:snapToGrid w:val="0"/>
        <w:spacing w:line="360" w:lineRule="auto"/>
        <w:ind w:left="360" w:firstLine="57"/>
      </w:pPr>
      <w:r>
        <w:t>3、练习使用常用的转化函数</w:t>
      </w:r>
    </w:p>
    <w:p>
      <w:pPr>
        <w:adjustRightInd w:val="0"/>
        <w:snapToGrid w:val="0"/>
        <w:spacing w:line="360" w:lineRule="auto"/>
        <w:ind w:left="360" w:firstLine="57"/>
      </w:pPr>
      <w:r>
        <w:t>4、练习使用常用的日期函数</w:t>
      </w:r>
    </w:p>
    <w:p>
      <w:pPr>
        <w:adjustRightInd w:val="0"/>
        <w:snapToGrid w:val="0"/>
        <w:spacing w:line="360" w:lineRule="auto"/>
        <w:ind w:left="360" w:firstLine="57"/>
      </w:pPr>
      <w:r>
        <w:t>5、算术表达式、字符表达式和逻辑表达式的求值</w:t>
      </w:r>
    </w:p>
    <w:p>
      <w:pPr>
        <w:adjustRightInd w:val="0"/>
        <w:snapToGrid w:val="0"/>
        <w:spacing w:line="360" w:lineRule="auto"/>
        <w:ind w:left="360" w:firstLine="57"/>
      </w:pPr>
      <w:r>
        <w:t>基本要求：</w:t>
      </w:r>
    </w:p>
    <w:p>
      <w:pPr>
        <w:adjustRightInd w:val="0"/>
        <w:snapToGrid w:val="0"/>
        <w:spacing w:line="360" w:lineRule="auto"/>
        <w:ind w:left="360" w:firstLine="57"/>
      </w:pPr>
      <w:r>
        <w:t>1、理解VB内部函数的功能和书写格式</w:t>
      </w:r>
    </w:p>
    <w:p>
      <w:pPr>
        <w:adjustRightInd w:val="0"/>
        <w:snapToGrid w:val="0"/>
        <w:spacing w:line="360" w:lineRule="auto"/>
        <w:ind w:left="360" w:firstLine="57"/>
      </w:pPr>
      <w:r>
        <w:t>2、学会在“立即”窗口中进行操作</w:t>
      </w:r>
    </w:p>
    <w:p>
      <w:pPr>
        <w:adjustRightInd w:val="0"/>
        <w:snapToGrid w:val="0"/>
        <w:spacing w:line="360" w:lineRule="auto"/>
        <w:ind w:left="360" w:firstLine="57"/>
      </w:pPr>
      <w:r>
        <w:t>3、掌握VB常用内部函数的使用</w:t>
      </w:r>
    </w:p>
    <w:p>
      <w:pPr>
        <w:adjustRightInd w:val="0"/>
        <w:snapToGrid w:val="0"/>
        <w:spacing w:line="360" w:lineRule="auto"/>
        <w:ind w:left="360" w:firstLine="57"/>
      </w:pPr>
      <w:r>
        <w:t>4、掌握算术表达式、字符表达式和逻辑表达式的求值</w:t>
      </w:r>
    </w:p>
    <w:p>
      <w:pPr>
        <w:widowControl/>
        <w:adjustRightInd w:val="0"/>
        <w:snapToGrid w:val="0"/>
        <w:spacing w:line="360" w:lineRule="auto"/>
        <w:ind w:left="420"/>
        <w:jc w:val="left"/>
      </w:pPr>
      <w:r>
        <w:rPr>
          <w:rFonts w:hint="eastAsia"/>
        </w:rPr>
        <w:t>本实验支撑课程目标1</w:t>
      </w:r>
    </w:p>
    <w:p>
      <w:pPr>
        <w:adjustRightInd w:val="0"/>
        <w:snapToGrid w:val="0"/>
        <w:spacing w:line="360" w:lineRule="auto"/>
        <w:ind w:left="360" w:firstLine="57"/>
        <w:rPr>
          <w:rFonts w:eastAsia="黑体"/>
        </w:rPr>
      </w:pPr>
      <w:r>
        <w:rPr>
          <w:rFonts w:eastAsia="黑体"/>
        </w:rPr>
        <w:t>实验三</w:t>
      </w:r>
      <w:r>
        <w:rPr>
          <w:rFonts w:eastAsia="黑体"/>
          <w:kern w:val="0"/>
          <w:szCs w:val="21"/>
        </w:rPr>
        <w:t>分支结构程序设计</w:t>
      </w:r>
      <w:r>
        <w:rPr>
          <w:rFonts w:eastAsia="黑体"/>
        </w:rPr>
        <w:t>（1学时）</w:t>
      </w:r>
    </w:p>
    <w:p>
      <w:pPr>
        <w:adjustRightInd w:val="0"/>
        <w:snapToGrid w:val="0"/>
        <w:spacing w:line="360" w:lineRule="auto"/>
        <w:ind w:left="360" w:firstLine="57"/>
      </w:pPr>
      <w:r>
        <w:t>内容：</w:t>
      </w:r>
    </w:p>
    <w:p>
      <w:pPr>
        <w:adjustRightInd w:val="0"/>
        <w:snapToGrid w:val="0"/>
        <w:spacing w:line="360" w:lineRule="auto"/>
        <w:ind w:left="360" w:firstLine="57"/>
      </w:pPr>
      <w:r>
        <w:t>1、练习IF语句的使用</w:t>
      </w:r>
    </w:p>
    <w:p>
      <w:pPr>
        <w:adjustRightInd w:val="0"/>
        <w:snapToGrid w:val="0"/>
        <w:spacing w:line="360" w:lineRule="auto"/>
        <w:ind w:left="360" w:firstLine="57"/>
      </w:pPr>
      <w:r>
        <w:t>2、练习SELECT CASE 语句的使用</w:t>
      </w:r>
    </w:p>
    <w:p>
      <w:pPr>
        <w:adjustRightInd w:val="0"/>
        <w:snapToGrid w:val="0"/>
        <w:spacing w:line="360" w:lineRule="auto"/>
        <w:ind w:left="360" w:firstLine="57"/>
        <w:rPr>
          <w:rFonts w:eastAsia="黑体"/>
          <w:szCs w:val="21"/>
        </w:rPr>
      </w:pPr>
      <w:r>
        <w:t>基本要求：</w:t>
      </w:r>
    </w:p>
    <w:p>
      <w:pPr>
        <w:adjustRightInd w:val="0"/>
        <w:snapToGrid w:val="0"/>
        <w:spacing w:line="360" w:lineRule="auto"/>
        <w:ind w:left="360" w:firstLine="57"/>
      </w:pPr>
      <w:r>
        <w:t>1、理解分支结构的执行过程</w:t>
      </w:r>
    </w:p>
    <w:p>
      <w:pPr>
        <w:adjustRightInd w:val="0"/>
        <w:snapToGrid w:val="0"/>
        <w:spacing w:line="360" w:lineRule="auto"/>
        <w:ind w:left="360" w:firstLine="57"/>
      </w:pPr>
      <w:r>
        <w:t>2、掌握IF语句和SELECT CASE 语句的使用</w:t>
      </w:r>
    </w:p>
    <w:p>
      <w:pPr>
        <w:adjustRightInd w:val="0"/>
        <w:snapToGrid w:val="0"/>
        <w:spacing w:line="360" w:lineRule="auto"/>
        <w:ind w:left="360" w:firstLine="57"/>
      </w:pPr>
      <w:r>
        <w:t>3、掌握分支结构程序设计方法</w:t>
      </w:r>
    </w:p>
    <w:p>
      <w:pPr>
        <w:widowControl/>
        <w:adjustRightInd w:val="0"/>
        <w:snapToGrid w:val="0"/>
        <w:spacing w:line="360" w:lineRule="auto"/>
        <w:ind w:left="420"/>
        <w:jc w:val="left"/>
      </w:pPr>
      <w:r>
        <w:rPr>
          <w:rFonts w:hint="eastAsia"/>
        </w:rPr>
        <w:t>本实验支撑课程目标1、2</w:t>
      </w:r>
    </w:p>
    <w:p>
      <w:pPr>
        <w:adjustRightInd w:val="0"/>
        <w:snapToGrid w:val="0"/>
        <w:spacing w:line="360" w:lineRule="auto"/>
        <w:ind w:left="360" w:firstLine="57"/>
        <w:rPr>
          <w:rFonts w:eastAsia="黑体"/>
        </w:rPr>
      </w:pPr>
      <w:r>
        <w:rPr>
          <w:rFonts w:eastAsia="黑体"/>
        </w:rPr>
        <w:t>实验四</w:t>
      </w:r>
      <w:r>
        <w:rPr>
          <w:rFonts w:eastAsia="黑体"/>
          <w:kern w:val="0"/>
          <w:szCs w:val="21"/>
        </w:rPr>
        <w:t>循环结构程序设计</w:t>
      </w:r>
      <w:r>
        <w:rPr>
          <w:rFonts w:eastAsia="黑体"/>
        </w:rPr>
        <w:t>（1学时）</w:t>
      </w:r>
    </w:p>
    <w:p>
      <w:pPr>
        <w:adjustRightInd w:val="0"/>
        <w:snapToGrid w:val="0"/>
        <w:spacing w:line="360" w:lineRule="auto"/>
        <w:ind w:left="360" w:firstLine="57"/>
      </w:pPr>
      <w:r>
        <w:t>内容：</w:t>
      </w:r>
    </w:p>
    <w:p>
      <w:pPr>
        <w:adjustRightInd w:val="0"/>
        <w:snapToGrid w:val="0"/>
        <w:spacing w:line="360" w:lineRule="auto"/>
        <w:ind w:left="360" w:firstLine="57"/>
      </w:pPr>
      <w:r>
        <w:t>1、练习FOR语句、WHILE语句和DO语句的使用</w:t>
      </w:r>
    </w:p>
    <w:p>
      <w:pPr>
        <w:adjustRightInd w:val="0"/>
        <w:snapToGrid w:val="0"/>
        <w:spacing w:line="360" w:lineRule="auto"/>
        <w:ind w:left="360" w:firstLine="57"/>
      </w:pPr>
      <w:r>
        <w:t>2、利用循环结构程序实现简单的应用程序</w:t>
      </w:r>
    </w:p>
    <w:p>
      <w:pPr>
        <w:adjustRightInd w:val="0"/>
        <w:snapToGrid w:val="0"/>
        <w:spacing w:line="360" w:lineRule="auto"/>
        <w:ind w:left="360" w:firstLine="57"/>
        <w:rPr>
          <w:rFonts w:eastAsia="黑体"/>
        </w:rPr>
      </w:pPr>
      <w:r>
        <w:t>基本要求：</w:t>
      </w:r>
    </w:p>
    <w:p>
      <w:pPr>
        <w:adjustRightInd w:val="0"/>
        <w:snapToGrid w:val="0"/>
        <w:spacing w:line="360" w:lineRule="auto"/>
        <w:ind w:left="360" w:firstLine="57"/>
      </w:pPr>
      <w:r>
        <w:t>1、理解循环结构的执行过程</w:t>
      </w:r>
    </w:p>
    <w:p>
      <w:pPr>
        <w:adjustRightInd w:val="0"/>
        <w:snapToGrid w:val="0"/>
        <w:spacing w:line="360" w:lineRule="auto"/>
        <w:ind w:left="360" w:firstLine="57"/>
      </w:pPr>
      <w:r>
        <w:t>2、掌握FOR语句、WHILE语句和DO语句的使用</w:t>
      </w:r>
    </w:p>
    <w:p>
      <w:pPr>
        <w:adjustRightInd w:val="0"/>
        <w:snapToGrid w:val="0"/>
        <w:spacing w:line="360" w:lineRule="auto"/>
        <w:ind w:left="360" w:firstLine="57"/>
      </w:pPr>
      <w:r>
        <w:t>3、掌握循环结构程序设计方法</w:t>
      </w:r>
    </w:p>
    <w:p>
      <w:pPr>
        <w:widowControl/>
        <w:adjustRightInd w:val="0"/>
        <w:snapToGrid w:val="0"/>
        <w:spacing w:line="360" w:lineRule="auto"/>
        <w:ind w:left="420"/>
        <w:jc w:val="left"/>
      </w:pPr>
      <w:r>
        <w:rPr>
          <w:rFonts w:hint="eastAsia"/>
        </w:rPr>
        <w:t>本实验支撑课程目标1、2</w:t>
      </w:r>
    </w:p>
    <w:p>
      <w:pPr>
        <w:adjustRightInd w:val="0"/>
        <w:snapToGrid w:val="0"/>
        <w:spacing w:line="360" w:lineRule="auto"/>
        <w:ind w:left="360" w:firstLine="57"/>
        <w:rPr>
          <w:rFonts w:eastAsia="黑体"/>
        </w:rPr>
      </w:pPr>
      <w:r>
        <w:rPr>
          <w:rFonts w:eastAsia="黑体"/>
        </w:rPr>
        <w:t>实验五</w:t>
      </w:r>
      <w:r>
        <w:rPr>
          <w:rFonts w:eastAsia="黑体"/>
          <w:kern w:val="0"/>
          <w:szCs w:val="21"/>
        </w:rPr>
        <w:t>基本内部控件的使用</w:t>
      </w:r>
      <w:r>
        <w:rPr>
          <w:rFonts w:eastAsia="黑体"/>
        </w:rPr>
        <w:t>（2学时）</w:t>
      </w:r>
    </w:p>
    <w:p>
      <w:pPr>
        <w:adjustRightInd w:val="0"/>
        <w:snapToGrid w:val="0"/>
        <w:spacing w:line="360" w:lineRule="auto"/>
        <w:ind w:left="360" w:firstLine="57"/>
      </w:pPr>
      <w:r>
        <w:t>内容：</w:t>
      </w:r>
    </w:p>
    <w:p>
      <w:pPr>
        <w:adjustRightInd w:val="0"/>
        <w:snapToGrid w:val="0"/>
        <w:spacing w:line="360" w:lineRule="auto"/>
        <w:ind w:left="360" w:firstLine="57"/>
      </w:pPr>
      <w:r>
        <w:t>1、练习标签控件的使用</w:t>
      </w:r>
    </w:p>
    <w:p>
      <w:pPr>
        <w:adjustRightInd w:val="0"/>
        <w:snapToGrid w:val="0"/>
        <w:spacing w:line="360" w:lineRule="auto"/>
        <w:ind w:left="360" w:firstLine="57"/>
      </w:pPr>
      <w:r>
        <w:t>2、练习文本框控件的使用</w:t>
      </w:r>
    </w:p>
    <w:p>
      <w:pPr>
        <w:adjustRightInd w:val="0"/>
        <w:snapToGrid w:val="0"/>
        <w:spacing w:line="360" w:lineRule="auto"/>
        <w:ind w:left="360" w:firstLine="57"/>
      </w:pPr>
      <w:r>
        <w:t>3、练习命令按钮控件的使用</w:t>
      </w:r>
    </w:p>
    <w:p>
      <w:pPr>
        <w:adjustRightInd w:val="0"/>
        <w:snapToGrid w:val="0"/>
        <w:spacing w:line="360" w:lineRule="auto"/>
        <w:ind w:left="360" w:firstLine="57"/>
      </w:pPr>
      <w:r>
        <w:t>4、练习时钟控件的使用</w:t>
      </w:r>
    </w:p>
    <w:p>
      <w:pPr>
        <w:adjustRightInd w:val="0"/>
        <w:snapToGrid w:val="0"/>
        <w:spacing w:line="360" w:lineRule="auto"/>
        <w:ind w:left="360" w:firstLine="57"/>
      </w:pPr>
      <w:r>
        <w:t>5、练习形状控件的使用</w:t>
      </w:r>
    </w:p>
    <w:p>
      <w:pPr>
        <w:adjustRightInd w:val="0"/>
        <w:snapToGrid w:val="0"/>
        <w:spacing w:line="360" w:lineRule="auto"/>
        <w:ind w:left="360" w:firstLine="57"/>
      </w:pPr>
      <w:r>
        <w:t>基本要求：</w:t>
      </w:r>
    </w:p>
    <w:p>
      <w:pPr>
        <w:adjustRightInd w:val="0"/>
        <w:snapToGrid w:val="0"/>
        <w:spacing w:line="360" w:lineRule="auto"/>
        <w:ind w:left="360" w:firstLine="57"/>
      </w:pPr>
      <w:r>
        <w:t>1、掌握基本内部控件的属性、方法和事件</w:t>
      </w:r>
    </w:p>
    <w:p>
      <w:pPr>
        <w:adjustRightInd w:val="0"/>
        <w:snapToGrid w:val="0"/>
        <w:spacing w:line="360" w:lineRule="auto"/>
        <w:ind w:left="360" w:firstLine="57"/>
      </w:pPr>
      <w:r>
        <w:t>2、掌握标签控件、文本框控件、命令按钮控件、时钟控件及形状控件的使用</w:t>
      </w:r>
    </w:p>
    <w:p>
      <w:pPr>
        <w:widowControl/>
        <w:adjustRightInd w:val="0"/>
        <w:snapToGrid w:val="0"/>
        <w:spacing w:line="360" w:lineRule="auto"/>
        <w:ind w:left="420"/>
        <w:jc w:val="left"/>
      </w:pPr>
      <w:r>
        <w:rPr>
          <w:rFonts w:hint="eastAsia"/>
        </w:rPr>
        <w:t>本实验支撑课程目标1、2</w:t>
      </w:r>
    </w:p>
    <w:p>
      <w:pPr>
        <w:adjustRightInd w:val="0"/>
        <w:snapToGrid w:val="0"/>
        <w:spacing w:line="360" w:lineRule="auto"/>
        <w:ind w:left="360" w:firstLine="57"/>
        <w:rPr>
          <w:rFonts w:eastAsia="黑体"/>
        </w:rPr>
      </w:pPr>
      <w:r>
        <w:rPr>
          <w:rFonts w:eastAsia="黑体"/>
        </w:rPr>
        <w:t>实验六</w:t>
      </w:r>
      <w:r>
        <w:rPr>
          <w:rFonts w:eastAsia="黑体"/>
          <w:kern w:val="0"/>
          <w:szCs w:val="21"/>
        </w:rPr>
        <w:t>数组的应用</w:t>
      </w:r>
      <w:r>
        <w:rPr>
          <w:rFonts w:eastAsia="黑体"/>
        </w:rPr>
        <w:t>（2学时）</w:t>
      </w:r>
    </w:p>
    <w:p>
      <w:pPr>
        <w:adjustRightInd w:val="0"/>
        <w:snapToGrid w:val="0"/>
        <w:spacing w:line="360" w:lineRule="auto"/>
        <w:ind w:left="360" w:firstLine="57"/>
      </w:pPr>
      <w:r>
        <w:t>内容：</w:t>
      </w:r>
    </w:p>
    <w:p>
      <w:pPr>
        <w:adjustRightInd w:val="0"/>
        <w:snapToGrid w:val="0"/>
        <w:spacing w:line="360" w:lineRule="auto"/>
        <w:ind w:left="360" w:firstLine="57"/>
      </w:pPr>
      <w:r>
        <w:t>1、一维数组的定义和初始化</w:t>
      </w:r>
    </w:p>
    <w:p>
      <w:pPr>
        <w:adjustRightInd w:val="0"/>
        <w:snapToGrid w:val="0"/>
        <w:spacing w:line="360" w:lineRule="auto"/>
        <w:ind w:left="360" w:firstLine="57"/>
      </w:pPr>
      <w:r>
        <w:t>2、利用一维数组实现数据求和、求平均</w:t>
      </w:r>
    </w:p>
    <w:p>
      <w:pPr>
        <w:adjustRightInd w:val="0"/>
        <w:snapToGrid w:val="0"/>
        <w:spacing w:line="360" w:lineRule="auto"/>
        <w:ind w:left="360" w:firstLine="57"/>
      </w:pPr>
      <w:r>
        <w:t>3、利用一维数组实现数据求极值</w:t>
      </w:r>
    </w:p>
    <w:p>
      <w:pPr>
        <w:adjustRightInd w:val="0"/>
        <w:snapToGrid w:val="0"/>
        <w:spacing w:line="360" w:lineRule="auto"/>
        <w:ind w:left="360" w:firstLine="57"/>
      </w:pPr>
      <w:r>
        <w:t>4、利用一维数组实现数据排序</w:t>
      </w:r>
    </w:p>
    <w:p>
      <w:pPr>
        <w:adjustRightInd w:val="0"/>
        <w:snapToGrid w:val="0"/>
        <w:spacing w:line="360" w:lineRule="auto"/>
        <w:ind w:left="360" w:firstLine="57"/>
      </w:pPr>
      <w:r>
        <w:t>5、二维数组的应用</w:t>
      </w:r>
    </w:p>
    <w:p>
      <w:pPr>
        <w:adjustRightInd w:val="0"/>
        <w:snapToGrid w:val="0"/>
        <w:spacing w:line="360" w:lineRule="auto"/>
        <w:ind w:left="360" w:firstLine="57"/>
        <w:rPr>
          <w:rFonts w:eastAsia="黑体"/>
        </w:rPr>
      </w:pPr>
      <w:r>
        <w:t>基本要求：</w:t>
      </w:r>
    </w:p>
    <w:p>
      <w:pPr>
        <w:adjustRightInd w:val="0"/>
        <w:snapToGrid w:val="0"/>
        <w:spacing w:line="360" w:lineRule="auto"/>
        <w:ind w:left="360" w:firstLine="57"/>
      </w:pPr>
      <w:r>
        <w:t>1、掌握一维数组的概念、定义、数组元素的引用和初始化</w:t>
      </w:r>
    </w:p>
    <w:p>
      <w:pPr>
        <w:adjustRightInd w:val="0"/>
        <w:snapToGrid w:val="0"/>
        <w:spacing w:line="360" w:lineRule="auto"/>
        <w:ind w:left="360" w:firstLine="57"/>
      </w:pPr>
      <w:r>
        <w:t>2、学会用数组和程序基本控制结构实现数据的求和、求平均、求极值和排序等算法程序的设计</w:t>
      </w:r>
    </w:p>
    <w:p>
      <w:pPr>
        <w:adjustRightInd w:val="0"/>
        <w:snapToGrid w:val="0"/>
        <w:spacing w:line="360" w:lineRule="auto"/>
        <w:ind w:left="360" w:firstLine="57"/>
      </w:pPr>
      <w:r>
        <w:t>3、加深对循环控制结构的理解和使用</w:t>
      </w:r>
    </w:p>
    <w:p>
      <w:pPr>
        <w:adjustRightInd w:val="0"/>
        <w:snapToGrid w:val="0"/>
        <w:spacing w:line="360" w:lineRule="auto"/>
        <w:ind w:left="360" w:firstLine="57"/>
      </w:pPr>
      <w:r>
        <w:t>4、理解用二维数组实现矩阵基本运算等算法程序的设计</w:t>
      </w:r>
    </w:p>
    <w:p>
      <w:pPr>
        <w:widowControl/>
        <w:adjustRightInd w:val="0"/>
        <w:snapToGrid w:val="0"/>
        <w:spacing w:line="360" w:lineRule="auto"/>
        <w:ind w:left="420"/>
        <w:jc w:val="left"/>
      </w:pPr>
      <w:r>
        <w:rPr>
          <w:rFonts w:hint="eastAsia"/>
        </w:rPr>
        <w:t>本实验支撑课程目标1、2</w:t>
      </w:r>
    </w:p>
    <w:p>
      <w:pPr>
        <w:adjustRightInd w:val="0"/>
        <w:snapToGrid w:val="0"/>
        <w:spacing w:line="360" w:lineRule="auto"/>
        <w:ind w:left="360" w:firstLine="57"/>
        <w:rPr>
          <w:rFonts w:eastAsia="黑体"/>
        </w:rPr>
      </w:pPr>
      <w:r>
        <w:rPr>
          <w:rFonts w:eastAsia="黑体"/>
        </w:rPr>
        <w:t>实验七综合设计（4学时）</w:t>
      </w:r>
    </w:p>
    <w:p>
      <w:pPr>
        <w:adjustRightInd w:val="0"/>
        <w:snapToGrid w:val="0"/>
        <w:spacing w:line="360" w:lineRule="auto"/>
        <w:ind w:left="360" w:firstLine="57"/>
      </w:pPr>
      <w:r>
        <w:t>内容：</w:t>
      </w:r>
    </w:p>
    <w:p>
      <w:pPr>
        <w:adjustRightInd w:val="0"/>
        <w:snapToGrid w:val="0"/>
        <w:spacing w:line="360" w:lineRule="auto"/>
        <w:ind w:left="360" w:firstLine="57"/>
      </w:pPr>
      <w:r>
        <w:t>1、设计一个小工具或小游戏</w:t>
      </w:r>
    </w:p>
    <w:p>
      <w:pPr>
        <w:adjustRightInd w:val="0"/>
        <w:snapToGrid w:val="0"/>
        <w:spacing w:line="360" w:lineRule="auto"/>
        <w:ind w:left="360" w:firstLine="57"/>
      </w:pPr>
      <w:r>
        <w:t>2、合理设计界面</w:t>
      </w:r>
    </w:p>
    <w:p>
      <w:pPr>
        <w:adjustRightInd w:val="0"/>
        <w:snapToGrid w:val="0"/>
        <w:spacing w:line="360" w:lineRule="auto"/>
        <w:ind w:left="360" w:firstLine="57"/>
      </w:pPr>
      <w:r>
        <w:t>3、合理规划使用的控件</w:t>
      </w:r>
    </w:p>
    <w:p>
      <w:pPr>
        <w:adjustRightInd w:val="0"/>
        <w:snapToGrid w:val="0"/>
        <w:spacing w:line="360" w:lineRule="auto"/>
        <w:ind w:left="360" w:firstLine="57"/>
        <w:rPr>
          <w:rFonts w:eastAsia="黑体"/>
        </w:rPr>
      </w:pPr>
      <w:r>
        <w:t>基本要求：</w:t>
      </w:r>
    </w:p>
    <w:p>
      <w:pPr>
        <w:adjustRightInd w:val="0"/>
        <w:snapToGrid w:val="0"/>
        <w:spacing w:line="360" w:lineRule="auto"/>
        <w:ind w:left="360" w:firstLine="57"/>
      </w:pPr>
      <w:r>
        <w:t>1、明确工具或游戏的技术要求，写出设计方案；</w:t>
      </w:r>
    </w:p>
    <w:p>
      <w:pPr>
        <w:adjustRightInd w:val="0"/>
        <w:snapToGrid w:val="0"/>
        <w:spacing w:line="360" w:lineRule="auto"/>
        <w:ind w:left="360" w:firstLine="57"/>
      </w:pPr>
      <w:r>
        <w:t>2、方案中应包括计算、分析及流程等设计说明；</w:t>
      </w:r>
    </w:p>
    <w:p>
      <w:pPr>
        <w:adjustRightInd w:val="0"/>
        <w:snapToGrid w:val="0"/>
        <w:spacing w:line="360" w:lineRule="auto"/>
        <w:ind w:left="360" w:firstLine="57"/>
      </w:pPr>
      <w:r>
        <w:t>3、采用3人一组分组方式，每人分工明确；</w:t>
      </w:r>
    </w:p>
    <w:p>
      <w:pPr>
        <w:adjustRightInd w:val="0"/>
        <w:snapToGrid w:val="0"/>
        <w:spacing w:line="360" w:lineRule="auto"/>
        <w:ind w:left="360" w:firstLine="57"/>
      </w:pPr>
      <w:r>
        <w:t>4、对设计的工具或游戏有完整的测试，并录讲解视频。</w:t>
      </w:r>
    </w:p>
    <w:p>
      <w:pPr>
        <w:widowControl/>
        <w:adjustRightInd w:val="0"/>
        <w:snapToGrid w:val="0"/>
        <w:spacing w:line="360" w:lineRule="auto"/>
        <w:ind w:left="420"/>
        <w:jc w:val="left"/>
      </w:pPr>
      <w:r>
        <w:rPr>
          <w:rFonts w:hint="eastAsia"/>
        </w:rPr>
        <w:t>本实验支撑课程目标1、2</w:t>
      </w:r>
    </w:p>
    <w:p>
      <w:pPr>
        <w:spacing w:line="360" w:lineRule="auto"/>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1937"/>
        <w:gridCol w:w="1958"/>
        <w:gridCol w:w="16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center"/>
          </w:tcPr>
          <w:p>
            <w:pPr>
              <w:adjustRightInd w:val="0"/>
              <w:snapToGrid w:val="0"/>
              <w:jc w:val="center"/>
              <w:rPr>
                <w:sz w:val="18"/>
                <w:szCs w:val="18"/>
              </w:rPr>
            </w:pPr>
            <w:r>
              <w:rPr>
                <w:sz w:val="18"/>
                <w:szCs w:val="18"/>
              </w:rPr>
              <w:t>讲授的知识点及内容</w:t>
            </w:r>
          </w:p>
        </w:tc>
        <w:tc>
          <w:tcPr>
            <w:tcW w:w="1165" w:type="pct"/>
            <w:shd w:val="clear" w:color="auto" w:fill="auto"/>
            <w:vAlign w:val="center"/>
          </w:tcPr>
          <w:p>
            <w:pPr>
              <w:adjustRightInd w:val="0"/>
              <w:snapToGrid w:val="0"/>
              <w:jc w:val="center"/>
              <w:rPr>
                <w:sz w:val="18"/>
                <w:szCs w:val="18"/>
              </w:rPr>
            </w:pPr>
            <w:r>
              <w:rPr>
                <w:sz w:val="18"/>
                <w:szCs w:val="18"/>
              </w:rPr>
              <w:t>讲授（学时）</w:t>
            </w:r>
          </w:p>
        </w:tc>
        <w:tc>
          <w:tcPr>
            <w:tcW w:w="1178" w:type="pct"/>
            <w:shd w:val="clear" w:color="auto" w:fill="auto"/>
            <w:vAlign w:val="center"/>
          </w:tcPr>
          <w:p>
            <w:pPr>
              <w:adjustRightInd w:val="0"/>
              <w:snapToGrid w:val="0"/>
              <w:jc w:val="center"/>
              <w:rPr>
                <w:sz w:val="18"/>
                <w:szCs w:val="18"/>
              </w:rPr>
            </w:pPr>
            <w:r>
              <w:rPr>
                <w:sz w:val="18"/>
                <w:szCs w:val="18"/>
              </w:rPr>
              <w:t>实验（学时）</w:t>
            </w:r>
          </w:p>
        </w:tc>
        <w:tc>
          <w:tcPr>
            <w:tcW w:w="964"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1引言</w:t>
            </w:r>
          </w:p>
        </w:tc>
        <w:tc>
          <w:tcPr>
            <w:tcW w:w="1165" w:type="pct"/>
            <w:shd w:val="clear" w:color="auto" w:fill="auto"/>
            <w:vAlign w:val="center"/>
          </w:tcPr>
          <w:p>
            <w:pPr>
              <w:adjustRightInd w:val="0"/>
              <w:snapToGrid w:val="0"/>
              <w:jc w:val="center"/>
              <w:rPr>
                <w:sz w:val="18"/>
                <w:szCs w:val="18"/>
              </w:rPr>
            </w:pPr>
            <w:r>
              <w:rPr>
                <w:sz w:val="18"/>
                <w:szCs w:val="18"/>
              </w:rPr>
              <w:t>2</w:t>
            </w:r>
          </w:p>
        </w:tc>
        <w:tc>
          <w:tcPr>
            <w:tcW w:w="1178" w:type="pct"/>
            <w:shd w:val="clear" w:color="auto" w:fill="auto"/>
            <w:vAlign w:val="center"/>
          </w:tcPr>
          <w:p>
            <w:pPr>
              <w:adjustRightInd w:val="0"/>
              <w:snapToGrid w:val="0"/>
              <w:jc w:val="center"/>
              <w:rPr>
                <w:sz w:val="18"/>
                <w:szCs w:val="18"/>
              </w:rPr>
            </w:pPr>
            <w:r>
              <w:rPr>
                <w:sz w:val="18"/>
                <w:szCs w:val="18"/>
              </w:rPr>
              <w:t>1</w:t>
            </w:r>
          </w:p>
        </w:tc>
        <w:tc>
          <w:tcPr>
            <w:tcW w:w="964" w:type="pct"/>
            <w:shd w:val="clear" w:color="auto" w:fill="auto"/>
            <w:vAlign w:val="center"/>
          </w:tcPr>
          <w:p>
            <w:pPr>
              <w:adjustRightInd w:val="0"/>
              <w:snapToGrid w:val="0"/>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2程序设计基础</w:t>
            </w:r>
          </w:p>
        </w:tc>
        <w:tc>
          <w:tcPr>
            <w:tcW w:w="1165" w:type="pct"/>
            <w:shd w:val="clear" w:color="auto" w:fill="auto"/>
            <w:vAlign w:val="center"/>
          </w:tcPr>
          <w:p>
            <w:pPr>
              <w:adjustRightInd w:val="0"/>
              <w:snapToGrid w:val="0"/>
              <w:jc w:val="center"/>
              <w:rPr>
                <w:sz w:val="18"/>
                <w:szCs w:val="18"/>
              </w:rPr>
            </w:pPr>
            <w:r>
              <w:rPr>
                <w:sz w:val="18"/>
                <w:szCs w:val="18"/>
              </w:rPr>
              <w:t>4</w:t>
            </w:r>
          </w:p>
        </w:tc>
        <w:tc>
          <w:tcPr>
            <w:tcW w:w="1178" w:type="pct"/>
            <w:shd w:val="clear" w:color="auto" w:fill="auto"/>
            <w:vAlign w:val="center"/>
          </w:tcPr>
          <w:p>
            <w:pPr>
              <w:adjustRightInd w:val="0"/>
              <w:snapToGrid w:val="0"/>
              <w:jc w:val="center"/>
              <w:rPr>
                <w:sz w:val="18"/>
                <w:szCs w:val="18"/>
              </w:rPr>
            </w:pPr>
            <w:r>
              <w:rPr>
                <w:sz w:val="18"/>
                <w:szCs w:val="18"/>
              </w:rPr>
              <w:t>1</w:t>
            </w:r>
          </w:p>
        </w:tc>
        <w:tc>
          <w:tcPr>
            <w:tcW w:w="964" w:type="pct"/>
            <w:shd w:val="clear" w:color="auto" w:fill="auto"/>
            <w:vAlign w:val="center"/>
          </w:tcPr>
          <w:p>
            <w:pPr>
              <w:adjustRightInd w:val="0"/>
              <w:snapToGrid w:val="0"/>
              <w:jc w:val="center"/>
              <w:rPr>
                <w:sz w:val="18"/>
                <w:szCs w:val="18"/>
              </w:rPr>
            </w:pPr>
            <w:r>
              <w:rPr>
                <w:rFonts w:hint="eastAsia"/>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3程序基本控制结构</w:t>
            </w:r>
          </w:p>
        </w:tc>
        <w:tc>
          <w:tcPr>
            <w:tcW w:w="1165" w:type="pct"/>
            <w:shd w:val="clear" w:color="auto" w:fill="auto"/>
            <w:vAlign w:val="center"/>
          </w:tcPr>
          <w:p>
            <w:pPr>
              <w:adjustRightInd w:val="0"/>
              <w:snapToGrid w:val="0"/>
              <w:jc w:val="center"/>
              <w:rPr>
                <w:sz w:val="18"/>
                <w:szCs w:val="18"/>
              </w:rPr>
            </w:pPr>
            <w:r>
              <w:rPr>
                <w:sz w:val="18"/>
                <w:szCs w:val="18"/>
              </w:rPr>
              <w:t>6</w:t>
            </w:r>
          </w:p>
        </w:tc>
        <w:tc>
          <w:tcPr>
            <w:tcW w:w="1178" w:type="pct"/>
            <w:shd w:val="clear" w:color="auto" w:fill="auto"/>
            <w:vAlign w:val="center"/>
          </w:tcPr>
          <w:p>
            <w:pPr>
              <w:adjustRightInd w:val="0"/>
              <w:snapToGrid w:val="0"/>
              <w:jc w:val="center"/>
              <w:rPr>
                <w:sz w:val="18"/>
                <w:szCs w:val="18"/>
              </w:rPr>
            </w:pPr>
            <w:r>
              <w:rPr>
                <w:sz w:val="18"/>
                <w:szCs w:val="18"/>
              </w:rPr>
              <w:t>2</w:t>
            </w:r>
          </w:p>
        </w:tc>
        <w:tc>
          <w:tcPr>
            <w:tcW w:w="964" w:type="pct"/>
            <w:shd w:val="clear" w:color="auto" w:fill="auto"/>
            <w:vAlign w:val="center"/>
          </w:tcPr>
          <w:p>
            <w:pPr>
              <w:adjustRightInd w:val="0"/>
              <w:snapToGrid w:val="0"/>
              <w:jc w:val="center"/>
              <w:rPr>
                <w:sz w:val="18"/>
                <w:szCs w:val="18"/>
              </w:rPr>
            </w:pPr>
            <w:r>
              <w:rPr>
                <w:rFonts w:hint="eastAsia"/>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4窗体及相关操作</w:t>
            </w:r>
          </w:p>
        </w:tc>
        <w:tc>
          <w:tcPr>
            <w:tcW w:w="1165" w:type="pct"/>
            <w:shd w:val="clear" w:color="auto" w:fill="auto"/>
            <w:vAlign w:val="center"/>
          </w:tcPr>
          <w:p>
            <w:pPr>
              <w:adjustRightInd w:val="0"/>
              <w:snapToGrid w:val="0"/>
              <w:jc w:val="center"/>
              <w:rPr>
                <w:sz w:val="18"/>
                <w:szCs w:val="18"/>
              </w:rPr>
            </w:pPr>
            <w:r>
              <w:rPr>
                <w:sz w:val="18"/>
                <w:szCs w:val="18"/>
              </w:rPr>
              <w:t>4</w:t>
            </w:r>
          </w:p>
        </w:tc>
        <w:tc>
          <w:tcPr>
            <w:tcW w:w="1178" w:type="pct"/>
            <w:shd w:val="clear" w:color="auto" w:fill="auto"/>
            <w:vAlign w:val="center"/>
          </w:tcPr>
          <w:p>
            <w:pPr>
              <w:adjustRightInd w:val="0"/>
              <w:snapToGrid w:val="0"/>
              <w:jc w:val="center"/>
              <w:rPr>
                <w:sz w:val="18"/>
                <w:szCs w:val="18"/>
              </w:rPr>
            </w:pPr>
            <w:r>
              <w:rPr>
                <w:sz w:val="18"/>
                <w:szCs w:val="18"/>
              </w:rPr>
              <w:t>2</w:t>
            </w:r>
          </w:p>
        </w:tc>
        <w:tc>
          <w:tcPr>
            <w:tcW w:w="964" w:type="pct"/>
            <w:shd w:val="clear" w:color="auto" w:fill="auto"/>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5数组</w:t>
            </w:r>
          </w:p>
        </w:tc>
        <w:tc>
          <w:tcPr>
            <w:tcW w:w="1165" w:type="pct"/>
            <w:shd w:val="clear" w:color="auto" w:fill="auto"/>
            <w:vAlign w:val="center"/>
          </w:tcPr>
          <w:p>
            <w:pPr>
              <w:adjustRightInd w:val="0"/>
              <w:snapToGrid w:val="0"/>
              <w:jc w:val="center"/>
              <w:rPr>
                <w:sz w:val="18"/>
                <w:szCs w:val="18"/>
              </w:rPr>
            </w:pPr>
            <w:r>
              <w:rPr>
                <w:sz w:val="18"/>
                <w:szCs w:val="18"/>
              </w:rPr>
              <w:t>4</w:t>
            </w:r>
          </w:p>
        </w:tc>
        <w:tc>
          <w:tcPr>
            <w:tcW w:w="1178" w:type="pct"/>
            <w:shd w:val="clear" w:color="auto" w:fill="auto"/>
            <w:vAlign w:val="center"/>
          </w:tcPr>
          <w:p>
            <w:pPr>
              <w:adjustRightInd w:val="0"/>
              <w:snapToGrid w:val="0"/>
              <w:jc w:val="center"/>
              <w:rPr>
                <w:sz w:val="18"/>
                <w:szCs w:val="18"/>
              </w:rPr>
            </w:pPr>
            <w:r>
              <w:rPr>
                <w:sz w:val="18"/>
                <w:szCs w:val="18"/>
              </w:rPr>
              <w:t>2</w:t>
            </w:r>
          </w:p>
        </w:tc>
        <w:tc>
          <w:tcPr>
            <w:tcW w:w="964" w:type="pct"/>
            <w:shd w:val="clear" w:color="auto" w:fill="auto"/>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6综合设计</w:t>
            </w:r>
          </w:p>
        </w:tc>
        <w:tc>
          <w:tcPr>
            <w:tcW w:w="1165" w:type="pct"/>
            <w:shd w:val="clear" w:color="auto" w:fill="auto"/>
            <w:vAlign w:val="center"/>
          </w:tcPr>
          <w:p>
            <w:pPr>
              <w:adjustRightInd w:val="0"/>
              <w:snapToGrid w:val="0"/>
              <w:jc w:val="center"/>
              <w:rPr>
                <w:sz w:val="18"/>
                <w:szCs w:val="18"/>
              </w:rPr>
            </w:pPr>
          </w:p>
        </w:tc>
        <w:tc>
          <w:tcPr>
            <w:tcW w:w="1178" w:type="pct"/>
            <w:shd w:val="clear" w:color="auto" w:fill="auto"/>
            <w:vAlign w:val="center"/>
          </w:tcPr>
          <w:p>
            <w:pPr>
              <w:adjustRightInd w:val="0"/>
              <w:snapToGrid w:val="0"/>
              <w:jc w:val="center"/>
              <w:rPr>
                <w:sz w:val="18"/>
                <w:szCs w:val="18"/>
              </w:rPr>
            </w:pPr>
            <w:r>
              <w:rPr>
                <w:sz w:val="18"/>
                <w:szCs w:val="18"/>
              </w:rPr>
              <w:t>4</w:t>
            </w:r>
          </w:p>
        </w:tc>
        <w:tc>
          <w:tcPr>
            <w:tcW w:w="964" w:type="pct"/>
            <w:shd w:val="clear" w:color="auto" w:fill="auto"/>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3" w:type="pct"/>
            <w:shd w:val="clear" w:color="auto" w:fill="auto"/>
            <w:vAlign w:val="bottom"/>
          </w:tcPr>
          <w:p>
            <w:pPr>
              <w:adjustRightInd w:val="0"/>
              <w:snapToGrid w:val="0"/>
              <w:jc w:val="center"/>
              <w:rPr>
                <w:sz w:val="18"/>
                <w:szCs w:val="18"/>
              </w:rPr>
            </w:pPr>
            <w:r>
              <w:rPr>
                <w:sz w:val="18"/>
                <w:szCs w:val="18"/>
              </w:rPr>
              <w:t>合计</w:t>
            </w:r>
          </w:p>
        </w:tc>
        <w:tc>
          <w:tcPr>
            <w:tcW w:w="1165" w:type="pct"/>
            <w:shd w:val="clear" w:color="auto" w:fill="auto"/>
            <w:vAlign w:val="center"/>
          </w:tcPr>
          <w:p>
            <w:pPr>
              <w:adjustRightInd w:val="0"/>
              <w:snapToGrid w:val="0"/>
              <w:jc w:val="center"/>
              <w:rPr>
                <w:sz w:val="18"/>
                <w:szCs w:val="18"/>
              </w:rPr>
            </w:pPr>
            <w:r>
              <w:rPr>
                <w:sz w:val="18"/>
                <w:szCs w:val="18"/>
              </w:rPr>
              <w:t>20</w:t>
            </w:r>
          </w:p>
        </w:tc>
        <w:tc>
          <w:tcPr>
            <w:tcW w:w="1178" w:type="pct"/>
            <w:shd w:val="clear" w:color="auto" w:fill="auto"/>
            <w:vAlign w:val="center"/>
          </w:tcPr>
          <w:p>
            <w:pPr>
              <w:adjustRightInd w:val="0"/>
              <w:snapToGrid w:val="0"/>
              <w:jc w:val="center"/>
              <w:rPr>
                <w:sz w:val="18"/>
                <w:szCs w:val="18"/>
              </w:rPr>
            </w:pPr>
            <w:r>
              <w:rPr>
                <w:sz w:val="18"/>
                <w:szCs w:val="18"/>
              </w:rPr>
              <w:t>12</w:t>
            </w:r>
          </w:p>
        </w:tc>
        <w:tc>
          <w:tcPr>
            <w:tcW w:w="964" w:type="pct"/>
            <w:shd w:val="clear" w:color="auto" w:fill="auto"/>
            <w:vAlign w:val="center"/>
          </w:tcPr>
          <w:p>
            <w:pPr>
              <w:adjustRightInd w:val="0"/>
              <w:snapToGrid w:val="0"/>
              <w:jc w:val="center"/>
              <w:rPr>
                <w:sz w:val="18"/>
                <w:szCs w:val="18"/>
              </w:rPr>
            </w:pPr>
            <w:r>
              <w:rPr>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adjustRightInd w:val="0"/>
        <w:snapToGrid w:val="0"/>
        <w:spacing w:line="360" w:lineRule="auto"/>
        <w:ind w:firstLine="420" w:firstLineChars="200"/>
        <w:rPr>
          <w:szCs w:val="21"/>
        </w:rPr>
      </w:pPr>
      <w:r>
        <w:rPr>
          <w:szCs w:val="21"/>
        </w:rPr>
        <w:t>1、王红亮等，《VB程序设计》-普通高校电气信息类“十二五”规划教材，ISBN：978-7-118-06929-7，国防工业出版社。</w:t>
      </w:r>
    </w:p>
    <w:p>
      <w:pPr>
        <w:adjustRightInd w:val="0"/>
        <w:snapToGrid w:val="0"/>
        <w:spacing w:line="360" w:lineRule="auto"/>
        <w:ind w:firstLine="420" w:firstLineChars="200"/>
        <w:rPr>
          <w:szCs w:val="21"/>
        </w:rPr>
      </w:pPr>
      <w:r>
        <w:rPr>
          <w:szCs w:val="21"/>
        </w:rPr>
        <w:t>2、杨忠宝等，《VB语言程序设计教程》-21世纪高等学校规划教材，ISBN 978-7-115-24672-1，人民邮电出版社。</w:t>
      </w:r>
    </w:p>
    <w:p>
      <w:pPr>
        <w:adjustRightInd w:val="0"/>
        <w:snapToGrid w:val="0"/>
        <w:spacing w:line="360" w:lineRule="auto"/>
        <w:ind w:firstLine="420" w:firstLineChars="200"/>
        <w:rPr>
          <w:szCs w:val="21"/>
        </w:rPr>
      </w:pPr>
      <w:r>
        <w:rPr>
          <w:szCs w:val="21"/>
        </w:rPr>
        <w:t>3、李雁翎，《Visual Basic程序设计教程》-普通高等教育“十一五”国家级规划教材，ISBN 978-7-115-26756-6，人民邮电出版社。</w:t>
      </w:r>
    </w:p>
    <w:p>
      <w:pPr>
        <w:adjustRightInd w:val="0"/>
        <w:snapToGrid w:val="0"/>
        <w:spacing w:line="360" w:lineRule="auto"/>
        <w:ind w:firstLine="420" w:firstLineChars="200"/>
        <w:rPr>
          <w:szCs w:val="21"/>
        </w:rPr>
      </w:pPr>
      <w:r>
        <w:rPr>
          <w:szCs w:val="21"/>
        </w:rPr>
        <w:t>4、龚沛曾，《Visual Basic程序设计经典实验案例集》-高等学校计算机基础课程经典实验案例集丛书，ISBN978-7-04-035011-1，高等教育出版社。</w:t>
      </w:r>
    </w:p>
    <w:p>
      <w:pPr>
        <w:adjustRightInd w:val="0"/>
        <w:snapToGrid w:val="0"/>
        <w:spacing w:line="360" w:lineRule="auto"/>
        <w:ind w:firstLine="420" w:firstLineChars="200"/>
        <w:rPr>
          <w:szCs w:val="21"/>
        </w:rPr>
      </w:pPr>
      <w:r>
        <w:rPr>
          <w:szCs w:val="21"/>
        </w:rPr>
        <w:t>5、视频：21世纪互联全国VisualBasic二级教程金文 http://www.youku.com/play-list_show/id_5346963.html</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w:t>
      </w:r>
    </w:p>
    <w:p>
      <w:pPr>
        <w:adjustRightInd w:val="0"/>
        <w:snapToGrid w:val="0"/>
        <w:spacing w:line="360" w:lineRule="auto"/>
        <w:ind w:firstLine="420" w:firstLineChars="200"/>
        <w:rPr>
          <w:szCs w:val="21"/>
        </w:rPr>
      </w:pPr>
      <w:r>
        <w:rPr>
          <w:szCs w:val="21"/>
        </w:rPr>
        <w:t>1）学生对程序设计语言基础知识的掌握情况；</w:t>
      </w:r>
    </w:p>
    <w:p>
      <w:pPr>
        <w:adjustRightInd w:val="0"/>
        <w:snapToGrid w:val="0"/>
        <w:spacing w:line="360" w:lineRule="auto"/>
        <w:ind w:firstLine="420" w:firstLineChars="200"/>
        <w:rPr>
          <w:szCs w:val="21"/>
        </w:rPr>
      </w:pPr>
      <w:r>
        <w:rPr>
          <w:szCs w:val="21"/>
        </w:rPr>
        <w:t>2）学生阅读程序的能力；</w:t>
      </w:r>
    </w:p>
    <w:p>
      <w:pPr>
        <w:adjustRightInd w:val="0"/>
        <w:snapToGrid w:val="0"/>
        <w:spacing w:line="360" w:lineRule="auto"/>
        <w:ind w:firstLine="420" w:firstLineChars="200"/>
        <w:rPr>
          <w:szCs w:val="21"/>
        </w:rPr>
      </w:pPr>
      <w:r>
        <w:rPr>
          <w:szCs w:val="21"/>
        </w:rPr>
        <w:t>3）学生设计程序的能力；</w:t>
      </w:r>
    </w:p>
    <w:p>
      <w:pPr>
        <w:adjustRightInd w:val="0"/>
        <w:snapToGrid w:val="0"/>
        <w:spacing w:line="360" w:lineRule="auto"/>
        <w:ind w:firstLine="420" w:firstLineChars="200"/>
        <w:rPr>
          <w:szCs w:val="21"/>
        </w:rPr>
      </w:pPr>
      <w:r>
        <w:rPr>
          <w:szCs w:val="21"/>
        </w:rPr>
        <w:t>4）学生调试程序的能力；</w:t>
      </w:r>
    </w:p>
    <w:p>
      <w:pPr>
        <w:adjustRightInd w:val="0"/>
        <w:snapToGrid w:val="0"/>
        <w:spacing w:line="360" w:lineRule="auto"/>
        <w:ind w:firstLine="420" w:firstLineChars="200"/>
        <w:rPr>
          <w:szCs w:val="21"/>
        </w:rPr>
      </w:pPr>
      <w:r>
        <w:rPr>
          <w:szCs w:val="21"/>
        </w:rPr>
        <w:t>5）学生设计平台的使用能力；</w:t>
      </w:r>
    </w:p>
    <w:p>
      <w:pPr>
        <w:adjustRightInd w:val="0"/>
        <w:snapToGrid w:val="0"/>
        <w:spacing w:line="360" w:lineRule="auto"/>
        <w:ind w:firstLine="420" w:firstLineChars="200"/>
        <w:rPr>
          <w:szCs w:val="21"/>
        </w:rPr>
      </w:pPr>
      <w:r>
        <w:rPr>
          <w:szCs w:val="21"/>
        </w:rPr>
        <w:t>6）综合设计能力。</w:t>
      </w:r>
    </w:p>
    <w:p>
      <w:pPr>
        <w:spacing w:line="360" w:lineRule="auto"/>
        <w:ind w:firstLine="420" w:firstLineChars="200"/>
        <w:rPr>
          <w:szCs w:val="21"/>
        </w:rPr>
      </w:pPr>
      <w:r>
        <w:rPr>
          <w:szCs w:val="21"/>
        </w:rPr>
        <w:t>2</w:t>
      </w:r>
      <w:r>
        <w:rPr>
          <w:rFonts w:hint="eastAsia"/>
          <w:szCs w:val="21"/>
        </w:rPr>
        <w:t>、考核方式：考试、实验、作业。</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2078"/>
        <w:gridCol w:w="2078"/>
        <w:gridCol w:w="2078"/>
        <w:gridCol w:w="2078"/>
      </w:tblGrid>
      <w:tr>
        <w:tblPrEx>
          <w:tblCellMar>
            <w:top w:w="0" w:type="dxa"/>
            <w:left w:w="108" w:type="dxa"/>
            <w:bottom w:w="0" w:type="dxa"/>
            <w:right w:w="108" w:type="dxa"/>
          </w:tblCellMar>
        </w:tblPrEx>
        <w:trPr>
          <w:trHeight w:val="691"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作业</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实验</w:t>
            </w:r>
          </w:p>
        </w:tc>
        <w:tc>
          <w:tcPr>
            <w:tcW w:w="1250"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 xml:space="preserve">期末考试 </w:t>
            </w:r>
          </w:p>
        </w:tc>
      </w:tr>
      <w:tr>
        <w:tblPrEx>
          <w:tblCellMar>
            <w:top w:w="0" w:type="dxa"/>
            <w:left w:w="108" w:type="dxa"/>
            <w:bottom w:w="0" w:type="dxa"/>
            <w:right w:w="108" w:type="dxa"/>
          </w:tblCellMar>
        </w:tblPrEx>
        <w:trPr>
          <w:trHeight w:val="490"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w:t>
            </w:r>
          </w:p>
          <w:p>
            <w:pPr>
              <w:widowControl/>
              <w:jc w:val="center"/>
              <w:rPr>
                <w:rFonts w:ascii="宋体" w:hAnsi="宋体" w:cs="宋体"/>
                <w:color w:val="000000"/>
                <w:kern w:val="0"/>
                <w:sz w:val="18"/>
              </w:rPr>
            </w:pPr>
            <w:r>
              <w:rPr>
                <w:rFonts w:hint="eastAsia" w:ascii="宋体" w:hAnsi="宋体" w:cs="宋体"/>
                <w:color w:val="000000"/>
                <w:kern w:val="0"/>
                <w:sz w:val="18"/>
              </w:rPr>
              <w:t>的贡献率</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t>0.</w:t>
            </w:r>
            <w:r>
              <w:rPr>
                <w:rFonts w:hint="eastAsia"/>
              </w:rPr>
              <w:t>20</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t>0.</w:t>
            </w:r>
            <w:r>
              <w:rPr>
                <w:rFonts w:hint="eastAsia"/>
              </w:rPr>
              <w:t>28</w:t>
            </w:r>
          </w:p>
        </w:tc>
        <w:tc>
          <w:tcPr>
            <w:tcW w:w="1250" w:type="pct"/>
            <w:tcBorders>
              <w:top w:val="single" w:color="auto" w:sz="4" w:space="0"/>
              <w:left w:val="single" w:color="auto" w:sz="4" w:space="0"/>
              <w:bottom w:val="single" w:color="auto" w:sz="4" w:space="0"/>
            </w:tcBorders>
            <w:shd w:val="clear" w:color="auto" w:fill="auto"/>
            <w:noWrap/>
            <w:vAlign w:val="center"/>
          </w:tcPr>
          <w:p>
            <w:pPr>
              <w:jc w:val="center"/>
            </w:pPr>
            <w:r>
              <w:t>0.</w:t>
            </w:r>
            <w:r>
              <w:rPr>
                <w:rFonts w:hint="eastAsia"/>
              </w:rPr>
              <w:t>5</w:t>
            </w:r>
            <w:r>
              <w:t>2</w:t>
            </w:r>
          </w:p>
        </w:tc>
      </w:tr>
      <w:tr>
        <w:tblPrEx>
          <w:tblCellMar>
            <w:top w:w="0" w:type="dxa"/>
            <w:left w:w="108" w:type="dxa"/>
            <w:bottom w:w="0" w:type="dxa"/>
            <w:right w:w="108" w:type="dxa"/>
          </w:tblCellMar>
        </w:tblPrEx>
        <w:trPr>
          <w:trHeight w:val="864" w:hRule="atLeast"/>
          <w:jc w:val="center"/>
        </w:trPr>
        <w:tc>
          <w:tcPr>
            <w:tcW w:w="1250"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rPr>
            </w:pPr>
            <w:r>
              <w:rPr>
                <w:rFonts w:ascii="宋体" w:hAnsi="宋体" w:cs="宋体"/>
                <w:color w:val="000000"/>
                <w:kern w:val="0"/>
                <w:sz w:val="18"/>
              </w:rPr>
              <w:t>作业评价标准，</w:t>
            </w:r>
            <w:r>
              <w:rPr>
                <w:rFonts w:hint="eastAsia" w:ascii="宋体" w:hAnsi="宋体" w:cs="宋体"/>
                <w:color w:val="000000"/>
                <w:kern w:val="0"/>
                <w:sz w:val="18"/>
              </w:rPr>
              <w:t>典型作业</w:t>
            </w:r>
            <w:r>
              <w:rPr>
                <w:rFonts w:ascii="宋体" w:hAnsi="宋体" w:cs="宋体"/>
                <w:color w:val="000000"/>
                <w:kern w:val="0"/>
                <w:sz w:val="18"/>
              </w:rPr>
              <w:t>拍照，或电子版</w:t>
            </w:r>
          </w:p>
        </w:tc>
        <w:tc>
          <w:tcPr>
            <w:tcW w:w="125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rPr>
            </w:pPr>
            <w:r>
              <w:rPr>
                <w:rFonts w:ascii="宋体" w:hAnsi="宋体" w:cs="宋体"/>
                <w:color w:val="000000"/>
                <w:kern w:val="0"/>
                <w:sz w:val="18"/>
              </w:rPr>
              <w:t>实验评价标准，</w:t>
            </w:r>
            <w:r>
              <w:rPr>
                <w:rFonts w:hint="eastAsia" w:ascii="宋体" w:hAnsi="宋体" w:cs="宋体"/>
                <w:color w:val="000000"/>
                <w:kern w:val="0"/>
                <w:sz w:val="18"/>
              </w:rPr>
              <w:t>实验课堂记录记录，典型实验报告</w:t>
            </w:r>
          </w:p>
        </w:tc>
        <w:tc>
          <w:tcPr>
            <w:tcW w:w="1250" w:type="pct"/>
            <w:tcBorders>
              <w:top w:val="single" w:color="auto" w:sz="4" w:space="0"/>
              <w:left w:val="single" w:color="auto" w:sz="4" w:space="0"/>
              <w:bottom w:val="single" w:color="auto" w:sz="4" w:space="0"/>
            </w:tcBorders>
            <w:shd w:val="clear" w:color="auto" w:fill="auto"/>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试题评分标准，</w:t>
            </w:r>
            <w:r>
              <w:rPr>
                <w:rFonts w:ascii="宋体" w:hAnsi="宋体" w:cs="宋体"/>
                <w:color w:val="000000"/>
                <w:kern w:val="0"/>
                <w:sz w:val="18"/>
              </w:rPr>
              <w:t>试卷，</w:t>
            </w:r>
          </w:p>
        </w:tc>
      </w:tr>
    </w:tbl>
    <w:p>
      <w:pPr>
        <w:pStyle w:val="31"/>
        <w:widowControl/>
        <w:spacing w:line="360" w:lineRule="auto"/>
        <w:ind w:left="360" w:firstLine="0" w:firstLineChars="0"/>
        <w:jc w:val="left"/>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2073"/>
        <w:gridCol w:w="22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center"/>
          </w:tcPr>
          <w:p>
            <w:pPr>
              <w:jc w:val="center"/>
              <w:rPr>
                <w:sz w:val="18"/>
                <w:szCs w:val="18"/>
              </w:rPr>
            </w:pPr>
            <w:r>
              <w:rPr>
                <w:sz w:val="18"/>
                <w:szCs w:val="18"/>
              </w:rPr>
              <w:t>知识点</w:t>
            </w:r>
          </w:p>
        </w:tc>
        <w:tc>
          <w:tcPr>
            <w:tcW w:w="1247" w:type="pct"/>
            <w:vAlign w:val="center"/>
          </w:tcPr>
          <w:p>
            <w:pPr>
              <w:jc w:val="center"/>
              <w:rPr>
                <w:sz w:val="18"/>
                <w:szCs w:val="18"/>
              </w:rPr>
            </w:pPr>
            <w:r>
              <w:rPr>
                <w:sz w:val="18"/>
                <w:szCs w:val="18"/>
              </w:rPr>
              <w:t>权重</w:t>
            </w:r>
          </w:p>
        </w:tc>
        <w:tc>
          <w:tcPr>
            <w:tcW w:w="1363"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1</w:t>
            </w:r>
            <w:r>
              <w:rPr>
                <w:rFonts w:hint="eastAsia"/>
                <w:sz w:val="18"/>
                <w:szCs w:val="18"/>
              </w:rPr>
              <w:t>Windows编程思想，可视化编程</w:t>
            </w:r>
          </w:p>
        </w:tc>
        <w:tc>
          <w:tcPr>
            <w:tcW w:w="1247" w:type="pct"/>
            <w:vAlign w:val="center"/>
          </w:tcPr>
          <w:p>
            <w:pPr>
              <w:jc w:val="center"/>
              <w:rPr>
                <w:rFonts w:ascii="宋体" w:hAnsi="宋体" w:cs="宋体"/>
                <w:sz w:val="18"/>
                <w:szCs w:val="18"/>
              </w:rPr>
            </w:pPr>
            <w:r>
              <w:rPr>
                <w:rFonts w:hint="eastAsia"/>
                <w:sz w:val="18"/>
                <w:szCs w:val="18"/>
              </w:rPr>
              <w:t>0.09</w:t>
            </w:r>
          </w:p>
        </w:tc>
        <w:tc>
          <w:tcPr>
            <w:tcW w:w="1363"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2</w:t>
            </w:r>
            <w:r>
              <w:rPr>
                <w:rFonts w:hint="eastAsia"/>
                <w:sz w:val="18"/>
                <w:szCs w:val="18"/>
              </w:rPr>
              <w:t>VB类型、常量、变量，程序结构</w:t>
            </w:r>
          </w:p>
        </w:tc>
        <w:tc>
          <w:tcPr>
            <w:tcW w:w="1247" w:type="pct"/>
            <w:vAlign w:val="center"/>
          </w:tcPr>
          <w:p>
            <w:pPr>
              <w:jc w:val="center"/>
              <w:rPr>
                <w:rFonts w:ascii="宋体" w:hAnsi="宋体" w:cs="宋体"/>
                <w:sz w:val="18"/>
                <w:szCs w:val="18"/>
              </w:rPr>
            </w:pPr>
            <w:r>
              <w:rPr>
                <w:rFonts w:hint="eastAsia"/>
                <w:sz w:val="18"/>
                <w:szCs w:val="18"/>
              </w:rPr>
              <w:t>0.16</w:t>
            </w:r>
          </w:p>
        </w:tc>
        <w:tc>
          <w:tcPr>
            <w:tcW w:w="1363"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3</w:t>
            </w:r>
            <w:r>
              <w:rPr>
                <w:rFonts w:hint="eastAsia"/>
                <w:sz w:val="18"/>
                <w:szCs w:val="18"/>
              </w:rPr>
              <w:t>条件、分支、循环等流程控制语句</w:t>
            </w:r>
          </w:p>
        </w:tc>
        <w:tc>
          <w:tcPr>
            <w:tcW w:w="1247" w:type="pct"/>
            <w:vAlign w:val="center"/>
          </w:tcPr>
          <w:p>
            <w:pPr>
              <w:jc w:val="center"/>
              <w:rPr>
                <w:rFonts w:ascii="宋体" w:hAnsi="宋体" w:cs="宋体"/>
                <w:sz w:val="18"/>
                <w:szCs w:val="18"/>
              </w:rPr>
            </w:pPr>
            <w:r>
              <w:rPr>
                <w:rFonts w:hint="eastAsia"/>
                <w:sz w:val="18"/>
                <w:szCs w:val="18"/>
              </w:rPr>
              <w:t>0.25</w:t>
            </w:r>
          </w:p>
        </w:tc>
        <w:tc>
          <w:tcPr>
            <w:tcW w:w="1363"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4窗体、</w:t>
            </w:r>
            <w:r>
              <w:rPr>
                <w:rFonts w:hint="eastAsia"/>
                <w:sz w:val="18"/>
                <w:szCs w:val="18"/>
              </w:rPr>
              <w:t>控件</w:t>
            </w:r>
            <w:r>
              <w:rPr>
                <w:sz w:val="18"/>
                <w:szCs w:val="18"/>
              </w:rPr>
              <w:t>及相关操作</w:t>
            </w:r>
          </w:p>
        </w:tc>
        <w:tc>
          <w:tcPr>
            <w:tcW w:w="1247" w:type="pct"/>
            <w:vAlign w:val="center"/>
          </w:tcPr>
          <w:p>
            <w:pPr>
              <w:jc w:val="center"/>
              <w:rPr>
                <w:rFonts w:ascii="宋体" w:hAnsi="宋体" w:cs="宋体"/>
                <w:sz w:val="18"/>
                <w:szCs w:val="18"/>
              </w:rPr>
            </w:pPr>
            <w:r>
              <w:rPr>
                <w:rFonts w:hint="eastAsia"/>
                <w:sz w:val="18"/>
                <w:szCs w:val="18"/>
              </w:rPr>
              <w:t>0.19</w:t>
            </w:r>
          </w:p>
        </w:tc>
        <w:tc>
          <w:tcPr>
            <w:tcW w:w="1363"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5数组</w:t>
            </w:r>
          </w:p>
        </w:tc>
        <w:tc>
          <w:tcPr>
            <w:tcW w:w="1247" w:type="pct"/>
            <w:vAlign w:val="center"/>
          </w:tcPr>
          <w:p>
            <w:pPr>
              <w:jc w:val="center"/>
              <w:rPr>
                <w:rFonts w:ascii="宋体" w:hAnsi="宋体" w:cs="宋体"/>
                <w:sz w:val="18"/>
                <w:szCs w:val="18"/>
              </w:rPr>
            </w:pPr>
            <w:r>
              <w:rPr>
                <w:rFonts w:hint="eastAsia"/>
                <w:sz w:val="18"/>
                <w:szCs w:val="18"/>
              </w:rPr>
              <w:t>0.19</w:t>
            </w:r>
          </w:p>
        </w:tc>
        <w:tc>
          <w:tcPr>
            <w:tcW w:w="1363"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0" w:type="pct"/>
            <w:vAlign w:val="bottom"/>
          </w:tcPr>
          <w:p>
            <w:pPr>
              <w:ind w:left="174" w:leftChars="83"/>
              <w:rPr>
                <w:sz w:val="18"/>
                <w:szCs w:val="18"/>
              </w:rPr>
            </w:pPr>
            <w:r>
              <w:rPr>
                <w:sz w:val="18"/>
                <w:szCs w:val="18"/>
              </w:rPr>
              <w:t>6综合设计</w:t>
            </w:r>
            <w:r>
              <w:rPr>
                <w:rFonts w:hint="eastAsia"/>
                <w:sz w:val="18"/>
                <w:szCs w:val="18"/>
              </w:rPr>
              <w:t>思路与方法</w:t>
            </w:r>
          </w:p>
        </w:tc>
        <w:tc>
          <w:tcPr>
            <w:tcW w:w="1247" w:type="pct"/>
            <w:vAlign w:val="center"/>
          </w:tcPr>
          <w:p>
            <w:pPr>
              <w:jc w:val="center"/>
              <w:rPr>
                <w:rFonts w:ascii="宋体" w:hAnsi="宋体" w:cs="宋体"/>
                <w:sz w:val="18"/>
                <w:szCs w:val="18"/>
              </w:rPr>
            </w:pPr>
            <w:r>
              <w:rPr>
                <w:rFonts w:hint="eastAsia"/>
                <w:sz w:val="18"/>
                <w:szCs w:val="18"/>
              </w:rPr>
              <w:t>0.12</w:t>
            </w:r>
          </w:p>
        </w:tc>
        <w:tc>
          <w:tcPr>
            <w:tcW w:w="1363" w:type="pct"/>
            <w:vAlign w:val="center"/>
          </w:tcPr>
          <w:p>
            <w:pPr>
              <w:jc w:val="center"/>
              <w:rPr>
                <w:sz w:val="18"/>
                <w:szCs w:val="18"/>
              </w:rPr>
            </w:pPr>
            <w:r>
              <w:rPr>
                <w:rFonts w:hint="eastAsia"/>
                <w:sz w:val="18"/>
                <w:szCs w:val="18"/>
              </w:rPr>
              <w:t>1、2</w:t>
            </w:r>
          </w:p>
        </w:tc>
      </w:tr>
    </w:tbl>
    <w:p>
      <w:pPr>
        <w:spacing w:before="120" w:beforeLines="50" w:line="360" w:lineRule="auto"/>
        <w:ind w:firstLine="420" w:firstLineChars="200"/>
        <w:rPr>
          <w:rFonts w:ascii="宋体" w:hAnsi="宋体"/>
          <w:szCs w:val="21"/>
        </w:rPr>
      </w:pPr>
      <w:r>
        <w:rPr>
          <w:rFonts w:ascii="宋体" w:hAnsi="宋体"/>
          <w:szCs w:val="21"/>
        </w:rPr>
        <w:t>学生可以依据仪器与电子学院相关文件，以允许的第二课堂成果折算单项成绩，与对应知识点加权累计达到</w:t>
      </w:r>
      <w:r>
        <w:rPr>
          <w:rFonts w:hint="eastAsia" w:ascii="宋体" w:hAnsi="宋体"/>
          <w:szCs w:val="21"/>
        </w:rPr>
        <w:t>7</w:t>
      </w:r>
      <w:r>
        <w:rPr>
          <w:rFonts w:ascii="宋体" w:hAnsi="宋体"/>
          <w:szCs w:val="21"/>
        </w:rPr>
        <w:t>5</w:t>
      </w:r>
      <w:r>
        <w:rPr>
          <w:rFonts w:hint="eastAsia" w:ascii="宋体" w:hAnsi="宋体"/>
          <w:szCs w:val="21"/>
        </w:rPr>
        <w:t>（含）以上，且对所有课程目标的支撑不能有缺项，即可申请本门课程免修。</w:t>
      </w:r>
    </w:p>
    <w:p>
      <w:pPr>
        <w:spacing w:line="360" w:lineRule="auto"/>
        <w:ind w:firstLine="420" w:firstLineChars="200"/>
        <w:rPr>
          <w:szCs w:val="21"/>
        </w:rPr>
        <w:sectPr>
          <w:footerReference r:id="rId66" w:type="default"/>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5"/>
        <w:gridCol w:w="943"/>
        <w:gridCol w:w="1398"/>
        <w:gridCol w:w="1398"/>
        <w:gridCol w:w="1400"/>
        <w:gridCol w:w="1453"/>
        <w:gridCol w:w="1453"/>
        <w:gridCol w:w="1456"/>
        <w:gridCol w:w="1294"/>
        <w:gridCol w:w="1289"/>
        <w:gridCol w:w="1289"/>
      </w:tblGrid>
      <w:tr>
        <w:tblPrEx>
          <w:tblCellMar>
            <w:top w:w="0" w:type="dxa"/>
            <w:left w:w="108" w:type="dxa"/>
            <w:bottom w:w="0" w:type="dxa"/>
            <w:right w:w="108" w:type="dxa"/>
          </w:tblCellMar>
        </w:tblPrEx>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5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64"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8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50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5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5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5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r>
      <w:tr>
        <w:tblPrEx>
          <w:tblCellMar>
            <w:top w:w="0" w:type="dxa"/>
            <w:left w:w="108" w:type="dxa"/>
            <w:bottom w:w="0" w:type="dxa"/>
            <w:right w:w="108" w:type="dxa"/>
          </w:tblCellMar>
        </w:tblPrEx>
        <w:trPr>
          <w:trHeight w:val="702"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0.6</w:t>
            </w:r>
          </w:p>
        </w:tc>
        <w:tc>
          <w:tcPr>
            <w:tcW w:w="50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50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50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0.36</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0.43</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0.69</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w:t>
            </w:r>
            <w:r>
              <w:rPr>
                <w:rFonts w:hint="eastAsia"/>
                <w:bCs/>
                <w:sz w:val="18"/>
                <w:szCs w:val="18"/>
              </w:rPr>
              <w:t>4</w:t>
            </w:r>
          </w:p>
        </w:tc>
        <w:tc>
          <w:tcPr>
            <w:tcW w:w="50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50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w:t>
            </w:r>
            <w:r>
              <w:rPr>
                <w:rFonts w:hint="eastAsia"/>
                <w:bCs/>
                <w:sz w:val="18"/>
                <w:szCs w:val="18"/>
              </w:rPr>
              <w:t>4</w:t>
            </w:r>
          </w:p>
        </w:tc>
        <w:tc>
          <w:tcPr>
            <w:tcW w:w="50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5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5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0.16</w:t>
            </w:r>
          </w:p>
        </w:tc>
        <w:tc>
          <w:tcPr>
            <w:tcW w:w="5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0.16</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0.57</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0.31</w:t>
            </w:r>
          </w:p>
        </w:tc>
      </w:tr>
      <w:tr>
        <w:tblPrEx>
          <w:tblCellMar>
            <w:top w:w="0" w:type="dxa"/>
            <w:left w:w="108" w:type="dxa"/>
            <w:bottom w:w="0" w:type="dxa"/>
            <w:right w:w="108" w:type="dxa"/>
          </w:tblCellMar>
        </w:tblPrEx>
        <w:trPr>
          <w:trHeight w:val="1026" w:hRule="atLeast"/>
          <w:jc w:val="center"/>
        </w:trPr>
        <w:tc>
          <w:tcPr>
            <w:tcW w:w="2048"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bCs/>
                <w:kern w:val="0"/>
                <w:sz w:val="18"/>
                <w:szCs w:val="18"/>
              </w:rPr>
            </w:pPr>
            <w:r>
              <w:rPr>
                <w:rFonts w:hint="eastAsia" w:ascii="宋体" w:hAnsi="宋体" w:cs="宋体"/>
                <w:bCs/>
                <w:kern w:val="0"/>
                <w:sz w:val="18"/>
                <w:szCs w:val="18"/>
              </w:rPr>
              <w:t>各环节对课程目标达成的贡献率（</w:t>
            </w:r>
            <w:r>
              <w:rPr>
                <w:rFonts w:hint="eastAsia" w:ascii="宋体" w:hAnsi="宋体" w:cs="宋体"/>
                <w:bCs/>
                <w:i/>
                <w:kern w:val="0"/>
                <w:sz w:val="18"/>
                <w:szCs w:val="18"/>
              </w:rPr>
              <w:t>M</w:t>
            </w:r>
            <w:r>
              <w:rPr>
                <w:rFonts w:hint="eastAsia" w:ascii="宋体" w:hAnsi="宋体" w:cs="宋体"/>
                <w:bCs/>
                <w:i/>
                <w:kern w:val="0"/>
                <w:sz w:val="18"/>
                <w:szCs w:val="18"/>
                <w:vertAlign w:val="subscript"/>
              </w:rPr>
              <w:t>k</w:t>
            </w:r>
            <w:r>
              <w:rPr>
                <w:rFonts w:hint="eastAsia" w:ascii="宋体" w:hAnsi="宋体" w:cs="宋体"/>
                <w:bCs/>
                <w:kern w:val="0"/>
                <w:sz w:val="18"/>
                <w:szCs w:val="18"/>
              </w:rPr>
              <w:t>）</w:t>
            </w:r>
          </w:p>
        </w:tc>
        <w:tc>
          <w:tcPr>
            <w:tcW w:w="52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0.28</w:t>
            </w:r>
          </w:p>
        </w:tc>
        <w:tc>
          <w:tcPr>
            <w:tcW w:w="5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0.52</w:t>
            </w:r>
          </w:p>
        </w:tc>
        <w:tc>
          <w:tcPr>
            <w:tcW w:w="138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教师出题或布置作业时</w:t>
            </w:r>
          </w:p>
          <w:p>
            <w:pPr>
              <w:jc w:val="center"/>
              <w:rPr>
                <w:bCs/>
                <w:sz w:val="18"/>
                <w:szCs w:val="18"/>
              </w:rPr>
            </w:pPr>
            <w:r>
              <w:rPr>
                <w:bCs/>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44"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44" DrawAspect="Content" ObjectID="_1468075844" r:id="rId306">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45"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45" DrawAspect="Content" ObjectID="_1468075845" r:id="rId307">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46"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46" DrawAspect="Content" ObjectID="_1468075846" r:id="rId308">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47"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47" DrawAspect="Content" ObjectID="_1468075847" r:id="rId309">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48"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48" DrawAspect="Content" ObjectID="_1468075848" r:id="rId310">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49"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49" DrawAspect="Content" ObjectID="_1468075849" r:id="rId311">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rPr>
          <w:szCs w:val="21"/>
          <w:highlight w:val="yellow"/>
        </w:rPr>
      </w:pPr>
      <w:bookmarkStart w:id="205" w:name="_Toc16783"/>
      <w:bookmarkStart w:id="206" w:name="_Toc46996574"/>
      <w:r>
        <w:rPr>
          <w:rFonts w:hint="eastAsia"/>
        </w:rPr>
        <w:t>《</w:t>
      </w:r>
      <w:r>
        <w:rPr>
          <w:color w:val="000000"/>
          <w:kern w:val="0"/>
        </w:rPr>
        <w:t>Y07050002</w:t>
      </w:r>
      <w:r>
        <w:rPr>
          <w:rFonts w:hint="eastAsia"/>
        </w:rPr>
        <w:t>-电子工艺实习》</w:t>
      </w:r>
      <w:r>
        <w:t>教学大纲</w:t>
      </w:r>
      <w:bookmarkEnd w:id="205"/>
    </w:p>
    <w:p>
      <w:pPr>
        <w:spacing w:line="360" w:lineRule="auto"/>
        <w:rPr>
          <w:rFonts w:eastAsia="黑体"/>
          <w:color w:val="000000"/>
          <w:kern w:val="0"/>
          <w:szCs w:val="21"/>
        </w:rPr>
      </w:pPr>
      <w:r>
        <w:rPr>
          <w:rFonts w:hint="eastAsia" w:eastAsia="黑体"/>
          <w:szCs w:val="21"/>
        </w:rPr>
        <w:t xml:space="preserve">   </w:t>
      </w:r>
      <w:r>
        <w:rPr>
          <w:rFonts w:eastAsia="黑体"/>
          <w:szCs w:val="21"/>
        </w:rPr>
        <w:t>课程编号：</w:t>
      </w:r>
      <w:r>
        <w:rPr>
          <w:rFonts w:eastAsia="黑体"/>
          <w:color w:val="000000"/>
          <w:kern w:val="0"/>
          <w:szCs w:val="21"/>
        </w:rPr>
        <w:t>Y07050002</w:t>
      </w:r>
    </w:p>
    <w:p>
      <w:pPr>
        <w:spacing w:line="360" w:lineRule="auto"/>
        <w:rPr>
          <w:rFonts w:eastAsia="黑体"/>
          <w:szCs w:val="21"/>
          <w:highlight w:val="yellow"/>
        </w:rPr>
      </w:pPr>
      <w:r>
        <w:rPr>
          <w:rFonts w:eastAsia="黑体"/>
          <w:szCs w:val="21"/>
        </w:rPr>
        <w:t xml:space="preserve">   课程名称：</w:t>
      </w:r>
      <w:r>
        <w:rPr>
          <w:rFonts w:hint="eastAsia"/>
          <w:szCs w:val="21"/>
        </w:rPr>
        <w:t xml:space="preserve">电子工艺实习                     </w:t>
      </w:r>
      <w:r>
        <w:rPr>
          <w:rFonts w:eastAsia="黑体"/>
          <w:szCs w:val="21"/>
        </w:rPr>
        <w:t>开课单位：</w:t>
      </w:r>
      <w:r>
        <w:rPr>
          <w:rFonts w:hint="eastAsia" w:hAnsi="宋体"/>
          <w:szCs w:val="21"/>
        </w:rPr>
        <w:t>信息与通信工程学院</w:t>
      </w:r>
      <w:r>
        <w:rPr>
          <w:rFonts w:eastAsia="黑体"/>
          <w:szCs w:val="21"/>
        </w:rPr>
        <w:t xml:space="preserve">  </w:t>
      </w:r>
    </w:p>
    <w:p>
      <w:pPr>
        <w:spacing w:line="360" w:lineRule="auto"/>
        <w:rPr>
          <w:rFonts w:eastAsia="黑体"/>
          <w:szCs w:val="21"/>
          <w:highlight w:val="yellow"/>
        </w:rPr>
      </w:pPr>
      <w:r>
        <w:rPr>
          <w:rFonts w:eastAsia="黑体"/>
          <w:szCs w:val="21"/>
        </w:rPr>
        <w:t xml:space="preserve">   </w:t>
      </w:r>
      <w:r>
        <w:rPr>
          <w:rFonts w:eastAsia="黑体"/>
          <w:spacing w:val="60"/>
          <w:szCs w:val="21"/>
        </w:rPr>
        <w:t>总学</w:t>
      </w:r>
      <w:r>
        <w:rPr>
          <w:rFonts w:eastAsia="黑体"/>
          <w:szCs w:val="21"/>
        </w:rPr>
        <w:t>时：2</w:t>
      </w:r>
      <w:r>
        <w:rPr>
          <w:rFonts w:hint="eastAsia" w:eastAsia="黑体"/>
          <w:szCs w:val="21"/>
        </w:rPr>
        <w:t>W</w:t>
      </w:r>
      <w:r>
        <w:rPr>
          <w:rFonts w:eastAsia="黑体"/>
          <w:szCs w:val="21"/>
        </w:rPr>
        <w:t xml:space="preserve">                              学    分：1</w:t>
      </w:r>
    </w:p>
    <w:p>
      <w:pPr>
        <w:spacing w:line="360" w:lineRule="auto"/>
        <w:rPr>
          <w:rFonts w:eastAsia="黑体"/>
          <w:szCs w:val="21"/>
        </w:rPr>
      </w:pPr>
      <w:r>
        <w:rPr>
          <w:rFonts w:eastAsia="黑体"/>
          <w:szCs w:val="21"/>
        </w:rPr>
        <w:t xml:space="preserve">   适用专业：</w:t>
      </w:r>
      <w:r>
        <w:rPr>
          <w:rFonts w:hAnsi="宋体"/>
          <w:szCs w:val="21"/>
        </w:rPr>
        <w:t>工</w:t>
      </w:r>
      <w:r>
        <w:rPr>
          <w:rFonts w:hint="eastAsia" w:hAnsi="宋体"/>
          <w:szCs w:val="21"/>
        </w:rPr>
        <w:t>程类</w:t>
      </w:r>
      <w:r>
        <w:rPr>
          <w:rFonts w:hAnsi="宋体"/>
          <w:szCs w:val="21"/>
        </w:rPr>
        <w:t>各专业</w:t>
      </w:r>
      <w:r>
        <w:rPr>
          <w:rFonts w:eastAsia="黑体"/>
          <w:szCs w:val="21"/>
        </w:rPr>
        <w:t xml:space="preserve"> </w:t>
      </w:r>
    </w:p>
    <w:p>
      <w:pPr>
        <w:spacing w:line="360" w:lineRule="auto"/>
        <w:rPr>
          <w:rFonts w:hAnsi="宋体"/>
          <w:szCs w:val="21"/>
        </w:rPr>
      </w:pPr>
      <w:r>
        <w:rPr>
          <w:rFonts w:eastAsia="黑体"/>
          <w:szCs w:val="21"/>
        </w:rPr>
        <w:t xml:space="preserve">   先修课程：</w:t>
      </w:r>
      <w:r>
        <w:rPr>
          <w:rFonts w:hint="eastAsia" w:hAnsi="宋体"/>
          <w:szCs w:val="21"/>
        </w:rPr>
        <w:t>电路分析、电子技术基础、高频电子线路等专业基础课</w:t>
      </w:r>
      <w:r>
        <w:rPr>
          <w:rFonts w:hAnsi="宋体"/>
          <w:szCs w:val="21"/>
        </w:rPr>
        <w:t>等</w:t>
      </w:r>
    </w:p>
    <w:p>
      <w:pPr>
        <w:spacing w:line="360" w:lineRule="auto"/>
        <w:ind w:firstLine="315" w:firstLineChars="150"/>
        <w:rPr>
          <w:color w:val="000000"/>
        </w:rPr>
      </w:pPr>
      <w:r>
        <w:rPr>
          <w:rFonts w:eastAsia="黑体"/>
          <w:color w:val="000000"/>
        </w:rPr>
        <w:t>大纲编写（修订）时间：</w:t>
      </w:r>
      <w:r>
        <w:rPr>
          <w:color w:val="000000"/>
        </w:rPr>
        <w:t>2019年</w:t>
      </w:r>
      <w:r>
        <w:rPr>
          <w:rFonts w:hint="eastAsia"/>
          <w:color w:val="000000"/>
        </w:rPr>
        <w:t>4</w:t>
      </w:r>
      <w:r>
        <w:rPr>
          <w:color w:val="000000"/>
        </w:rPr>
        <w:t>月</w:t>
      </w:r>
    </w:p>
    <w:p>
      <w:pPr>
        <w:rPr>
          <w:sz w:val="24"/>
        </w:rPr>
      </w:pPr>
    </w:p>
    <w:p>
      <w:pPr>
        <w:spacing w:line="360" w:lineRule="auto"/>
        <w:rPr>
          <w:rFonts w:eastAsia="黑体"/>
          <w:color w:val="0B5FD1"/>
          <w:szCs w:val="21"/>
        </w:rPr>
      </w:pPr>
      <w:r>
        <w:rPr>
          <w:rFonts w:hint="eastAsia" w:eastAsia="黑体"/>
          <w:szCs w:val="21"/>
        </w:rPr>
        <w:t>一、</w:t>
      </w:r>
      <w:r>
        <w:rPr>
          <w:rFonts w:eastAsia="黑体"/>
          <w:szCs w:val="21"/>
        </w:rPr>
        <w:t>课程在教学计划中地位、作用</w:t>
      </w:r>
    </w:p>
    <w:p>
      <w:pPr>
        <w:spacing w:line="360" w:lineRule="auto"/>
        <w:ind w:firstLine="420" w:firstLineChars="200"/>
        <w:rPr>
          <w:rFonts w:hAnsi="宋体"/>
          <w:szCs w:val="21"/>
        </w:rPr>
      </w:pPr>
      <w:r>
        <w:rPr>
          <w:rFonts w:hint="eastAsia" w:hAnsi="宋体"/>
          <w:szCs w:val="21"/>
        </w:rPr>
        <w:t>《电子工艺实习》是一门关于电子产品制造工艺的技术课程，是面向全校理工科各专业开设的实践类基础课，根据不同专业需求分成多层次、模块化和综合型，它是高等工科院校重要专业基础课《电子技术》课程的一个重要实践性环节，是我校电类专业的必修课。同时也是一门实践性很强的技术基础课。</w:t>
      </w:r>
    </w:p>
    <w:p>
      <w:pPr>
        <w:spacing w:line="360" w:lineRule="auto"/>
        <w:ind w:firstLine="420" w:firstLineChars="200"/>
        <w:rPr>
          <w:rFonts w:hAnsi="宋体"/>
          <w:szCs w:val="21"/>
        </w:rPr>
      </w:pPr>
      <w:r>
        <w:rPr>
          <w:rFonts w:hint="eastAsia" w:hAnsi="宋体"/>
          <w:szCs w:val="21"/>
        </w:rPr>
        <w:t>通过本课程的学习和实践，能够使学生了解电子产品设计与生产过程中的工艺知识和基本的操作技能，提高学生的实践动手能力，为今后工作中的设计开发准备必要的工艺知识和操作技能；另一方面培养学生在电子产品的设计之初就考虑到产品生产的工艺性，掌握产品生产过程中的质量控制和工艺管理，通过课程的学习对电子行业先进制造技术有较全面的了解。</w:t>
      </w:r>
    </w:p>
    <w:p>
      <w:pPr>
        <w:spacing w:line="360" w:lineRule="auto"/>
        <w:ind w:firstLine="420" w:firstLineChars="200"/>
        <w:rPr>
          <w:rFonts w:hAnsi="宋体"/>
          <w:szCs w:val="21"/>
        </w:rPr>
      </w:pPr>
      <w:r>
        <w:rPr>
          <w:rFonts w:hint="eastAsia" w:hAnsi="宋体"/>
          <w:szCs w:val="21"/>
        </w:rPr>
        <w:t>同时，通过对电子产品的关键性原理进行测试实验，可以提升学生在掌握产品制作过程中，进一步掌握具体电路的工作原理、及对产品的改进与创新能力的培养，不仅提升了实践教学的科技含量，更重视实践深入理论，促进了实践教学与研发的有机融合。</w:t>
      </w:r>
    </w:p>
    <w:p>
      <w:pPr>
        <w:spacing w:line="360" w:lineRule="auto"/>
        <w:ind w:firstLine="420" w:firstLineChars="200"/>
        <w:rPr>
          <w:rFonts w:hAnsi="宋体"/>
          <w:szCs w:val="21"/>
        </w:rPr>
      </w:pPr>
      <w:r>
        <w:rPr>
          <w:rFonts w:hint="eastAsia" w:hAnsi="宋体"/>
          <w:szCs w:val="21"/>
        </w:rPr>
        <w:t>通过本课程的学习和实践，可初步培养学生科学的工作作风、一定程度的经济生产观点、质量观念和严格的生产劳动纪律，还可提高学生的创新能力，从而提高学生的专业综合素质。</w:t>
      </w:r>
    </w:p>
    <w:p>
      <w:pPr>
        <w:spacing w:line="360" w:lineRule="auto"/>
        <w:ind w:firstLine="420" w:firstLineChars="200"/>
        <w:rPr>
          <w:rFonts w:hAnsi="宋体"/>
          <w:szCs w:val="21"/>
        </w:rPr>
      </w:pPr>
      <w:r>
        <w:rPr>
          <w:rFonts w:hint="eastAsia" w:hAnsi="宋体"/>
          <w:szCs w:val="21"/>
        </w:rPr>
        <w:t>考虑到本课程是一门实践性很强的课程，所以在学时安排上理论占20%，实际操作占80%。</w:t>
      </w:r>
    </w:p>
    <w:p>
      <w:pPr>
        <w:adjustRightInd w:val="0"/>
        <w:snapToGrid w:val="0"/>
        <w:spacing w:line="360" w:lineRule="auto"/>
        <w:ind w:firstLine="480" w:firstLineChars="200"/>
        <w:rPr>
          <w:sz w:val="24"/>
        </w:rPr>
      </w:pPr>
    </w:p>
    <w:p>
      <w:pPr>
        <w:adjustRightInd w:val="0"/>
        <w:snapToGrid w:val="0"/>
        <w:spacing w:line="360" w:lineRule="auto"/>
        <w:rPr>
          <w:rFonts w:eastAsia="黑体"/>
          <w:szCs w:val="21"/>
        </w:rPr>
      </w:pPr>
      <w:r>
        <w:rPr>
          <w:rFonts w:eastAsia="黑体"/>
          <w:szCs w:val="21"/>
        </w:rPr>
        <w:t>二、课程目标</w:t>
      </w:r>
    </w:p>
    <w:p>
      <w:pPr>
        <w:adjustRightInd w:val="0"/>
        <w:snapToGrid w:val="0"/>
        <w:spacing w:line="360" w:lineRule="auto"/>
        <w:ind w:firstLine="420" w:firstLineChars="200"/>
        <w:rPr>
          <w:szCs w:val="21"/>
        </w:rPr>
      </w:pPr>
      <w:r>
        <w:rPr>
          <w:rFonts w:hint="eastAsia"/>
          <w:szCs w:val="21"/>
        </w:rPr>
        <w:t>本大纲适用于工程类专业选择使用，专业在选用时要关注本课程目标是否与专业培养方案设定的能力矩阵一致。</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3822"/>
        <w:gridCol w:w="39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44" w:type="pct"/>
            <w:shd w:val="clear" w:color="auto" w:fill="auto"/>
            <w:vAlign w:val="center"/>
          </w:tcPr>
          <w:p>
            <w:pPr>
              <w:spacing w:line="360" w:lineRule="auto"/>
              <w:jc w:val="center"/>
              <w:rPr>
                <w:sz w:val="18"/>
                <w:szCs w:val="18"/>
              </w:rPr>
            </w:pPr>
            <w:r>
              <w:rPr>
                <w:rFonts w:hint="eastAsia"/>
                <w:sz w:val="18"/>
                <w:szCs w:val="18"/>
              </w:rPr>
              <w:t>序号</w:t>
            </w:r>
          </w:p>
        </w:tc>
        <w:tc>
          <w:tcPr>
            <w:tcW w:w="2300" w:type="pct"/>
            <w:shd w:val="clear" w:color="auto" w:fill="auto"/>
            <w:vAlign w:val="center"/>
          </w:tcPr>
          <w:p>
            <w:pPr>
              <w:spacing w:line="360" w:lineRule="auto"/>
              <w:jc w:val="center"/>
              <w:rPr>
                <w:sz w:val="18"/>
                <w:szCs w:val="18"/>
              </w:rPr>
            </w:pPr>
            <w:r>
              <w:rPr>
                <w:rFonts w:hint="eastAsia"/>
                <w:sz w:val="18"/>
                <w:szCs w:val="18"/>
              </w:rPr>
              <w:t>课程目标</w:t>
            </w:r>
          </w:p>
        </w:tc>
        <w:tc>
          <w:tcPr>
            <w:tcW w:w="2354" w:type="pct"/>
            <w:shd w:val="clear" w:color="auto" w:fill="auto"/>
            <w:vAlign w:val="center"/>
          </w:tcPr>
          <w:p>
            <w:pPr>
              <w:spacing w:line="360" w:lineRule="auto"/>
              <w:jc w:val="center"/>
              <w:rPr>
                <w:sz w:val="18"/>
                <w:szCs w:val="18"/>
              </w:rPr>
            </w:pPr>
            <w:r>
              <w:rPr>
                <w:rFonts w:hint="eastAsia"/>
                <w:sz w:val="18"/>
                <w:szCs w:val="18"/>
              </w:rPr>
              <w:t>支撑工程类毕业要求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1</w:t>
            </w:r>
          </w:p>
        </w:tc>
        <w:tc>
          <w:tcPr>
            <w:tcW w:w="2300" w:type="pct"/>
            <w:shd w:val="clear" w:color="auto" w:fill="auto"/>
          </w:tcPr>
          <w:p>
            <w:pPr>
              <w:adjustRightInd w:val="0"/>
              <w:snapToGrid w:val="0"/>
              <w:spacing w:line="360" w:lineRule="auto"/>
              <w:rPr>
                <w:sz w:val="18"/>
                <w:szCs w:val="18"/>
              </w:rPr>
            </w:pPr>
            <w:r>
              <w:rPr>
                <w:rFonts w:hint="eastAsia" w:hAnsi="宋体"/>
                <w:bCs/>
                <w:sz w:val="18"/>
                <w:szCs w:val="18"/>
              </w:rPr>
              <w:t>通过对电子工艺实习过程的焊接操作、产品检修与原理测试，学习电子工艺装配流程和基本操作技能，电路工作原理，加深对电子产品设计的创新思维理解。</w:t>
            </w:r>
          </w:p>
        </w:tc>
        <w:tc>
          <w:tcPr>
            <w:tcW w:w="2354" w:type="pct"/>
            <w:shd w:val="clear" w:color="auto" w:fill="auto"/>
          </w:tcPr>
          <w:p>
            <w:pPr>
              <w:adjustRightInd w:val="0"/>
              <w:snapToGrid w:val="0"/>
              <w:spacing w:line="360" w:lineRule="auto"/>
              <w:rPr>
                <w:sz w:val="18"/>
                <w:szCs w:val="18"/>
              </w:rPr>
            </w:pPr>
            <w:r>
              <w:rPr>
                <w:rFonts w:hint="eastAsia"/>
                <w:b/>
                <w:sz w:val="18"/>
                <w:szCs w:val="18"/>
              </w:rPr>
              <w:t>毕业要求指标点1-2 知识运用能力：</w:t>
            </w:r>
            <w:r>
              <w:rPr>
                <w:rFonts w:hint="eastAsia"/>
                <w:sz w:val="18"/>
                <w:szCs w:val="18"/>
              </w:rPr>
              <w:t>能将基础知识恰当地运用到电子科学与技术专业电路系统、物联网及现场总线等复杂工程问题的解决中。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2</w:t>
            </w:r>
          </w:p>
        </w:tc>
        <w:tc>
          <w:tcPr>
            <w:tcW w:w="2300" w:type="pct"/>
            <w:shd w:val="clear" w:color="auto" w:fill="auto"/>
          </w:tcPr>
          <w:p>
            <w:pPr>
              <w:adjustRightInd w:val="0"/>
              <w:snapToGrid w:val="0"/>
              <w:spacing w:line="360" w:lineRule="auto"/>
              <w:rPr>
                <w:sz w:val="18"/>
                <w:szCs w:val="18"/>
              </w:rPr>
            </w:pPr>
            <w:r>
              <w:rPr>
                <w:rFonts w:hint="eastAsia" w:hAnsi="宋体"/>
                <w:bCs/>
                <w:sz w:val="18"/>
                <w:szCs w:val="18"/>
              </w:rPr>
              <w:t>能够正确选用电子产品生产过程中的覆铜板材质、导线材质、锡膏材质等，为产品制造做准备、能够运用电路知识对电路检测现象进行初步分析判断，逐步学会提出问题，分析问题和解决问题的办法，能正确处理检测数据，分析数据产生原因，撰写实验报告。</w:t>
            </w:r>
          </w:p>
        </w:tc>
        <w:tc>
          <w:tcPr>
            <w:tcW w:w="2354" w:type="pct"/>
            <w:shd w:val="clear" w:color="auto" w:fill="auto"/>
          </w:tcPr>
          <w:p>
            <w:pPr>
              <w:adjustRightInd w:val="0"/>
              <w:snapToGrid w:val="0"/>
              <w:spacing w:line="360" w:lineRule="auto"/>
              <w:rPr>
                <w:sz w:val="18"/>
                <w:szCs w:val="18"/>
              </w:rPr>
            </w:pPr>
            <w:r>
              <w:rPr>
                <w:rFonts w:hint="eastAsia"/>
                <w:b/>
                <w:sz w:val="18"/>
                <w:szCs w:val="18"/>
              </w:rPr>
              <w:t>毕业要求指标点5-1 工具选择与开发：</w:t>
            </w:r>
            <w:r>
              <w:rPr>
                <w:rFonts w:hint="eastAsia"/>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4" w:type="pct"/>
            <w:shd w:val="clear" w:color="auto" w:fill="auto"/>
            <w:vAlign w:val="center"/>
          </w:tcPr>
          <w:p>
            <w:pPr>
              <w:adjustRightInd w:val="0"/>
              <w:snapToGrid w:val="0"/>
              <w:spacing w:line="360" w:lineRule="auto"/>
              <w:jc w:val="center"/>
              <w:rPr>
                <w:sz w:val="18"/>
                <w:szCs w:val="18"/>
              </w:rPr>
            </w:pPr>
            <w:r>
              <w:rPr>
                <w:rFonts w:hint="eastAsia"/>
                <w:sz w:val="18"/>
                <w:szCs w:val="18"/>
              </w:rPr>
              <w:t>3</w:t>
            </w:r>
          </w:p>
        </w:tc>
        <w:tc>
          <w:tcPr>
            <w:tcW w:w="2300" w:type="pct"/>
            <w:shd w:val="clear" w:color="auto" w:fill="auto"/>
          </w:tcPr>
          <w:p>
            <w:pPr>
              <w:adjustRightInd w:val="0"/>
              <w:snapToGrid w:val="0"/>
              <w:spacing w:line="360" w:lineRule="auto"/>
              <w:rPr>
                <w:sz w:val="18"/>
                <w:szCs w:val="18"/>
              </w:rPr>
            </w:pPr>
            <w:r>
              <w:rPr>
                <w:rFonts w:hint="eastAsia" w:hAnsi="宋体"/>
                <w:bCs/>
                <w:sz w:val="18"/>
                <w:szCs w:val="18"/>
              </w:rPr>
              <w:t>能根据电路原理图、元器件实物设计制作印制电路板，在老师指导下，正确使用常用仪器设备，尤其是对产品设计思路的理解，能够完成符合规范要求的改进设计型电路原理图，能够进行简单的具有研究性或创意性电路的设计与制造等。</w:t>
            </w:r>
          </w:p>
        </w:tc>
        <w:tc>
          <w:tcPr>
            <w:tcW w:w="2354" w:type="pct"/>
            <w:shd w:val="clear" w:color="auto" w:fill="auto"/>
          </w:tcPr>
          <w:p>
            <w:pPr>
              <w:adjustRightInd w:val="0"/>
              <w:snapToGrid w:val="0"/>
              <w:spacing w:line="360" w:lineRule="auto"/>
              <w:rPr>
                <w:sz w:val="18"/>
                <w:szCs w:val="18"/>
              </w:rPr>
            </w:pPr>
            <w:r>
              <w:rPr>
                <w:rFonts w:hint="eastAsia"/>
                <w:b/>
                <w:sz w:val="18"/>
                <w:szCs w:val="18"/>
              </w:rPr>
              <w:t>毕业要求指标点5-2专业工具使用：</w:t>
            </w:r>
            <w:r>
              <w:rPr>
                <w:rFonts w:hint="eastAsia"/>
                <w:sz w:val="18"/>
                <w:szCs w:val="18"/>
              </w:rPr>
              <w:t>能使用工具对电路系统、协议等进行设计和仿真，确定功能和相关设计参数。</w:t>
            </w:r>
          </w:p>
        </w:tc>
      </w:tr>
    </w:tbl>
    <w:p>
      <w:pPr>
        <w:spacing w:line="360" w:lineRule="auto"/>
        <w:rPr>
          <w:szCs w:val="21"/>
        </w:rPr>
      </w:pPr>
    </w:p>
    <w:p>
      <w:pPr>
        <w:spacing w:line="360" w:lineRule="auto"/>
        <w:rPr>
          <w:rFonts w:eastAsia="黑体"/>
          <w:szCs w:val="21"/>
        </w:rPr>
      </w:pPr>
      <w:r>
        <w:rPr>
          <w:rFonts w:eastAsia="黑体"/>
          <w:szCs w:val="21"/>
        </w:rPr>
        <w:t>三、</w:t>
      </w:r>
      <w:r>
        <w:rPr>
          <w:rFonts w:hint="eastAsia" w:eastAsia="黑体"/>
          <w:szCs w:val="21"/>
        </w:rPr>
        <w:t>教学</w:t>
      </w:r>
      <w:r>
        <w:rPr>
          <w:rFonts w:eastAsia="黑体"/>
          <w:szCs w:val="21"/>
        </w:rPr>
        <w:t>内容及基本要求</w:t>
      </w:r>
    </w:p>
    <w:p>
      <w:pPr>
        <w:adjustRightInd w:val="0"/>
        <w:snapToGrid w:val="0"/>
        <w:spacing w:line="360" w:lineRule="auto"/>
        <w:ind w:firstLine="420" w:firstLineChars="200"/>
      </w:pPr>
      <w:r>
        <w:rPr>
          <w:rFonts w:hint="eastAsia" w:ascii="黑体" w:hAnsi="黑体" w:eastAsia="黑体"/>
          <w:szCs w:val="21"/>
        </w:rPr>
        <w:t>基本要求</w:t>
      </w:r>
    </w:p>
    <w:p>
      <w:pPr>
        <w:adjustRightInd w:val="0"/>
        <w:snapToGrid w:val="0"/>
        <w:spacing w:line="360" w:lineRule="auto"/>
        <w:ind w:firstLine="420" w:firstLineChars="200"/>
      </w:pPr>
      <w:r>
        <w:rPr>
          <w:rFonts w:hint="eastAsia"/>
        </w:rPr>
        <w:t>1、本课程是一门实践性很强的电类课程，要求先修电路分析、电子技术基础、高频电子线路等专业基础课。在整个电子工艺实习过程中，教学中应重视学生的实践动手能力，通过电子工艺实践教学，让学生掌握与电子工艺实践相关的基础理论知识和技能，熟悉基本工艺实践原理，对电子工艺实践有个较完整、科学的认识，为以后工作的设计开发准备必要的工艺知识和基本操作技能。教学过程中应充分调动学生参与的主动性与积极性，对于实习过程中的授课内容、焊接步骤及仪器设备的组成需要教师进行详细讲解和示范操作，讲授应合理有序，条理清晰，使学生掌握操作要领，培养逻辑分析与动手能力。要教育学生养成良好的实验习惯，爱护公共财产，遵守安全制度和实验室规则，树立优良的学风。</w:t>
      </w:r>
    </w:p>
    <w:p>
      <w:pPr>
        <w:adjustRightInd w:val="0"/>
        <w:snapToGrid w:val="0"/>
        <w:spacing w:line="360" w:lineRule="auto"/>
        <w:ind w:firstLine="420" w:firstLineChars="200"/>
      </w:pPr>
      <w:r>
        <w:rPr>
          <w:rFonts w:hint="eastAsia"/>
        </w:rPr>
        <w:t>2、通过电子工艺实习的基本实训，要求学生做到：</w:t>
      </w:r>
    </w:p>
    <w:p>
      <w:pPr>
        <w:adjustRightInd w:val="0"/>
        <w:snapToGrid w:val="0"/>
        <w:spacing w:line="360" w:lineRule="auto"/>
        <w:ind w:firstLine="424" w:firstLineChars="202"/>
      </w:pPr>
      <w:r>
        <w:rPr>
          <w:rFonts w:hint="eastAsia"/>
        </w:rPr>
        <w:t>(1) 会查阅电子元器件手册，能正确识别、选用电子元器件及材料的型号规格，了解其主要性能和常用检测方法</w:t>
      </w:r>
    </w:p>
    <w:p>
      <w:pPr>
        <w:adjustRightInd w:val="0"/>
        <w:snapToGrid w:val="0"/>
        <w:spacing w:line="360" w:lineRule="auto"/>
        <w:ind w:firstLine="424" w:firstLineChars="202"/>
      </w:pPr>
      <w:r>
        <w:rPr>
          <w:rFonts w:hint="eastAsia"/>
        </w:rPr>
        <w:t>(2) 初步掌握电子工艺实习中基本的电子产品生产流程和操作技术。</w:t>
      </w:r>
    </w:p>
    <w:p>
      <w:pPr>
        <w:adjustRightInd w:val="0"/>
        <w:snapToGrid w:val="0"/>
        <w:spacing w:line="360" w:lineRule="auto"/>
        <w:ind w:firstLine="424" w:firstLineChars="202"/>
      </w:pPr>
      <w:r>
        <w:t>(</w:t>
      </w:r>
      <w:r>
        <w:rPr>
          <w:rFonts w:hint="eastAsia"/>
        </w:rPr>
        <w:t>3</w:t>
      </w:r>
      <w:r>
        <w:t xml:space="preserve">) </w:t>
      </w:r>
      <w:r>
        <w:rPr>
          <w:rFonts w:hint="eastAsia"/>
        </w:rPr>
        <w:t>能够了解本次电子产品的工作原理，学会看懂和绘制电路原理图和印制板图。</w:t>
      </w:r>
    </w:p>
    <w:p>
      <w:pPr>
        <w:adjustRightInd w:val="0"/>
        <w:snapToGrid w:val="0"/>
        <w:spacing w:line="360" w:lineRule="auto"/>
        <w:ind w:firstLine="424" w:firstLineChars="202"/>
      </w:pPr>
      <w:r>
        <w:t xml:space="preserve">(4) </w:t>
      </w:r>
      <w:r>
        <w:rPr>
          <w:rFonts w:hint="eastAsia"/>
        </w:rPr>
        <w:t>能根据电子线路图和技术参数，独立完成一般电子产品的装配、调试及检测等技能。</w:t>
      </w:r>
    </w:p>
    <w:p>
      <w:pPr>
        <w:adjustRightInd w:val="0"/>
        <w:snapToGrid w:val="0"/>
        <w:spacing w:line="360" w:lineRule="auto"/>
        <w:ind w:firstLine="424" w:firstLineChars="202"/>
      </w:pPr>
      <w:r>
        <w:t xml:space="preserve">(5) </w:t>
      </w:r>
      <w:r>
        <w:rPr>
          <w:rFonts w:hint="eastAsia"/>
        </w:rPr>
        <w:t>了解常用电子调试仪器的性能，并学会其使用方法。</w:t>
      </w:r>
    </w:p>
    <w:p>
      <w:pPr>
        <w:adjustRightInd w:val="0"/>
        <w:snapToGrid w:val="0"/>
        <w:spacing w:line="360" w:lineRule="auto"/>
        <w:ind w:firstLine="424" w:firstLineChars="202"/>
      </w:pPr>
      <w:r>
        <w:t>(</w:t>
      </w:r>
      <w:r>
        <w:rPr>
          <w:rFonts w:hint="eastAsia"/>
        </w:rPr>
        <w:t>6</w:t>
      </w:r>
      <w:r>
        <w:t>)</w:t>
      </w:r>
      <w:r>
        <w:rPr>
          <w:rFonts w:hint="eastAsia"/>
        </w:rPr>
        <w:t xml:space="preserve"> 能进行测试数据的处理分析，并根据电子产品的组装调试过程、测试数据及结果写出具有一点水平的实习报告。</w:t>
      </w:r>
    </w:p>
    <w:p>
      <w:pPr>
        <w:adjustRightInd w:val="0"/>
        <w:snapToGrid w:val="0"/>
        <w:spacing w:line="360" w:lineRule="auto"/>
        <w:ind w:firstLine="420" w:firstLineChars="200"/>
      </w:pPr>
      <w:r>
        <w:t>3</w:t>
      </w:r>
      <w:r>
        <w:rPr>
          <w:rFonts w:hint="eastAsia"/>
        </w:rPr>
        <w:t>、开设一定数量的实训指导实验课，如Multisim上机实验，Protel上机实验、PCB电路板的加工制作实验、锡焊技术等，以利于学生掌握电子产品制作过程的工艺知识和基本操作技能，了解电子工艺的应用与发展，提升学生的实践动手能力。</w:t>
      </w:r>
    </w:p>
    <w:p>
      <w:pPr>
        <w:adjustRightInd w:val="0"/>
        <w:snapToGrid w:val="0"/>
        <w:spacing w:line="360" w:lineRule="auto"/>
        <w:ind w:firstLine="420" w:firstLineChars="200"/>
      </w:pPr>
      <w:r>
        <w:t>4</w:t>
      </w:r>
      <w:r>
        <w:rPr>
          <w:rFonts w:hint="eastAsia"/>
        </w:rPr>
        <w:t>、开设少量的电子产品原理性测试项目，使学生在测试方法的考虑、测量仪器的选择、测量条件的确定等方面收到初步训练。同时利于学生理解具体电路的工作原理，增强对产品的认识，与创新能力的培养，提升对实践教学的科技含量。</w:t>
      </w:r>
    </w:p>
    <w:p>
      <w:pPr>
        <w:spacing w:line="360" w:lineRule="auto"/>
        <w:ind w:firstLine="420" w:firstLineChars="200"/>
        <w:rPr>
          <w:rFonts w:eastAsia="黑体"/>
          <w:bCs/>
          <w:szCs w:val="21"/>
        </w:rPr>
      </w:pPr>
      <w:r>
        <w:rPr>
          <w:rFonts w:eastAsia="黑体"/>
          <w:bCs/>
          <w:szCs w:val="21"/>
        </w:rPr>
        <w:t xml:space="preserve">第一章  </w:t>
      </w:r>
      <w:r>
        <w:rPr>
          <w:rFonts w:hint="eastAsia" w:eastAsia="黑体"/>
          <w:bCs/>
          <w:szCs w:val="21"/>
        </w:rPr>
        <w:t>电子工艺实习概述</w:t>
      </w:r>
      <w:r>
        <w:rPr>
          <w:rFonts w:eastAsia="黑体"/>
          <w:bCs/>
          <w:szCs w:val="21"/>
        </w:rPr>
        <w:t xml:space="preserve"> </w:t>
      </w:r>
    </w:p>
    <w:p>
      <w:pPr>
        <w:spacing w:line="360" w:lineRule="auto"/>
        <w:ind w:firstLine="420" w:firstLineChars="200"/>
        <w:rPr>
          <w:szCs w:val="21"/>
        </w:rPr>
      </w:pPr>
      <w:r>
        <w:rPr>
          <w:szCs w:val="21"/>
        </w:rPr>
        <w:t>1</w:t>
      </w:r>
      <w:r>
        <w:rPr>
          <w:rFonts w:hint="eastAsia"/>
          <w:szCs w:val="21"/>
        </w:rPr>
        <w:t>.</w:t>
      </w:r>
      <w:r>
        <w:rPr>
          <w:szCs w:val="21"/>
        </w:rPr>
        <w:t xml:space="preserve"> </w:t>
      </w:r>
      <w:r>
        <w:rPr>
          <w:rFonts w:hint="eastAsia"/>
        </w:rPr>
        <w:t>本课程的基础地位和意义介绍，了解电子工艺实习的性质、目的和任务</w:t>
      </w:r>
      <w:r>
        <w:rPr>
          <w:rFonts w:hAnsi="宋体"/>
          <w:szCs w:val="21"/>
        </w:rPr>
        <w:t>。</w:t>
      </w:r>
    </w:p>
    <w:p>
      <w:pPr>
        <w:spacing w:line="360" w:lineRule="auto"/>
        <w:ind w:firstLine="420" w:firstLineChars="200"/>
        <w:rPr>
          <w:szCs w:val="21"/>
        </w:rPr>
      </w:pPr>
      <w:r>
        <w:rPr>
          <w:szCs w:val="21"/>
        </w:rPr>
        <w:t>2</w:t>
      </w:r>
      <w:r>
        <w:rPr>
          <w:rFonts w:hint="eastAsia"/>
          <w:szCs w:val="21"/>
        </w:rPr>
        <w:t>.</w:t>
      </w:r>
      <w:r>
        <w:rPr>
          <w:szCs w:val="21"/>
        </w:rPr>
        <w:t xml:space="preserve"> </w:t>
      </w:r>
      <w:r>
        <w:rPr>
          <w:rFonts w:hint="eastAsia"/>
        </w:rPr>
        <w:t>实习涉及的主要内容，</w:t>
      </w:r>
      <w:r>
        <w:rPr>
          <w:rFonts w:hint="eastAsia" w:ascii="宋体" w:hAnsi="宋体" w:cs="宋体"/>
          <w:snapToGrid w:val="0"/>
          <w:kern w:val="0"/>
          <w:szCs w:val="21"/>
        </w:rPr>
        <w:t>了解焊接技术的种类</w:t>
      </w:r>
      <w:r>
        <w:rPr>
          <w:rFonts w:hAnsi="宋体"/>
          <w:szCs w:val="21"/>
        </w:rPr>
        <w:t>。</w:t>
      </w:r>
    </w:p>
    <w:p>
      <w:pPr>
        <w:spacing w:line="360" w:lineRule="auto"/>
        <w:ind w:firstLine="420" w:firstLineChars="200"/>
        <w:rPr>
          <w:szCs w:val="21"/>
        </w:rPr>
      </w:pPr>
      <w:r>
        <w:rPr>
          <w:szCs w:val="21"/>
        </w:rPr>
        <w:t>3</w:t>
      </w:r>
      <w:r>
        <w:rPr>
          <w:rFonts w:hint="eastAsia"/>
          <w:szCs w:val="21"/>
        </w:rPr>
        <w:t xml:space="preserve">. </w:t>
      </w:r>
      <w:r>
        <w:rPr>
          <w:rFonts w:hint="eastAsia"/>
        </w:rPr>
        <w:t>考核方式。</w:t>
      </w:r>
    </w:p>
    <w:p>
      <w:pPr>
        <w:adjustRightInd w:val="0"/>
        <w:spacing w:line="360" w:lineRule="auto"/>
        <w:ind w:firstLine="420" w:firstLineChars="200"/>
        <w:rPr>
          <w:szCs w:val="21"/>
        </w:rPr>
      </w:pPr>
      <w:r>
        <w:rPr>
          <w:rFonts w:hint="eastAsia"/>
          <w:szCs w:val="21"/>
        </w:rPr>
        <w:t>本章节内容支撑课程目标1。</w:t>
      </w:r>
    </w:p>
    <w:p>
      <w:pPr>
        <w:spacing w:line="360" w:lineRule="auto"/>
        <w:ind w:firstLine="420" w:firstLineChars="200"/>
        <w:rPr>
          <w:rFonts w:eastAsia="黑体"/>
          <w:bCs/>
          <w:szCs w:val="21"/>
        </w:rPr>
      </w:pPr>
      <w:r>
        <w:rPr>
          <w:rFonts w:eastAsia="黑体"/>
          <w:bCs/>
          <w:szCs w:val="21"/>
        </w:rPr>
        <w:t xml:space="preserve">第二章  </w:t>
      </w:r>
      <w:r>
        <w:rPr>
          <w:rFonts w:hint="eastAsia" w:ascii="黑体" w:hAnsi="宋体" w:eastAsia="黑体" w:cs="宋体"/>
          <w:snapToGrid w:val="0"/>
          <w:kern w:val="0"/>
          <w:szCs w:val="21"/>
        </w:rPr>
        <w:t>安全用电、电子元器件识别与电路读图</w:t>
      </w:r>
      <w:r>
        <w:rPr>
          <w:rFonts w:eastAsia="黑体"/>
          <w:bCs/>
          <w:szCs w:val="21"/>
        </w:rPr>
        <w:t xml:space="preserve"> </w:t>
      </w:r>
    </w:p>
    <w:p>
      <w:pPr>
        <w:spacing w:line="360" w:lineRule="auto"/>
        <w:ind w:firstLine="420" w:firstLineChars="200"/>
        <w:rPr>
          <w:szCs w:val="21"/>
        </w:rPr>
      </w:pPr>
      <w:r>
        <w:rPr>
          <w:szCs w:val="21"/>
        </w:rPr>
        <w:t>1</w:t>
      </w:r>
      <w:r>
        <w:rPr>
          <w:rFonts w:hint="eastAsia" w:hAnsi="宋体"/>
          <w:szCs w:val="21"/>
        </w:rPr>
        <w:t>.</w:t>
      </w:r>
      <w:r>
        <w:rPr>
          <w:rFonts w:hAnsi="宋体"/>
          <w:szCs w:val="21"/>
        </w:rPr>
        <w:t xml:space="preserve"> </w:t>
      </w:r>
      <w:r>
        <w:rPr>
          <w:rFonts w:hint="eastAsia"/>
          <w:szCs w:val="21"/>
        </w:rPr>
        <w:t>用电常识、规章制度，</w:t>
      </w:r>
      <w:r>
        <w:rPr>
          <w:rFonts w:hint="eastAsia" w:ascii="宋体" w:hAnsi="宋体"/>
        </w:rPr>
        <w:t>了解用电安全技术和安全知识</w:t>
      </w:r>
      <w:r>
        <w:rPr>
          <w:rFonts w:hint="eastAsia"/>
          <w:szCs w:val="21"/>
        </w:rPr>
        <w:t>。</w:t>
      </w:r>
    </w:p>
    <w:p>
      <w:pPr>
        <w:spacing w:line="360" w:lineRule="auto"/>
        <w:ind w:firstLine="420" w:firstLineChars="200"/>
        <w:rPr>
          <w:szCs w:val="21"/>
        </w:rPr>
      </w:pPr>
      <w:r>
        <w:rPr>
          <w:szCs w:val="21"/>
        </w:rPr>
        <w:t xml:space="preserve">2. </w:t>
      </w:r>
      <w:r>
        <w:rPr>
          <w:rFonts w:hint="eastAsia"/>
          <w:szCs w:val="21"/>
        </w:rPr>
        <w:t>器件的选择、测试方法、检验标准，</w:t>
      </w:r>
      <w:r>
        <w:rPr>
          <w:rFonts w:hint="eastAsia" w:ascii="宋体" w:hAnsi="宋体"/>
        </w:rPr>
        <w:t>掌握电阻器和电位器、电容器、电感器、变压器等电子元器件的型号及命名方法</w:t>
      </w:r>
      <w:r>
        <w:rPr>
          <w:rFonts w:hint="eastAsia"/>
          <w:szCs w:val="21"/>
        </w:rPr>
        <w:t>。</w:t>
      </w:r>
    </w:p>
    <w:p>
      <w:pPr>
        <w:spacing w:line="360" w:lineRule="auto"/>
        <w:ind w:firstLine="420" w:firstLineChars="200"/>
        <w:rPr>
          <w:szCs w:val="21"/>
        </w:rPr>
      </w:pPr>
      <w:r>
        <w:rPr>
          <w:szCs w:val="21"/>
        </w:rPr>
        <w:t>3</w:t>
      </w:r>
      <w:r>
        <w:rPr>
          <w:rFonts w:hint="eastAsia" w:hAnsi="宋体"/>
          <w:szCs w:val="21"/>
        </w:rPr>
        <w:t>.</w:t>
      </w:r>
      <w:r>
        <w:rPr>
          <w:rFonts w:hAnsi="宋体"/>
          <w:szCs w:val="21"/>
        </w:rPr>
        <w:t xml:space="preserve"> </w:t>
      </w:r>
      <w:r>
        <w:rPr>
          <w:rFonts w:hint="eastAsia"/>
          <w:szCs w:val="21"/>
        </w:rPr>
        <w:t>电子电路读图原则，</w:t>
      </w:r>
      <w:r>
        <w:rPr>
          <w:rFonts w:hint="eastAsia" w:ascii="宋体" w:hAnsi="宋体"/>
        </w:rPr>
        <w:t>了解模拟电路读图和数字电路读图的方法</w:t>
      </w:r>
      <w:r>
        <w:rPr>
          <w:rFonts w:hint="eastAsia"/>
          <w:szCs w:val="21"/>
        </w:rPr>
        <w:t>。</w:t>
      </w:r>
    </w:p>
    <w:p>
      <w:pPr>
        <w:adjustRightInd w:val="0"/>
        <w:spacing w:line="360" w:lineRule="auto"/>
        <w:ind w:firstLine="420" w:firstLineChars="200"/>
        <w:rPr>
          <w:szCs w:val="21"/>
        </w:rPr>
      </w:pPr>
      <w:r>
        <w:rPr>
          <w:rFonts w:hint="eastAsia"/>
          <w:szCs w:val="21"/>
        </w:rPr>
        <w:t>本章节内容支撑课程目标2。</w:t>
      </w:r>
    </w:p>
    <w:p>
      <w:pPr>
        <w:spacing w:line="360" w:lineRule="auto"/>
        <w:ind w:firstLine="420" w:firstLineChars="200"/>
        <w:rPr>
          <w:rFonts w:eastAsia="黑体"/>
          <w:bCs/>
          <w:szCs w:val="21"/>
        </w:rPr>
      </w:pPr>
      <w:r>
        <w:rPr>
          <w:rFonts w:eastAsia="黑体"/>
          <w:bCs/>
          <w:szCs w:val="21"/>
        </w:rPr>
        <w:t>第三章</w:t>
      </w:r>
      <w:r>
        <w:rPr>
          <w:rFonts w:hint="eastAsia" w:eastAsia="黑体"/>
          <w:bCs/>
          <w:szCs w:val="21"/>
        </w:rPr>
        <w:t xml:space="preserve"> </w:t>
      </w:r>
      <w:r>
        <w:rPr>
          <w:rFonts w:eastAsia="黑体"/>
          <w:bCs/>
          <w:szCs w:val="21"/>
        </w:rPr>
        <w:t xml:space="preserve"> </w:t>
      </w:r>
      <w:r>
        <w:rPr>
          <w:rFonts w:hint="eastAsia" w:ascii="黑体" w:eastAsia="黑体"/>
        </w:rPr>
        <w:t>EDA仿真</w:t>
      </w:r>
      <w:r>
        <w:rPr>
          <w:rFonts w:eastAsia="黑体"/>
          <w:bCs/>
          <w:szCs w:val="21"/>
        </w:rPr>
        <w:t xml:space="preserve"> </w:t>
      </w:r>
    </w:p>
    <w:p>
      <w:pPr>
        <w:spacing w:line="360" w:lineRule="auto"/>
        <w:ind w:firstLine="420" w:firstLineChars="200"/>
        <w:rPr>
          <w:rFonts w:hAnsi="宋体"/>
          <w:szCs w:val="21"/>
        </w:rPr>
      </w:pPr>
      <w:r>
        <w:rPr>
          <w:szCs w:val="21"/>
        </w:rPr>
        <w:t>1</w:t>
      </w:r>
      <w:r>
        <w:rPr>
          <w:rFonts w:hint="eastAsia" w:hAnsi="宋体"/>
          <w:szCs w:val="21"/>
        </w:rPr>
        <w:t>.</w:t>
      </w:r>
      <w:r>
        <w:rPr>
          <w:rFonts w:hAnsi="宋体"/>
          <w:szCs w:val="21"/>
        </w:rPr>
        <w:t xml:space="preserve"> </w:t>
      </w:r>
      <w:r>
        <w:rPr>
          <w:rFonts w:hint="eastAsia" w:hAnsi="宋体"/>
          <w:szCs w:val="21"/>
        </w:rPr>
        <w:t>EDA软件介绍。</w:t>
      </w:r>
    </w:p>
    <w:p>
      <w:pPr>
        <w:spacing w:line="360" w:lineRule="auto"/>
        <w:ind w:firstLine="420" w:firstLineChars="200"/>
        <w:rPr>
          <w:rFonts w:hAnsi="宋体"/>
          <w:szCs w:val="21"/>
        </w:rPr>
      </w:pPr>
      <w:r>
        <w:rPr>
          <w:rFonts w:hAnsi="宋体"/>
          <w:szCs w:val="21"/>
        </w:rPr>
        <w:t xml:space="preserve">2. </w:t>
      </w:r>
      <w:r>
        <w:rPr>
          <w:rFonts w:hint="eastAsia" w:hAnsi="宋体"/>
          <w:szCs w:val="21"/>
        </w:rPr>
        <w:t>Multisim软件介绍及使用。</w:t>
      </w:r>
    </w:p>
    <w:p>
      <w:pPr>
        <w:spacing w:line="360" w:lineRule="auto"/>
        <w:ind w:firstLine="420" w:firstLineChars="200"/>
        <w:rPr>
          <w:szCs w:val="21"/>
        </w:rPr>
      </w:pPr>
      <w:r>
        <w:rPr>
          <w:rFonts w:hAnsi="宋体"/>
          <w:szCs w:val="21"/>
        </w:rPr>
        <w:t xml:space="preserve">3. </w:t>
      </w:r>
      <w:r>
        <w:rPr>
          <w:rFonts w:hint="eastAsia" w:hAnsi="宋体"/>
          <w:szCs w:val="21"/>
        </w:rPr>
        <w:t>充电器工作原理及仿真，</w:t>
      </w:r>
      <w:r>
        <w:rPr>
          <w:rFonts w:hint="eastAsia" w:ascii="宋体" w:hAnsi="宋体" w:cs="宋体"/>
          <w:snapToGrid w:val="0"/>
          <w:kern w:val="0"/>
          <w:szCs w:val="21"/>
        </w:rPr>
        <w:t>会分析实验数据。</w:t>
      </w:r>
    </w:p>
    <w:p>
      <w:pPr>
        <w:adjustRightInd w:val="0"/>
        <w:spacing w:line="360" w:lineRule="auto"/>
        <w:ind w:firstLine="420" w:firstLineChars="200"/>
        <w:rPr>
          <w:szCs w:val="21"/>
        </w:rPr>
      </w:pPr>
      <w:r>
        <w:rPr>
          <w:rFonts w:hint="eastAsia"/>
          <w:szCs w:val="21"/>
        </w:rPr>
        <w:t>本章节内容支撑课程目标3。</w:t>
      </w:r>
    </w:p>
    <w:p>
      <w:pPr>
        <w:spacing w:line="360" w:lineRule="auto"/>
        <w:ind w:firstLine="420" w:firstLineChars="200"/>
        <w:rPr>
          <w:rFonts w:eastAsia="黑体"/>
          <w:bCs/>
          <w:szCs w:val="21"/>
        </w:rPr>
      </w:pPr>
      <w:r>
        <w:rPr>
          <w:rFonts w:eastAsia="黑体"/>
          <w:bCs/>
          <w:szCs w:val="21"/>
        </w:rPr>
        <w:t xml:space="preserve">第四章  </w:t>
      </w:r>
      <w:r>
        <w:rPr>
          <w:rFonts w:hint="eastAsia" w:ascii="黑体" w:eastAsia="黑体"/>
        </w:rPr>
        <w:t>印制电路板（protel99原理图及PCB版图）</w:t>
      </w:r>
      <w:r>
        <w:rPr>
          <w:rFonts w:eastAsia="黑体"/>
          <w:bCs/>
          <w:szCs w:val="21"/>
        </w:rPr>
        <w:t xml:space="preserve"> </w:t>
      </w:r>
    </w:p>
    <w:p>
      <w:pPr>
        <w:spacing w:line="360" w:lineRule="auto"/>
        <w:ind w:firstLine="420" w:firstLineChars="200"/>
        <w:rPr>
          <w:szCs w:val="21"/>
        </w:rPr>
      </w:pPr>
      <w:r>
        <w:rPr>
          <w:szCs w:val="21"/>
        </w:rPr>
        <w:t xml:space="preserve">1. </w:t>
      </w:r>
      <w:r>
        <w:rPr>
          <w:rFonts w:hint="eastAsia"/>
          <w:szCs w:val="21"/>
        </w:rPr>
        <w:t>Protel99软件介绍及使用，了解印制电路板的发展。</w:t>
      </w:r>
    </w:p>
    <w:p>
      <w:pPr>
        <w:spacing w:line="360" w:lineRule="auto"/>
        <w:ind w:firstLine="420" w:firstLineChars="200"/>
        <w:rPr>
          <w:szCs w:val="21"/>
        </w:rPr>
      </w:pPr>
      <w:r>
        <w:rPr>
          <w:szCs w:val="21"/>
        </w:rPr>
        <w:t xml:space="preserve">2. </w:t>
      </w:r>
      <w:r>
        <w:rPr>
          <w:rFonts w:hint="eastAsia"/>
          <w:szCs w:val="21"/>
        </w:rPr>
        <w:t>充电器工作原理图，掌握印制电路板的设计方法，并了解印制电路板的制造与检验过程。</w:t>
      </w:r>
    </w:p>
    <w:p>
      <w:pPr>
        <w:adjustRightInd w:val="0"/>
        <w:spacing w:line="360" w:lineRule="auto"/>
        <w:ind w:firstLine="420" w:firstLineChars="200"/>
        <w:rPr>
          <w:szCs w:val="21"/>
        </w:rPr>
      </w:pPr>
      <w:r>
        <w:rPr>
          <w:rFonts w:hint="eastAsia"/>
          <w:szCs w:val="21"/>
        </w:rPr>
        <w:t>本章节内容支撑课程目标2、3。</w:t>
      </w:r>
    </w:p>
    <w:p>
      <w:pPr>
        <w:spacing w:line="360" w:lineRule="auto"/>
        <w:ind w:firstLine="420" w:firstLineChars="200"/>
        <w:rPr>
          <w:rFonts w:eastAsia="黑体"/>
          <w:szCs w:val="21"/>
        </w:rPr>
      </w:pPr>
      <w:r>
        <w:rPr>
          <w:rFonts w:eastAsia="黑体"/>
          <w:bCs/>
          <w:szCs w:val="21"/>
        </w:rPr>
        <w:t>第五章</w:t>
      </w:r>
      <w:r>
        <w:rPr>
          <w:rFonts w:hint="eastAsia" w:eastAsia="黑体"/>
          <w:bCs/>
          <w:szCs w:val="21"/>
        </w:rPr>
        <w:t xml:space="preserve"> </w:t>
      </w:r>
      <w:r>
        <w:rPr>
          <w:rFonts w:hint="eastAsia" w:ascii="黑体" w:eastAsia="黑体"/>
        </w:rPr>
        <w:t>焊接工艺教学</w:t>
      </w:r>
      <w:r>
        <w:rPr>
          <w:rFonts w:eastAsia="黑体"/>
          <w:bCs/>
          <w:szCs w:val="21"/>
        </w:rPr>
        <w:t xml:space="preserve"> </w:t>
      </w:r>
    </w:p>
    <w:p>
      <w:pPr>
        <w:spacing w:line="360" w:lineRule="auto"/>
        <w:ind w:firstLine="420" w:firstLineChars="200"/>
        <w:rPr>
          <w:rFonts w:hAnsi="宋体"/>
          <w:szCs w:val="21"/>
        </w:rPr>
      </w:pPr>
      <w:r>
        <w:rPr>
          <w:rFonts w:hAnsi="宋体"/>
          <w:szCs w:val="21"/>
        </w:rPr>
        <w:t xml:space="preserve">1. </w:t>
      </w:r>
      <w:r>
        <w:rPr>
          <w:rFonts w:hint="eastAsia" w:hAnsi="宋体"/>
          <w:szCs w:val="21"/>
        </w:rPr>
        <w:t>焊接工具、焊接材料的基本知识，掌握焊接质量及缺陷的检验及分析方法。</w:t>
      </w:r>
    </w:p>
    <w:p>
      <w:pPr>
        <w:spacing w:line="360" w:lineRule="auto"/>
        <w:ind w:firstLine="420" w:firstLineChars="200"/>
        <w:rPr>
          <w:rFonts w:hAnsi="宋体"/>
          <w:szCs w:val="21"/>
        </w:rPr>
      </w:pPr>
      <w:r>
        <w:rPr>
          <w:rFonts w:hAnsi="宋体"/>
          <w:szCs w:val="21"/>
        </w:rPr>
        <w:t xml:space="preserve">2. </w:t>
      </w:r>
      <w:r>
        <w:rPr>
          <w:rFonts w:hint="eastAsia" w:hAnsi="宋体"/>
          <w:szCs w:val="21"/>
        </w:rPr>
        <w:t>安装基础知识，典型零部件的安装方法。</w:t>
      </w:r>
    </w:p>
    <w:p>
      <w:pPr>
        <w:spacing w:line="360" w:lineRule="auto"/>
        <w:ind w:firstLine="420" w:firstLineChars="200"/>
        <w:rPr>
          <w:rFonts w:hAnsi="宋体"/>
          <w:szCs w:val="21"/>
        </w:rPr>
      </w:pPr>
      <w:r>
        <w:rPr>
          <w:rFonts w:hAnsi="宋体"/>
          <w:szCs w:val="21"/>
        </w:rPr>
        <w:t xml:space="preserve">3. </w:t>
      </w:r>
      <w:r>
        <w:rPr>
          <w:rFonts w:hint="eastAsia" w:hAnsi="宋体"/>
          <w:szCs w:val="21"/>
        </w:rPr>
        <w:t>常用电子测量仪器的使用，掌握选择和使用电子测量仪器应注意的问题，掌握调试工艺过程、静态测试与动态测试方法及整机测试调整的方法。</w:t>
      </w:r>
    </w:p>
    <w:p>
      <w:pPr>
        <w:adjustRightInd w:val="0"/>
        <w:spacing w:line="360" w:lineRule="auto"/>
        <w:ind w:firstLine="420" w:firstLineChars="200"/>
        <w:rPr>
          <w:szCs w:val="21"/>
        </w:rPr>
      </w:pPr>
      <w:r>
        <w:rPr>
          <w:rFonts w:hint="eastAsia"/>
          <w:szCs w:val="21"/>
        </w:rPr>
        <w:t>本章节内容支撑课程目标 1、2。</w:t>
      </w:r>
    </w:p>
    <w:p>
      <w:pPr>
        <w:spacing w:line="360" w:lineRule="auto"/>
        <w:ind w:firstLine="420" w:firstLineChars="200"/>
        <w:rPr>
          <w:rFonts w:eastAsia="黑体"/>
          <w:szCs w:val="21"/>
        </w:rPr>
      </w:pPr>
      <w:r>
        <w:rPr>
          <w:rFonts w:eastAsia="黑体"/>
          <w:bCs/>
          <w:szCs w:val="21"/>
        </w:rPr>
        <w:t xml:space="preserve">第六章  </w:t>
      </w:r>
      <w:r>
        <w:rPr>
          <w:rFonts w:hint="eastAsia" w:ascii="黑体" w:hAnsi="宋体" w:eastAsia="黑体" w:cs="宋体"/>
          <w:snapToGrid w:val="0"/>
          <w:kern w:val="0"/>
          <w:szCs w:val="21"/>
        </w:rPr>
        <w:t>典型电子工艺介绍（</w:t>
      </w:r>
      <w:r>
        <w:rPr>
          <w:rFonts w:hint="eastAsia" w:ascii="黑体" w:eastAsia="黑体"/>
        </w:rPr>
        <w:t>THT、SMT工艺）</w:t>
      </w:r>
      <w:r>
        <w:rPr>
          <w:rFonts w:eastAsia="黑体"/>
          <w:bCs/>
          <w:szCs w:val="21"/>
        </w:rPr>
        <w:t xml:space="preserve"> </w:t>
      </w:r>
    </w:p>
    <w:p>
      <w:pPr>
        <w:snapToGrid w:val="0"/>
        <w:spacing w:line="360" w:lineRule="auto"/>
        <w:ind w:firstLine="420" w:firstLineChars="200"/>
        <w:rPr>
          <w:szCs w:val="21"/>
        </w:rPr>
      </w:pPr>
      <w:r>
        <w:rPr>
          <w:szCs w:val="21"/>
        </w:rPr>
        <w:t xml:space="preserve">1. </w:t>
      </w:r>
      <w:r>
        <w:rPr>
          <w:rFonts w:hint="eastAsia"/>
          <w:szCs w:val="21"/>
        </w:rPr>
        <w:t>THT、SMT安装技术的主要内容、发展及优缺点，掌握THT、SMT安装工艺的装配结构及使用设备，掌握手工表面安装工艺。</w:t>
      </w:r>
    </w:p>
    <w:p>
      <w:pPr>
        <w:snapToGrid w:val="0"/>
        <w:spacing w:line="360" w:lineRule="auto"/>
        <w:ind w:firstLine="420" w:firstLineChars="200"/>
        <w:rPr>
          <w:szCs w:val="21"/>
        </w:rPr>
      </w:pPr>
      <w:r>
        <w:rPr>
          <w:szCs w:val="21"/>
        </w:rPr>
        <w:t xml:space="preserve">2. </w:t>
      </w:r>
      <w:r>
        <w:rPr>
          <w:rFonts w:hint="eastAsia"/>
          <w:szCs w:val="21"/>
        </w:rPr>
        <w:t>THT、SMT安装技术所用的元件及使用注意事项，了解微组装技术的基本内容和发展。</w:t>
      </w:r>
    </w:p>
    <w:p>
      <w:pPr>
        <w:snapToGrid w:val="0"/>
        <w:spacing w:line="360" w:lineRule="auto"/>
        <w:ind w:firstLine="420" w:firstLineChars="200"/>
        <w:rPr>
          <w:szCs w:val="21"/>
        </w:rPr>
      </w:pPr>
      <w:r>
        <w:rPr>
          <w:szCs w:val="21"/>
        </w:rPr>
        <w:t xml:space="preserve">3. </w:t>
      </w:r>
      <w:r>
        <w:rPr>
          <w:rFonts w:hint="eastAsia"/>
          <w:szCs w:val="21"/>
        </w:rPr>
        <w:t>THT、SMT安装印制板及材料的特点和设计，掌握多用充电器，电调谐FM收音机的制作工艺，了解亚超声波遥控开关等其它电子工艺实习产品的制作工艺。</w:t>
      </w:r>
    </w:p>
    <w:p>
      <w:pPr>
        <w:adjustRightInd w:val="0"/>
        <w:spacing w:line="360" w:lineRule="auto"/>
        <w:ind w:firstLine="420" w:firstLineChars="200"/>
        <w:rPr>
          <w:szCs w:val="21"/>
        </w:rPr>
      </w:pPr>
      <w:r>
        <w:rPr>
          <w:rFonts w:hint="eastAsia"/>
          <w:szCs w:val="21"/>
        </w:rPr>
        <w:t>本章节内容支撑课程目标1、2、3。</w:t>
      </w:r>
    </w:p>
    <w:p>
      <w:pPr>
        <w:spacing w:line="360" w:lineRule="auto"/>
        <w:rPr>
          <w:b/>
          <w:bCs/>
          <w:sz w:val="24"/>
        </w:rPr>
      </w:pPr>
    </w:p>
    <w:p>
      <w:pPr>
        <w:tabs>
          <w:tab w:val="left" w:pos="420"/>
        </w:tabs>
        <w:adjustRightInd w:val="0"/>
        <w:snapToGrid w:val="0"/>
        <w:spacing w:line="360" w:lineRule="auto"/>
        <w:ind w:left="420" w:hanging="420"/>
        <w:rPr>
          <w:rFonts w:eastAsia="黑体"/>
          <w:szCs w:val="21"/>
        </w:rPr>
      </w:pPr>
      <w:r>
        <w:rPr>
          <w:rFonts w:hint="eastAsia" w:eastAsia="黑体"/>
          <w:szCs w:val="21"/>
        </w:rPr>
        <w:t>四、实验教学内容</w:t>
      </w:r>
    </w:p>
    <w:p>
      <w:pPr>
        <w:adjustRightInd w:val="0"/>
        <w:snapToGrid w:val="0"/>
        <w:spacing w:line="360" w:lineRule="auto"/>
        <w:ind w:firstLine="424"/>
        <w:rPr>
          <w:rFonts w:ascii="宋体" w:hAnsi="宋体" w:cs="宋体"/>
          <w:kern w:val="0"/>
          <w:szCs w:val="21"/>
        </w:rPr>
      </w:pPr>
      <w:r>
        <w:rPr>
          <w:rFonts w:hint="eastAsia" w:ascii="宋体" w:hAnsi="宋体" w:cs="宋体"/>
          <w:kern w:val="0"/>
          <w:szCs w:val="21"/>
        </w:rPr>
        <w:t>实验环节主要为现场操作，要求保证仪器设备每人一套；要求学生能够在规定时间内独立完成产品的组装与调试。掌握电子产品的工作原理，掌握实习涉及的各仪器的规程操作，产品焊接按照原理图独立完成，亲自动手测试电子元件参数；实习报告及仿真数据交任课教师审核，以便课后处理。</w:t>
      </w:r>
    </w:p>
    <w:p>
      <w:pPr>
        <w:adjustRightInd w:val="0"/>
        <w:snapToGrid w:val="0"/>
        <w:spacing w:line="360" w:lineRule="auto"/>
        <w:ind w:firstLine="420" w:firstLineChars="200"/>
        <w:rPr>
          <w:rFonts w:ascii="黑体" w:eastAsia="黑体"/>
        </w:rPr>
      </w:pPr>
      <w:r>
        <w:rPr>
          <w:rFonts w:hint="eastAsia" w:ascii="黑体" w:eastAsia="黑体"/>
        </w:rPr>
        <w:t>实验一  Multisim上机实验</w:t>
      </w:r>
    </w:p>
    <w:p>
      <w:pPr>
        <w:adjustRightInd w:val="0"/>
        <w:snapToGrid w:val="0"/>
        <w:spacing w:line="360" w:lineRule="auto"/>
        <w:ind w:firstLine="420" w:firstLineChars="200"/>
        <w:rPr>
          <w:rFonts w:ascii="宋体"/>
        </w:rPr>
      </w:pPr>
      <w:r>
        <w:rPr>
          <w:rFonts w:hint="eastAsia" w:ascii="宋体"/>
        </w:rPr>
        <w:t>内容：学习用Multisim软件对充电器变压电路的全部整流、滤波及稳压输出电源进行模拟仿真</w:t>
      </w:r>
      <w:r>
        <w:rPr>
          <w:rFonts w:hint="eastAsia" w:ascii="宋体" w:hAnsi="宋体"/>
        </w:rPr>
        <w:t>。</w:t>
      </w:r>
    </w:p>
    <w:p>
      <w:pPr>
        <w:adjustRightInd w:val="0"/>
        <w:snapToGrid w:val="0"/>
        <w:spacing w:line="360" w:lineRule="auto"/>
        <w:ind w:firstLine="420"/>
        <w:rPr>
          <w:rFonts w:ascii="宋体"/>
        </w:rPr>
      </w:pPr>
      <w:r>
        <w:rPr>
          <w:rFonts w:hint="eastAsia" w:ascii="宋体"/>
        </w:rPr>
        <w:t>基本要求：</w:t>
      </w:r>
    </w:p>
    <w:p>
      <w:pPr>
        <w:adjustRightInd w:val="0"/>
        <w:snapToGrid w:val="0"/>
        <w:spacing w:line="360" w:lineRule="auto"/>
        <w:ind w:firstLine="468"/>
        <w:rPr>
          <w:rFonts w:ascii="宋体"/>
        </w:rPr>
      </w:pPr>
      <w:r>
        <w:rPr>
          <w:rFonts w:hint="eastAsia" w:ascii="宋体"/>
        </w:rPr>
        <w:t>1．用EDA软件在计算机上对设计电路原理图进行分析和仿真。</w:t>
      </w:r>
    </w:p>
    <w:p>
      <w:pPr>
        <w:adjustRightInd w:val="0"/>
        <w:snapToGrid w:val="0"/>
        <w:spacing w:line="360" w:lineRule="auto"/>
        <w:ind w:firstLine="468"/>
        <w:rPr>
          <w:rFonts w:ascii="宋体"/>
        </w:rPr>
      </w:pPr>
      <w:r>
        <w:rPr>
          <w:rFonts w:hint="eastAsia" w:ascii="宋体"/>
        </w:rPr>
        <w:t>2．作业：打印出设计电路原理图、仿真调试参数和信号波形。</w:t>
      </w:r>
    </w:p>
    <w:p>
      <w:pPr>
        <w:adjustRightInd w:val="0"/>
        <w:snapToGrid w:val="0"/>
        <w:spacing w:line="360" w:lineRule="auto"/>
        <w:ind w:firstLine="420" w:firstLineChars="200"/>
        <w:rPr>
          <w:szCs w:val="21"/>
        </w:rPr>
      </w:pPr>
      <w:r>
        <w:rPr>
          <w:rFonts w:hint="eastAsia"/>
          <w:szCs w:val="21"/>
        </w:rPr>
        <w:t>本实验内容支撑课程目标3。</w:t>
      </w:r>
    </w:p>
    <w:p>
      <w:pPr>
        <w:adjustRightInd w:val="0"/>
        <w:snapToGrid w:val="0"/>
        <w:spacing w:line="360" w:lineRule="auto"/>
        <w:ind w:firstLine="420" w:firstLineChars="200"/>
        <w:rPr>
          <w:rFonts w:ascii="黑体" w:eastAsia="黑体"/>
        </w:rPr>
      </w:pPr>
      <w:r>
        <w:rPr>
          <w:rFonts w:hint="eastAsia" w:ascii="黑体" w:eastAsia="黑体"/>
        </w:rPr>
        <w:t>实验二  Protel上机实验</w:t>
      </w:r>
    </w:p>
    <w:p>
      <w:pPr>
        <w:adjustRightInd w:val="0"/>
        <w:snapToGrid w:val="0"/>
        <w:spacing w:line="360" w:lineRule="auto"/>
        <w:ind w:firstLine="420" w:firstLineChars="200"/>
        <w:rPr>
          <w:rFonts w:ascii="宋体" w:hAnsi="宋体"/>
        </w:rPr>
      </w:pPr>
      <w:r>
        <w:rPr>
          <w:rFonts w:hint="eastAsia" w:ascii="宋体"/>
        </w:rPr>
        <w:t>内容</w:t>
      </w:r>
      <w:r>
        <w:rPr>
          <w:rFonts w:hint="eastAsia" w:ascii="宋体" w:hAnsi="宋体"/>
        </w:rPr>
        <w:t>：学习用 Protel软件画出充电器单级放大电路的原理图、及PCB版图。</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rPr>
        <w:t>1．用</w:t>
      </w:r>
      <w:r>
        <w:rPr>
          <w:rFonts w:ascii="宋体" w:hAnsi="宋体"/>
        </w:rPr>
        <w:t>Protel99</w:t>
      </w:r>
      <w:r>
        <w:rPr>
          <w:rFonts w:hint="eastAsia" w:ascii="宋体" w:hAnsi="宋体"/>
        </w:rPr>
        <w:t>软件在计算机上对设计电路图进行</w:t>
      </w:r>
      <w:r>
        <w:rPr>
          <w:rFonts w:ascii="宋体" w:hAnsi="宋体"/>
        </w:rPr>
        <w:t>PCB</w:t>
      </w:r>
      <w:r>
        <w:rPr>
          <w:rFonts w:hint="eastAsia" w:ascii="宋体" w:hAnsi="宋体"/>
        </w:rPr>
        <w:t>电路板图设计。</w:t>
      </w:r>
    </w:p>
    <w:p>
      <w:pPr>
        <w:adjustRightInd w:val="0"/>
        <w:snapToGrid w:val="0"/>
        <w:spacing w:line="360" w:lineRule="auto"/>
        <w:ind w:firstLine="315" w:firstLineChars="150"/>
        <w:rPr>
          <w:rFonts w:ascii="宋体"/>
        </w:rPr>
      </w:pPr>
      <w:r>
        <w:rPr>
          <w:rFonts w:hint="eastAsia" w:ascii="宋体" w:hAnsi="宋体"/>
        </w:rPr>
        <w:t xml:space="preserve"> 2．作业：</w:t>
      </w:r>
      <w:r>
        <w:rPr>
          <w:rFonts w:hint="eastAsia" w:ascii="宋体"/>
        </w:rPr>
        <w:t>打印出</w:t>
      </w:r>
      <w:r>
        <w:rPr>
          <w:rFonts w:hint="eastAsia" w:ascii="宋体" w:hAnsi="宋体"/>
        </w:rPr>
        <w:t>PCB印制电路板图、</w:t>
      </w:r>
      <w:r>
        <w:rPr>
          <w:rFonts w:hint="eastAsia" w:ascii="宋体"/>
        </w:rPr>
        <w:t>元件清单。</w:t>
      </w:r>
    </w:p>
    <w:p>
      <w:pPr>
        <w:adjustRightInd w:val="0"/>
        <w:snapToGrid w:val="0"/>
        <w:spacing w:line="360" w:lineRule="auto"/>
        <w:ind w:firstLine="420" w:firstLineChars="200"/>
        <w:rPr>
          <w:szCs w:val="21"/>
        </w:rPr>
      </w:pPr>
      <w:r>
        <w:rPr>
          <w:rFonts w:hint="eastAsia"/>
          <w:szCs w:val="21"/>
        </w:rPr>
        <w:t>本实验内容支撑课程目标3。</w:t>
      </w:r>
    </w:p>
    <w:p>
      <w:pPr>
        <w:adjustRightInd w:val="0"/>
        <w:snapToGrid w:val="0"/>
        <w:spacing w:line="360" w:lineRule="auto"/>
        <w:ind w:firstLine="420" w:firstLineChars="200"/>
        <w:rPr>
          <w:rFonts w:ascii="黑体" w:eastAsia="黑体"/>
        </w:rPr>
      </w:pPr>
      <w:r>
        <w:rPr>
          <w:rFonts w:hint="eastAsia" w:ascii="黑体" w:eastAsia="黑体"/>
        </w:rPr>
        <w:t>实验三  PCB电路板的加工制作实验</w:t>
      </w:r>
    </w:p>
    <w:p>
      <w:pPr>
        <w:adjustRightInd w:val="0"/>
        <w:snapToGrid w:val="0"/>
        <w:spacing w:line="360" w:lineRule="auto"/>
        <w:ind w:firstLine="420" w:firstLineChars="200"/>
        <w:rPr>
          <w:rFonts w:ascii="宋体" w:hAnsi="宋体"/>
        </w:rPr>
      </w:pPr>
      <w:r>
        <w:rPr>
          <w:rFonts w:hint="eastAsia" w:ascii="宋体"/>
        </w:rPr>
        <w:t>内容</w:t>
      </w:r>
      <w:r>
        <w:rPr>
          <w:rFonts w:hint="eastAsia" w:ascii="宋体" w:hAnsi="宋体"/>
        </w:rPr>
        <w:t>：介绍PCB印制电路板的加工制造工艺技术</w:t>
      </w:r>
      <w:r>
        <w:rPr>
          <w:rFonts w:hint="eastAsia" w:ascii="宋体" w:hAnsi="宋体" w:cs="宋体"/>
          <w:kern w:val="0"/>
          <w:szCs w:val="21"/>
        </w:rPr>
        <w:t>，及PCB板的种类。</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cs="宋体"/>
          <w:kern w:val="0"/>
          <w:szCs w:val="21"/>
        </w:rPr>
        <w:t>制作一块简单的印刷电路板，通过</w:t>
      </w:r>
      <w:r>
        <w:rPr>
          <w:rFonts w:hint="eastAsia" w:ascii="宋体" w:hAnsi="宋体"/>
        </w:rPr>
        <w:t>把设计好的</w:t>
      </w:r>
      <w:r>
        <w:rPr>
          <w:rFonts w:ascii="宋体" w:hAnsi="宋体"/>
        </w:rPr>
        <w:t>PCB</w:t>
      </w:r>
      <w:r>
        <w:rPr>
          <w:rFonts w:hint="eastAsia" w:ascii="宋体" w:hAnsi="宋体"/>
        </w:rPr>
        <w:t>电路板图纸、经过图纸转印、</w:t>
      </w:r>
      <w:r>
        <w:rPr>
          <w:rFonts w:hint="eastAsia" w:ascii="宋体" w:hAnsi="宋体" w:cs="宋体"/>
          <w:kern w:val="0"/>
          <w:szCs w:val="21"/>
        </w:rPr>
        <w:t>敷</w:t>
      </w:r>
      <w:r>
        <w:rPr>
          <w:rFonts w:hint="eastAsia" w:ascii="宋体" w:hAnsi="宋体"/>
        </w:rPr>
        <w:t>铜板饰刻、钻孔等加工过程制成</w:t>
      </w:r>
      <w:r>
        <w:rPr>
          <w:rFonts w:ascii="宋体" w:hAnsi="宋体"/>
        </w:rPr>
        <w:t>PCB</w:t>
      </w:r>
      <w:r>
        <w:rPr>
          <w:rFonts w:hint="eastAsia" w:ascii="宋体" w:hAnsi="宋体"/>
        </w:rPr>
        <w:t>电路板。</w:t>
      </w:r>
    </w:p>
    <w:p>
      <w:pPr>
        <w:adjustRightInd w:val="0"/>
        <w:snapToGrid w:val="0"/>
        <w:spacing w:line="360" w:lineRule="auto"/>
        <w:ind w:firstLine="420" w:firstLineChars="200"/>
        <w:rPr>
          <w:szCs w:val="21"/>
        </w:rPr>
      </w:pPr>
      <w:r>
        <w:rPr>
          <w:rFonts w:hint="eastAsia"/>
          <w:szCs w:val="21"/>
        </w:rPr>
        <w:t>本实验内容支撑课程目标2、3。</w:t>
      </w:r>
    </w:p>
    <w:p>
      <w:pPr>
        <w:adjustRightInd w:val="0"/>
        <w:snapToGrid w:val="0"/>
        <w:spacing w:line="360" w:lineRule="auto"/>
        <w:ind w:firstLine="420" w:firstLineChars="200"/>
        <w:rPr>
          <w:rFonts w:ascii="黑体" w:eastAsia="黑体"/>
        </w:rPr>
      </w:pPr>
      <w:r>
        <w:rPr>
          <w:rFonts w:hint="eastAsia" w:ascii="黑体" w:eastAsia="黑体"/>
        </w:rPr>
        <w:t xml:space="preserve">实验四 </w:t>
      </w:r>
      <w:r>
        <w:rPr>
          <w:rFonts w:hint="eastAsia" w:ascii="黑体" w:hAnsi="黑体" w:eastAsia="黑体"/>
        </w:rPr>
        <w:t xml:space="preserve"> 练习焊接</w:t>
      </w:r>
    </w:p>
    <w:p>
      <w:pPr>
        <w:adjustRightInd w:val="0"/>
        <w:snapToGrid w:val="0"/>
        <w:spacing w:line="360" w:lineRule="auto"/>
        <w:ind w:firstLine="420" w:firstLineChars="200"/>
        <w:rPr>
          <w:rFonts w:ascii="宋体" w:hAnsi="宋体"/>
        </w:rPr>
      </w:pPr>
      <w:r>
        <w:rPr>
          <w:rFonts w:hint="eastAsia" w:ascii="宋体"/>
        </w:rPr>
        <w:t>内容</w:t>
      </w:r>
      <w:r>
        <w:rPr>
          <w:rFonts w:hint="eastAsia" w:ascii="宋体" w:hAnsi="宋体"/>
        </w:rPr>
        <w:t>：介绍手工锡焊的工艺要素、焊点的质量要求、焊接工具的使用。</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cs="宋体"/>
          <w:kern w:val="0"/>
          <w:szCs w:val="21"/>
        </w:rPr>
        <w:t>在自制的印刷电路板上练习焊接操作，掌握</w:t>
      </w:r>
      <w:r>
        <w:rPr>
          <w:rFonts w:hint="eastAsia" w:ascii="宋体" w:hAnsi="宋体"/>
        </w:rPr>
        <w:t>手工锡焊工艺技术。</w:t>
      </w:r>
    </w:p>
    <w:p>
      <w:pPr>
        <w:adjustRightInd w:val="0"/>
        <w:snapToGrid w:val="0"/>
        <w:spacing w:line="360" w:lineRule="auto"/>
        <w:ind w:firstLine="420" w:firstLineChars="200"/>
        <w:rPr>
          <w:szCs w:val="21"/>
        </w:rPr>
      </w:pPr>
      <w:r>
        <w:rPr>
          <w:rFonts w:hint="eastAsia"/>
          <w:szCs w:val="21"/>
        </w:rPr>
        <w:t>本实验内容支撑课程目标1、2。</w:t>
      </w:r>
    </w:p>
    <w:p>
      <w:pPr>
        <w:adjustRightInd w:val="0"/>
        <w:snapToGrid w:val="0"/>
        <w:spacing w:line="360" w:lineRule="auto"/>
        <w:ind w:firstLine="420" w:firstLineChars="200"/>
        <w:rPr>
          <w:rFonts w:ascii="黑体" w:hAnsi="黑体" w:eastAsia="黑体"/>
        </w:rPr>
      </w:pPr>
      <w:r>
        <w:rPr>
          <w:rFonts w:hint="eastAsia" w:ascii="黑体" w:hAnsi="黑体" w:eastAsia="黑体"/>
        </w:rPr>
        <w:t>实验五  THT工艺的电子产品焊接</w:t>
      </w:r>
    </w:p>
    <w:p>
      <w:pPr>
        <w:adjustRightInd w:val="0"/>
        <w:snapToGrid w:val="0"/>
        <w:spacing w:line="360" w:lineRule="auto"/>
        <w:ind w:firstLine="420" w:firstLineChars="200"/>
        <w:rPr>
          <w:rFonts w:ascii="宋体" w:hAnsi="宋体"/>
        </w:rPr>
      </w:pPr>
      <w:r>
        <w:rPr>
          <w:rFonts w:hint="eastAsia" w:ascii="宋体"/>
        </w:rPr>
        <w:t>内容</w:t>
      </w:r>
      <w:r>
        <w:rPr>
          <w:rFonts w:hint="eastAsia" w:ascii="宋体" w:hAnsi="宋体"/>
        </w:rPr>
        <w:t>：介绍传统的通孔安装工艺技术THT（Through Hole mounting Technology）。</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rPr>
        <w:t>以简单产品电路元件的安装、焊接过程，使学生</w:t>
      </w:r>
      <w:r>
        <w:rPr>
          <w:rFonts w:hint="eastAsia" w:ascii="宋体" w:hAnsi="宋体" w:cs="宋体"/>
          <w:kern w:val="0"/>
          <w:szCs w:val="21"/>
        </w:rPr>
        <w:t>掌握</w:t>
      </w:r>
      <w:r>
        <w:rPr>
          <w:rFonts w:hint="eastAsia" w:ascii="宋体" w:hAnsi="宋体"/>
        </w:rPr>
        <w:t>THT工艺产品生产焊接过程。</w:t>
      </w:r>
    </w:p>
    <w:p>
      <w:pPr>
        <w:adjustRightInd w:val="0"/>
        <w:snapToGrid w:val="0"/>
        <w:spacing w:line="360" w:lineRule="auto"/>
        <w:ind w:firstLine="420" w:firstLineChars="200"/>
        <w:rPr>
          <w:szCs w:val="21"/>
        </w:rPr>
      </w:pPr>
      <w:r>
        <w:rPr>
          <w:rFonts w:hint="eastAsia"/>
          <w:szCs w:val="21"/>
        </w:rPr>
        <w:t>本实验内容支撑课程目标1、2。</w:t>
      </w:r>
    </w:p>
    <w:p>
      <w:pPr>
        <w:adjustRightInd w:val="0"/>
        <w:snapToGrid w:val="0"/>
        <w:spacing w:line="360" w:lineRule="auto"/>
        <w:ind w:firstLine="420" w:firstLineChars="200"/>
        <w:rPr>
          <w:rFonts w:ascii="黑体" w:eastAsia="黑体"/>
        </w:rPr>
      </w:pPr>
      <w:r>
        <w:rPr>
          <w:rFonts w:hint="eastAsia" w:ascii="黑体" w:hAnsi="黑体" w:eastAsia="黑体" w:cs="宋体"/>
          <w:kern w:val="0"/>
          <w:szCs w:val="21"/>
        </w:rPr>
        <w:t xml:space="preserve">实验六 </w:t>
      </w:r>
      <w:r>
        <w:rPr>
          <w:rFonts w:ascii="黑体" w:hAnsi="黑体" w:eastAsia="黑体" w:cs="宋体"/>
          <w:kern w:val="0"/>
          <w:szCs w:val="21"/>
        </w:rPr>
        <w:t xml:space="preserve"> </w:t>
      </w:r>
      <w:r>
        <w:rPr>
          <w:rFonts w:hint="eastAsia" w:ascii="黑体" w:eastAsia="黑体"/>
        </w:rPr>
        <w:t>直流稳压电源全波整流测试、整流滤波测试、及稳压电源输出电压的测试</w:t>
      </w:r>
    </w:p>
    <w:p>
      <w:pPr>
        <w:adjustRightInd w:val="0"/>
        <w:snapToGrid w:val="0"/>
        <w:spacing w:line="360" w:lineRule="auto"/>
        <w:ind w:firstLine="464" w:firstLineChars="221"/>
        <w:rPr>
          <w:rFonts w:ascii="宋体" w:hAnsi="宋体" w:cs="宋体"/>
          <w:kern w:val="0"/>
          <w:szCs w:val="21"/>
        </w:rPr>
      </w:pPr>
      <w:r>
        <w:rPr>
          <w:rFonts w:hint="eastAsia" w:ascii="宋体" w:hAnsi="宋体" w:cs="宋体"/>
          <w:kern w:val="0"/>
          <w:szCs w:val="21"/>
        </w:rPr>
        <w:t>内容：1.用模拟示波器观察直流稳压电源全波整流电路、整流滤波电路的波形变化；2.用示波器测量稳压电源输出信号的大小。</w:t>
      </w:r>
    </w:p>
    <w:p>
      <w:pPr>
        <w:adjustRightInd w:val="0"/>
        <w:snapToGrid w:val="0"/>
        <w:spacing w:line="360" w:lineRule="auto"/>
        <w:ind w:firstLine="464" w:firstLineChars="221"/>
        <w:rPr>
          <w:rFonts w:ascii="宋体" w:hAnsi="宋体" w:cs="宋体"/>
          <w:kern w:val="0"/>
          <w:szCs w:val="21"/>
        </w:rPr>
      </w:pPr>
      <w:r>
        <w:rPr>
          <w:rFonts w:hint="eastAsia" w:ascii="宋体" w:hAnsi="宋体" w:cs="宋体"/>
          <w:kern w:val="0"/>
          <w:szCs w:val="21"/>
        </w:rPr>
        <w:t>基本要求：</w:t>
      </w:r>
    </w:p>
    <w:p>
      <w:pPr>
        <w:adjustRightInd w:val="0"/>
        <w:snapToGrid w:val="0"/>
        <w:spacing w:line="360" w:lineRule="auto"/>
        <w:ind w:firstLine="464" w:firstLineChars="221"/>
        <w:rPr>
          <w:rFonts w:ascii="宋体" w:hAnsi="宋体" w:cs="宋体"/>
          <w:kern w:val="0"/>
          <w:szCs w:val="21"/>
        </w:rPr>
      </w:pPr>
      <w:r>
        <w:rPr>
          <w:rFonts w:hint="eastAsia" w:ascii="宋体" w:hAnsi="宋体" w:cs="宋体"/>
          <w:kern w:val="0"/>
          <w:szCs w:val="21"/>
        </w:rPr>
        <w:t>1.能根据具体波形分析全波整流电路及整流滤波电路的原理；</w:t>
      </w:r>
    </w:p>
    <w:p>
      <w:pPr>
        <w:adjustRightInd w:val="0"/>
        <w:snapToGrid w:val="0"/>
        <w:spacing w:line="360" w:lineRule="auto"/>
        <w:ind w:firstLine="464" w:firstLineChars="221"/>
        <w:rPr>
          <w:rFonts w:ascii="宋体" w:hAnsi="宋体" w:cs="宋体"/>
          <w:kern w:val="0"/>
          <w:szCs w:val="21"/>
        </w:rPr>
      </w:pPr>
      <w:r>
        <w:rPr>
          <w:rFonts w:hint="eastAsia" w:ascii="宋体" w:hAnsi="宋体" w:cs="宋体"/>
          <w:kern w:val="0"/>
          <w:szCs w:val="21"/>
        </w:rPr>
        <w:t>2.掌握整个直流稳压电源的充电作用原理，各支路的具体作用。</w:t>
      </w:r>
    </w:p>
    <w:p>
      <w:pPr>
        <w:adjustRightInd w:val="0"/>
        <w:snapToGrid w:val="0"/>
        <w:spacing w:line="360" w:lineRule="auto"/>
        <w:ind w:firstLine="420" w:firstLineChars="200"/>
        <w:rPr>
          <w:szCs w:val="21"/>
        </w:rPr>
      </w:pPr>
      <w:r>
        <w:rPr>
          <w:rFonts w:hint="eastAsia"/>
          <w:szCs w:val="21"/>
        </w:rPr>
        <w:t>本实验内容支撑课程目标1、2。</w:t>
      </w:r>
    </w:p>
    <w:p>
      <w:pPr>
        <w:adjustRightInd w:val="0"/>
        <w:snapToGrid w:val="0"/>
        <w:spacing w:line="360" w:lineRule="auto"/>
        <w:ind w:firstLine="420" w:firstLineChars="200"/>
        <w:rPr>
          <w:rFonts w:ascii="宋体" w:hAnsi="宋体" w:cs="宋体"/>
          <w:kern w:val="0"/>
          <w:szCs w:val="21"/>
        </w:rPr>
      </w:pPr>
      <w:r>
        <w:rPr>
          <w:rFonts w:hint="eastAsia" w:ascii="黑体" w:hAnsi="黑体" w:eastAsia="黑体" w:cs="宋体"/>
          <w:kern w:val="0"/>
          <w:szCs w:val="21"/>
        </w:rPr>
        <w:t xml:space="preserve">实验七 </w:t>
      </w:r>
      <w:r>
        <w:rPr>
          <w:rFonts w:ascii="黑体" w:hAnsi="黑体" w:eastAsia="黑体" w:cs="宋体"/>
          <w:kern w:val="0"/>
          <w:szCs w:val="21"/>
        </w:rPr>
        <w:t xml:space="preserve"> </w:t>
      </w:r>
      <w:r>
        <w:rPr>
          <w:rFonts w:hint="eastAsia" w:ascii="黑体" w:eastAsia="黑体"/>
        </w:rPr>
        <w:t>晶体管的测试</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内容：学习利用晶体管特性图示仪测量三极管、稳压管、二极管等不同晶体管的特性。</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基本要求：</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1.通过对不同三极管的测试，了解不同类型三极管的输入、输出特性曲线，及相关的α、β参数；</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2.了解</w:t>
      </w:r>
      <w:r>
        <w:rPr>
          <w:rFonts w:ascii="宋体" w:hAnsi="宋体" w:cs="宋体"/>
          <w:kern w:val="0"/>
          <w:szCs w:val="21"/>
        </w:rPr>
        <w:t>二极管的正向、反向特性；</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3.了解</w:t>
      </w:r>
      <w:r>
        <w:fldChar w:fldCharType="begin"/>
      </w:r>
      <w:r>
        <w:instrText xml:space="preserve"> HYPERLINK "http://baike.so.com/doc/5595634-5808235.html" \t "_blank" </w:instrText>
      </w:r>
      <w:r>
        <w:fldChar w:fldCharType="separate"/>
      </w:r>
      <w:r>
        <w:rPr>
          <w:rFonts w:ascii="宋体" w:hAnsi="宋体" w:cs="宋体"/>
          <w:kern w:val="0"/>
          <w:szCs w:val="21"/>
        </w:rPr>
        <w:t>稳压管</w:t>
      </w:r>
      <w:r>
        <w:rPr>
          <w:rFonts w:ascii="宋体" w:hAnsi="宋体" w:cs="宋体"/>
          <w:kern w:val="0"/>
          <w:szCs w:val="21"/>
        </w:rPr>
        <w:fldChar w:fldCharType="end"/>
      </w:r>
      <w:r>
        <w:rPr>
          <w:rFonts w:ascii="宋体" w:hAnsi="宋体" w:cs="宋体"/>
          <w:kern w:val="0"/>
          <w:szCs w:val="21"/>
        </w:rPr>
        <w:t>的稳压特性。</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eastAsia="黑体"/>
        </w:rPr>
      </w:pPr>
      <w:r>
        <w:rPr>
          <w:rFonts w:hint="eastAsia" w:ascii="黑体" w:eastAsia="黑体"/>
        </w:rPr>
        <w:t xml:space="preserve">实验八 </w:t>
      </w:r>
      <w:r>
        <w:rPr>
          <w:rFonts w:ascii="黑体" w:eastAsia="黑体"/>
        </w:rPr>
        <w:t xml:space="preserve"> </w:t>
      </w:r>
      <w:r>
        <w:rPr>
          <w:rFonts w:hint="eastAsia" w:ascii="黑体" w:eastAsia="黑体"/>
        </w:rPr>
        <w:t>电子产品安装、调试</w:t>
      </w:r>
    </w:p>
    <w:p>
      <w:pPr>
        <w:adjustRightInd w:val="0"/>
        <w:snapToGrid w:val="0"/>
        <w:spacing w:line="360" w:lineRule="auto"/>
        <w:ind w:firstLine="420" w:firstLineChars="200"/>
        <w:rPr>
          <w:rFonts w:ascii="宋体" w:hAnsi="宋体"/>
        </w:rPr>
      </w:pPr>
      <w:r>
        <w:rPr>
          <w:rFonts w:hint="eastAsia" w:ascii="宋体"/>
        </w:rPr>
        <w:t>内容</w:t>
      </w:r>
      <w:r>
        <w:rPr>
          <w:rFonts w:hint="eastAsia" w:ascii="宋体" w:hAnsi="宋体"/>
        </w:rPr>
        <w:t>：学习电子产品安装、调试过程。</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rPr>
        <w:t>1.完成对简单产品的单元电路板及配件的安装、焊接、调试；</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2.掌握电子电路的调试方法、故障分析和处理问题的能力。</w:t>
      </w:r>
    </w:p>
    <w:p>
      <w:pPr>
        <w:adjustRightInd w:val="0"/>
        <w:snapToGrid w:val="0"/>
        <w:spacing w:line="360" w:lineRule="auto"/>
        <w:ind w:firstLine="420" w:firstLineChars="200"/>
        <w:rPr>
          <w:szCs w:val="21"/>
        </w:rPr>
      </w:pPr>
      <w:r>
        <w:rPr>
          <w:rFonts w:hint="eastAsia"/>
          <w:szCs w:val="21"/>
        </w:rPr>
        <w:t>本实验内容支撑课程目标2、3。</w:t>
      </w:r>
    </w:p>
    <w:p>
      <w:pPr>
        <w:adjustRightInd w:val="0"/>
        <w:snapToGrid w:val="0"/>
        <w:spacing w:line="360" w:lineRule="auto"/>
        <w:ind w:firstLine="420" w:firstLineChars="200"/>
        <w:rPr>
          <w:rFonts w:ascii="黑体" w:eastAsia="黑体"/>
        </w:rPr>
      </w:pPr>
      <w:r>
        <w:rPr>
          <w:rFonts w:hint="eastAsia" w:ascii="黑体" w:eastAsia="黑体"/>
        </w:rPr>
        <w:t>实验九  SMT工艺的电子产品焊接</w:t>
      </w:r>
    </w:p>
    <w:p>
      <w:pPr>
        <w:adjustRightInd w:val="0"/>
        <w:snapToGrid w:val="0"/>
        <w:spacing w:line="360" w:lineRule="auto"/>
        <w:ind w:firstLine="420" w:firstLineChars="200"/>
        <w:rPr>
          <w:rFonts w:ascii="宋体" w:hAnsi="宋体"/>
        </w:rPr>
      </w:pPr>
      <w:r>
        <w:rPr>
          <w:rFonts w:hint="eastAsia" w:ascii="宋体" w:hAnsi="宋体"/>
        </w:rPr>
        <w:t>内容：学习现代先进的表面安装工艺技术SMT（Surface Mount Technology），</w:t>
      </w:r>
      <w:r>
        <w:rPr>
          <w:rFonts w:hint="eastAsia" w:ascii="宋体" w:hAnsi="宋体" w:cs="宋体"/>
          <w:kern w:val="0"/>
          <w:szCs w:val="21"/>
        </w:rPr>
        <w:t>掌握最基本操作技艺。</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rPr>
        <w:t>1.以简单产品的元件的安装、焊接，使学生了解SMT的特点；</w:t>
      </w:r>
    </w:p>
    <w:p>
      <w:pPr>
        <w:adjustRightInd w:val="0"/>
        <w:snapToGrid w:val="0"/>
        <w:spacing w:line="360" w:lineRule="auto"/>
        <w:ind w:firstLine="420" w:firstLineChars="200"/>
        <w:rPr>
          <w:rFonts w:ascii="宋体" w:hAnsi="宋体" w:cs="宋体"/>
          <w:kern w:val="0"/>
          <w:szCs w:val="21"/>
        </w:rPr>
      </w:pPr>
      <w:r>
        <w:rPr>
          <w:rFonts w:hint="eastAsia" w:ascii="宋体" w:hAnsi="宋体"/>
        </w:rPr>
        <w:t>2.熟悉基本SMT产品生产工艺过程</w:t>
      </w:r>
      <w:r>
        <w:rPr>
          <w:rFonts w:hint="eastAsia" w:ascii="宋体" w:hAnsi="宋体" w:cs="宋体"/>
          <w:kern w:val="0"/>
          <w:szCs w:val="21"/>
        </w:rPr>
        <w:t>。</w:t>
      </w:r>
    </w:p>
    <w:p>
      <w:pPr>
        <w:adjustRightInd w:val="0"/>
        <w:snapToGrid w:val="0"/>
        <w:spacing w:line="360" w:lineRule="auto"/>
        <w:ind w:firstLine="420" w:firstLineChars="200"/>
        <w:rPr>
          <w:szCs w:val="21"/>
        </w:rPr>
      </w:pPr>
      <w:r>
        <w:rPr>
          <w:rFonts w:hint="eastAsia"/>
          <w:szCs w:val="21"/>
        </w:rPr>
        <w:t>本实验内容支撑课程目标2、3。</w:t>
      </w:r>
    </w:p>
    <w:p>
      <w:pPr>
        <w:adjustRightInd w:val="0"/>
        <w:snapToGrid w:val="0"/>
        <w:spacing w:line="360" w:lineRule="auto"/>
        <w:ind w:firstLine="420" w:firstLineChars="200"/>
        <w:rPr>
          <w:rFonts w:ascii="黑体" w:hAnsi="黑体" w:eastAsia="黑体" w:cs="宋体"/>
          <w:kern w:val="0"/>
          <w:szCs w:val="21"/>
        </w:rPr>
      </w:pPr>
      <w:r>
        <w:rPr>
          <w:rFonts w:hint="eastAsia" w:ascii="黑体" w:hAnsi="黑体" w:eastAsia="黑体" w:cs="宋体"/>
          <w:kern w:val="0"/>
          <w:szCs w:val="21"/>
        </w:rPr>
        <w:t>实验十</w:t>
      </w:r>
      <w:r>
        <w:rPr>
          <w:rFonts w:ascii="黑体" w:hAnsi="黑体" w:eastAsia="黑体" w:cs="宋体"/>
          <w:kern w:val="0"/>
          <w:szCs w:val="21"/>
        </w:rPr>
        <w:t xml:space="preserve">  </w:t>
      </w:r>
      <w:r>
        <w:rPr>
          <w:rFonts w:hint="eastAsia" w:ascii="黑体" w:hAnsi="黑体" w:eastAsia="黑体" w:cs="宋体"/>
          <w:kern w:val="0"/>
          <w:szCs w:val="21"/>
        </w:rPr>
        <w:t>收音机低频功放电路工作原理的测试</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内容：学会使用音频信号发生器，利用示波器观察在该音频信号下，功放电路的输出波形，调节电位器RP观察输出波形随电位器变化的情况，掌握该功放电路的工作原理</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基本要求：</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1.能从整个电路图中肢解出局部的低频功放电路，找到合适的测试点对功放电路进行检测。</w:t>
      </w:r>
    </w:p>
    <w:p>
      <w:pPr>
        <w:adjustRightInd w:val="0"/>
        <w:snapToGrid w:val="0"/>
        <w:spacing w:line="360" w:lineRule="auto"/>
        <w:ind w:firstLine="464" w:firstLineChars="221"/>
        <w:rPr>
          <w:rFonts w:ascii="宋体" w:hAnsi="宋体" w:cs="宋体"/>
          <w:kern w:val="0"/>
          <w:szCs w:val="21"/>
        </w:rPr>
      </w:pPr>
      <w:r>
        <w:rPr>
          <w:rFonts w:hint="eastAsia" w:ascii="宋体" w:hAnsi="宋体" w:cs="宋体"/>
          <w:kern w:val="0"/>
          <w:szCs w:val="21"/>
        </w:rPr>
        <w:t>2.掌握低频功放电路的工作原理。</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cs="宋体"/>
          <w:kern w:val="0"/>
          <w:szCs w:val="21"/>
        </w:rPr>
      </w:pPr>
      <w:r>
        <w:rPr>
          <w:rFonts w:hint="eastAsia" w:ascii="黑体" w:hAnsi="黑体" w:eastAsia="黑体" w:cs="宋体"/>
          <w:kern w:val="0"/>
          <w:szCs w:val="21"/>
        </w:rPr>
        <w:t>实验十一</w:t>
      </w:r>
      <w:r>
        <w:rPr>
          <w:rFonts w:ascii="黑体" w:hAnsi="黑体" w:eastAsia="黑体" w:cs="宋体"/>
          <w:kern w:val="0"/>
          <w:szCs w:val="21"/>
        </w:rPr>
        <w:t xml:space="preserve">  </w:t>
      </w:r>
      <w:r>
        <w:rPr>
          <w:rFonts w:hint="eastAsia" w:ascii="黑体" w:hAnsi="黑体" w:eastAsia="黑体" w:cs="宋体"/>
          <w:kern w:val="0"/>
          <w:szCs w:val="21"/>
        </w:rPr>
        <w:t>收音机低频功放电路失真度的测试</w:t>
      </w:r>
    </w:p>
    <w:p>
      <w:pPr>
        <w:adjustRightInd w:val="0"/>
        <w:snapToGrid w:val="0"/>
        <w:spacing w:line="360" w:lineRule="auto"/>
        <w:ind w:firstLine="420" w:firstLineChars="200"/>
        <w:rPr>
          <w:rFonts w:ascii="宋体" w:hAnsi="宋体" w:cs="宋体"/>
          <w:kern w:val="0"/>
          <w:szCs w:val="21"/>
        </w:rPr>
      </w:pPr>
      <w:r>
        <w:rPr>
          <w:rFonts w:hint="eastAsia" w:ascii="宋体"/>
        </w:rPr>
        <w:t>内容</w:t>
      </w:r>
      <w:r>
        <w:rPr>
          <w:rFonts w:hint="eastAsia" w:ascii="宋体" w:hAnsi="宋体" w:cs="宋体"/>
          <w:kern w:val="0"/>
          <w:szCs w:val="21"/>
        </w:rPr>
        <w:t>：利用失真度测量仪，测试收音机功放电路失真度指标，了解非线性失真的程度对整个电路的影响。</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基本要求：</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1.调节电位器改变音量大小时，注意功放电路失真度的变化，学会分析其中的原理。</w:t>
      </w:r>
    </w:p>
    <w:p>
      <w:pPr>
        <w:adjustRightInd w:val="0"/>
        <w:snapToGrid w:val="0"/>
        <w:spacing w:line="360" w:lineRule="auto"/>
        <w:ind w:firstLine="420" w:firstLineChars="200"/>
        <w:rPr>
          <w:rFonts w:ascii="宋体" w:hAnsi="宋体" w:cs="宋体"/>
          <w:kern w:val="0"/>
          <w:szCs w:val="21"/>
        </w:rPr>
      </w:pPr>
      <w:r>
        <w:rPr>
          <w:rFonts w:hint="eastAsia" w:ascii="宋体" w:hAnsi="宋体" w:cs="宋体"/>
          <w:kern w:val="0"/>
          <w:szCs w:val="21"/>
        </w:rPr>
        <w:t>2.根据测试数据学会分析电路故障原因</w:t>
      </w:r>
    </w:p>
    <w:p>
      <w:pPr>
        <w:adjustRightInd w:val="0"/>
        <w:snapToGrid w:val="0"/>
        <w:spacing w:line="360" w:lineRule="auto"/>
        <w:ind w:firstLine="420" w:firstLineChars="200"/>
        <w:rPr>
          <w:szCs w:val="21"/>
        </w:rPr>
      </w:pPr>
      <w:r>
        <w:rPr>
          <w:rFonts w:hint="eastAsia"/>
          <w:szCs w:val="21"/>
        </w:rPr>
        <w:t>本实验内容支撑课程目标1、2、3。</w:t>
      </w:r>
    </w:p>
    <w:p>
      <w:pPr>
        <w:adjustRightInd w:val="0"/>
        <w:snapToGrid w:val="0"/>
        <w:spacing w:line="360" w:lineRule="auto"/>
        <w:ind w:firstLine="420" w:firstLineChars="200"/>
        <w:rPr>
          <w:rFonts w:ascii="黑体" w:hAnsi="黑体" w:eastAsia="黑体"/>
        </w:rPr>
      </w:pPr>
      <w:r>
        <w:rPr>
          <w:rFonts w:hint="eastAsia" w:ascii="黑体" w:hAnsi="黑体" w:eastAsia="黑体"/>
        </w:rPr>
        <w:t>实验十二  电子产品测试、验收</w:t>
      </w:r>
    </w:p>
    <w:p>
      <w:pPr>
        <w:adjustRightInd w:val="0"/>
        <w:snapToGrid w:val="0"/>
        <w:spacing w:line="360" w:lineRule="auto"/>
        <w:ind w:firstLine="420" w:firstLineChars="200"/>
        <w:rPr>
          <w:rFonts w:ascii="宋体" w:hAnsi="宋体"/>
        </w:rPr>
      </w:pPr>
      <w:r>
        <w:rPr>
          <w:rFonts w:hint="eastAsia" w:ascii="宋体" w:hAnsi="宋体"/>
        </w:rPr>
        <w:t>内容：学习产品生产中测试、验收过程。</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rPr>
      </w:pPr>
      <w:r>
        <w:rPr>
          <w:rFonts w:hint="eastAsia" w:ascii="宋体" w:hAnsi="宋体"/>
        </w:rPr>
        <w:t>在简单产品</w:t>
      </w:r>
      <w:r>
        <w:rPr>
          <w:rFonts w:hint="eastAsia"/>
        </w:rPr>
        <w:t>安装、调试完后由老师查检对其产品</w:t>
      </w:r>
      <w:r>
        <w:rPr>
          <w:rFonts w:hint="eastAsia" w:ascii="宋体" w:hAnsi="宋体"/>
        </w:rPr>
        <w:t xml:space="preserve">的性能、指标进行测试、验收，不合格重新修理直至合格为至。 </w:t>
      </w:r>
    </w:p>
    <w:p>
      <w:pPr>
        <w:adjustRightInd w:val="0"/>
        <w:snapToGrid w:val="0"/>
        <w:spacing w:line="360" w:lineRule="auto"/>
        <w:ind w:firstLine="420" w:firstLineChars="200"/>
        <w:rPr>
          <w:szCs w:val="21"/>
        </w:rPr>
      </w:pPr>
      <w:r>
        <w:rPr>
          <w:rFonts w:hint="eastAsia"/>
          <w:szCs w:val="21"/>
        </w:rPr>
        <w:t>本实验内容支撑课程目标2、3。</w:t>
      </w:r>
    </w:p>
    <w:p>
      <w:pPr>
        <w:adjustRightInd w:val="0"/>
        <w:snapToGrid w:val="0"/>
        <w:spacing w:line="360" w:lineRule="auto"/>
        <w:ind w:firstLine="420" w:firstLineChars="200"/>
        <w:rPr>
          <w:rFonts w:ascii="黑体" w:eastAsia="黑体"/>
        </w:rPr>
      </w:pPr>
      <w:r>
        <w:rPr>
          <w:rFonts w:hint="eastAsia" w:ascii="黑体" w:eastAsia="黑体"/>
        </w:rPr>
        <w:t xml:space="preserve">实验十三 </w:t>
      </w:r>
      <w:r>
        <w:rPr>
          <w:rFonts w:hint="eastAsia" w:ascii="宋体" w:hAnsi="宋体"/>
        </w:rPr>
        <w:t xml:space="preserve"> </w:t>
      </w:r>
      <w:r>
        <w:rPr>
          <w:rFonts w:hint="eastAsia" w:ascii="黑体" w:hAnsi="黑体" w:eastAsia="黑体"/>
        </w:rPr>
        <w:t>撰写电子工艺实习报告</w:t>
      </w:r>
    </w:p>
    <w:p>
      <w:pPr>
        <w:adjustRightInd w:val="0"/>
        <w:snapToGrid w:val="0"/>
        <w:spacing w:line="360" w:lineRule="auto"/>
        <w:ind w:left="464" w:leftChars="221"/>
        <w:rPr>
          <w:rFonts w:ascii="宋体" w:hAnsi="宋体"/>
        </w:rPr>
      </w:pPr>
      <w:r>
        <w:rPr>
          <w:rFonts w:hint="eastAsia" w:ascii="宋体" w:hAnsi="宋体"/>
        </w:rPr>
        <w:t>内容：总结电子工艺实习内容，包括电子元器件测试数据、手工锡焊的工艺、PCB板的制作过程、组装调试过程遇到的问题及解决办法等</w:t>
      </w:r>
    </w:p>
    <w:p>
      <w:pPr>
        <w:adjustRightInd w:val="0"/>
        <w:snapToGrid w:val="0"/>
        <w:spacing w:line="360" w:lineRule="auto"/>
        <w:ind w:firstLine="420" w:firstLineChars="200"/>
        <w:rPr>
          <w:rFonts w:ascii="宋体" w:hAnsi="宋体"/>
        </w:rPr>
      </w:pPr>
      <w:r>
        <w:rPr>
          <w:rFonts w:hint="eastAsia" w:ascii="宋体" w:hAnsi="宋体"/>
        </w:rPr>
        <w:t>基本要求：</w:t>
      </w:r>
    </w:p>
    <w:p>
      <w:pPr>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1.应含实习各项内容的小结，个人学习体会；</w:t>
      </w:r>
    </w:p>
    <w:p>
      <w:pPr>
        <w:adjustRightInd w:val="0"/>
        <w:snapToGrid w:val="0"/>
        <w:spacing w:line="360" w:lineRule="auto"/>
        <w:ind w:firstLine="420" w:firstLineChars="200"/>
        <w:rPr>
          <w:rFonts w:ascii="宋体" w:hAnsi="宋体"/>
        </w:rPr>
      </w:pPr>
      <w:r>
        <w:rPr>
          <w:rFonts w:hint="eastAsia" w:ascii="宋体" w:hAnsi="宋体" w:cs="Arial"/>
          <w:kern w:val="0"/>
          <w:szCs w:val="21"/>
        </w:rPr>
        <w:t>2.设备安装过程出现的问题及解决方法；</w:t>
      </w:r>
    </w:p>
    <w:p>
      <w:pPr>
        <w:adjustRightInd w:val="0"/>
        <w:snapToGrid w:val="0"/>
        <w:spacing w:line="360" w:lineRule="auto"/>
        <w:ind w:firstLine="420" w:firstLineChars="200"/>
        <w:rPr>
          <w:rFonts w:ascii="宋体" w:hAnsi="宋体"/>
        </w:rPr>
      </w:pPr>
      <w:r>
        <w:rPr>
          <w:rFonts w:hint="eastAsia" w:ascii="宋体" w:hAnsi="宋体" w:cs="Arial"/>
          <w:kern w:val="0"/>
          <w:szCs w:val="21"/>
        </w:rPr>
        <w:t>3.设备说明书（工作原理及使用说明）</w:t>
      </w:r>
      <w:r>
        <w:rPr>
          <w:rFonts w:hint="eastAsia" w:ascii="宋体" w:hAnsi="宋体"/>
        </w:rPr>
        <w:t>。</w:t>
      </w:r>
    </w:p>
    <w:p>
      <w:pPr>
        <w:adjustRightInd w:val="0"/>
        <w:snapToGrid w:val="0"/>
        <w:spacing w:line="360" w:lineRule="auto"/>
        <w:ind w:firstLine="420" w:firstLineChars="200"/>
        <w:rPr>
          <w:szCs w:val="21"/>
        </w:rPr>
      </w:pPr>
      <w:r>
        <w:rPr>
          <w:rFonts w:hint="eastAsia"/>
          <w:szCs w:val="21"/>
        </w:rPr>
        <w:t>本实验内容支撑课程目标2。</w:t>
      </w:r>
    </w:p>
    <w:p>
      <w:pPr>
        <w:adjustRightInd w:val="0"/>
        <w:snapToGrid w:val="0"/>
        <w:spacing w:line="360" w:lineRule="auto"/>
        <w:ind w:firstLine="420" w:firstLineChars="200"/>
        <w:rPr>
          <w:rFonts w:ascii="黑体" w:eastAsia="黑体"/>
        </w:rPr>
      </w:pPr>
      <w:r>
        <w:rPr>
          <w:rFonts w:hint="eastAsia" w:ascii="黑体" w:eastAsia="黑体"/>
        </w:rPr>
        <w:t xml:space="preserve">实验十四  </w:t>
      </w:r>
      <w:r>
        <w:rPr>
          <w:rFonts w:hint="eastAsia" w:ascii="黑体" w:hAnsi="黑体" w:eastAsia="黑体"/>
        </w:rPr>
        <w:t>答辩</w:t>
      </w:r>
    </w:p>
    <w:p>
      <w:pPr>
        <w:adjustRightInd w:val="0"/>
        <w:snapToGrid w:val="0"/>
        <w:spacing w:line="360" w:lineRule="auto"/>
        <w:ind w:firstLine="420" w:firstLineChars="200"/>
        <w:rPr>
          <w:rFonts w:ascii="宋体"/>
        </w:rPr>
      </w:pPr>
      <w:r>
        <w:rPr>
          <w:rFonts w:hint="eastAsia" w:ascii="宋体"/>
        </w:rPr>
        <w:t>内容：了解电子工艺过程涉及到的工艺操作技术及电子产品关键性原理知识</w:t>
      </w:r>
    </w:p>
    <w:p>
      <w:pPr>
        <w:adjustRightInd w:val="0"/>
        <w:snapToGrid w:val="0"/>
        <w:spacing w:line="360" w:lineRule="auto"/>
        <w:ind w:firstLine="420" w:firstLineChars="200"/>
        <w:rPr>
          <w:rFonts w:ascii="宋体"/>
        </w:rPr>
      </w:pPr>
      <w:r>
        <w:rPr>
          <w:rFonts w:hint="eastAsia" w:ascii="宋体"/>
        </w:rPr>
        <w:t>基本要求：</w:t>
      </w:r>
    </w:p>
    <w:p>
      <w:pPr>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1.</w:t>
      </w:r>
      <w:r>
        <w:rPr>
          <w:rFonts w:ascii="宋体" w:hAnsi="宋体" w:cs="Arial"/>
          <w:kern w:val="0"/>
          <w:szCs w:val="21"/>
        </w:rPr>
        <w:t>熟悉常用的电子元器件的识别，测试方法</w:t>
      </w:r>
    </w:p>
    <w:p>
      <w:pPr>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2.</w:t>
      </w:r>
      <w:r>
        <w:rPr>
          <w:rFonts w:ascii="宋体" w:hAnsi="宋体" w:cs="Arial"/>
          <w:kern w:val="0"/>
          <w:szCs w:val="21"/>
        </w:rPr>
        <w:t>掌握正确的焊接方法</w:t>
      </w:r>
      <w:r>
        <w:rPr>
          <w:rFonts w:hint="eastAsia" w:ascii="宋体" w:hAnsi="宋体" w:cs="Arial"/>
          <w:kern w:val="0"/>
          <w:szCs w:val="21"/>
        </w:rPr>
        <w:t>及整个电子工艺产品制作流程</w:t>
      </w:r>
    </w:p>
    <w:p>
      <w:pPr>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3.掌握电子产品电路工作原理</w:t>
      </w:r>
    </w:p>
    <w:p>
      <w:pPr>
        <w:adjustRightInd w:val="0"/>
        <w:snapToGrid w:val="0"/>
        <w:spacing w:line="360" w:lineRule="auto"/>
        <w:ind w:firstLine="420" w:firstLineChars="200"/>
        <w:rPr>
          <w:szCs w:val="21"/>
        </w:rPr>
      </w:pPr>
      <w:r>
        <w:rPr>
          <w:rFonts w:hint="eastAsia"/>
          <w:szCs w:val="21"/>
        </w:rPr>
        <w:t>本实验内容支撑课程目标2。</w:t>
      </w:r>
    </w:p>
    <w:p>
      <w:pPr>
        <w:adjustRightInd w:val="0"/>
        <w:snapToGrid w:val="0"/>
        <w:spacing w:line="360" w:lineRule="auto"/>
        <w:rPr>
          <w:rFonts w:ascii="宋体" w:hAnsi="宋体" w:cs="Arial"/>
          <w:kern w:val="0"/>
          <w:szCs w:val="21"/>
        </w:rPr>
      </w:pPr>
    </w:p>
    <w:p>
      <w:pPr>
        <w:spacing w:line="360" w:lineRule="auto"/>
        <w:rPr>
          <w:rFonts w:eastAsia="黑体"/>
          <w:szCs w:val="21"/>
        </w:rPr>
      </w:pPr>
      <w:r>
        <w:rPr>
          <w:rFonts w:hint="eastAsia" w:eastAsia="黑体"/>
          <w:szCs w:val="21"/>
        </w:rPr>
        <w:t>五</w:t>
      </w:r>
      <w:r>
        <w:rPr>
          <w:rFonts w:eastAsia="黑体"/>
          <w:szCs w:val="21"/>
        </w:rPr>
        <w:t>、学时分配</w:t>
      </w:r>
    </w:p>
    <w:tbl>
      <w:tblPr>
        <w:tblStyle w:val="2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9"/>
        <w:gridCol w:w="1642"/>
        <w:gridCol w:w="1767"/>
        <w:gridCol w:w="7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474" w:type="pct"/>
            <w:vAlign w:val="center"/>
          </w:tcPr>
          <w:p>
            <w:pPr>
              <w:adjustRightInd w:val="0"/>
              <w:snapToGrid w:val="0"/>
              <w:spacing w:line="360" w:lineRule="auto"/>
              <w:jc w:val="center"/>
              <w:rPr>
                <w:sz w:val="18"/>
                <w:szCs w:val="18"/>
              </w:rPr>
            </w:pPr>
            <w:r>
              <w:rPr>
                <w:sz w:val="18"/>
                <w:szCs w:val="18"/>
              </w:rPr>
              <w:t>章节名称</w:t>
            </w:r>
          </w:p>
        </w:tc>
        <w:tc>
          <w:tcPr>
            <w:tcW w:w="989" w:type="pct"/>
            <w:vAlign w:val="center"/>
          </w:tcPr>
          <w:p>
            <w:pPr>
              <w:adjustRightInd w:val="0"/>
              <w:snapToGrid w:val="0"/>
              <w:spacing w:line="360" w:lineRule="auto"/>
              <w:jc w:val="center"/>
              <w:rPr>
                <w:sz w:val="18"/>
                <w:szCs w:val="18"/>
              </w:rPr>
            </w:pPr>
            <w:r>
              <w:rPr>
                <w:sz w:val="18"/>
                <w:szCs w:val="18"/>
              </w:rPr>
              <w:t>讲授（学时）</w:t>
            </w:r>
          </w:p>
        </w:tc>
        <w:tc>
          <w:tcPr>
            <w:tcW w:w="1064" w:type="pct"/>
            <w:vAlign w:val="center"/>
          </w:tcPr>
          <w:p>
            <w:pPr>
              <w:adjustRightInd w:val="0"/>
              <w:snapToGrid w:val="0"/>
              <w:spacing w:line="360" w:lineRule="auto"/>
              <w:jc w:val="center"/>
              <w:rPr>
                <w:sz w:val="18"/>
                <w:szCs w:val="18"/>
              </w:rPr>
            </w:pPr>
            <w:r>
              <w:rPr>
                <w:sz w:val="18"/>
                <w:szCs w:val="18"/>
              </w:rPr>
              <w:t>实验（学时）</w:t>
            </w:r>
          </w:p>
        </w:tc>
        <w:tc>
          <w:tcPr>
            <w:tcW w:w="473" w:type="pct"/>
            <w:vAlign w:val="center"/>
          </w:tcPr>
          <w:p>
            <w:pPr>
              <w:adjustRightInd w:val="0"/>
              <w:snapToGrid w:val="0"/>
              <w:spacing w:line="360" w:lineRule="auto"/>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第一章  </w:t>
            </w:r>
            <w:r>
              <w:rPr>
                <w:rFonts w:hint="eastAsia" w:ascii="宋体" w:hAnsi="宋体"/>
                <w:sz w:val="18"/>
                <w:szCs w:val="18"/>
              </w:rPr>
              <w:t>电子工艺实习概述</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第二章  </w:t>
            </w:r>
            <w:r>
              <w:rPr>
                <w:rFonts w:hint="eastAsia"/>
                <w:bCs/>
                <w:sz w:val="18"/>
                <w:szCs w:val="18"/>
              </w:rPr>
              <w:t>安全用电、电子元器件识别与电路读图</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第三章  </w:t>
            </w:r>
            <w:r>
              <w:rPr>
                <w:rFonts w:hint="eastAsia" w:ascii="宋体" w:hAnsi="宋体"/>
                <w:sz w:val="18"/>
                <w:szCs w:val="18"/>
              </w:rPr>
              <w:t>EDA仿真（Multisim2001电路仿真）</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left="861" w:leftChars="67" w:hanging="720" w:hangingChars="400"/>
              <w:rPr>
                <w:bCs/>
                <w:sz w:val="18"/>
                <w:szCs w:val="18"/>
              </w:rPr>
            </w:pPr>
            <w:r>
              <w:rPr>
                <w:bCs/>
                <w:sz w:val="18"/>
                <w:szCs w:val="18"/>
              </w:rPr>
              <w:t xml:space="preserve">第四章  </w:t>
            </w:r>
            <w:r>
              <w:rPr>
                <w:rFonts w:hint="eastAsia"/>
                <w:bCs/>
                <w:sz w:val="18"/>
                <w:szCs w:val="18"/>
              </w:rPr>
              <w:t>印制电路板（Protel99原理图及PCB板图</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第五章  </w:t>
            </w:r>
            <w:r>
              <w:rPr>
                <w:rFonts w:hint="eastAsia" w:ascii="宋体" w:hAnsi="宋体"/>
                <w:sz w:val="18"/>
                <w:szCs w:val="18"/>
              </w:rPr>
              <w:t>焊接工艺教学</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第六章  </w:t>
            </w:r>
            <w:r>
              <w:rPr>
                <w:rFonts w:hint="eastAsia"/>
                <w:bCs/>
                <w:sz w:val="18"/>
                <w:szCs w:val="18"/>
              </w:rPr>
              <w:t>典型电子工艺介绍（THT、SMT工艺）</w:t>
            </w:r>
          </w:p>
        </w:tc>
        <w:tc>
          <w:tcPr>
            <w:tcW w:w="989" w:type="pct"/>
            <w:vAlign w:val="center"/>
          </w:tcPr>
          <w:p>
            <w:pPr>
              <w:adjustRightInd w:val="0"/>
              <w:snapToGrid w:val="0"/>
              <w:spacing w:line="360" w:lineRule="auto"/>
              <w:jc w:val="center"/>
              <w:rPr>
                <w:bCs/>
                <w:sz w:val="18"/>
                <w:szCs w:val="18"/>
              </w:rPr>
            </w:pPr>
            <w:r>
              <w:rPr>
                <w:rFonts w:hint="eastAsia"/>
                <w:bCs/>
                <w:sz w:val="18"/>
                <w:szCs w:val="18"/>
              </w:rPr>
              <w:t>2</w:t>
            </w:r>
          </w:p>
        </w:tc>
        <w:tc>
          <w:tcPr>
            <w:tcW w:w="1064" w:type="pct"/>
            <w:vAlign w:val="center"/>
          </w:tcPr>
          <w:p>
            <w:pPr>
              <w:adjustRightInd w:val="0"/>
              <w:snapToGrid w:val="0"/>
              <w:spacing w:line="360" w:lineRule="auto"/>
              <w:jc w:val="center"/>
              <w:rPr>
                <w:bCs/>
                <w:sz w:val="18"/>
                <w:szCs w:val="18"/>
              </w:rPr>
            </w:pPr>
            <w:r>
              <w:rPr>
                <w:rFonts w:hint="eastAsia"/>
                <w:bCs/>
                <w:sz w:val="18"/>
                <w:szCs w:val="18"/>
              </w:rPr>
              <w:t>0</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第七章  </w:t>
            </w:r>
            <w:r>
              <w:rPr>
                <w:rFonts w:hint="eastAsia"/>
                <w:bCs/>
                <w:sz w:val="18"/>
                <w:szCs w:val="18"/>
              </w:rPr>
              <w:t>Multisim上机实验</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第八章  </w:t>
            </w:r>
            <w:r>
              <w:rPr>
                <w:rFonts w:hint="eastAsia"/>
                <w:bCs/>
                <w:sz w:val="18"/>
                <w:szCs w:val="18"/>
              </w:rPr>
              <w:t>Protel上机实验</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第九章  </w:t>
            </w:r>
            <w:r>
              <w:rPr>
                <w:rFonts w:hint="eastAsia"/>
                <w:bCs/>
                <w:sz w:val="18"/>
                <w:szCs w:val="18"/>
              </w:rPr>
              <w:t>PCB电路板的加工制作实验</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第十章  </w:t>
            </w:r>
            <w:r>
              <w:rPr>
                <w:rFonts w:hint="eastAsia"/>
                <w:bCs/>
                <w:sz w:val="18"/>
                <w:szCs w:val="18"/>
              </w:rPr>
              <w:t>练习焊接</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第十一章  </w:t>
            </w:r>
            <w:r>
              <w:rPr>
                <w:rFonts w:hint="eastAsia"/>
                <w:bCs/>
                <w:sz w:val="18"/>
                <w:szCs w:val="18"/>
              </w:rPr>
              <w:t>THT工艺的电子产品焊接</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5</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left="1081" w:leftChars="86" w:hanging="900" w:hangingChars="500"/>
              <w:jc w:val="left"/>
              <w:rPr>
                <w:bCs/>
                <w:sz w:val="18"/>
                <w:szCs w:val="18"/>
              </w:rPr>
            </w:pPr>
            <w:r>
              <w:rPr>
                <w:bCs/>
                <w:sz w:val="18"/>
                <w:szCs w:val="18"/>
              </w:rPr>
              <w:t xml:space="preserve">第十二章  </w:t>
            </w:r>
            <w:r>
              <w:rPr>
                <w:rFonts w:hint="eastAsia"/>
                <w:bCs/>
                <w:sz w:val="18"/>
                <w:szCs w:val="18"/>
              </w:rPr>
              <w:t>直流稳压电源全波整流测试、整流滤波测试、及稳压电源输出电压的测试</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第十三章  </w:t>
            </w:r>
            <w:r>
              <w:rPr>
                <w:rFonts w:hint="eastAsia"/>
                <w:bCs/>
                <w:sz w:val="18"/>
                <w:szCs w:val="18"/>
              </w:rPr>
              <w:t>晶体管的测试</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2</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第十四章  </w:t>
            </w:r>
            <w:r>
              <w:rPr>
                <w:rFonts w:hint="eastAsia"/>
                <w:bCs/>
                <w:sz w:val="18"/>
                <w:szCs w:val="18"/>
              </w:rPr>
              <w:t>电子产品安装、调试</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5</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第十五章  </w:t>
            </w:r>
            <w:r>
              <w:rPr>
                <w:rFonts w:hint="eastAsia"/>
                <w:bCs/>
                <w:sz w:val="18"/>
                <w:szCs w:val="18"/>
              </w:rPr>
              <w:t>SMT工艺的电子产品焊接</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3</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left="1221" w:leftChars="67" w:hanging="1080" w:hangingChars="600"/>
              <w:rPr>
                <w:bCs/>
                <w:sz w:val="18"/>
                <w:szCs w:val="18"/>
              </w:rPr>
            </w:pPr>
            <w:r>
              <w:rPr>
                <w:bCs/>
                <w:sz w:val="18"/>
                <w:szCs w:val="18"/>
              </w:rPr>
              <w:t xml:space="preserve">第十六章  </w:t>
            </w:r>
            <w:r>
              <w:rPr>
                <w:rFonts w:hint="eastAsia" w:ascii="等线" w:hAnsi="等线"/>
                <w:sz w:val="18"/>
                <w:szCs w:val="18"/>
              </w:rPr>
              <w:t>收音机低频功放电路工作原理的测试</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3</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第十七章   </w:t>
            </w:r>
            <w:r>
              <w:rPr>
                <w:rFonts w:hint="eastAsia" w:ascii="等线" w:hAnsi="等线"/>
                <w:sz w:val="18"/>
                <w:szCs w:val="18"/>
              </w:rPr>
              <w:t>收音机低频功放电路失真度的测试</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3</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第十八章   </w:t>
            </w:r>
            <w:r>
              <w:rPr>
                <w:rFonts w:hint="eastAsia" w:ascii="宋体" w:hAnsi="宋体"/>
                <w:sz w:val="18"/>
                <w:szCs w:val="18"/>
              </w:rPr>
              <w:t>电子产品测试、验收</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5</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第十九章   </w:t>
            </w:r>
            <w:r>
              <w:rPr>
                <w:rFonts w:hint="eastAsia" w:ascii="宋体" w:hAnsi="宋体"/>
                <w:sz w:val="18"/>
                <w:szCs w:val="18"/>
              </w:rPr>
              <w:t>撰写报告</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4</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474" w:type="pct"/>
            <w:vAlign w:val="center"/>
          </w:tcPr>
          <w:p>
            <w:pPr>
              <w:adjustRightInd w:val="0"/>
              <w:snapToGrid w:val="0"/>
              <w:spacing w:line="360" w:lineRule="auto"/>
              <w:ind w:firstLine="140" w:firstLineChars="78"/>
              <w:rPr>
                <w:bCs/>
                <w:sz w:val="18"/>
                <w:szCs w:val="18"/>
              </w:rPr>
            </w:pPr>
            <w:r>
              <w:rPr>
                <w:bCs/>
                <w:sz w:val="18"/>
                <w:szCs w:val="18"/>
              </w:rPr>
              <w:t xml:space="preserve">第二十章   </w:t>
            </w:r>
            <w:r>
              <w:rPr>
                <w:rFonts w:hint="eastAsia" w:ascii="宋体" w:hAnsi="宋体"/>
                <w:sz w:val="18"/>
                <w:szCs w:val="18"/>
              </w:rPr>
              <w:t>答辩</w:t>
            </w:r>
          </w:p>
        </w:tc>
        <w:tc>
          <w:tcPr>
            <w:tcW w:w="989" w:type="pct"/>
            <w:vAlign w:val="center"/>
          </w:tcPr>
          <w:p>
            <w:pPr>
              <w:adjustRightInd w:val="0"/>
              <w:snapToGrid w:val="0"/>
              <w:spacing w:line="360" w:lineRule="auto"/>
              <w:jc w:val="center"/>
              <w:rPr>
                <w:bCs/>
                <w:sz w:val="18"/>
                <w:szCs w:val="18"/>
              </w:rPr>
            </w:pPr>
            <w:r>
              <w:rPr>
                <w:rFonts w:hint="eastAsia"/>
                <w:bCs/>
                <w:sz w:val="18"/>
                <w:szCs w:val="18"/>
              </w:rPr>
              <w:t>0</w:t>
            </w:r>
          </w:p>
        </w:tc>
        <w:tc>
          <w:tcPr>
            <w:tcW w:w="1064" w:type="pct"/>
            <w:vAlign w:val="center"/>
          </w:tcPr>
          <w:p>
            <w:pPr>
              <w:adjustRightInd w:val="0"/>
              <w:snapToGrid w:val="0"/>
              <w:spacing w:line="360" w:lineRule="auto"/>
              <w:jc w:val="center"/>
              <w:rPr>
                <w:bCs/>
                <w:sz w:val="18"/>
                <w:szCs w:val="18"/>
              </w:rPr>
            </w:pPr>
            <w:r>
              <w:rPr>
                <w:rFonts w:hint="eastAsia"/>
                <w:bCs/>
                <w:sz w:val="18"/>
                <w:szCs w:val="18"/>
              </w:rPr>
              <w:t>2</w:t>
            </w:r>
          </w:p>
        </w:tc>
        <w:tc>
          <w:tcPr>
            <w:tcW w:w="473" w:type="pct"/>
            <w:vAlign w:val="center"/>
          </w:tcPr>
          <w:p>
            <w:pPr>
              <w:adjustRightInd w:val="0"/>
              <w:snapToGrid w:val="0"/>
              <w:spacing w:line="360" w:lineRule="auto"/>
              <w:jc w:val="center"/>
              <w:rPr>
                <w:bCs/>
                <w:sz w:val="18"/>
                <w:szCs w:val="18"/>
              </w:rPr>
            </w:pPr>
            <w:r>
              <w:rPr>
                <w:rFonts w:hint="eastAsia"/>
                <w:bCs/>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474" w:type="pct"/>
            <w:vAlign w:val="center"/>
          </w:tcPr>
          <w:p>
            <w:pPr>
              <w:adjustRightInd w:val="0"/>
              <w:snapToGrid w:val="0"/>
              <w:spacing w:line="360" w:lineRule="auto"/>
              <w:jc w:val="center"/>
              <w:rPr>
                <w:sz w:val="18"/>
                <w:szCs w:val="18"/>
              </w:rPr>
            </w:pPr>
            <w:r>
              <w:rPr>
                <w:sz w:val="18"/>
                <w:szCs w:val="18"/>
              </w:rPr>
              <w:t>合计</w:t>
            </w:r>
          </w:p>
        </w:tc>
        <w:tc>
          <w:tcPr>
            <w:tcW w:w="989" w:type="pct"/>
            <w:vAlign w:val="center"/>
          </w:tcPr>
          <w:p>
            <w:pPr>
              <w:adjustRightInd w:val="0"/>
              <w:snapToGrid w:val="0"/>
              <w:spacing w:line="360" w:lineRule="auto"/>
              <w:jc w:val="center"/>
              <w:rPr>
                <w:sz w:val="18"/>
                <w:szCs w:val="18"/>
              </w:rPr>
            </w:pPr>
            <w:r>
              <w:rPr>
                <w:rFonts w:hint="eastAsia"/>
                <w:sz w:val="18"/>
                <w:szCs w:val="18"/>
              </w:rPr>
              <w:t>1</w:t>
            </w:r>
            <w:r>
              <w:rPr>
                <w:sz w:val="18"/>
                <w:szCs w:val="18"/>
              </w:rPr>
              <w:t>2</w:t>
            </w:r>
          </w:p>
        </w:tc>
        <w:tc>
          <w:tcPr>
            <w:tcW w:w="1064" w:type="pct"/>
            <w:vAlign w:val="center"/>
          </w:tcPr>
          <w:p>
            <w:pPr>
              <w:adjustRightInd w:val="0"/>
              <w:snapToGrid w:val="0"/>
              <w:spacing w:line="360" w:lineRule="auto"/>
              <w:jc w:val="center"/>
              <w:rPr>
                <w:sz w:val="18"/>
                <w:szCs w:val="18"/>
              </w:rPr>
            </w:pPr>
            <w:r>
              <w:rPr>
                <w:rFonts w:hint="eastAsia"/>
                <w:sz w:val="18"/>
                <w:szCs w:val="18"/>
              </w:rPr>
              <w:t>5</w:t>
            </w:r>
            <w:r>
              <w:rPr>
                <w:sz w:val="18"/>
                <w:szCs w:val="18"/>
              </w:rPr>
              <w:t>2</w:t>
            </w:r>
          </w:p>
        </w:tc>
        <w:tc>
          <w:tcPr>
            <w:tcW w:w="473" w:type="pct"/>
            <w:vAlign w:val="center"/>
          </w:tcPr>
          <w:p>
            <w:pPr>
              <w:adjustRightInd w:val="0"/>
              <w:snapToGrid w:val="0"/>
              <w:spacing w:line="360" w:lineRule="auto"/>
              <w:jc w:val="center"/>
              <w:rPr>
                <w:sz w:val="18"/>
                <w:szCs w:val="18"/>
              </w:rPr>
            </w:pPr>
            <w:r>
              <w:rPr>
                <w:sz w:val="18"/>
                <w:szCs w:val="18"/>
              </w:rPr>
              <w:t>64</w:t>
            </w:r>
          </w:p>
        </w:tc>
      </w:tr>
    </w:tbl>
    <w:p>
      <w:pPr>
        <w:spacing w:line="360" w:lineRule="auto"/>
      </w:pPr>
    </w:p>
    <w:p>
      <w:pPr>
        <w:tabs>
          <w:tab w:val="left" w:pos="420"/>
        </w:tabs>
        <w:spacing w:line="360" w:lineRule="auto"/>
        <w:ind w:left="420" w:hanging="420"/>
        <w:rPr>
          <w:color w:val="0000FF"/>
          <w:szCs w:val="21"/>
        </w:rPr>
      </w:pPr>
      <w:r>
        <w:rPr>
          <w:rFonts w:hint="eastAsia" w:eastAsia="黑体"/>
        </w:rPr>
        <w:t>六、教材、补充教材及参考资料</w:t>
      </w:r>
    </w:p>
    <w:p>
      <w:pPr>
        <w:spacing w:line="360" w:lineRule="auto"/>
        <w:ind w:firstLine="420" w:firstLineChars="200"/>
        <w:rPr>
          <w:szCs w:val="21"/>
        </w:rPr>
      </w:pPr>
      <w:r>
        <w:rPr>
          <w:szCs w:val="21"/>
        </w:rPr>
        <w:t>1</w:t>
      </w:r>
      <w:r>
        <w:rPr>
          <w:rFonts w:hint="eastAsia"/>
          <w:szCs w:val="21"/>
        </w:rPr>
        <w:t xml:space="preserve">. </w:t>
      </w:r>
      <w:r>
        <w:rPr>
          <w:rFonts w:hint="eastAsia" w:ascii="宋体" w:hAnsi="宋体" w:cs="宋体"/>
          <w:szCs w:val="21"/>
          <w:lang w:val="zh-CN"/>
        </w:rPr>
        <w:t>毕满清</w:t>
      </w:r>
      <w:r>
        <w:rPr>
          <w:rFonts w:hint="eastAsia"/>
          <w:szCs w:val="21"/>
        </w:rPr>
        <w:t xml:space="preserve">. </w:t>
      </w:r>
      <w:r>
        <w:rPr>
          <w:rFonts w:hint="eastAsia" w:ascii="宋体" w:hAnsi="宋体" w:cs="宋体"/>
          <w:szCs w:val="21"/>
          <w:lang w:val="zh-CN"/>
        </w:rPr>
        <w:t>电子工艺实习教程</w:t>
      </w:r>
      <w:r>
        <w:rPr>
          <w:szCs w:val="21"/>
        </w:rPr>
        <w:t>（第二版），ISBN:</w:t>
      </w:r>
      <w:r>
        <w:rPr>
          <w:rFonts w:hint="eastAsia"/>
          <w:szCs w:val="21"/>
        </w:rPr>
        <w:t xml:space="preserve"> </w:t>
      </w:r>
      <w:r>
        <w:rPr>
          <w:szCs w:val="21"/>
        </w:rPr>
        <w:t>978-7-118-06192-5，</w:t>
      </w:r>
      <w:r>
        <w:rPr>
          <w:rFonts w:hint="eastAsia" w:ascii="宋体" w:hAnsi="宋体" w:cs="宋体"/>
          <w:szCs w:val="21"/>
          <w:lang w:val="zh-CN"/>
        </w:rPr>
        <w:t>国防工业</w:t>
      </w:r>
      <w:r>
        <w:rPr>
          <w:szCs w:val="21"/>
        </w:rPr>
        <w:t>出版社。</w:t>
      </w:r>
    </w:p>
    <w:p>
      <w:pPr>
        <w:spacing w:line="360" w:lineRule="auto"/>
        <w:ind w:firstLine="420" w:firstLineChars="200"/>
        <w:rPr>
          <w:szCs w:val="21"/>
        </w:rPr>
      </w:pPr>
      <w:r>
        <w:rPr>
          <w:szCs w:val="21"/>
        </w:rPr>
        <w:t>2</w:t>
      </w:r>
      <w:r>
        <w:rPr>
          <w:rFonts w:hint="eastAsia"/>
          <w:szCs w:val="21"/>
        </w:rPr>
        <w:t xml:space="preserve">. </w:t>
      </w:r>
      <w:r>
        <w:rPr>
          <w:rFonts w:hint="eastAsia" w:ascii="宋体" w:hAnsi="宋体" w:cs="宋体"/>
          <w:szCs w:val="21"/>
          <w:lang w:val="zh-CN"/>
        </w:rPr>
        <w:t>毕满清</w:t>
      </w:r>
      <w:r>
        <w:rPr>
          <w:rFonts w:hint="eastAsia"/>
          <w:szCs w:val="21"/>
        </w:rPr>
        <w:t xml:space="preserve">. </w:t>
      </w:r>
      <w:r>
        <w:rPr>
          <w:rFonts w:hint="eastAsia" w:ascii="宋体" w:hAnsi="宋体" w:cs="宋体"/>
          <w:szCs w:val="21"/>
          <w:lang w:val="zh-CN"/>
        </w:rPr>
        <w:t>电子技术实验与课程设计</w:t>
      </w:r>
      <w:r>
        <w:rPr>
          <w:szCs w:val="21"/>
        </w:rPr>
        <w:t>（第</w:t>
      </w:r>
      <w:r>
        <w:rPr>
          <w:rFonts w:hint="eastAsia"/>
          <w:szCs w:val="21"/>
        </w:rPr>
        <w:t>三</w:t>
      </w:r>
      <w:r>
        <w:rPr>
          <w:szCs w:val="21"/>
        </w:rPr>
        <w:t>版），ISBN:</w:t>
      </w:r>
      <w:r>
        <w:rPr>
          <w:rFonts w:hint="eastAsia"/>
          <w:szCs w:val="21"/>
        </w:rPr>
        <w:t xml:space="preserve"> </w:t>
      </w:r>
      <w:r>
        <w:rPr>
          <w:szCs w:val="21"/>
        </w:rPr>
        <w:t>978-7-111-04811-4，</w:t>
      </w:r>
      <w:r>
        <w:rPr>
          <w:rFonts w:hint="eastAsia" w:ascii="宋体" w:hAnsi="宋体" w:cs="宋体"/>
          <w:szCs w:val="21"/>
          <w:lang w:val="zh-CN"/>
        </w:rPr>
        <w:t>机械工业</w:t>
      </w:r>
      <w:r>
        <w:rPr>
          <w:szCs w:val="21"/>
        </w:rPr>
        <w:t>出版社。</w:t>
      </w:r>
    </w:p>
    <w:p>
      <w:pPr>
        <w:spacing w:line="360" w:lineRule="auto"/>
        <w:ind w:firstLine="420" w:firstLineChars="200"/>
        <w:rPr>
          <w:szCs w:val="21"/>
        </w:rPr>
      </w:pPr>
    </w:p>
    <w:p>
      <w:pPr>
        <w:widowControl/>
        <w:spacing w:line="360" w:lineRule="auto"/>
        <w:jc w:val="left"/>
        <w:rPr>
          <w:rFonts w:eastAsia="黑体"/>
        </w:rPr>
      </w:pPr>
      <w:r>
        <w:rPr>
          <w:rFonts w:hint="eastAsia" w:eastAsia="黑体"/>
        </w:rPr>
        <w:t>七</w:t>
      </w:r>
      <w:r>
        <w:rPr>
          <w:rFonts w:eastAsia="黑体"/>
        </w:rPr>
        <w:t>、课程目标达成评价的途径和措施</w:t>
      </w:r>
    </w:p>
    <w:p>
      <w:pPr>
        <w:spacing w:line="360" w:lineRule="auto"/>
        <w:ind w:firstLine="420" w:firstLineChars="200"/>
        <w:rPr>
          <w:szCs w:val="21"/>
        </w:rPr>
      </w:pPr>
      <w:r>
        <w:rPr>
          <w:rFonts w:hint="eastAsia"/>
          <w:szCs w:val="21"/>
        </w:rPr>
        <w:t>1、考核方式：纪律学风、实验操作、产品组装、实验报告、答辩。</w:t>
      </w:r>
    </w:p>
    <w:p>
      <w:pPr>
        <w:spacing w:line="360" w:lineRule="auto"/>
        <w:ind w:firstLine="420" w:firstLineChars="200"/>
        <w:rPr>
          <w:szCs w:val="21"/>
        </w:rPr>
      </w:pPr>
      <w:r>
        <w:rPr>
          <w:rFonts w:hint="eastAsia"/>
          <w:szCs w:val="21"/>
        </w:rPr>
        <w:t>2、考核目标：在考核学生对电子元器件检测的基本知识，及焊接操作技能的基础上，重点考核学生对电子产品设计生产过程中的工艺知识掌握程度和工作原理的掌握程度、对电路故障检测维修的能力、对测试数据的处理分析能力、实习报告书写的水准与规范。</w:t>
      </w:r>
    </w:p>
    <w:p>
      <w:pPr>
        <w:spacing w:line="360" w:lineRule="auto"/>
        <w:ind w:firstLine="420" w:firstLineChars="200"/>
        <w:rPr>
          <w:szCs w:val="21"/>
        </w:rPr>
      </w:pPr>
      <w:r>
        <w:rPr>
          <w:rFonts w:hint="eastAsia"/>
          <w:szCs w:val="21"/>
        </w:rPr>
        <w:t>3、成绩构成：</w:t>
      </w:r>
    </w:p>
    <w:p>
      <w:pPr>
        <w:spacing w:line="360" w:lineRule="auto"/>
        <w:jc w:val="center"/>
      </w:pPr>
      <w:r>
        <w:rPr>
          <w:rFonts w:hint="eastAsia"/>
          <w:sz w:val="18"/>
          <w:szCs w:val="18"/>
        </w:rPr>
        <w:t>各环节成绩评定占比</w:t>
      </w:r>
      <w:r>
        <w:rPr>
          <w:sz w:val="18"/>
          <w:szCs w:val="18"/>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60"/>
        <w:gridCol w:w="1661"/>
        <w:gridCol w:w="1663"/>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99"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纪律学风</w:t>
            </w:r>
          </w:p>
        </w:tc>
        <w:tc>
          <w:tcPr>
            <w:tcW w:w="99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实验操作</w:t>
            </w:r>
          </w:p>
        </w:tc>
        <w:tc>
          <w:tcPr>
            <w:tcW w:w="1000"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产品组装</w:t>
            </w:r>
          </w:p>
        </w:tc>
        <w:tc>
          <w:tcPr>
            <w:tcW w:w="1001"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实验报告</w:t>
            </w:r>
          </w:p>
        </w:tc>
        <w:tc>
          <w:tcPr>
            <w:tcW w:w="1001"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99" w:type="pct"/>
            <w:tcBorders>
              <w:top w:val="single" w:color="auto" w:sz="4" w:space="0"/>
              <w:left w:val="nil"/>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10</w:t>
            </w:r>
          </w:p>
        </w:tc>
        <w:tc>
          <w:tcPr>
            <w:tcW w:w="9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b/>
                <w:sz w:val="18"/>
                <w:szCs w:val="18"/>
              </w:rPr>
              <w:t>3</w:t>
            </w:r>
            <w:r>
              <w:rPr>
                <w:rFonts w:hint="eastAsia"/>
                <w:b/>
                <w:sz w:val="18"/>
                <w:szCs w:val="18"/>
              </w:rPr>
              <w:t>0</w:t>
            </w:r>
          </w:p>
        </w:tc>
        <w:tc>
          <w:tcPr>
            <w:tcW w:w="1000" w:type="pct"/>
            <w:tcBorders>
              <w:top w:val="single" w:color="auto" w:sz="4" w:space="0"/>
              <w:left w:val="single" w:color="auto" w:sz="4" w:space="0"/>
              <w:bottom w:val="single" w:color="auto" w:sz="4" w:space="0"/>
              <w:right w:val="nil"/>
            </w:tcBorders>
            <w:vAlign w:val="center"/>
          </w:tcPr>
          <w:p>
            <w:pPr>
              <w:spacing w:line="360" w:lineRule="auto"/>
              <w:jc w:val="center"/>
              <w:rPr>
                <w:b/>
                <w:sz w:val="18"/>
                <w:szCs w:val="18"/>
              </w:rPr>
            </w:pPr>
            <w:r>
              <w:rPr>
                <w:b/>
                <w:sz w:val="18"/>
                <w:szCs w:val="18"/>
              </w:rPr>
              <w:t>3</w:t>
            </w:r>
            <w:r>
              <w:rPr>
                <w:rFonts w:hint="eastAsia"/>
                <w:b/>
                <w:sz w:val="18"/>
                <w:szCs w:val="18"/>
              </w:rPr>
              <w:t>0</w:t>
            </w:r>
          </w:p>
        </w:tc>
        <w:tc>
          <w:tcPr>
            <w:tcW w:w="1001" w:type="pct"/>
            <w:tcBorders>
              <w:top w:val="single" w:color="auto" w:sz="4" w:space="0"/>
              <w:left w:val="single" w:color="auto" w:sz="4" w:space="0"/>
              <w:bottom w:val="single" w:color="auto" w:sz="4" w:space="0"/>
              <w:right w:val="nil"/>
            </w:tcBorders>
            <w:vAlign w:val="center"/>
          </w:tcPr>
          <w:p>
            <w:pPr>
              <w:spacing w:line="360" w:lineRule="auto"/>
              <w:jc w:val="center"/>
              <w:rPr>
                <w:b/>
                <w:sz w:val="18"/>
                <w:szCs w:val="18"/>
              </w:rPr>
            </w:pPr>
            <w:r>
              <w:rPr>
                <w:rFonts w:hint="eastAsia"/>
                <w:b/>
                <w:sz w:val="18"/>
                <w:szCs w:val="18"/>
              </w:rPr>
              <w:t>1</w:t>
            </w:r>
            <w:r>
              <w:rPr>
                <w:b/>
                <w:sz w:val="18"/>
                <w:szCs w:val="18"/>
              </w:rPr>
              <w:t>5</w:t>
            </w:r>
          </w:p>
        </w:tc>
        <w:tc>
          <w:tcPr>
            <w:tcW w:w="1001" w:type="pct"/>
            <w:tcBorders>
              <w:top w:val="single" w:color="auto" w:sz="4" w:space="0"/>
              <w:left w:val="single" w:color="auto" w:sz="4" w:space="0"/>
              <w:bottom w:val="single" w:color="auto" w:sz="4" w:space="0"/>
              <w:right w:val="nil"/>
            </w:tcBorders>
          </w:tcPr>
          <w:p>
            <w:pPr>
              <w:spacing w:line="360" w:lineRule="auto"/>
              <w:jc w:val="center"/>
              <w:rPr>
                <w:b/>
                <w:sz w:val="18"/>
                <w:szCs w:val="18"/>
              </w:rPr>
            </w:pPr>
            <w:r>
              <w:rPr>
                <w:rFonts w:hint="eastAsia"/>
                <w:b/>
                <w:sz w:val="18"/>
                <w:szCs w:val="18"/>
              </w:rPr>
              <w:t>1</w:t>
            </w:r>
            <w:r>
              <w:rPr>
                <w:b/>
                <w:sz w:val="18"/>
                <w:szCs w:val="18"/>
              </w:rPr>
              <w:t>5</w:t>
            </w:r>
          </w:p>
        </w:tc>
      </w:tr>
    </w:tbl>
    <w:p>
      <w:pPr>
        <w:widowControl/>
        <w:spacing w:line="360" w:lineRule="auto"/>
        <w:ind w:firstLine="1890" w:firstLineChars="900"/>
      </w:pPr>
    </w:p>
    <w:p>
      <w:pPr>
        <w:spacing w:line="360" w:lineRule="auto"/>
        <w:ind w:firstLine="420" w:firstLineChars="200"/>
        <w:rPr>
          <w:b/>
          <w:bCs/>
          <w:color w:val="1D41D5"/>
          <w:szCs w:val="21"/>
        </w:rPr>
      </w:pPr>
      <w:r>
        <w:rPr>
          <w:rFonts w:hint="eastAsia"/>
          <w:szCs w:val="21"/>
        </w:rPr>
        <w:t>指导性课程目标评价题目分数分配：</w:t>
      </w:r>
      <w:r>
        <w:rPr>
          <w:rFonts w:hint="eastAsia"/>
          <w:b/>
          <w:bCs/>
          <w:color w:val="1D41D5"/>
          <w:szCs w:val="21"/>
        </w:rPr>
        <w:t xml:space="preserve"> </w:t>
      </w:r>
    </w:p>
    <w:tbl>
      <w:tblPr>
        <w:tblStyle w:val="22"/>
        <w:tblW w:w="5000" w:type="pct"/>
        <w:jc w:val="center"/>
        <w:tblLayout w:type="autofit"/>
        <w:tblCellMar>
          <w:top w:w="0" w:type="dxa"/>
          <w:left w:w="108" w:type="dxa"/>
          <w:bottom w:w="0" w:type="dxa"/>
          <w:right w:w="108" w:type="dxa"/>
        </w:tblCellMar>
      </w:tblPr>
      <w:tblGrid>
        <w:gridCol w:w="1267"/>
        <w:gridCol w:w="1475"/>
        <w:gridCol w:w="1372"/>
        <w:gridCol w:w="1626"/>
        <w:gridCol w:w="1284"/>
        <w:gridCol w:w="1282"/>
      </w:tblGrid>
      <w:tr>
        <w:tblPrEx>
          <w:tblCellMar>
            <w:top w:w="0" w:type="dxa"/>
            <w:left w:w="108" w:type="dxa"/>
            <w:bottom w:w="0" w:type="dxa"/>
            <w:right w:w="108" w:type="dxa"/>
          </w:tblCellMar>
        </w:tblPrEx>
        <w:trPr>
          <w:trHeight w:val="986" w:hRule="atLeast"/>
          <w:jc w:val="center"/>
        </w:trPr>
        <w:tc>
          <w:tcPr>
            <w:tcW w:w="762"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88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纪律学风</w:t>
            </w:r>
          </w:p>
          <w:p>
            <w:pPr>
              <w:jc w:val="center"/>
              <w:rPr>
                <w:sz w:val="18"/>
                <w:szCs w:val="18"/>
              </w:rPr>
            </w:pPr>
            <w:r>
              <w:rPr>
                <w:rFonts w:hint="eastAsia"/>
                <w:sz w:val="18"/>
                <w:szCs w:val="18"/>
              </w:rPr>
              <w:t>W1</w:t>
            </w:r>
            <w:r>
              <w:rPr>
                <w:rFonts w:hint="eastAsia"/>
                <w:sz w:val="18"/>
                <w:szCs w:val="18"/>
                <w:vertAlign w:val="subscript"/>
              </w:rPr>
              <w:t>i</w:t>
            </w:r>
          </w:p>
        </w:tc>
        <w:tc>
          <w:tcPr>
            <w:tcW w:w="826"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实验操作</w:t>
            </w:r>
          </w:p>
          <w:p>
            <w:pPr>
              <w:jc w:val="center"/>
              <w:rPr>
                <w:sz w:val="18"/>
                <w:szCs w:val="18"/>
              </w:rPr>
            </w:pPr>
            <w:r>
              <w:rPr>
                <w:rFonts w:hint="eastAsia"/>
                <w:sz w:val="18"/>
                <w:szCs w:val="18"/>
              </w:rPr>
              <w:t>W2</w:t>
            </w:r>
            <w:r>
              <w:rPr>
                <w:rFonts w:hint="eastAsia"/>
                <w:sz w:val="18"/>
                <w:szCs w:val="18"/>
                <w:vertAlign w:val="subscript"/>
              </w:rPr>
              <w:t>i</w:t>
            </w:r>
          </w:p>
        </w:tc>
        <w:tc>
          <w:tcPr>
            <w:tcW w:w="979"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产品组装</w:t>
            </w:r>
          </w:p>
          <w:p>
            <w:pPr>
              <w:jc w:val="center"/>
              <w:rPr>
                <w:sz w:val="18"/>
                <w:szCs w:val="18"/>
              </w:rPr>
            </w:pPr>
            <w:r>
              <w:rPr>
                <w:rFonts w:hint="eastAsia"/>
                <w:sz w:val="18"/>
                <w:szCs w:val="18"/>
              </w:rPr>
              <w:t>W3</w:t>
            </w:r>
            <w:r>
              <w:rPr>
                <w:rFonts w:hint="eastAsia"/>
                <w:sz w:val="18"/>
                <w:szCs w:val="18"/>
                <w:vertAlign w:val="subscript"/>
              </w:rPr>
              <w:t>i</w:t>
            </w:r>
          </w:p>
        </w:tc>
        <w:tc>
          <w:tcPr>
            <w:tcW w:w="773"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实验报告</w:t>
            </w:r>
          </w:p>
          <w:p>
            <w:pPr>
              <w:jc w:val="center"/>
              <w:rPr>
                <w:sz w:val="18"/>
                <w:szCs w:val="18"/>
              </w:rPr>
            </w:pPr>
            <w:r>
              <w:rPr>
                <w:rFonts w:hint="eastAsia"/>
                <w:sz w:val="18"/>
                <w:szCs w:val="18"/>
              </w:rPr>
              <w:t>W4</w:t>
            </w:r>
            <w:r>
              <w:rPr>
                <w:rFonts w:hint="eastAsia"/>
                <w:sz w:val="18"/>
                <w:szCs w:val="18"/>
                <w:vertAlign w:val="subscript"/>
              </w:rPr>
              <w:t>i</w:t>
            </w:r>
          </w:p>
        </w:tc>
        <w:tc>
          <w:tcPr>
            <w:tcW w:w="772" w:type="pct"/>
            <w:tcBorders>
              <w:top w:val="single" w:color="auto" w:sz="4" w:space="0"/>
              <w:left w:val="single" w:color="auto" w:sz="4" w:space="0"/>
              <w:bottom w:val="single" w:color="auto" w:sz="4" w:space="0"/>
              <w:right w:val="nil"/>
            </w:tcBorders>
            <w:vAlign w:val="center"/>
          </w:tcPr>
          <w:p>
            <w:pPr>
              <w:jc w:val="center"/>
              <w:rPr>
                <w:sz w:val="18"/>
                <w:szCs w:val="18"/>
              </w:rPr>
            </w:pPr>
            <w:r>
              <w:rPr>
                <w:rFonts w:hint="eastAsia"/>
                <w:sz w:val="18"/>
                <w:szCs w:val="18"/>
              </w:rPr>
              <w:t>答辩</w:t>
            </w:r>
          </w:p>
          <w:p>
            <w:pPr>
              <w:jc w:val="center"/>
              <w:rPr>
                <w:sz w:val="18"/>
                <w:szCs w:val="18"/>
              </w:rPr>
            </w:pPr>
            <w:r>
              <w:rPr>
                <w:rFonts w:hint="eastAsia"/>
                <w:sz w:val="18"/>
                <w:szCs w:val="18"/>
              </w:rPr>
              <w:t>W</w:t>
            </w:r>
            <w:r>
              <w:rPr>
                <w:sz w:val="18"/>
                <w:szCs w:val="18"/>
              </w:rPr>
              <w:t>5</w:t>
            </w:r>
            <w:r>
              <w:rPr>
                <w:rFonts w:hint="eastAsia"/>
                <w:sz w:val="18"/>
                <w:szCs w:val="18"/>
                <w:vertAlign w:val="subscript"/>
              </w:rPr>
              <w:t>i</w:t>
            </w:r>
          </w:p>
        </w:tc>
      </w:tr>
      <w:tr>
        <w:tblPrEx>
          <w:tblCellMar>
            <w:top w:w="0" w:type="dxa"/>
            <w:left w:w="108" w:type="dxa"/>
            <w:bottom w:w="0" w:type="dxa"/>
            <w:right w:w="108" w:type="dxa"/>
          </w:tblCellMar>
        </w:tblPrEx>
        <w:trPr>
          <w:jc w:val="center"/>
        </w:trPr>
        <w:tc>
          <w:tcPr>
            <w:tcW w:w="762" w:type="pct"/>
            <w:tcBorders>
              <w:top w:val="nil"/>
              <w:left w:val="nil"/>
              <w:bottom w:val="single" w:color="auto" w:sz="4" w:space="0"/>
              <w:right w:val="single" w:color="auto" w:sz="4" w:space="0"/>
            </w:tcBorders>
            <w:vAlign w:val="center"/>
          </w:tcPr>
          <w:p>
            <w:pPr>
              <w:spacing w:line="360" w:lineRule="auto"/>
              <w:jc w:val="center"/>
              <w:rPr>
                <w:b/>
                <w:sz w:val="18"/>
                <w:szCs w:val="18"/>
              </w:rPr>
            </w:pPr>
            <w:r>
              <w:rPr>
                <w:b/>
                <w:sz w:val="18"/>
                <w:szCs w:val="18"/>
              </w:rPr>
              <w:t>1</w:t>
            </w:r>
          </w:p>
        </w:tc>
        <w:tc>
          <w:tcPr>
            <w:tcW w:w="88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20-30</w:t>
            </w:r>
          </w:p>
        </w:tc>
        <w:tc>
          <w:tcPr>
            <w:tcW w:w="8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20-30</w:t>
            </w:r>
          </w:p>
        </w:tc>
        <w:tc>
          <w:tcPr>
            <w:tcW w:w="97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20-30</w:t>
            </w:r>
          </w:p>
        </w:tc>
        <w:tc>
          <w:tcPr>
            <w:tcW w:w="773" w:type="pct"/>
            <w:tcBorders>
              <w:top w:val="single" w:color="auto" w:sz="4" w:space="0"/>
              <w:left w:val="single" w:color="auto" w:sz="4" w:space="0"/>
              <w:bottom w:val="single" w:color="auto" w:sz="4" w:space="0"/>
              <w:right w:val="nil"/>
            </w:tcBorders>
            <w:vAlign w:val="center"/>
          </w:tcPr>
          <w:p>
            <w:pPr>
              <w:spacing w:line="360" w:lineRule="auto"/>
              <w:jc w:val="center"/>
              <w:rPr>
                <w:b/>
                <w:sz w:val="18"/>
                <w:szCs w:val="18"/>
              </w:rPr>
            </w:pPr>
            <w:r>
              <w:rPr>
                <w:b/>
                <w:sz w:val="18"/>
                <w:szCs w:val="18"/>
              </w:rPr>
              <w:t>3</w:t>
            </w:r>
            <w:r>
              <w:rPr>
                <w:rFonts w:hint="eastAsia"/>
                <w:b/>
                <w:sz w:val="18"/>
                <w:szCs w:val="18"/>
              </w:rPr>
              <w:t>0-</w:t>
            </w:r>
            <w:r>
              <w:rPr>
                <w:b/>
                <w:sz w:val="18"/>
                <w:szCs w:val="18"/>
              </w:rPr>
              <w:t>4</w:t>
            </w:r>
            <w:r>
              <w:rPr>
                <w:rFonts w:hint="eastAsia"/>
                <w:b/>
                <w:sz w:val="18"/>
                <w:szCs w:val="18"/>
              </w:rPr>
              <w:t>0</w:t>
            </w:r>
          </w:p>
        </w:tc>
        <w:tc>
          <w:tcPr>
            <w:tcW w:w="772" w:type="pct"/>
            <w:tcBorders>
              <w:top w:val="single" w:color="auto" w:sz="4" w:space="0"/>
              <w:left w:val="single" w:color="auto" w:sz="4" w:space="0"/>
              <w:bottom w:val="single" w:color="auto" w:sz="4" w:space="0"/>
              <w:right w:val="nil"/>
            </w:tcBorders>
          </w:tcPr>
          <w:p>
            <w:pPr>
              <w:spacing w:line="360" w:lineRule="auto"/>
              <w:jc w:val="center"/>
              <w:rPr>
                <w:b/>
                <w:sz w:val="18"/>
                <w:szCs w:val="18"/>
              </w:rPr>
            </w:pPr>
            <w:r>
              <w:rPr>
                <w:rFonts w:hint="eastAsia"/>
                <w:b/>
                <w:sz w:val="18"/>
                <w:szCs w:val="18"/>
              </w:rPr>
              <w:t>2</w:t>
            </w:r>
            <w:r>
              <w:rPr>
                <w:b/>
                <w:sz w:val="18"/>
                <w:szCs w:val="18"/>
              </w:rPr>
              <w:t>0-</w:t>
            </w:r>
            <w:r>
              <w:rPr>
                <w:rFonts w:hint="eastAsia"/>
                <w:b/>
                <w:sz w:val="18"/>
                <w:szCs w:val="18"/>
              </w:rPr>
              <w:t>3</w:t>
            </w:r>
            <w:r>
              <w:rPr>
                <w:b/>
                <w:sz w:val="18"/>
                <w:szCs w:val="18"/>
              </w:rPr>
              <w:t>0</w:t>
            </w:r>
          </w:p>
        </w:tc>
      </w:tr>
      <w:tr>
        <w:tblPrEx>
          <w:tblCellMar>
            <w:top w:w="0" w:type="dxa"/>
            <w:left w:w="108" w:type="dxa"/>
            <w:bottom w:w="0" w:type="dxa"/>
            <w:right w:w="108" w:type="dxa"/>
          </w:tblCellMar>
        </w:tblPrEx>
        <w:trPr>
          <w:jc w:val="center"/>
        </w:trPr>
        <w:tc>
          <w:tcPr>
            <w:tcW w:w="762" w:type="pct"/>
            <w:tcBorders>
              <w:top w:val="nil"/>
              <w:left w:val="nil"/>
              <w:bottom w:val="single" w:color="auto" w:sz="4" w:space="0"/>
              <w:right w:val="single" w:color="auto" w:sz="4" w:space="0"/>
            </w:tcBorders>
            <w:vAlign w:val="center"/>
          </w:tcPr>
          <w:p>
            <w:pPr>
              <w:spacing w:line="360" w:lineRule="auto"/>
              <w:jc w:val="center"/>
              <w:rPr>
                <w:b/>
                <w:sz w:val="18"/>
                <w:szCs w:val="18"/>
              </w:rPr>
            </w:pPr>
            <w:r>
              <w:rPr>
                <w:b/>
                <w:sz w:val="18"/>
                <w:szCs w:val="18"/>
              </w:rPr>
              <w:t>2</w:t>
            </w:r>
          </w:p>
        </w:tc>
        <w:tc>
          <w:tcPr>
            <w:tcW w:w="88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30-40</w:t>
            </w:r>
          </w:p>
        </w:tc>
        <w:tc>
          <w:tcPr>
            <w:tcW w:w="8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3</w:t>
            </w:r>
            <w:r>
              <w:rPr>
                <w:b/>
                <w:sz w:val="18"/>
                <w:szCs w:val="18"/>
              </w:rPr>
              <w:t>0-</w:t>
            </w:r>
            <w:r>
              <w:rPr>
                <w:rFonts w:hint="eastAsia"/>
                <w:b/>
                <w:sz w:val="18"/>
                <w:szCs w:val="18"/>
              </w:rPr>
              <w:t>4</w:t>
            </w:r>
            <w:r>
              <w:rPr>
                <w:b/>
                <w:sz w:val="18"/>
                <w:szCs w:val="18"/>
              </w:rPr>
              <w:t>0</w:t>
            </w:r>
          </w:p>
        </w:tc>
        <w:tc>
          <w:tcPr>
            <w:tcW w:w="97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20-30</w:t>
            </w:r>
          </w:p>
        </w:tc>
        <w:tc>
          <w:tcPr>
            <w:tcW w:w="773" w:type="pct"/>
            <w:tcBorders>
              <w:top w:val="single" w:color="auto" w:sz="4" w:space="0"/>
              <w:left w:val="single" w:color="auto" w:sz="4" w:space="0"/>
              <w:bottom w:val="single" w:color="auto" w:sz="4" w:space="0"/>
              <w:right w:val="nil"/>
            </w:tcBorders>
            <w:vAlign w:val="center"/>
          </w:tcPr>
          <w:p>
            <w:pPr>
              <w:spacing w:line="360" w:lineRule="auto"/>
              <w:jc w:val="center"/>
              <w:rPr>
                <w:b/>
                <w:sz w:val="18"/>
                <w:szCs w:val="18"/>
              </w:rPr>
            </w:pPr>
            <w:r>
              <w:rPr>
                <w:b/>
                <w:sz w:val="18"/>
                <w:szCs w:val="18"/>
              </w:rPr>
              <w:t>50-60</w:t>
            </w:r>
          </w:p>
        </w:tc>
        <w:tc>
          <w:tcPr>
            <w:tcW w:w="772" w:type="pct"/>
            <w:tcBorders>
              <w:top w:val="single" w:color="auto" w:sz="4" w:space="0"/>
              <w:left w:val="single" w:color="auto" w:sz="4" w:space="0"/>
              <w:bottom w:val="single" w:color="auto" w:sz="4" w:space="0"/>
              <w:right w:val="nil"/>
            </w:tcBorders>
          </w:tcPr>
          <w:p>
            <w:pPr>
              <w:spacing w:line="360" w:lineRule="auto"/>
              <w:jc w:val="center"/>
              <w:rPr>
                <w:b/>
                <w:sz w:val="18"/>
                <w:szCs w:val="18"/>
              </w:rPr>
            </w:pPr>
            <w:r>
              <w:rPr>
                <w:rFonts w:hint="eastAsia"/>
                <w:b/>
                <w:sz w:val="18"/>
                <w:szCs w:val="18"/>
              </w:rPr>
              <w:t>30-40</w:t>
            </w:r>
          </w:p>
        </w:tc>
      </w:tr>
      <w:tr>
        <w:tblPrEx>
          <w:tblCellMar>
            <w:top w:w="0" w:type="dxa"/>
            <w:left w:w="108" w:type="dxa"/>
            <w:bottom w:w="0" w:type="dxa"/>
            <w:right w:w="108" w:type="dxa"/>
          </w:tblCellMar>
        </w:tblPrEx>
        <w:trPr>
          <w:jc w:val="center"/>
        </w:trPr>
        <w:tc>
          <w:tcPr>
            <w:tcW w:w="762" w:type="pct"/>
            <w:tcBorders>
              <w:top w:val="single" w:color="auto" w:sz="4" w:space="0"/>
              <w:left w:val="nil"/>
              <w:bottom w:val="single" w:color="auto" w:sz="4" w:space="0"/>
              <w:right w:val="single" w:color="auto" w:sz="4" w:space="0"/>
            </w:tcBorders>
            <w:vAlign w:val="center"/>
          </w:tcPr>
          <w:p>
            <w:pPr>
              <w:spacing w:line="360" w:lineRule="auto"/>
              <w:jc w:val="center"/>
              <w:rPr>
                <w:b/>
                <w:sz w:val="18"/>
                <w:szCs w:val="18"/>
              </w:rPr>
            </w:pPr>
            <w:r>
              <w:rPr>
                <w:b/>
                <w:sz w:val="18"/>
                <w:szCs w:val="18"/>
              </w:rPr>
              <w:t>3</w:t>
            </w:r>
          </w:p>
        </w:tc>
        <w:tc>
          <w:tcPr>
            <w:tcW w:w="88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30-40</w:t>
            </w:r>
          </w:p>
        </w:tc>
        <w:tc>
          <w:tcPr>
            <w:tcW w:w="8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40-50</w:t>
            </w:r>
          </w:p>
        </w:tc>
        <w:tc>
          <w:tcPr>
            <w:tcW w:w="97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b/>
                <w:sz w:val="18"/>
                <w:szCs w:val="18"/>
              </w:rPr>
            </w:pPr>
            <w:r>
              <w:rPr>
                <w:rFonts w:hint="eastAsia"/>
                <w:b/>
                <w:sz w:val="18"/>
                <w:szCs w:val="18"/>
              </w:rPr>
              <w:t>40-50</w:t>
            </w:r>
          </w:p>
        </w:tc>
        <w:tc>
          <w:tcPr>
            <w:tcW w:w="773" w:type="pct"/>
            <w:tcBorders>
              <w:top w:val="single" w:color="auto" w:sz="4" w:space="0"/>
              <w:left w:val="single" w:color="auto" w:sz="4" w:space="0"/>
              <w:bottom w:val="single" w:color="auto" w:sz="4" w:space="0"/>
              <w:right w:val="nil"/>
            </w:tcBorders>
            <w:vAlign w:val="center"/>
          </w:tcPr>
          <w:p>
            <w:pPr>
              <w:spacing w:line="360" w:lineRule="auto"/>
              <w:jc w:val="center"/>
              <w:rPr>
                <w:b/>
                <w:sz w:val="18"/>
                <w:szCs w:val="18"/>
              </w:rPr>
            </w:pPr>
            <w:r>
              <w:rPr>
                <w:rFonts w:hint="eastAsia"/>
                <w:b/>
                <w:sz w:val="18"/>
                <w:szCs w:val="18"/>
              </w:rPr>
              <w:t>10-20</w:t>
            </w:r>
          </w:p>
        </w:tc>
        <w:tc>
          <w:tcPr>
            <w:tcW w:w="772" w:type="pct"/>
            <w:tcBorders>
              <w:top w:val="single" w:color="auto" w:sz="4" w:space="0"/>
              <w:left w:val="single" w:color="auto" w:sz="4" w:space="0"/>
              <w:bottom w:val="single" w:color="auto" w:sz="4" w:space="0"/>
              <w:right w:val="nil"/>
            </w:tcBorders>
          </w:tcPr>
          <w:p>
            <w:pPr>
              <w:spacing w:line="360" w:lineRule="auto"/>
              <w:jc w:val="center"/>
              <w:rPr>
                <w:b/>
                <w:sz w:val="18"/>
                <w:szCs w:val="18"/>
              </w:rPr>
            </w:pPr>
            <w:r>
              <w:rPr>
                <w:rFonts w:hint="eastAsia"/>
                <w:b/>
                <w:sz w:val="18"/>
                <w:szCs w:val="18"/>
              </w:rPr>
              <w:t>30-40</w:t>
            </w:r>
          </w:p>
        </w:tc>
      </w:tr>
    </w:tbl>
    <w:p>
      <w:pPr>
        <w:spacing w:line="360" w:lineRule="auto"/>
        <w:rPr>
          <w:szCs w:val="21"/>
        </w:rPr>
      </w:pPr>
    </w:p>
    <w:p>
      <w:pPr>
        <w:spacing w:line="360" w:lineRule="auto"/>
        <w:ind w:firstLine="420" w:firstLineChars="200"/>
        <w:rPr>
          <w:szCs w:val="21"/>
        </w:rPr>
      </w:pPr>
      <w:r>
        <w:rPr>
          <w:rFonts w:hint="eastAsia"/>
          <w:szCs w:val="21"/>
        </w:rPr>
        <w:t>分目标达成值由每个部分对应的实际得分与题目总分数相比后，各环节加权求和得到。</w:t>
      </w:r>
    </w:p>
    <w:p>
      <w:pPr>
        <w:spacing w:line="360" w:lineRule="auto"/>
        <w:ind w:firstLine="420" w:firstLineChars="200"/>
        <w:rPr>
          <w:szCs w:val="21"/>
        </w:rPr>
      </w:pPr>
      <w:r>
        <w:rPr>
          <w:rFonts w:hint="eastAsia"/>
          <w:szCs w:val="21"/>
        </w:rPr>
        <w:t>总课程目标达成值由每个环节的总平均分，按照各环节加权求和得到。</w:t>
      </w:r>
    </w:p>
    <w:p>
      <w:pPr>
        <w:spacing w:line="360" w:lineRule="auto"/>
        <w:ind w:firstLine="420" w:firstLineChars="200"/>
        <w:rPr>
          <w:szCs w:val="21"/>
        </w:rPr>
      </w:pPr>
      <w:r>
        <w:rPr>
          <w:rFonts w:hint="eastAsia"/>
          <w:szCs w:val="21"/>
        </w:rPr>
        <w:t>各环节的评价标准参见课程成绩分析报告。</w:t>
      </w:r>
    </w:p>
    <w:p>
      <w:pPr>
        <w:pStyle w:val="45"/>
      </w:pPr>
    </w:p>
    <w:p>
      <w:pPr>
        <w:pStyle w:val="45"/>
      </w:pPr>
    </w:p>
    <w:p>
      <w:pPr>
        <w:pStyle w:val="45"/>
      </w:pPr>
    </w:p>
    <w:p>
      <w:pPr>
        <w:pStyle w:val="45"/>
      </w:pPr>
    </w:p>
    <w:p>
      <w:pPr>
        <w:pStyle w:val="45"/>
      </w:pPr>
    </w:p>
    <w:p>
      <w:pPr>
        <w:pStyle w:val="45"/>
      </w:pPr>
    </w:p>
    <w:p>
      <w:pPr>
        <w:pStyle w:val="45"/>
      </w:pPr>
    </w:p>
    <w:p>
      <w:pPr>
        <w:pStyle w:val="45"/>
      </w:pPr>
    </w:p>
    <w:p>
      <w:pPr>
        <w:widowControl/>
        <w:jc w:val="left"/>
      </w:pPr>
      <w:r>
        <w:br w:type="page"/>
      </w:r>
    </w:p>
    <w:p>
      <w:pPr>
        <w:pStyle w:val="20"/>
        <w:spacing w:before="240" w:after="360"/>
      </w:pPr>
      <w:bookmarkStart w:id="207" w:name="_Toc24297"/>
      <w:r>
        <w:rPr>
          <w:rFonts w:hint="eastAsia"/>
        </w:rPr>
        <w:t>《</w:t>
      </w:r>
      <w:r>
        <w:t>Y07060005-</w:t>
      </w:r>
      <w:r>
        <w:rPr>
          <w:rFonts w:hint="eastAsia"/>
        </w:rPr>
        <w:t>文献检索专题》教学大纲</w:t>
      </w:r>
      <w:bookmarkEnd w:id="206"/>
      <w:bookmarkEnd w:id="207"/>
    </w:p>
    <w:p>
      <w:pPr>
        <w:adjustRightInd w:val="0"/>
        <w:snapToGrid w:val="0"/>
        <w:spacing w:line="360" w:lineRule="auto"/>
        <w:rPr>
          <w:bCs/>
          <w:kern w:val="0"/>
        </w:rPr>
      </w:pPr>
      <w:r>
        <w:rPr>
          <w:rFonts w:hint="eastAsia" w:eastAsia="黑体"/>
          <w:szCs w:val="21"/>
        </w:rPr>
        <w:t>课程编号：</w:t>
      </w:r>
      <w:r>
        <w:rPr>
          <w:bCs/>
          <w:kern w:val="0"/>
        </w:rPr>
        <w:t>Y07060005</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文献检索专题</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8</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0.5</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大学英语、专业基础课</w:t>
      </w:r>
    </w:p>
    <w:p>
      <w:pPr>
        <w:adjustRightInd w:val="0"/>
        <w:snapToGrid w:val="0"/>
        <w:spacing w:line="360" w:lineRule="auto"/>
        <w:rPr>
          <w:szCs w:val="21"/>
        </w:rPr>
      </w:pPr>
      <w:r>
        <w:rPr>
          <w:rFonts w:hint="eastAsia" w:eastAsia="黑体"/>
          <w:szCs w:val="21"/>
        </w:rPr>
        <w:t>大纲撰写人：</w:t>
      </w:r>
      <w:r>
        <w:rPr>
          <w:rFonts w:hint="eastAsia"/>
          <w:szCs w:val="21"/>
        </w:rPr>
        <w:t>黄堃</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tabs>
          <w:tab w:val="left" w:pos="420"/>
        </w:tabs>
        <w:adjustRightInd w:val="0"/>
        <w:snapToGrid w:val="0"/>
        <w:spacing w:line="360" w:lineRule="auto"/>
        <w:rPr>
          <w:rFonts w:eastAsia="黑体"/>
          <w:szCs w:val="21"/>
        </w:rPr>
      </w:pPr>
      <w:r>
        <w:rPr>
          <w:rFonts w:hint="eastAsia" w:ascii="黑体" w:hAnsi="黑体" w:eastAsia="黑体"/>
          <w:szCs w:val="21"/>
        </w:rPr>
        <w:t>一、</w:t>
      </w:r>
      <w:r>
        <w:rPr>
          <w:rFonts w:hint="eastAsia" w:eastAsia="黑体"/>
          <w:szCs w:val="21"/>
        </w:rPr>
        <w:t>课程在教学计划中的地位、作用</w:t>
      </w:r>
    </w:p>
    <w:p>
      <w:pPr>
        <w:adjustRightInd w:val="0"/>
        <w:snapToGrid w:val="0"/>
        <w:spacing w:line="360" w:lineRule="auto"/>
        <w:ind w:firstLine="420" w:firstLineChars="200"/>
      </w:pPr>
      <w:r>
        <w:t>《文献检索专题》是培养学生信息情报意识，掌握手工方式和计算机方式检索文献信息、获取知识和情报的一门科学方法课。该课程对学生的文献收集、专业综合素质方面起到重要的支撑作用。</w:t>
      </w:r>
    </w:p>
    <w:p>
      <w:pPr>
        <w:adjustRightInd w:val="0"/>
        <w:snapToGrid w:val="0"/>
        <w:spacing w:line="360" w:lineRule="auto"/>
        <w:ind w:firstLine="420" w:firstLineChars="200"/>
        <w:rPr>
          <w:b/>
        </w:rPr>
      </w:pPr>
      <w:r>
        <w:t>本课程为本学科及相关学科文献信息源使用及检索的基本工具，涉及文献信息检索的基本知识，对培养学生应用文献检索工具与参考工具书的使用，熟知国内外常用网络检索系统，掌握如何获得与利用文献信息的方法，增强自学能力与研究能力具有重要作用。</w:t>
      </w:r>
    </w:p>
    <w:p>
      <w:pPr>
        <w:spacing w:line="360" w:lineRule="auto"/>
        <w:rPr>
          <w:szCs w:val="21"/>
        </w:rPr>
      </w:pPr>
    </w:p>
    <w:p>
      <w:pPr>
        <w:tabs>
          <w:tab w:val="left" w:pos="420"/>
        </w:tabs>
        <w:adjustRightInd w:val="0"/>
        <w:snapToGrid w:val="0"/>
        <w:spacing w:line="360" w:lineRule="auto"/>
        <w:ind w:left="420" w:hanging="420"/>
        <w:rPr>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2709"/>
        <w:gridCol w:w="49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1631"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3001"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1631" w:type="pct"/>
          </w:tcPr>
          <w:p>
            <w:pPr>
              <w:adjustRightInd w:val="0"/>
              <w:snapToGrid w:val="0"/>
              <w:spacing w:line="360" w:lineRule="auto"/>
              <w:rPr>
                <w:rFonts w:ascii="宋体" w:hAnsi="宋体"/>
                <w:sz w:val="18"/>
                <w:szCs w:val="18"/>
              </w:rPr>
            </w:pPr>
            <w:r>
              <w:rPr>
                <w:rFonts w:ascii="宋体" w:hAnsi="宋体"/>
                <w:sz w:val="18"/>
                <w:szCs w:val="18"/>
              </w:rPr>
              <w:t>能够使学生掌握信息资源检索的手段、类型以及原理</w:t>
            </w:r>
            <w:r>
              <w:rPr>
                <w:rFonts w:hint="eastAsia" w:ascii="宋体" w:hAnsi="宋体"/>
                <w:sz w:val="18"/>
                <w:szCs w:val="18"/>
              </w:rPr>
              <w:t>。</w:t>
            </w:r>
            <w:r>
              <w:rPr>
                <w:rFonts w:ascii="宋体" w:hAnsi="宋体"/>
                <w:sz w:val="18"/>
                <w:szCs w:val="18"/>
              </w:rPr>
              <w:drawing>
                <wp:anchor distT="0" distB="0" distL="114300" distR="114300" simplePos="0" relativeHeight="251711488" behindDoc="0" locked="0" layoutInCell="1" allowOverlap="1">
                  <wp:simplePos x="0" y="0"/>
                  <wp:positionH relativeFrom="character">
                    <wp:posOffset>1591310</wp:posOffset>
                  </wp:positionH>
                  <wp:positionV relativeFrom="line">
                    <wp:posOffset>77470</wp:posOffset>
                  </wp:positionV>
                  <wp:extent cx="6985" cy="23495"/>
                  <wp:effectExtent l="19050" t="19050" r="12065" b="14605"/>
                  <wp:wrapNone/>
                  <wp:docPr id="275" name="图片 275"/>
                  <wp:cNvGraphicFramePr/>
                  <a:graphic xmlns:a="http://schemas.openxmlformats.org/drawingml/2006/main">
                    <a:graphicData uri="http://schemas.openxmlformats.org/drawingml/2006/picture">
                      <pic:pic xmlns:pic="http://schemas.openxmlformats.org/drawingml/2006/picture">
                        <pic:nvPicPr>
                          <pic:cNvPr id="275" name="图片 275"/>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6985" cy="23495"/>
                          </a:xfrm>
                          <a:prstGeom prst="rect">
                            <a:avLst/>
                          </a:prstGeom>
                          <a:solidFill>
                            <a:srgbClr val="FFFFFF"/>
                          </a:solidFill>
                          <a:ln w="9525">
                            <a:solidFill>
                              <a:srgbClr val="000000"/>
                            </a:solidFill>
                            <a:round/>
                          </a:ln>
                        </pic:spPr>
                      </pic:pic>
                    </a:graphicData>
                  </a:graphic>
                </wp:anchor>
              </w:drawing>
            </w:r>
          </w:p>
        </w:tc>
        <w:tc>
          <w:tcPr>
            <w:tcW w:w="3001" w:type="pct"/>
          </w:tcPr>
          <w:p>
            <w:pPr>
              <w:adjustRightInd w:val="0"/>
              <w:snapToGrid w:val="0"/>
              <w:spacing w:line="360" w:lineRule="auto"/>
              <w:rPr>
                <w:rFonts w:ascii="宋体" w:hAnsi="宋体"/>
                <w:sz w:val="18"/>
                <w:szCs w:val="18"/>
              </w:rPr>
            </w:pPr>
            <w:r>
              <w:rPr>
                <w:rFonts w:hint="eastAsia" w:ascii="宋体" w:hAnsi="宋体"/>
                <w:b/>
                <w:bCs/>
                <w:sz w:val="18"/>
                <w:szCs w:val="18"/>
              </w:rPr>
              <w:t>指标点2-4 信息获取能力：</w:t>
            </w:r>
            <w:r>
              <w:rPr>
                <w:rFonts w:hint="eastAsia" w:ascii="宋体" w:hAnsi="宋体"/>
                <w:sz w:val="18"/>
                <w:szCs w:val="18"/>
              </w:rPr>
              <w:t>掌握文献检索、资料查询及运用现代技术获取信息的方法，能通过该手段获取行业内解决同类问题的方法与效果，支撑自己的方案，并理解其差距与优势。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1631" w:type="pct"/>
          </w:tcPr>
          <w:p>
            <w:pPr>
              <w:adjustRightInd w:val="0"/>
              <w:snapToGrid w:val="0"/>
              <w:spacing w:line="360" w:lineRule="auto"/>
              <w:rPr>
                <w:rFonts w:ascii="宋体" w:hAnsi="宋体"/>
                <w:sz w:val="18"/>
                <w:szCs w:val="18"/>
              </w:rPr>
            </w:pPr>
            <w:r>
              <w:rPr>
                <w:rFonts w:ascii="宋体" w:hAnsi="宋体"/>
                <w:sz w:val="18"/>
                <w:szCs w:val="18"/>
              </w:rPr>
              <w:t>能够独立地根据检索课题选用适当的检索工具或数据库，能够综合利用多种检索工具或数据库完成检索课题</w:t>
            </w:r>
            <w:r>
              <w:rPr>
                <w:rFonts w:hint="eastAsia" w:ascii="宋体" w:hAnsi="宋体"/>
                <w:sz w:val="18"/>
                <w:szCs w:val="18"/>
              </w:rPr>
              <w:t>。</w:t>
            </w:r>
          </w:p>
        </w:tc>
        <w:tc>
          <w:tcPr>
            <w:tcW w:w="3001" w:type="pct"/>
          </w:tcPr>
          <w:p>
            <w:pPr>
              <w:adjustRightInd w:val="0"/>
              <w:snapToGrid w:val="0"/>
              <w:spacing w:line="360" w:lineRule="auto"/>
              <w:rPr>
                <w:rFonts w:ascii="宋体" w:hAnsi="宋体"/>
                <w:sz w:val="18"/>
                <w:szCs w:val="18"/>
              </w:rPr>
            </w:pPr>
            <w:r>
              <w:rPr>
                <w:rFonts w:hint="eastAsia" w:ascii="宋体" w:hAnsi="宋体"/>
                <w:b/>
                <w:bCs/>
                <w:sz w:val="18"/>
                <w:szCs w:val="18"/>
              </w:rPr>
              <w:t>指标点5-3 其它手段与资源</w:t>
            </w:r>
            <w:r>
              <w:rPr>
                <w:rFonts w:hint="eastAsia" w:ascii="宋体" w:hAnsi="宋体"/>
                <w:sz w:val="18"/>
                <w:szCs w:val="18"/>
              </w:rPr>
              <w:t>：能够充分利用高级语言、通用数据处理软件和字处理等其它信息技术工具与资源，提高工作效率。</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3</w:t>
            </w:r>
          </w:p>
        </w:tc>
        <w:tc>
          <w:tcPr>
            <w:tcW w:w="1631" w:type="pct"/>
          </w:tcPr>
          <w:p>
            <w:pPr>
              <w:adjustRightInd w:val="0"/>
              <w:snapToGrid w:val="0"/>
              <w:spacing w:line="360" w:lineRule="auto"/>
              <w:rPr>
                <w:rFonts w:ascii="宋体" w:hAnsi="宋体"/>
                <w:sz w:val="18"/>
                <w:szCs w:val="18"/>
              </w:rPr>
            </w:pPr>
            <w:r>
              <w:rPr>
                <w:rFonts w:ascii="宋体" w:hAnsi="宋体"/>
                <w:sz w:val="18"/>
                <w:szCs w:val="18"/>
              </w:rPr>
              <w:t>能够根据相应检索结果进行信息筛选，写出检索报告</w:t>
            </w:r>
            <w:r>
              <w:rPr>
                <w:rFonts w:hint="eastAsia" w:ascii="宋体" w:hAnsi="宋体"/>
                <w:sz w:val="18"/>
                <w:szCs w:val="18"/>
              </w:rPr>
              <w:t>。</w:t>
            </w:r>
          </w:p>
        </w:tc>
        <w:tc>
          <w:tcPr>
            <w:tcW w:w="3001" w:type="pct"/>
          </w:tcPr>
          <w:p>
            <w:pPr>
              <w:adjustRightInd w:val="0"/>
              <w:snapToGrid w:val="0"/>
              <w:spacing w:line="360" w:lineRule="auto"/>
              <w:rPr>
                <w:rFonts w:ascii="宋体" w:hAnsi="宋体"/>
                <w:b/>
                <w:sz w:val="18"/>
                <w:szCs w:val="18"/>
              </w:rPr>
            </w:pPr>
            <w:r>
              <w:rPr>
                <w:rFonts w:hint="eastAsia" w:ascii="宋体" w:hAnsi="宋体"/>
                <w:b/>
                <w:bCs/>
                <w:sz w:val="18"/>
                <w:szCs w:val="18"/>
              </w:rPr>
              <w:t>指标点12-2 学习能力</w:t>
            </w:r>
            <w:r>
              <w:rPr>
                <w:rFonts w:hint="eastAsia" w:ascii="宋体" w:hAnsi="宋体"/>
                <w:sz w:val="18"/>
                <w:szCs w:val="18"/>
              </w:rPr>
              <w:t>：</w:t>
            </w:r>
            <w:r>
              <w:rPr>
                <w:rFonts w:hint="eastAsia" w:ascii="宋体" w:hAnsi="宋体"/>
                <w:kern w:val="0"/>
                <w:sz w:val="18"/>
                <w:szCs w:val="18"/>
              </w:rPr>
              <w:t>掌握正确的学习方法，具备通过学习不断提高、不断调整自己适应行业发展和环境变化的能力。</w:t>
            </w:r>
          </w:p>
        </w:tc>
      </w:tr>
    </w:tbl>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要求学生掌握典型的信息来源和检索技术手段；掌握常用国内外检索工具使用的方法和技术；学生需具备基本的信息处理分析和提炼筛选的能力；能够独立的综合利用多种检索工具或数据库完成专业课题检索。</w:t>
      </w:r>
    </w:p>
    <w:p>
      <w:pPr>
        <w:adjustRightInd w:val="0"/>
        <w:snapToGrid w:val="0"/>
        <w:spacing w:line="360" w:lineRule="auto"/>
        <w:ind w:firstLine="420" w:firstLineChars="200"/>
        <w:rPr>
          <w:szCs w:val="21"/>
        </w:rPr>
      </w:pPr>
      <w:r>
        <w:rPr>
          <w:rFonts w:hint="eastAsia"/>
          <w:szCs w:val="21"/>
        </w:rPr>
        <w:t>2、深度和广度说明：</w:t>
      </w:r>
    </w:p>
    <w:p>
      <w:pPr>
        <w:adjustRightInd w:val="0"/>
        <w:snapToGrid w:val="0"/>
        <w:spacing w:line="360" w:lineRule="auto"/>
        <w:ind w:firstLine="420" w:firstLineChars="200"/>
      </w:pPr>
      <w:r>
        <w:t>1）以中文数据库检索方法为重点，讲授中国学术期刊网络出版总库、中文科技期刊数据库检索组成及方法，以中文著名期刊数据库如万方、超星为例讲解科技知识检索；适当讲述专利、以及硕博士论文关键技术检索；</w:t>
      </w:r>
    </w:p>
    <w:p>
      <w:pPr>
        <w:adjustRightInd w:val="0"/>
        <w:snapToGrid w:val="0"/>
        <w:spacing w:line="360" w:lineRule="auto"/>
        <w:ind w:firstLine="420" w:firstLineChars="200"/>
      </w:pPr>
      <w:r>
        <w:t>2）外文数据库（主要是英文）检索方法，重点讲述Springer Link、Science Direct、Web of Science等数据库组成以及检索要点，适当讲述EI、Inspec的检索及使用方法；</w:t>
      </w:r>
    </w:p>
    <w:p>
      <w:pPr>
        <w:adjustRightInd w:val="0"/>
        <w:snapToGrid w:val="0"/>
        <w:spacing w:line="360" w:lineRule="auto"/>
        <w:ind w:firstLine="420" w:firstLineChars="200"/>
      </w:pPr>
      <w:r>
        <w:t>3）鉴于本课程很强的实践性，可以适当增加学生的实践动手能力，同时辅助讲解，重点讲述文献综述的写作要点和技巧。</w:t>
      </w:r>
    </w:p>
    <w:p>
      <w:pPr>
        <w:spacing w:line="360" w:lineRule="auto"/>
        <w:ind w:firstLine="420" w:firstLineChars="200"/>
        <w:rPr>
          <w:szCs w:val="21"/>
        </w:rPr>
      </w:pPr>
      <w:r>
        <w:rPr>
          <w:rFonts w:hint="eastAsia"/>
          <w:szCs w:val="21"/>
        </w:rPr>
        <w:t>3</w:t>
      </w:r>
      <w:r>
        <w:rPr>
          <w:szCs w:val="21"/>
        </w:rPr>
        <w:t>、偏差说明：</w:t>
      </w:r>
      <w:r>
        <w:t>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tabs>
          <w:tab w:val="left" w:pos="420"/>
        </w:tabs>
        <w:spacing w:line="360" w:lineRule="auto"/>
        <w:ind w:left="420" w:hanging="420"/>
        <w:rPr>
          <w:rFonts w:eastAsia="黑体"/>
          <w:szCs w:val="21"/>
        </w:rPr>
      </w:pPr>
      <w:r>
        <w:rPr>
          <w:rFonts w:hint="eastAsia" w:eastAsia="黑体"/>
          <w:szCs w:val="21"/>
        </w:rPr>
        <w:t>四、教学内容和教学方法</w:t>
      </w:r>
    </w:p>
    <w:p>
      <w:pPr>
        <w:adjustRightInd w:val="0"/>
        <w:snapToGrid w:val="0"/>
        <w:spacing w:line="360" w:lineRule="auto"/>
        <w:ind w:firstLine="420" w:firstLineChars="200"/>
      </w:pPr>
      <w:r>
        <w:t>本课程重点讲授的内容包括：文献信息检索的一般概念、基本原理、检索方法和技术；常用的中外文数据库、电子图书、特种文献；网络信息的检索方法、步骤及规则；设置综合检索课题，引导学生得到较好的检索结果。</w:t>
      </w:r>
    </w:p>
    <w:p>
      <w:pPr>
        <w:spacing w:line="360" w:lineRule="auto"/>
        <w:ind w:firstLine="420" w:firstLineChars="200"/>
        <w:rPr>
          <w:szCs w:val="21"/>
        </w:rPr>
      </w:pPr>
      <w:r>
        <w:rPr>
          <w:szCs w:val="21"/>
        </w:rPr>
        <w:t>本课程在教学方法上，充分利用</w:t>
      </w:r>
      <w:r>
        <w:t>CAI形式讲授，</w:t>
      </w:r>
      <w:r>
        <w:rPr>
          <w:rFonts w:hint="eastAsia"/>
        </w:rPr>
        <w:t>并结合图书馆信息资源实践操作</w:t>
      </w:r>
      <w:r>
        <w:t>，引导学生</w:t>
      </w:r>
      <w:r>
        <w:rPr>
          <w:rFonts w:hint="eastAsia"/>
        </w:rPr>
        <w:t>如何高效检索所需资料文献</w:t>
      </w:r>
      <w:r>
        <w:t>，让学生获得更多的锻炼机会。</w:t>
      </w:r>
    </w:p>
    <w:p>
      <w:pPr>
        <w:spacing w:line="360" w:lineRule="auto"/>
        <w:ind w:firstLine="420" w:firstLineChars="200"/>
        <w:rPr>
          <w:szCs w:val="21"/>
        </w:rPr>
      </w:pPr>
      <w:r>
        <w:rPr>
          <w:rFonts w:hint="eastAsia"/>
          <w:szCs w:val="21"/>
        </w:rPr>
        <w:t>为了提高学生的学习兴趣，并取得良好的教学效果，教师在实践操作的过程中要充分利用检索案例指导，以进一步提高教学质量。</w:t>
      </w:r>
    </w:p>
    <w:p>
      <w:pPr>
        <w:adjustRightInd w:val="0"/>
        <w:snapToGrid w:val="0"/>
        <w:spacing w:line="360" w:lineRule="auto"/>
        <w:ind w:firstLine="420" w:firstLineChars="200"/>
        <w:rPr>
          <w:rFonts w:eastAsia="黑体"/>
          <w:szCs w:val="24"/>
        </w:rPr>
      </w:pPr>
      <w:r>
        <w:rPr>
          <w:rFonts w:hint="eastAsia" w:eastAsia="黑体"/>
          <w:szCs w:val="24"/>
        </w:rPr>
        <w:t xml:space="preserve">1 </w:t>
      </w:r>
      <w:r>
        <w:rPr>
          <w:rFonts w:eastAsia="黑体"/>
          <w:szCs w:val="24"/>
        </w:rPr>
        <w:t xml:space="preserve">绪论 ( </w:t>
      </w:r>
      <w:r>
        <w:rPr>
          <w:rFonts w:hint="eastAsia" w:eastAsia="黑体"/>
          <w:szCs w:val="24"/>
        </w:rPr>
        <w:t>1</w:t>
      </w:r>
      <w:r>
        <w:rPr>
          <w:rFonts w:eastAsia="黑体"/>
          <w:szCs w:val="24"/>
        </w:rPr>
        <w:t>学时)</w:t>
      </w:r>
    </w:p>
    <w:p>
      <w:pPr>
        <w:adjustRightInd w:val="0"/>
        <w:snapToGrid w:val="0"/>
        <w:spacing w:line="360" w:lineRule="auto"/>
        <w:ind w:firstLine="420" w:firstLineChars="200"/>
        <w:rPr>
          <w:szCs w:val="24"/>
        </w:rPr>
      </w:pPr>
      <w:r>
        <w:rPr>
          <w:szCs w:val="24"/>
        </w:rPr>
        <w:t>1.1</w:t>
      </w:r>
      <w:r>
        <w:rPr>
          <w:rFonts w:hint="eastAsia"/>
          <w:szCs w:val="24"/>
        </w:rPr>
        <w:t>、</w:t>
      </w:r>
      <w:r>
        <w:rPr>
          <w:szCs w:val="24"/>
        </w:rPr>
        <w:t>文献信息基本知识；</w:t>
      </w:r>
    </w:p>
    <w:p>
      <w:pPr>
        <w:adjustRightInd w:val="0"/>
        <w:snapToGrid w:val="0"/>
        <w:spacing w:line="360" w:lineRule="auto"/>
        <w:ind w:firstLine="420" w:firstLineChars="200"/>
        <w:rPr>
          <w:szCs w:val="24"/>
        </w:rPr>
      </w:pPr>
      <w:r>
        <w:rPr>
          <w:szCs w:val="24"/>
        </w:rPr>
        <w:t>1.2</w:t>
      </w:r>
      <w:r>
        <w:rPr>
          <w:rFonts w:hint="eastAsia"/>
          <w:szCs w:val="24"/>
        </w:rPr>
        <w:t>、</w:t>
      </w:r>
      <w:r>
        <w:rPr>
          <w:szCs w:val="24"/>
        </w:rPr>
        <w:t>信息检索基础知识；</w:t>
      </w:r>
    </w:p>
    <w:p>
      <w:pPr>
        <w:adjustRightInd w:val="0"/>
        <w:snapToGrid w:val="0"/>
        <w:spacing w:line="360" w:lineRule="auto"/>
        <w:ind w:firstLine="420" w:firstLineChars="200"/>
        <w:rPr>
          <w:szCs w:val="24"/>
        </w:rPr>
      </w:pPr>
      <w:r>
        <w:rPr>
          <w:szCs w:val="24"/>
        </w:rPr>
        <w:t>1.3</w:t>
      </w:r>
      <w:r>
        <w:rPr>
          <w:rFonts w:hint="eastAsia"/>
          <w:szCs w:val="24"/>
        </w:rPr>
        <w:t>、</w:t>
      </w:r>
      <w:r>
        <w:rPr>
          <w:szCs w:val="24"/>
        </w:rPr>
        <w:t>计算机检索技术及方法。</w:t>
      </w:r>
    </w:p>
    <w:p>
      <w:pPr>
        <w:widowControl/>
        <w:adjustRightInd w:val="0"/>
        <w:snapToGrid w:val="0"/>
        <w:spacing w:line="360" w:lineRule="auto"/>
        <w:ind w:firstLine="420" w:firstLineChars="200"/>
        <w:jc w:val="left"/>
        <w:rPr>
          <w:snapToGrid w:val="0"/>
          <w:kern w:val="0"/>
        </w:rPr>
      </w:pPr>
      <w:r>
        <w:rPr>
          <w:snapToGrid w:val="0"/>
          <w:kern w:val="0"/>
        </w:rPr>
        <w:t>重点：</w:t>
      </w:r>
      <w:r>
        <w:rPr>
          <w:szCs w:val="24"/>
        </w:rPr>
        <w:t>信息检索基础的基本概念及基础知识</w:t>
      </w:r>
      <w:r>
        <w:rPr>
          <w:snapToGrid w:val="0"/>
          <w:kern w:val="0"/>
        </w:rPr>
        <w:t>。</w:t>
      </w:r>
    </w:p>
    <w:p>
      <w:pPr>
        <w:widowControl/>
        <w:adjustRightInd w:val="0"/>
        <w:snapToGrid w:val="0"/>
        <w:spacing w:line="360" w:lineRule="auto"/>
        <w:ind w:firstLine="420" w:firstLineChars="200"/>
        <w:jc w:val="left"/>
        <w:rPr>
          <w:snapToGrid w:val="0"/>
          <w:kern w:val="0"/>
        </w:rPr>
      </w:pPr>
      <w:r>
        <w:rPr>
          <w:snapToGrid w:val="0"/>
          <w:kern w:val="0"/>
        </w:rPr>
        <w:t>难点：对信息检索的正确认识。</w:t>
      </w:r>
    </w:p>
    <w:p>
      <w:pPr>
        <w:widowControl/>
        <w:adjustRightInd w:val="0"/>
        <w:snapToGrid w:val="0"/>
        <w:spacing w:line="360" w:lineRule="auto"/>
        <w:ind w:firstLine="420" w:firstLineChars="200"/>
        <w:jc w:val="left"/>
        <w:rPr>
          <w:snapToGrid w:val="0"/>
          <w:kern w:val="0"/>
        </w:rPr>
      </w:pPr>
      <w:r>
        <w:rPr>
          <w:snapToGrid w:val="0"/>
          <w:kern w:val="0"/>
        </w:rPr>
        <w:t>教学方式：课堂教学1学时。</w:t>
      </w:r>
    </w:p>
    <w:p>
      <w:pPr>
        <w:widowControl/>
        <w:adjustRightInd w:val="0"/>
        <w:snapToGrid w:val="0"/>
        <w:spacing w:line="360" w:lineRule="auto"/>
        <w:ind w:firstLine="420" w:firstLineChars="200"/>
        <w:jc w:val="left"/>
        <w:rPr>
          <w:snapToGrid w:val="0"/>
          <w:kern w:val="0"/>
        </w:rPr>
      </w:pPr>
      <w:r>
        <w:rPr>
          <w:rFonts w:hint="eastAsia"/>
          <w:snapToGrid w:val="0"/>
          <w:kern w:val="0"/>
        </w:rPr>
        <w:t>本内容支撑课程目标1。</w:t>
      </w:r>
    </w:p>
    <w:p>
      <w:pPr>
        <w:adjustRightInd w:val="0"/>
        <w:snapToGrid w:val="0"/>
        <w:spacing w:line="360" w:lineRule="auto"/>
        <w:ind w:firstLine="420" w:firstLineChars="200"/>
        <w:rPr>
          <w:rFonts w:eastAsia="黑体"/>
          <w:szCs w:val="24"/>
        </w:rPr>
      </w:pPr>
      <w:r>
        <w:rPr>
          <w:rFonts w:hint="eastAsia" w:eastAsia="黑体"/>
          <w:szCs w:val="24"/>
        </w:rPr>
        <w:t>2</w:t>
      </w:r>
      <w:r>
        <w:rPr>
          <w:rFonts w:eastAsia="黑体"/>
          <w:szCs w:val="24"/>
        </w:rPr>
        <w:t>常用中文数据库检索方法（</w:t>
      </w:r>
      <w:r>
        <w:rPr>
          <w:rFonts w:hint="eastAsia" w:eastAsia="黑体"/>
          <w:szCs w:val="24"/>
        </w:rPr>
        <w:t>2</w:t>
      </w:r>
      <w:r>
        <w:rPr>
          <w:rFonts w:eastAsia="黑体"/>
          <w:szCs w:val="24"/>
        </w:rPr>
        <w:t>学时）</w:t>
      </w:r>
    </w:p>
    <w:p>
      <w:pPr>
        <w:adjustRightInd w:val="0"/>
        <w:snapToGrid w:val="0"/>
        <w:spacing w:line="360" w:lineRule="auto"/>
        <w:ind w:firstLine="420" w:firstLineChars="200"/>
        <w:rPr>
          <w:szCs w:val="24"/>
        </w:rPr>
      </w:pPr>
      <w:r>
        <w:rPr>
          <w:szCs w:val="24"/>
        </w:rPr>
        <w:t>2.1</w:t>
      </w:r>
      <w:r>
        <w:rPr>
          <w:rFonts w:hint="eastAsia"/>
          <w:szCs w:val="24"/>
        </w:rPr>
        <w:t>、</w:t>
      </w:r>
      <w:r>
        <w:rPr>
          <w:szCs w:val="24"/>
        </w:rPr>
        <w:t>中国学术期刊网络出版总库、中文科技期刊数据库检索组成及方法；</w:t>
      </w:r>
    </w:p>
    <w:p>
      <w:pPr>
        <w:adjustRightInd w:val="0"/>
        <w:snapToGrid w:val="0"/>
        <w:spacing w:line="360" w:lineRule="auto"/>
        <w:ind w:firstLine="420" w:firstLineChars="200"/>
        <w:rPr>
          <w:szCs w:val="24"/>
        </w:rPr>
      </w:pPr>
      <w:r>
        <w:rPr>
          <w:szCs w:val="24"/>
        </w:rPr>
        <w:t>2.2</w:t>
      </w:r>
      <w:r>
        <w:rPr>
          <w:rFonts w:hint="eastAsia"/>
          <w:szCs w:val="24"/>
        </w:rPr>
        <w:t>、</w:t>
      </w:r>
      <w:r>
        <w:rPr>
          <w:szCs w:val="24"/>
        </w:rPr>
        <w:t>万方数据资源信息检索系统、超星电子图书、书生之家电子图书等数据库的检索组成及方法；</w:t>
      </w:r>
    </w:p>
    <w:p>
      <w:pPr>
        <w:adjustRightInd w:val="0"/>
        <w:snapToGrid w:val="0"/>
        <w:spacing w:line="360" w:lineRule="auto"/>
        <w:ind w:firstLine="420" w:firstLineChars="200"/>
        <w:rPr>
          <w:szCs w:val="24"/>
        </w:rPr>
      </w:pPr>
      <w:r>
        <w:rPr>
          <w:szCs w:val="24"/>
        </w:rPr>
        <w:t>2.3</w:t>
      </w:r>
      <w:r>
        <w:rPr>
          <w:rFonts w:hint="eastAsia"/>
          <w:szCs w:val="24"/>
        </w:rPr>
        <w:t>、</w:t>
      </w:r>
      <w:r>
        <w:rPr>
          <w:szCs w:val="24"/>
        </w:rPr>
        <w:t>专利及学位论文的检索、使用方法；</w:t>
      </w:r>
    </w:p>
    <w:p>
      <w:pPr>
        <w:adjustRightInd w:val="0"/>
        <w:snapToGrid w:val="0"/>
        <w:spacing w:line="360" w:lineRule="auto"/>
        <w:ind w:firstLine="420" w:firstLineChars="200"/>
        <w:rPr>
          <w:szCs w:val="24"/>
        </w:rPr>
      </w:pPr>
      <w:r>
        <w:rPr>
          <w:szCs w:val="24"/>
        </w:rPr>
        <w:t>2.4</w:t>
      </w:r>
      <w:r>
        <w:rPr>
          <w:rFonts w:hint="eastAsia"/>
          <w:szCs w:val="24"/>
        </w:rPr>
        <w:t>、</w:t>
      </w:r>
      <w:r>
        <w:rPr>
          <w:szCs w:val="24"/>
        </w:rPr>
        <w:t>会议文献、标准文献的检索及使用方法；</w:t>
      </w:r>
    </w:p>
    <w:p>
      <w:pPr>
        <w:adjustRightInd w:val="0"/>
        <w:snapToGrid w:val="0"/>
        <w:spacing w:line="360" w:lineRule="auto"/>
        <w:ind w:firstLine="420" w:firstLineChars="200"/>
        <w:rPr>
          <w:szCs w:val="24"/>
        </w:rPr>
      </w:pPr>
      <w:r>
        <w:rPr>
          <w:szCs w:val="24"/>
        </w:rPr>
        <w:t>2.5</w:t>
      </w:r>
      <w:r>
        <w:rPr>
          <w:rFonts w:hint="eastAsia"/>
          <w:szCs w:val="24"/>
        </w:rPr>
        <w:t>、</w:t>
      </w:r>
      <w:r>
        <w:rPr>
          <w:szCs w:val="24"/>
        </w:rPr>
        <w:t>检索</w:t>
      </w:r>
      <w:r>
        <w:rPr>
          <w:rFonts w:hint="eastAsia"/>
          <w:szCs w:val="24"/>
        </w:rPr>
        <w:t>实践</w:t>
      </w:r>
      <w:r>
        <w:rPr>
          <w:szCs w:val="24"/>
        </w:rPr>
        <w:t>，中文数据库检索常用方法及检索技巧。</w:t>
      </w:r>
    </w:p>
    <w:p>
      <w:pPr>
        <w:widowControl/>
        <w:adjustRightInd w:val="0"/>
        <w:snapToGrid w:val="0"/>
        <w:spacing w:line="360" w:lineRule="auto"/>
        <w:ind w:firstLine="420" w:firstLineChars="200"/>
        <w:jc w:val="left"/>
        <w:rPr>
          <w:snapToGrid w:val="0"/>
          <w:kern w:val="0"/>
        </w:rPr>
      </w:pPr>
      <w:r>
        <w:rPr>
          <w:snapToGrid w:val="0"/>
          <w:kern w:val="0"/>
        </w:rPr>
        <w:t>重点：</w:t>
      </w:r>
      <w:r>
        <w:rPr>
          <w:szCs w:val="24"/>
        </w:rPr>
        <w:t>中国学术期刊网络出版总库、中文科技期刊数据库检索组成及方法；万方数据资源信息检索系统、超星电子图书等检索方法；纸质书籍的检索方法及关键技术。</w:t>
      </w:r>
    </w:p>
    <w:p>
      <w:pPr>
        <w:widowControl/>
        <w:adjustRightInd w:val="0"/>
        <w:snapToGrid w:val="0"/>
        <w:spacing w:line="360" w:lineRule="auto"/>
        <w:ind w:firstLine="420" w:firstLineChars="200"/>
        <w:jc w:val="left"/>
        <w:rPr>
          <w:snapToGrid w:val="0"/>
          <w:kern w:val="0"/>
        </w:rPr>
      </w:pPr>
      <w:r>
        <w:rPr>
          <w:snapToGrid w:val="0"/>
          <w:kern w:val="0"/>
        </w:rPr>
        <w:t>难点：中文检索报告的组成及书写要点。</w:t>
      </w:r>
    </w:p>
    <w:p>
      <w:pPr>
        <w:widowControl/>
        <w:adjustRightInd w:val="0"/>
        <w:snapToGrid w:val="0"/>
        <w:spacing w:line="360" w:lineRule="auto"/>
        <w:ind w:firstLine="420" w:firstLineChars="200"/>
        <w:jc w:val="left"/>
        <w:rPr>
          <w:snapToGrid w:val="0"/>
          <w:kern w:val="0"/>
        </w:rPr>
      </w:pPr>
      <w:r>
        <w:rPr>
          <w:snapToGrid w:val="0"/>
          <w:kern w:val="0"/>
        </w:rPr>
        <w:t>教学方式：课堂教学</w:t>
      </w:r>
      <w:r>
        <w:rPr>
          <w:rFonts w:hint="eastAsia"/>
          <w:snapToGrid w:val="0"/>
          <w:kern w:val="0"/>
        </w:rPr>
        <w:t>2学时。</w:t>
      </w:r>
    </w:p>
    <w:p>
      <w:pPr>
        <w:widowControl/>
        <w:adjustRightInd w:val="0"/>
        <w:snapToGrid w:val="0"/>
        <w:spacing w:line="360" w:lineRule="auto"/>
        <w:ind w:firstLine="420" w:firstLineChars="200"/>
        <w:jc w:val="left"/>
        <w:rPr>
          <w:snapToGrid w:val="0"/>
          <w:kern w:val="0"/>
        </w:rPr>
      </w:pPr>
      <w:r>
        <w:rPr>
          <w:rFonts w:hint="eastAsia"/>
          <w:snapToGrid w:val="0"/>
          <w:kern w:val="0"/>
        </w:rPr>
        <w:t>本内容支撑课程目标2、3。</w:t>
      </w:r>
    </w:p>
    <w:p>
      <w:pPr>
        <w:adjustRightInd w:val="0"/>
        <w:snapToGrid w:val="0"/>
        <w:spacing w:line="360" w:lineRule="auto"/>
        <w:ind w:firstLine="420" w:firstLineChars="200"/>
        <w:rPr>
          <w:rFonts w:eastAsia="黑体"/>
          <w:szCs w:val="24"/>
        </w:rPr>
      </w:pPr>
      <w:r>
        <w:rPr>
          <w:rFonts w:hint="eastAsia" w:eastAsia="黑体"/>
          <w:szCs w:val="24"/>
        </w:rPr>
        <w:t>3</w:t>
      </w:r>
      <w:r>
        <w:rPr>
          <w:rFonts w:eastAsia="黑体"/>
          <w:szCs w:val="24"/>
        </w:rPr>
        <w:t>常用外文数据库检索方法（</w:t>
      </w:r>
      <w:r>
        <w:rPr>
          <w:rFonts w:hint="eastAsia" w:eastAsia="黑体"/>
          <w:szCs w:val="24"/>
        </w:rPr>
        <w:t>2</w:t>
      </w:r>
      <w:r>
        <w:rPr>
          <w:rFonts w:eastAsia="黑体"/>
          <w:szCs w:val="24"/>
        </w:rPr>
        <w:t>学时）</w:t>
      </w:r>
    </w:p>
    <w:p>
      <w:pPr>
        <w:adjustRightInd w:val="0"/>
        <w:snapToGrid w:val="0"/>
        <w:spacing w:line="360" w:lineRule="auto"/>
        <w:ind w:firstLine="420" w:firstLineChars="200"/>
        <w:rPr>
          <w:szCs w:val="24"/>
        </w:rPr>
      </w:pPr>
      <w:r>
        <w:rPr>
          <w:szCs w:val="24"/>
        </w:rPr>
        <w:t>3.1</w:t>
      </w:r>
      <w:r>
        <w:rPr>
          <w:rFonts w:hint="eastAsia"/>
          <w:szCs w:val="24"/>
        </w:rPr>
        <w:t>、</w:t>
      </w:r>
      <w:r>
        <w:rPr>
          <w:szCs w:val="24"/>
        </w:rPr>
        <w:t>Springer Link，Science Direct的检索组成及方法；</w:t>
      </w:r>
    </w:p>
    <w:p>
      <w:pPr>
        <w:adjustRightInd w:val="0"/>
        <w:snapToGrid w:val="0"/>
        <w:spacing w:line="360" w:lineRule="auto"/>
        <w:ind w:firstLine="420" w:firstLineChars="200"/>
        <w:rPr>
          <w:szCs w:val="24"/>
        </w:rPr>
      </w:pPr>
      <w:r>
        <w:rPr>
          <w:szCs w:val="24"/>
        </w:rPr>
        <w:t>3.2</w:t>
      </w:r>
      <w:r>
        <w:rPr>
          <w:rFonts w:hint="eastAsia"/>
          <w:szCs w:val="24"/>
        </w:rPr>
        <w:t>、</w:t>
      </w:r>
      <w:r>
        <w:rPr>
          <w:szCs w:val="24"/>
        </w:rPr>
        <w:t>Dialog国际联机检索系统，Web of Knowledge</w:t>
      </w:r>
      <w:r>
        <w:rPr>
          <w:rFonts w:hint="eastAsia"/>
          <w:szCs w:val="24"/>
        </w:rPr>
        <w:t>等</w:t>
      </w:r>
      <w:r>
        <w:rPr>
          <w:szCs w:val="24"/>
        </w:rPr>
        <w:t>检索组成及方法；</w:t>
      </w:r>
    </w:p>
    <w:p>
      <w:pPr>
        <w:adjustRightInd w:val="0"/>
        <w:snapToGrid w:val="0"/>
        <w:spacing w:line="360" w:lineRule="auto"/>
        <w:ind w:firstLine="420" w:firstLineChars="200"/>
        <w:rPr>
          <w:szCs w:val="24"/>
        </w:rPr>
      </w:pPr>
      <w:r>
        <w:rPr>
          <w:szCs w:val="24"/>
        </w:rPr>
        <w:t>3.3</w:t>
      </w:r>
      <w:r>
        <w:rPr>
          <w:rFonts w:hint="eastAsia"/>
          <w:szCs w:val="24"/>
        </w:rPr>
        <w:t>、</w:t>
      </w:r>
      <w:r>
        <w:rPr>
          <w:szCs w:val="24"/>
        </w:rPr>
        <w:t>EI、Inspec的检索及使用方法；</w:t>
      </w:r>
    </w:p>
    <w:p>
      <w:pPr>
        <w:adjustRightInd w:val="0"/>
        <w:snapToGrid w:val="0"/>
        <w:spacing w:line="360" w:lineRule="auto"/>
        <w:ind w:firstLine="420" w:firstLineChars="200"/>
        <w:rPr>
          <w:szCs w:val="24"/>
        </w:rPr>
      </w:pPr>
      <w:r>
        <w:rPr>
          <w:szCs w:val="24"/>
        </w:rPr>
        <w:t>3.4</w:t>
      </w:r>
      <w:r>
        <w:rPr>
          <w:rFonts w:hint="eastAsia"/>
          <w:szCs w:val="24"/>
        </w:rPr>
        <w:t>、</w:t>
      </w:r>
      <w:r>
        <w:rPr>
          <w:szCs w:val="24"/>
        </w:rPr>
        <w:t>检索</w:t>
      </w:r>
      <w:r>
        <w:rPr>
          <w:rFonts w:hint="eastAsia"/>
          <w:szCs w:val="24"/>
        </w:rPr>
        <w:t>实践</w:t>
      </w:r>
      <w:r>
        <w:rPr>
          <w:szCs w:val="24"/>
        </w:rPr>
        <w:t>，外文</w:t>
      </w:r>
      <w:r>
        <w:rPr>
          <w:snapToGrid w:val="0"/>
          <w:kern w:val="0"/>
        </w:rPr>
        <w:t>检索报告的组成及书写要点</w:t>
      </w:r>
      <w:r>
        <w:rPr>
          <w:szCs w:val="24"/>
        </w:rPr>
        <w:t>。</w:t>
      </w:r>
    </w:p>
    <w:p>
      <w:pPr>
        <w:widowControl/>
        <w:adjustRightInd w:val="0"/>
        <w:snapToGrid w:val="0"/>
        <w:spacing w:line="360" w:lineRule="auto"/>
        <w:ind w:firstLine="420" w:firstLineChars="200"/>
        <w:jc w:val="left"/>
        <w:rPr>
          <w:snapToGrid w:val="0"/>
          <w:kern w:val="0"/>
        </w:rPr>
      </w:pPr>
      <w:r>
        <w:rPr>
          <w:snapToGrid w:val="0"/>
          <w:kern w:val="0"/>
        </w:rPr>
        <w:t>重点：</w:t>
      </w:r>
      <w:r>
        <w:rPr>
          <w:szCs w:val="24"/>
        </w:rPr>
        <w:t>Springer Link，Science Direct的检索组成及方法；Dialog国际联机检索系统，Web of Knowledge</w:t>
      </w:r>
      <w:r>
        <w:rPr>
          <w:rFonts w:hint="eastAsia"/>
          <w:szCs w:val="24"/>
        </w:rPr>
        <w:t>等</w:t>
      </w:r>
      <w:r>
        <w:rPr>
          <w:szCs w:val="24"/>
        </w:rPr>
        <w:t>检索组成及方法；</w:t>
      </w:r>
    </w:p>
    <w:p>
      <w:pPr>
        <w:widowControl/>
        <w:adjustRightInd w:val="0"/>
        <w:snapToGrid w:val="0"/>
        <w:spacing w:line="360" w:lineRule="auto"/>
        <w:ind w:firstLine="420" w:firstLineChars="200"/>
        <w:jc w:val="left"/>
        <w:rPr>
          <w:snapToGrid w:val="0"/>
          <w:kern w:val="0"/>
        </w:rPr>
      </w:pPr>
      <w:r>
        <w:rPr>
          <w:snapToGrid w:val="0"/>
          <w:kern w:val="0"/>
        </w:rPr>
        <w:t>难点：外文检索报告的组成及书写要点。</w:t>
      </w:r>
    </w:p>
    <w:p>
      <w:pPr>
        <w:widowControl/>
        <w:adjustRightInd w:val="0"/>
        <w:snapToGrid w:val="0"/>
        <w:spacing w:line="360" w:lineRule="auto"/>
        <w:ind w:firstLine="420" w:firstLineChars="200"/>
        <w:jc w:val="left"/>
        <w:rPr>
          <w:snapToGrid w:val="0"/>
          <w:kern w:val="0"/>
        </w:rPr>
      </w:pPr>
      <w:r>
        <w:rPr>
          <w:snapToGrid w:val="0"/>
          <w:kern w:val="0"/>
        </w:rPr>
        <w:t>教学方式：课堂教学</w:t>
      </w:r>
      <w:r>
        <w:rPr>
          <w:rFonts w:hint="eastAsia"/>
          <w:snapToGrid w:val="0"/>
          <w:kern w:val="0"/>
        </w:rPr>
        <w:t>2</w:t>
      </w:r>
      <w:r>
        <w:rPr>
          <w:snapToGrid w:val="0"/>
          <w:kern w:val="0"/>
        </w:rPr>
        <w:t>学时</w:t>
      </w:r>
      <w:r>
        <w:rPr>
          <w:rFonts w:hint="eastAsia"/>
          <w:snapToGrid w:val="0"/>
          <w:kern w:val="0"/>
        </w:rPr>
        <w:t>。</w:t>
      </w:r>
    </w:p>
    <w:p>
      <w:pPr>
        <w:widowControl/>
        <w:adjustRightInd w:val="0"/>
        <w:snapToGrid w:val="0"/>
        <w:spacing w:line="360" w:lineRule="auto"/>
        <w:ind w:firstLine="420" w:firstLineChars="200"/>
        <w:jc w:val="left"/>
        <w:rPr>
          <w:snapToGrid w:val="0"/>
          <w:kern w:val="0"/>
        </w:rPr>
      </w:pPr>
      <w:r>
        <w:rPr>
          <w:rFonts w:hint="eastAsia"/>
          <w:snapToGrid w:val="0"/>
          <w:kern w:val="0"/>
        </w:rPr>
        <w:t>本内容支撑课程目标2、3。</w:t>
      </w:r>
    </w:p>
    <w:p>
      <w:pPr>
        <w:adjustRightInd w:val="0"/>
        <w:snapToGrid w:val="0"/>
        <w:spacing w:line="360" w:lineRule="auto"/>
        <w:ind w:firstLine="420" w:firstLineChars="200"/>
        <w:rPr>
          <w:szCs w:val="24"/>
        </w:rPr>
      </w:pPr>
      <w:r>
        <w:rPr>
          <w:rFonts w:hint="eastAsia" w:eastAsia="黑体"/>
          <w:szCs w:val="24"/>
        </w:rPr>
        <w:t>4</w:t>
      </w:r>
      <w:r>
        <w:rPr>
          <w:rFonts w:eastAsia="黑体"/>
          <w:szCs w:val="24"/>
        </w:rPr>
        <w:t>常用网络信息检索（</w:t>
      </w:r>
      <w:r>
        <w:rPr>
          <w:rFonts w:hint="eastAsia" w:eastAsia="黑体"/>
          <w:szCs w:val="24"/>
        </w:rPr>
        <w:t>1</w:t>
      </w:r>
      <w:r>
        <w:rPr>
          <w:rFonts w:eastAsia="黑体"/>
          <w:szCs w:val="24"/>
        </w:rPr>
        <w:t>学时）</w:t>
      </w:r>
    </w:p>
    <w:p>
      <w:pPr>
        <w:adjustRightInd w:val="0"/>
        <w:snapToGrid w:val="0"/>
        <w:spacing w:line="360" w:lineRule="auto"/>
        <w:ind w:firstLine="420" w:firstLineChars="200"/>
        <w:rPr>
          <w:szCs w:val="24"/>
        </w:rPr>
      </w:pPr>
      <w:r>
        <w:rPr>
          <w:szCs w:val="24"/>
        </w:rPr>
        <w:t>4.1</w:t>
      </w:r>
      <w:r>
        <w:rPr>
          <w:rFonts w:hint="eastAsia"/>
          <w:szCs w:val="24"/>
        </w:rPr>
        <w:t>、</w:t>
      </w:r>
      <w:r>
        <w:rPr>
          <w:szCs w:val="24"/>
        </w:rPr>
        <w:t>百度及百度学术、雅虎、谷歌及谷歌学术搜索引擎组成及使用方法；</w:t>
      </w:r>
    </w:p>
    <w:p>
      <w:pPr>
        <w:adjustRightInd w:val="0"/>
        <w:snapToGrid w:val="0"/>
        <w:spacing w:line="360" w:lineRule="auto"/>
        <w:ind w:firstLine="420" w:firstLineChars="200"/>
        <w:rPr>
          <w:szCs w:val="24"/>
        </w:rPr>
      </w:pPr>
      <w:r>
        <w:rPr>
          <w:szCs w:val="24"/>
        </w:rPr>
        <w:t>4.2</w:t>
      </w:r>
      <w:r>
        <w:rPr>
          <w:rFonts w:hint="eastAsia"/>
          <w:szCs w:val="24"/>
        </w:rPr>
        <w:t>、</w:t>
      </w:r>
      <w:r>
        <w:rPr>
          <w:szCs w:val="24"/>
        </w:rPr>
        <w:t>网络信息检索报告的撰写。</w:t>
      </w:r>
    </w:p>
    <w:p>
      <w:pPr>
        <w:widowControl/>
        <w:adjustRightInd w:val="0"/>
        <w:snapToGrid w:val="0"/>
        <w:spacing w:line="360" w:lineRule="auto"/>
        <w:ind w:firstLine="420" w:firstLineChars="200"/>
        <w:jc w:val="left"/>
        <w:rPr>
          <w:szCs w:val="24"/>
        </w:rPr>
      </w:pPr>
      <w:r>
        <w:rPr>
          <w:snapToGrid w:val="0"/>
          <w:kern w:val="0"/>
        </w:rPr>
        <w:t>重点：</w:t>
      </w:r>
      <w:r>
        <w:rPr>
          <w:szCs w:val="24"/>
        </w:rPr>
        <w:t>百度学术、谷歌学术中、外文搜索组成及使用方法；</w:t>
      </w:r>
    </w:p>
    <w:p>
      <w:pPr>
        <w:widowControl/>
        <w:adjustRightInd w:val="0"/>
        <w:snapToGrid w:val="0"/>
        <w:spacing w:line="360" w:lineRule="auto"/>
        <w:ind w:firstLine="420" w:firstLineChars="200"/>
        <w:jc w:val="left"/>
        <w:rPr>
          <w:snapToGrid w:val="0"/>
          <w:kern w:val="0"/>
        </w:rPr>
      </w:pPr>
      <w:r>
        <w:rPr>
          <w:snapToGrid w:val="0"/>
          <w:kern w:val="0"/>
        </w:rPr>
        <w:t>难点：相关性文献的检索方法及技巧、检索报告的写作。</w:t>
      </w:r>
    </w:p>
    <w:p>
      <w:pPr>
        <w:widowControl/>
        <w:adjustRightInd w:val="0"/>
        <w:snapToGrid w:val="0"/>
        <w:spacing w:line="360" w:lineRule="auto"/>
        <w:ind w:firstLine="420" w:firstLineChars="200"/>
        <w:jc w:val="left"/>
        <w:rPr>
          <w:snapToGrid w:val="0"/>
          <w:kern w:val="0"/>
        </w:rPr>
      </w:pPr>
      <w:r>
        <w:rPr>
          <w:snapToGrid w:val="0"/>
          <w:kern w:val="0"/>
        </w:rPr>
        <w:t>教学方式：课堂教学</w:t>
      </w:r>
      <w:r>
        <w:rPr>
          <w:rFonts w:hint="eastAsia"/>
          <w:snapToGrid w:val="0"/>
          <w:kern w:val="0"/>
        </w:rPr>
        <w:t>1</w:t>
      </w:r>
      <w:r>
        <w:rPr>
          <w:snapToGrid w:val="0"/>
          <w:kern w:val="0"/>
        </w:rPr>
        <w:t>学时。</w:t>
      </w:r>
    </w:p>
    <w:p>
      <w:pPr>
        <w:widowControl/>
        <w:adjustRightInd w:val="0"/>
        <w:snapToGrid w:val="0"/>
        <w:spacing w:line="360" w:lineRule="auto"/>
        <w:ind w:firstLine="420" w:firstLineChars="200"/>
        <w:jc w:val="left"/>
        <w:rPr>
          <w:snapToGrid w:val="0"/>
          <w:kern w:val="0"/>
        </w:rPr>
      </w:pPr>
      <w:r>
        <w:rPr>
          <w:rFonts w:hint="eastAsia"/>
          <w:snapToGrid w:val="0"/>
          <w:kern w:val="0"/>
        </w:rPr>
        <w:t>本内容支撑课程目标2、3。</w:t>
      </w:r>
    </w:p>
    <w:p>
      <w:pPr>
        <w:adjustRightInd w:val="0"/>
        <w:snapToGrid w:val="0"/>
        <w:spacing w:line="360" w:lineRule="auto"/>
        <w:ind w:firstLine="420" w:firstLineChars="200"/>
        <w:rPr>
          <w:szCs w:val="24"/>
        </w:rPr>
      </w:pPr>
      <w:r>
        <w:rPr>
          <w:rFonts w:hint="eastAsia" w:eastAsia="黑体"/>
          <w:szCs w:val="24"/>
        </w:rPr>
        <w:t>5</w:t>
      </w:r>
      <w:r>
        <w:rPr>
          <w:b/>
          <w:szCs w:val="24"/>
        </w:rPr>
        <w:t>文献综合检索</w:t>
      </w:r>
      <w:r>
        <w:rPr>
          <w:rFonts w:eastAsia="黑体"/>
          <w:szCs w:val="24"/>
        </w:rPr>
        <w:t>（</w:t>
      </w:r>
      <w:r>
        <w:rPr>
          <w:rFonts w:hint="eastAsia" w:eastAsia="黑体"/>
          <w:szCs w:val="24"/>
        </w:rPr>
        <w:t>2</w:t>
      </w:r>
      <w:r>
        <w:rPr>
          <w:rFonts w:eastAsia="黑体"/>
          <w:szCs w:val="24"/>
        </w:rPr>
        <w:t>学时）</w:t>
      </w:r>
    </w:p>
    <w:p>
      <w:pPr>
        <w:adjustRightInd w:val="0"/>
        <w:snapToGrid w:val="0"/>
        <w:spacing w:line="360" w:lineRule="auto"/>
        <w:ind w:firstLine="420" w:firstLineChars="200"/>
        <w:rPr>
          <w:szCs w:val="24"/>
        </w:rPr>
      </w:pPr>
      <w:r>
        <w:rPr>
          <w:szCs w:val="24"/>
        </w:rPr>
        <w:t>5.1</w:t>
      </w:r>
      <w:r>
        <w:rPr>
          <w:rFonts w:hint="eastAsia"/>
          <w:szCs w:val="24"/>
        </w:rPr>
        <w:t>、</w:t>
      </w:r>
      <w:r>
        <w:rPr>
          <w:szCs w:val="24"/>
        </w:rPr>
        <w:t>文献综合检索方法；</w:t>
      </w:r>
    </w:p>
    <w:p>
      <w:pPr>
        <w:adjustRightInd w:val="0"/>
        <w:snapToGrid w:val="0"/>
        <w:spacing w:line="360" w:lineRule="auto"/>
        <w:ind w:firstLine="420" w:firstLineChars="200"/>
        <w:rPr>
          <w:szCs w:val="24"/>
        </w:rPr>
      </w:pPr>
      <w:r>
        <w:rPr>
          <w:szCs w:val="24"/>
        </w:rPr>
        <w:t>5.2</w:t>
      </w:r>
      <w:r>
        <w:rPr>
          <w:rFonts w:hint="eastAsia"/>
          <w:szCs w:val="24"/>
        </w:rPr>
        <w:t>、</w:t>
      </w:r>
      <w:r>
        <w:rPr>
          <w:szCs w:val="24"/>
        </w:rPr>
        <w:t>文献综合检索实验，相关文献综合检索及检索报告。</w:t>
      </w:r>
    </w:p>
    <w:p>
      <w:pPr>
        <w:widowControl/>
        <w:adjustRightInd w:val="0"/>
        <w:snapToGrid w:val="0"/>
        <w:spacing w:line="360" w:lineRule="auto"/>
        <w:ind w:firstLine="420" w:firstLineChars="200"/>
        <w:jc w:val="left"/>
        <w:rPr>
          <w:szCs w:val="24"/>
        </w:rPr>
      </w:pPr>
      <w:r>
        <w:rPr>
          <w:snapToGrid w:val="0"/>
          <w:kern w:val="0"/>
        </w:rPr>
        <w:t>重点：</w:t>
      </w:r>
      <w:r>
        <w:rPr>
          <w:szCs w:val="24"/>
        </w:rPr>
        <w:t>文献综合检索方法；</w:t>
      </w:r>
    </w:p>
    <w:p>
      <w:pPr>
        <w:widowControl/>
        <w:adjustRightInd w:val="0"/>
        <w:snapToGrid w:val="0"/>
        <w:spacing w:line="360" w:lineRule="auto"/>
        <w:ind w:firstLine="420" w:firstLineChars="200"/>
        <w:jc w:val="left"/>
        <w:rPr>
          <w:snapToGrid w:val="0"/>
          <w:kern w:val="0"/>
        </w:rPr>
      </w:pPr>
      <w:r>
        <w:rPr>
          <w:snapToGrid w:val="0"/>
          <w:kern w:val="0"/>
        </w:rPr>
        <w:t>难点：综合检索报告的写作。</w:t>
      </w:r>
    </w:p>
    <w:p>
      <w:pPr>
        <w:widowControl/>
        <w:adjustRightInd w:val="0"/>
        <w:snapToGrid w:val="0"/>
        <w:spacing w:line="360" w:lineRule="auto"/>
        <w:ind w:firstLine="420" w:firstLineChars="200"/>
        <w:jc w:val="left"/>
        <w:rPr>
          <w:snapToGrid w:val="0"/>
          <w:kern w:val="0"/>
        </w:rPr>
      </w:pPr>
      <w:r>
        <w:rPr>
          <w:snapToGrid w:val="0"/>
          <w:kern w:val="0"/>
        </w:rPr>
        <w:t>教学方式：</w:t>
      </w:r>
      <w:r>
        <w:rPr>
          <w:rFonts w:hint="eastAsia"/>
          <w:snapToGrid w:val="0"/>
          <w:kern w:val="0"/>
        </w:rPr>
        <w:t>课堂教学</w:t>
      </w:r>
      <w:r>
        <w:rPr>
          <w:snapToGrid w:val="0"/>
          <w:kern w:val="0"/>
        </w:rPr>
        <w:t>2</w:t>
      </w:r>
      <w:r>
        <w:rPr>
          <w:rFonts w:hint="eastAsia"/>
          <w:snapToGrid w:val="0"/>
          <w:kern w:val="0"/>
        </w:rPr>
        <w:t>学时</w:t>
      </w:r>
      <w:r>
        <w:rPr>
          <w:snapToGrid w:val="0"/>
          <w:kern w:val="0"/>
        </w:rPr>
        <w:t>。</w:t>
      </w:r>
    </w:p>
    <w:p>
      <w:pPr>
        <w:widowControl/>
        <w:adjustRightInd w:val="0"/>
        <w:snapToGrid w:val="0"/>
        <w:spacing w:line="360" w:lineRule="auto"/>
        <w:ind w:firstLine="420" w:firstLineChars="200"/>
        <w:jc w:val="left"/>
        <w:rPr>
          <w:snapToGrid w:val="0"/>
          <w:kern w:val="0"/>
        </w:rPr>
      </w:pPr>
      <w:r>
        <w:rPr>
          <w:rFonts w:hint="eastAsia"/>
          <w:snapToGrid w:val="0"/>
          <w:kern w:val="0"/>
        </w:rPr>
        <w:t>本内容支撑课程目标3。</w:t>
      </w:r>
    </w:p>
    <w:p>
      <w:pPr>
        <w:adjustRightInd w:val="0"/>
        <w:snapToGrid w:val="0"/>
        <w:spacing w:line="360" w:lineRule="auto"/>
        <w:rPr>
          <w:b/>
          <w:sz w:val="24"/>
          <w:szCs w:val="24"/>
        </w:rPr>
      </w:pPr>
    </w:p>
    <w:p>
      <w:pPr>
        <w:tabs>
          <w:tab w:val="left" w:pos="420"/>
        </w:tabs>
        <w:adjustRightInd w:val="0"/>
        <w:snapToGrid w:val="0"/>
        <w:spacing w:line="360" w:lineRule="auto"/>
        <w:rPr>
          <w:rFonts w:eastAsia="黑体"/>
        </w:rPr>
      </w:pPr>
      <w:r>
        <w:rPr>
          <w:rFonts w:eastAsia="黑体"/>
        </w:rPr>
        <w:t>五、实验内容</w:t>
      </w:r>
    </w:p>
    <w:p>
      <w:pPr>
        <w:adjustRightInd w:val="0"/>
        <w:snapToGrid w:val="0"/>
        <w:spacing w:line="360" w:lineRule="auto"/>
        <w:ind w:firstLine="420" w:firstLineChars="200"/>
        <w:rPr>
          <w:snapToGrid w:val="0"/>
          <w:kern w:val="0"/>
        </w:rPr>
      </w:pPr>
      <w:r>
        <w:rPr>
          <w:rFonts w:hint="eastAsia"/>
          <w:snapToGrid w:val="0"/>
          <w:kern w:val="0"/>
        </w:rPr>
        <w:t>无</w:t>
      </w:r>
    </w:p>
    <w:p>
      <w:pPr>
        <w:adjustRightInd w:val="0"/>
        <w:snapToGrid w:val="0"/>
        <w:spacing w:line="360" w:lineRule="auto"/>
        <w:ind w:firstLine="420" w:firstLineChars="200"/>
        <w:rPr>
          <w:snapToGrid w:val="0"/>
          <w:kern w:val="0"/>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32"/>
        <w:gridCol w:w="1856"/>
        <w:gridCol w:w="1856"/>
        <w:gridCol w:w="14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jc w:val="center"/>
              <w:rPr>
                <w:sz w:val="18"/>
                <w:szCs w:val="18"/>
              </w:rPr>
            </w:pPr>
            <w:r>
              <w:rPr>
                <w:sz w:val="18"/>
                <w:szCs w:val="18"/>
              </w:rPr>
              <w:t>章节名称</w:t>
            </w:r>
          </w:p>
        </w:tc>
        <w:tc>
          <w:tcPr>
            <w:tcW w:w="1117" w:type="pct"/>
            <w:vAlign w:val="center"/>
          </w:tcPr>
          <w:p>
            <w:pPr>
              <w:adjustRightInd w:val="0"/>
              <w:snapToGrid w:val="0"/>
              <w:jc w:val="center"/>
              <w:rPr>
                <w:sz w:val="18"/>
                <w:szCs w:val="18"/>
              </w:rPr>
            </w:pPr>
            <w:r>
              <w:rPr>
                <w:sz w:val="18"/>
                <w:szCs w:val="18"/>
              </w:rPr>
              <w:t>讲授（学时）</w:t>
            </w:r>
          </w:p>
        </w:tc>
        <w:tc>
          <w:tcPr>
            <w:tcW w:w="1117" w:type="pct"/>
            <w:vAlign w:val="center"/>
          </w:tcPr>
          <w:p>
            <w:pPr>
              <w:adjustRightInd w:val="0"/>
              <w:snapToGrid w:val="0"/>
              <w:jc w:val="center"/>
              <w:rPr>
                <w:sz w:val="18"/>
                <w:szCs w:val="18"/>
              </w:rPr>
            </w:pPr>
            <w:r>
              <w:rPr>
                <w:sz w:val="18"/>
                <w:szCs w:val="18"/>
              </w:rPr>
              <w:t>实验（学时）</w:t>
            </w:r>
          </w:p>
        </w:tc>
        <w:tc>
          <w:tcPr>
            <w:tcW w:w="880"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jc w:val="center"/>
              <w:rPr>
                <w:sz w:val="18"/>
                <w:szCs w:val="18"/>
              </w:rPr>
            </w:pPr>
            <w:r>
              <w:rPr>
                <w:sz w:val="18"/>
                <w:szCs w:val="18"/>
              </w:rPr>
              <w:t>1绪论</w:t>
            </w:r>
          </w:p>
        </w:tc>
        <w:tc>
          <w:tcPr>
            <w:tcW w:w="1117" w:type="pct"/>
            <w:vAlign w:val="center"/>
          </w:tcPr>
          <w:p>
            <w:pPr>
              <w:adjustRightInd w:val="0"/>
              <w:snapToGrid w:val="0"/>
              <w:jc w:val="center"/>
              <w:rPr>
                <w:sz w:val="18"/>
                <w:szCs w:val="18"/>
              </w:rPr>
            </w:pPr>
            <w:r>
              <w:rPr>
                <w:rFonts w:hint="eastAsia"/>
                <w:sz w:val="18"/>
                <w:szCs w:val="18"/>
              </w:rPr>
              <w:t>1</w:t>
            </w:r>
          </w:p>
        </w:tc>
        <w:tc>
          <w:tcPr>
            <w:tcW w:w="1117" w:type="pct"/>
            <w:vAlign w:val="center"/>
          </w:tcPr>
          <w:p>
            <w:pPr>
              <w:adjustRightInd w:val="0"/>
              <w:snapToGrid w:val="0"/>
              <w:jc w:val="center"/>
              <w:rPr>
                <w:sz w:val="18"/>
                <w:szCs w:val="18"/>
              </w:rPr>
            </w:pPr>
            <w:r>
              <w:rPr>
                <w:rFonts w:hint="eastAsia"/>
                <w:sz w:val="18"/>
                <w:szCs w:val="18"/>
              </w:rPr>
              <w:t>0</w:t>
            </w:r>
          </w:p>
        </w:tc>
        <w:tc>
          <w:tcPr>
            <w:tcW w:w="880" w:type="pct"/>
            <w:vAlign w:val="center"/>
          </w:tcPr>
          <w:p>
            <w:pPr>
              <w:adjustRightInd w:val="0"/>
              <w:snapToGrid w:val="0"/>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ind w:left="28" w:right="28"/>
              <w:jc w:val="center"/>
              <w:rPr>
                <w:sz w:val="18"/>
                <w:szCs w:val="18"/>
              </w:rPr>
            </w:pPr>
            <w:r>
              <w:rPr>
                <w:sz w:val="18"/>
                <w:szCs w:val="18"/>
              </w:rPr>
              <w:t>2常用中文数据库检索方法</w:t>
            </w:r>
          </w:p>
        </w:tc>
        <w:tc>
          <w:tcPr>
            <w:tcW w:w="1117" w:type="pct"/>
            <w:vAlign w:val="center"/>
          </w:tcPr>
          <w:p>
            <w:pPr>
              <w:adjustRightInd w:val="0"/>
              <w:snapToGrid w:val="0"/>
              <w:jc w:val="center"/>
              <w:rPr>
                <w:sz w:val="18"/>
                <w:szCs w:val="18"/>
              </w:rPr>
            </w:pPr>
            <w:r>
              <w:rPr>
                <w:rFonts w:hint="eastAsia"/>
                <w:sz w:val="18"/>
                <w:szCs w:val="18"/>
              </w:rPr>
              <w:t>1</w:t>
            </w:r>
          </w:p>
        </w:tc>
        <w:tc>
          <w:tcPr>
            <w:tcW w:w="1117" w:type="pct"/>
            <w:vAlign w:val="center"/>
          </w:tcPr>
          <w:p>
            <w:pPr>
              <w:adjustRightInd w:val="0"/>
              <w:snapToGrid w:val="0"/>
              <w:jc w:val="center"/>
              <w:rPr>
                <w:sz w:val="18"/>
                <w:szCs w:val="18"/>
              </w:rPr>
            </w:pPr>
            <w:r>
              <w:rPr>
                <w:rFonts w:hint="eastAsia"/>
                <w:sz w:val="18"/>
                <w:szCs w:val="18"/>
              </w:rPr>
              <w:t>1</w:t>
            </w:r>
          </w:p>
        </w:tc>
        <w:tc>
          <w:tcPr>
            <w:tcW w:w="880" w:type="pct"/>
            <w:vAlign w:val="center"/>
          </w:tcPr>
          <w:p>
            <w:pPr>
              <w:adjustRightInd w:val="0"/>
              <w:snapToGri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ind w:left="28" w:right="28"/>
              <w:jc w:val="center"/>
              <w:rPr>
                <w:sz w:val="18"/>
                <w:szCs w:val="18"/>
              </w:rPr>
            </w:pPr>
            <w:r>
              <w:rPr>
                <w:sz w:val="18"/>
                <w:szCs w:val="18"/>
              </w:rPr>
              <w:t>4常用国外数据库检索方法</w:t>
            </w:r>
          </w:p>
        </w:tc>
        <w:tc>
          <w:tcPr>
            <w:tcW w:w="1117" w:type="pct"/>
            <w:vAlign w:val="center"/>
          </w:tcPr>
          <w:p>
            <w:pPr>
              <w:adjustRightInd w:val="0"/>
              <w:snapToGrid w:val="0"/>
              <w:jc w:val="center"/>
              <w:rPr>
                <w:sz w:val="18"/>
                <w:szCs w:val="18"/>
              </w:rPr>
            </w:pPr>
            <w:r>
              <w:rPr>
                <w:rFonts w:hint="eastAsia"/>
                <w:sz w:val="18"/>
                <w:szCs w:val="18"/>
              </w:rPr>
              <w:t>1</w:t>
            </w:r>
          </w:p>
        </w:tc>
        <w:tc>
          <w:tcPr>
            <w:tcW w:w="1117" w:type="pct"/>
            <w:vAlign w:val="center"/>
          </w:tcPr>
          <w:p>
            <w:pPr>
              <w:adjustRightInd w:val="0"/>
              <w:snapToGrid w:val="0"/>
              <w:jc w:val="center"/>
              <w:rPr>
                <w:sz w:val="18"/>
                <w:szCs w:val="18"/>
              </w:rPr>
            </w:pPr>
            <w:r>
              <w:rPr>
                <w:rFonts w:hint="eastAsia"/>
                <w:sz w:val="18"/>
                <w:szCs w:val="18"/>
              </w:rPr>
              <w:t>1</w:t>
            </w:r>
          </w:p>
        </w:tc>
        <w:tc>
          <w:tcPr>
            <w:tcW w:w="880" w:type="pct"/>
            <w:vAlign w:val="center"/>
          </w:tcPr>
          <w:p>
            <w:pPr>
              <w:adjustRightInd w:val="0"/>
              <w:snapToGri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ind w:left="28" w:right="28"/>
              <w:jc w:val="center"/>
              <w:rPr>
                <w:sz w:val="18"/>
                <w:szCs w:val="18"/>
              </w:rPr>
            </w:pPr>
            <w:r>
              <w:rPr>
                <w:sz w:val="18"/>
                <w:szCs w:val="18"/>
              </w:rPr>
              <w:t>5常用网络信息检索与利用</w:t>
            </w:r>
          </w:p>
        </w:tc>
        <w:tc>
          <w:tcPr>
            <w:tcW w:w="1117" w:type="pct"/>
            <w:vAlign w:val="center"/>
          </w:tcPr>
          <w:p>
            <w:pPr>
              <w:adjustRightInd w:val="0"/>
              <w:snapToGrid w:val="0"/>
              <w:jc w:val="center"/>
              <w:rPr>
                <w:sz w:val="18"/>
                <w:szCs w:val="18"/>
              </w:rPr>
            </w:pPr>
            <w:r>
              <w:rPr>
                <w:rFonts w:hint="eastAsia"/>
                <w:sz w:val="18"/>
                <w:szCs w:val="18"/>
              </w:rPr>
              <w:t>1</w:t>
            </w:r>
          </w:p>
        </w:tc>
        <w:tc>
          <w:tcPr>
            <w:tcW w:w="1117" w:type="pct"/>
            <w:vAlign w:val="center"/>
          </w:tcPr>
          <w:p>
            <w:pPr>
              <w:adjustRightInd w:val="0"/>
              <w:snapToGrid w:val="0"/>
              <w:jc w:val="center"/>
              <w:rPr>
                <w:sz w:val="18"/>
                <w:szCs w:val="18"/>
              </w:rPr>
            </w:pPr>
            <w:r>
              <w:rPr>
                <w:rFonts w:hint="eastAsia"/>
                <w:sz w:val="18"/>
                <w:szCs w:val="18"/>
              </w:rPr>
              <w:t>0</w:t>
            </w:r>
          </w:p>
        </w:tc>
        <w:tc>
          <w:tcPr>
            <w:tcW w:w="880" w:type="pct"/>
            <w:vAlign w:val="center"/>
          </w:tcPr>
          <w:p>
            <w:pPr>
              <w:adjustRightInd w:val="0"/>
              <w:snapToGrid w:val="0"/>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ind w:left="28" w:right="28"/>
              <w:jc w:val="center"/>
              <w:rPr>
                <w:sz w:val="18"/>
                <w:szCs w:val="18"/>
              </w:rPr>
            </w:pPr>
            <w:r>
              <w:rPr>
                <w:sz w:val="18"/>
                <w:szCs w:val="18"/>
              </w:rPr>
              <w:t>6文献综合检索</w:t>
            </w:r>
          </w:p>
        </w:tc>
        <w:tc>
          <w:tcPr>
            <w:tcW w:w="1117" w:type="pct"/>
            <w:vAlign w:val="center"/>
          </w:tcPr>
          <w:p>
            <w:pPr>
              <w:adjustRightInd w:val="0"/>
              <w:snapToGrid w:val="0"/>
              <w:jc w:val="center"/>
              <w:rPr>
                <w:sz w:val="18"/>
                <w:szCs w:val="18"/>
              </w:rPr>
            </w:pPr>
            <w:r>
              <w:rPr>
                <w:rFonts w:hint="eastAsia"/>
                <w:sz w:val="18"/>
                <w:szCs w:val="18"/>
              </w:rPr>
              <w:t>0</w:t>
            </w:r>
          </w:p>
        </w:tc>
        <w:tc>
          <w:tcPr>
            <w:tcW w:w="1117" w:type="pct"/>
            <w:vAlign w:val="center"/>
          </w:tcPr>
          <w:p>
            <w:pPr>
              <w:adjustRightInd w:val="0"/>
              <w:snapToGrid w:val="0"/>
              <w:jc w:val="center"/>
              <w:rPr>
                <w:sz w:val="18"/>
                <w:szCs w:val="18"/>
              </w:rPr>
            </w:pPr>
            <w:r>
              <w:rPr>
                <w:rFonts w:hint="eastAsia"/>
                <w:sz w:val="18"/>
                <w:szCs w:val="18"/>
              </w:rPr>
              <w:t>2</w:t>
            </w:r>
          </w:p>
        </w:tc>
        <w:tc>
          <w:tcPr>
            <w:tcW w:w="880" w:type="pct"/>
            <w:vAlign w:val="center"/>
          </w:tcPr>
          <w:p>
            <w:pPr>
              <w:adjustRightInd w:val="0"/>
              <w:snapToGri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6" w:type="pct"/>
            <w:vAlign w:val="center"/>
          </w:tcPr>
          <w:p>
            <w:pPr>
              <w:adjustRightInd w:val="0"/>
              <w:snapToGrid w:val="0"/>
              <w:jc w:val="center"/>
              <w:rPr>
                <w:sz w:val="18"/>
                <w:szCs w:val="18"/>
              </w:rPr>
            </w:pPr>
            <w:r>
              <w:rPr>
                <w:sz w:val="18"/>
                <w:szCs w:val="18"/>
              </w:rPr>
              <w:t>合计</w:t>
            </w:r>
          </w:p>
        </w:tc>
        <w:tc>
          <w:tcPr>
            <w:tcW w:w="1117" w:type="pct"/>
            <w:vAlign w:val="center"/>
          </w:tcPr>
          <w:p>
            <w:pPr>
              <w:adjustRightInd w:val="0"/>
              <w:snapToGrid w:val="0"/>
              <w:jc w:val="center"/>
              <w:rPr>
                <w:sz w:val="18"/>
                <w:szCs w:val="18"/>
              </w:rPr>
            </w:pPr>
            <w:r>
              <w:rPr>
                <w:rFonts w:hint="eastAsia"/>
                <w:sz w:val="18"/>
                <w:szCs w:val="18"/>
              </w:rPr>
              <w:t>4</w:t>
            </w:r>
          </w:p>
        </w:tc>
        <w:tc>
          <w:tcPr>
            <w:tcW w:w="1117" w:type="pct"/>
            <w:vAlign w:val="center"/>
          </w:tcPr>
          <w:p>
            <w:pPr>
              <w:adjustRightInd w:val="0"/>
              <w:snapToGrid w:val="0"/>
              <w:jc w:val="center"/>
              <w:rPr>
                <w:sz w:val="18"/>
                <w:szCs w:val="18"/>
              </w:rPr>
            </w:pPr>
            <w:r>
              <w:rPr>
                <w:rFonts w:hint="eastAsia"/>
                <w:sz w:val="18"/>
                <w:szCs w:val="18"/>
              </w:rPr>
              <w:t>4</w:t>
            </w:r>
          </w:p>
        </w:tc>
        <w:tc>
          <w:tcPr>
            <w:tcW w:w="880" w:type="pct"/>
            <w:vAlign w:val="center"/>
          </w:tcPr>
          <w:p>
            <w:pPr>
              <w:adjustRightInd w:val="0"/>
              <w:snapToGrid w:val="0"/>
              <w:jc w:val="center"/>
              <w:rPr>
                <w:sz w:val="18"/>
                <w:szCs w:val="18"/>
              </w:rPr>
            </w:pPr>
            <w:r>
              <w:rPr>
                <w:rFonts w:hint="eastAsia"/>
                <w:sz w:val="18"/>
                <w:szCs w:val="18"/>
              </w:rPr>
              <w:t>8</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adjustRightInd w:val="0"/>
        <w:snapToGrid w:val="0"/>
        <w:spacing w:line="360" w:lineRule="auto"/>
        <w:ind w:firstLine="420" w:firstLineChars="200"/>
        <w:rPr>
          <w:szCs w:val="24"/>
        </w:rPr>
      </w:pPr>
      <w:r>
        <w:rPr>
          <w:szCs w:val="24"/>
        </w:rPr>
        <w:t>1. 文献信息检索。凤元杰主编，陈文清范全青黄天青副主编。科学出版社。</w:t>
      </w:r>
    </w:p>
    <w:p>
      <w:pPr>
        <w:adjustRightInd w:val="0"/>
        <w:snapToGrid w:val="0"/>
        <w:spacing w:line="360" w:lineRule="auto"/>
        <w:ind w:firstLine="420" w:firstLineChars="200"/>
        <w:rPr>
          <w:szCs w:val="24"/>
        </w:rPr>
      </w:pPr>
      <w:r>
        <w:rPr>
          <w:szCs w:val="24"/>
        </w:rPr>
        <w:t>2. 文献信息检索与利用。陈冬花主编，王新荣王铭礼副主编。上海交通大学出版社。</w:t>
      </w:r>
    </w:p>
    <w:p>
      <w:pPr>
        <w:adjustRightInd w:val="0"/>
        <w:snapToGrid w:val="0"/>
        <w:spacing w:line="360" w:lineRule="auto"/>
        <w:ind w:firstLine="420" w:firstLineChars="200"/>
        <w:rPr>
          <w:sz w:val="18"/>
          <w:szCs w:val="18"/>
        </w:rPr>
      </w:pPr>
      <w:r>
        <w:rPr>
          <w:szCs w:val="24"/>
        </w:rPr>
        <w:t>3. 电子文献检索教程。胡光林李雪萍主编。上海交通大学出版社。</w:t>
      </w:r>
    </w:p>
    <w:p>
      <w:pPr>
        <w:adjustRightInd w:val="0"/>
        <w:snapToGrid w:val="0"/>
        <w:spacing w:line="360" w:lineRule="auto"/>
        <w:ind w:firstLine="420" w:firstLineChars="200"/>
        <w:rPr>
          <w:szCs w:val="24"/>
        </w:rPr>
      </w:pPr>
      <w:r>
        <w:rPr>
          <w:szCs w:val="24"/>
        </w:rPr>
        <w:t>4. 网络信息检索实用教程。邰峻，刘文科。电子工业出版社。2010-1-1。</w:t>
      </w:r>
    </w:p>
    <w:p>
      <w:pPr>
        <w:adjustRightInd w:val="0"/>
        <w:snapToGrid w:val="0"/>
        <w:spacing w:line="360" w:lineRule="auto"/>
        <w:ind w:firstLine="420" w:firstLineChars="200"/>
        <w:rPr>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adjustRightInd w:val="0"/>
        <w:snapToGrid w:val="0"/>
        <w:spacing w:line="360" w:lineRule="auto"/>
        <w:ind w:firstLine="420" w:firstLineChars="200"/>
        <w:rPr>
          <w:szCs w:val="24"/>
        </w:rPr>
      </w:pPr>
      <w:r>
        <w:rPr>
          <w:szCs w:val="24"/>
        </w:rPr>
        <w:t>1、考核目标：在考核学生对文献信息检索基本原理和方法的基础上，重点考核学生综合运用中外文数据库搜索的运用能力、搜索引擎、以及现代外文网络工具进行综合检索的能力。</w:t>
      </w:r>
    </w:p>
    <w:p>
      <w:pPr>
        <w:adjustRightInd w:val="0"/>
        <w:snapToGrid w:val="0"/>
        <w:spacing w:line="360" w:lineRule="auto"/>
        <w:ind w:firstLine="420" w:firstLineChars="200"/>
        <w:rPr>
          <w:szCs w:val="24"/>
        </w:rPr>
      </w:pPr>
      <w:r>
        <w:rPr>
          <w:szCs w:val="24"/>
        </w:rPr>
        <w:t>2、考核方式：作业、检索实验、课堂与检索报告</w:t>
      </w:r>
    </w:p>
    <w:p>
      <w:pPr>
        <w:adjustRightInd w:val="0"/>
        <w:snapToGrid w:val="0"/>
        <w:spacing w:line="360" w:lineRule="auto"/>
        <w:ind w:firstLine="420" w:firstLineChars="200"/>
        <w:rPr>
          <w:szCs w:val="24"/>
        </w:rPr>
      </w:pPr>
      <w:r>
        <w:rPr>
          <w:szCs w:val="24"/>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683"/>
        <w:gridCol w:w="1683"/>
        <w:gridCol w:w="1683"/>
        <w:gridCol w:w="14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060" w:type="pct"/>
            <w:vAlign w:val="center"/>
          </w:tcPr>
          <w:p>
            <w:pPr>
              <w:widowControl/>
              <w:jc w:val="center"/>
              <w:rPr>
                <w:kern w:val="0"/>
                <w:sz w:val="18"/>
                <w:szCs w:val="18"/>
              </w:rPr>
            </w:pPr>
            <w:r>
              <w:rPr>
                <w:kern w:val="0"/>
                <w:sz w:val="18"/>
                <w:szCs w:val="18"/>
              </w:rPr>
              <w:t>考察环节</w:t>
            </w:r>
          </w:p>
        </w:tc>
        <w:tc>
          <w:tcPr>
            <w:tcW w:w="1013" w:type="pct"/>
            <w:vAlign w:val="center"/>
          </w:tcPr>
          <w:p>
            <w:pPr>
              <w:widowControl/>
              <w:jc w:val="center"/>
              <w:rPr>
                <w:kern w:val="0"/>
                <w:sz w:val="18"/>
                <w:szCs w:val="18"/>
              </w:rPr>
            </w:pPr>
            <w:r>
              <w:rPr>
                <w:kern w:val="0"/>
                <w:sz w:val="18"/>
                <w:szCs w:val="18"/>
              </w:rPr>
              <w:t>课堂</w:t>
            </w:r>
          </w:p>
        </w:tc>
        <w:tc>
          <w:tcPr>
            <w:tcW w:w="1013" w:type="pct"/>
            <w:shd w:val="clear" w:color="auto" w:fill="auto"/>
            <w:vAlign w:val="center"/>
          </w:tcPr>
          <w:p>
            <w:pPr>
              <w:widowControl/>
              <w:jc w:val="center"/>
              <w:rPr>
                <w:kern w:val="0"/>
                <w:sz w:val="18"/>
                <w:szCs w:val="18"/>
              </w:rPr>
            </w:pPr>
            <w:r>
              <w:rPr>
                <w:kern w:val="0"/>
                <w:sz w:val="18"/>
                <w:szCs w:val="18"/>
              </w:rPr>
              <w:t>作业</w:t>
            </w:r>
          </w:p>
        </w:tc>
        <w:tc>
          <w:tcPr>
            <w:tcW w:w="1013" w:type="pct"/>
            <w:shd w:val="clear" w:color="auto" w:fill="auto"/>
            <w:vAlign w:val="center"/>
          </w:tcPr>
          <w:p>
            <w:pPr>
              <w:widowControl/>
              <w:jc w:val="center"/>
              <w:rPr>
                <w:kern w:val="0"/>
                <w:sz w:val="18"/>
                <w:szCs w:val="18"/>
              </w:rPr>
            </w:pPr>
            <w:r>
              <w:rPr>
                <w:kern w:val="0"/>
                <w:sz w:val="18"/>
                <w:szCs w:val="18"/>
              </w:rPr>
              <w:t>检索实验</w:t>
            </w:r>
          </w:p>
        </w:tc>
        <w:tc>
          <w:tcPr>
            <w:tcW w:w="901" w:type="pct"/>
            <w:shd w:val="clear" w:color="auto" w:fill="auto"/>
            <w:vAlign w:val="center"/>
          </w:tcPr>
          <w:p>
            <w:pPr>
              <w:widowControl/>
              <w:jc w:val="center"/>
              <w:rPr>
                <w:kern w:val="0"/>
                <w:sz w:val="18"/>
                <w:szCs w:val="18"/>
              </w:rPr>
            </w:pPr>
            <w:r>
              <w:rPr>
                <w:kern w:val="0"/>
                <w:sz w:val="18"/>
                <w:szCs w:val="18"/>
              </w:rPr>
              <w:t>综合性报告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60" w:type="pct"/>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1013" w:type="pct"/>
            <w:vAlign w:val="center"/>
          </w:tcPr>
          <w:p>
            <w:pPr>
              <w:jc w:val="center"/>
              <w:rPr>
                <w:sz w:val="18"/>
                <w:szCs w:val="18"/>
              </w:rPr>
            </w:pPr>
            <w:r>
              <w:rPr>
                <w:sz w:val="18"/>
                <w:szCs w:val="18"/>
              </w:rPr>
              <w:t>0.16</w:t>
            </w:r>
          </w:p>
        </w:tc>
        <w:tc>
          <w:tcPr>
            <w:tcW w:w="1013" w:type="pct"/>
            <w:shd w:val="clear" w:color="auto" w:fill="auto"/>
            <w:vAlign w:val="center"/>
          </w:tcPr>
          <w:p>
            <w:pPr>
              <w:jc w:val="center"/>
              <w:rPr>
                <w:sz w:val="18"/>
                <w:szCs w:val="18"/>
              </w:rPr>
            </w:pPr>
            <w:r>
              <w:rPr>
                <w:sz w:val="18"/>
                <w:szCs w:val="18"/>
              </w:rPr>
              <w:t>0.1</w:t>
            </w:r>
            <w:r>
              <w:rPr>
                <w:rFonts w:hint="eastAsia"/>
                <w:sz w:val="18"/>
                <w:szCs w:val="18"/>
              </w:rPr>
              <w:t>6</w:t>
            </w:r>
          </w:p>
        </w:tc>
        <w:tc>
          <w:tcPr>
            <w:tcW w:w="1013" w:type="pct"/>
            <w:shd w:val="clear" w:color="auto" w:fill="auto"/>
            <w:vAlign w:val="center"/>
          </w:tcPr>
          <w:p>
            <w:pPr>
              <w:jc w:val="center"/>
              <w:rPr>
                <w:sz w:val="18"/>
                <w:szCs w:val="18"/>
              </w:rPr>
            </w:pPr>
            <w:r>
              <w:rPr>
                <w:sz w:val="18"/>
                <w:szCs w:val="18"/>
              </w:rPr>
              <w:t>0.2</w:t>
            </w:r>
            <w:r>
              <w:rPr>
                <w:rFonts w:hint="eastAsia"/>
                <w:sz w:val="18"/>
                <w:szCs w:val="18"/>
              </w:rPr>
              <w:t>2</w:t>
            </w:r>
          </w:p>
        </w:tc>
        <w:tc>
          <w:tcPr>
            <w:tcW w:w="901" w:type="pct"/>
            <w:shd w:val="clear" w:color="auto" w:fill="auto"/>
            <w:vAlign w:val="center"/>
          </w:tcPr>
          <w:p>
            <w:pPr>
              <w:jc w:val="center"/>
              <w:rPr>
                <w:sz w:val="18"/>
                <w:szCs w:val="18"/>
              </w:rPr>
            </w:pPr>
            <w:r>
              <w:rPr>
                <w:sz w:val="18"/>
                <w:szCs w:val="18"/>
              </w:rPr>
              <w:t>0.4</w:t>
            </w:r>
            <w:r>
              <w:rPr>
                <w:rFonts w:hint="eastAsia"/>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060" w:type="pct"/>
            <w:vAlign w:val="center"/>
          </w:tcPr>
          <w:p>
            <w:pPr>
              <w:widowControl/>
              <w:jc w:val="center"/>
              <w:rPr>
                <w:kern w:val="0"/>
                <w:sz w:val="18"/>
                <w:szCs w:val="18"/>
              </w:rPr>
            </w:pPr>
            <w:r>
              <w:rPr>
                <w:kern w:val="0"/>
                <w:sz w:val="18"/>
                <w:szCs w:val="18"/>
              </w:rPr>
              <w:t>支撑材料</w:t>
            </w:r>
          </w:p>
        </w:tc>
        <w:tc>
          <w:tcPr>
            <w:tcW w:w="1013" w:type="pct"/>
            <w:vAlign w:val="center"/>
          </w:tcPr>
          <w:p>
            <w:pPr>
              <w:widowControl/>
              <w:jc w:val="center"/>
              <w:rPr>
                <w:kern w:val="0"/>
                <w:sz w:val="18"/>
                <w:szCs w:val="18"/>
              </w:rPr>
            </w:pPr>
            <w:r>
              <w:rPr>
                <w:kern w:val="0"/>
                <w:sz w:val="18"/>
                <w:szCs w:val="18"/>
              </w:rPr>
              <w:t>课堂情况记录表、学生出勤表</w:t>
            </w:r>
          </w:p>
        </w:tc>
        <w:tc>
          <w:tcPr>
            <w:tcW w:w="1013" w:type="pct"/>
            <w:shd w:val="clear" w:color="auto" w:fill="auto"/>
            <w:vAlign w:val="center"/>
          </w:tcPr>
          <w:p>
            <w:pPr>
              <w:widowControl/>
              <w:jc w:val="center"/>
              <w:rPr>
                <w:kern w:val="0"/>
                <w:sz w:val="18"/>
                <w:szCs w:val="18"/>
              </w:rPr>
            </w:pPr>
            <w:r>
              <w:rPr>
                <w:kern w:val="0"/>
                <w:sz w:val="18"/>
                <w:szCs w:val="18"/>
              </w:rPr>
              <w:t>作业评价标准、作业评分登记表</w:t>
            </w:r>
          </w:p>
        </w:tc>
        <w:tc>
          <w:tcPr>
            <w:tcW w:w="1013" w:type="pct"/>
            <w:shd w:val="clear" w:color="auto" w:fill="auto"/>
            <w:vAlign w:val="center"/>
          </w:tcPr>
          <w:p>
            <w:pPr>
              <w:widowControl/>
              <w:jc w:val="center"/>
              <w:rPr>
                <w:kern w:val="0"/>
                <w:sz w:val="18"/>
                <w:szCs w:val="18"/>
              </w:rPr>
            </w:pPr>
            <w:r>
              <w:rPr>
                <w:rFonts w:hint="eastAsia"/>
                <w:color w:val="121212"/>
                <w:kern w:val="0"/>
                <w:sz w:val="18"/>
              </w:rPr>
              <w:t>检索实践作业</w:t>
            </w:r>
            <w:r>
              <w:rPr>
                <w:color w:val="121212"/>
                <w:kern w:val="0"/>
                <w:sz w:val="18"/>
              </w:rPr>
              <w:t>评价标准，</w:t>
            </w:r>
            <w:r>
              <w:rPr>
                <w:rFonts w:hint="eastAsia"/>
                <w:color w:val="121212"/>
                <w:kern w:val="0"/>
                <w:sz w:val="18"/>
              </w:rPr>
              <w:t>作业报告</w:t>
            </w:r>
            <w:r>
              <w:rPr>
                <w:color w:val="121212"/>
                <w:kern w:val="0"/>
                <w:sz w:val="18"/>
              </w:rPr>
              <w:t>（可以提交电子版）</w:t>
            </w:r>
          </w:p>
        </w:tc>
        <w:tc>
          <w:tcPr>
            <w:tcW w:w="901" w:type="pct"/>
            <w:shd w:val="clear" w:color="auto" w:fill="auto"/>
            <w:vAlign w:val="center"/>
          </w:tcPr>
          <w:p>
            <w:pPr>
              <w:widowControl/>
              <w:jc w:val="center"/>
              <w:rPr>
                <w:kern w:val="0"/>
                <w:sz w:val="18"/>
                <w:szCs w:val="18"/>
              </w:rPr>
            </w:pPr>
            <w:r>
              <w:rPr>
                <w:kern w:val="0"/>
                <w:sz w:val="18"/>
                <w:szCs w:val="18"/>
              </w:rPr>
              <w:t>综合性报告评价标准，综合性报告评分登记表，典型综合性报告</w:t>
            </w:r>
          </w:p>
        </w:tc>
      </w:tr>
    </w:tbl>
    <w:p>
      <w:pPr>
        <w:pStyle w:val="49"/>
        <w:widowControl/>
        <w:spacing w:line="360" w:lineRule="auto"/>
        <w:ind w:firstLine="0" w:firstLineChars="0"/>
        <w:jc w:val="left"/>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r>
        <w:drawing>
          <wp:anchor distT="0" distB="0" distL="114300" distR="114300" simplePos="0" relativeHeight="251680768" behindDoc="0" locked="0" layoutInCell="1" allowOverlap="1">
            <wp:simplePos x="0" y="0"/>
            <wp:positionH relativeFrom="character">
              <wp:posOffset>1545590</wp:posOffset>
            </wp:positionH>
            <wp:positionV relativeFrom="line">
              <wp:posOffset>-256540</wp:posOffset>
            </wp:positionV>
            <wp:extent cx="57150" cy="23495"/>
            <wp:effectExtent l="19050" t="19050" r="19050" b="14605"/>
            <wp:wrapNone/>
            <wp:docPr id="274" name="图片 274"/>
            <wp:cNvGraphicFramePr/>
            <a:graphic xmlns:a="http://schemas.openxmlformats.org/drawingml/2006/main">
              <a:graphicData uri="http://schemas.openxmlformats.org/drawingml/2006/picture">
                <pic:pic xmlns:pic="http://schemas.openxmlformats.org/drawingml/2006/picture">
                  <pic:nvPicPr>
                    <pic:cNvPr id="274" name="图片 274"/>
                    <pic:cNvPicPr preferRelativeResize="0">
                      <a:picLocks noChangeArrowheads="1"/>
                    </pic:cNvPicPr>
                  </pic:nvPicPr>
                  <pic:blipFill>
                    <a:blip r:embed="rId312">
                      <a:extLst>
                        <a:ext uri="{28A0092B-C50C-407E-A947-70E740481C1C}">
                          <a14:useLocalDpi xmlns:a14="http://schemas.microsoft.com/office/drawing/2010/main" val="0"/>
                        </a:ext>
                      </a:extLst>
                    </a:blip>
                    <a:srcRect/>
                    <a:stretch>
                      <a:fillRect/>
                    </a:stretch>
                  </pic:blipFill>
                  <pic:spPr>
                    <a:xfrm>
                      <a:off x="0" y="0"/>
                      <a:ext cx="57150" cy="23495"/>
                    </a:xfrm>
                    <a:prstGeom prst="rect">
                      <a:avLst/>
                    </a:prstGeom>
                    <a:solidFill>
                      <a:srgbClr val="FFFFFF"/>
                    </a:solidFill>
                    <a:ln w="9525">
                      <a:solidFill>
                        <a:srgbClr val="000000"/>
                      </a:solidFill>
                      <a:round/>
                    </a:ln>
                  </pic:spPr>
                </pic:pic>
              </a:graphicData>
            </a:graphic>
          </wp:anchor>
        </w:drawing>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1842"/>
        <w:gridCol w:w="22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558" w:type="pct"/>
            <w:vAlign w:val="center"/>
          </w:tcPr>
          <w:p>
            <w:pPr>
              <w:jc w:val="center"/>
              <w:rPr>
                <w:sz w:val="18"/>
                <w:szCs w:val="18"/>
              </w:rPr>
            </w:pPr>
            <w:r>
              <w:rPr>
                <w:sz w:val="18"/>
                <w:szCs w:val="18"/>
              </w:rPr>
              <w:t>知识点</w:t>
            </w:r>
          </w:p>
        </w:tc>
        <w:tc>
          <w:tcPr>
            <w:tcW w:w="1109" w:type="pct"/>
            <w:vAlign w:val="center"/>
          </w:tcPr>
          <w:p>
            <w:pPr>
              <w:jc w:val="center"/>
              <w:rPr>
                <w:sz w:val="18"/>
                <w:szCs w:val="18"/>
              </w:rPr>
            </w:pPr>
            <w:r>
              <w:rPr>
                <w:sz w:val="18"/>
                <w:szCs w:val="18"/>
              </w:rPr>
              <w:t>权重</w:t>
            </w:r>
          </w:p>
        </w:tc>
        <w:tc>
          <w:tcPr>
            <w:tcW w:w="1333"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558" w:type="pct"/>
            <w:vAlign w:val="center"/>
          </w:tcPr>
          <w:p>
            <w:pPr>
              <w:ind w:left="174" w:leftChars="83"/>
              <w:rPr>
                <w:b/>
                <w:sz w:val="18"/>
                <w:szCs w:val="18"/>
              </w:rPr>
            </w:pPr>
            <w:r>
              <w:rPr>
                <w:rFonts w:hint="eastAsia"/>
                <w:sz w:val="18"/>
                <w:szCs w:val="18"/>
              </w:rPr>
              <w:t>1、信息检索基础的基本概念及基础知识</w:t>
            </w:r>
          </w:p>
        </w:tc>
        <w:tc>
          <w:tcPr>
            <w:tcW w:w="1109" w:type="pct"/>
            <w:vAlign w:val="center"/>
          </w:tcPr>
          <w:p>
            <w:pPr>
              <w:jc w:val="center"/>
              <w:rPr>
                <w:sz w:val="18"/>
                <w:szCs w:val="18"/>
              </w:rPr>
            </w:pPr>
            <w:r>
              <w:rPr>
                <w:rFonts w:hint="eastAsia"/>
                <w:sz w:val="18"/>
                <w:szCs w:val="18"/>
              </w:rPr>
              <w:t>0.</w:t>
            </w:r>
            <w:r>
              <w:rPr>
                <w:sz w:val="18"/>
                <w:szCs w:val="18"/>
              </w:rPr>
              <w:t>10</w:t>
            </w:r>
          </w:p>
        </w:tc>
        <w:tc>
          <w:tcPr>
            <w:tcW w:w="1333" w:type="pct"/>
            <w:vAlign w:val="center"/>
          </w:tcPr>
          <w:p>
            <w:pPr>
              <w:jc w:val="center"/>
              <w:rPr>
                <w:bCs/>
                <w:sz w:val="18"/>
                <w:szCs w:val="18"/>
              </w:rPr>
            </w:pPr>
            <w:r>
              <w:rPr>
                <w:rFonts w:hint="eastAsia"/>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558" w:type="pct"/>
            <w:vAlign w:val="center"/>
          </w:tcPr>
          <w:p>
            <w:pPr>
              <w:ind w:left="174" w:leftChars="83"/>
              <w:rPr>
                <w:sz w:val="18"/>
                <w:szCs w:val="18"/>
              </w:rPr>
            </w:pPr>
            <w:r>
              <w:rPr>
                <w:rFonts w:hint="eastAsia"/>
                <w:sz w:val="18"/>
                <w:szCs w:val="18"/>
              </w:rPr>
              <w:t>2、常用中文数据库检索方法</w:t>
            </w:r>
          </w:p>
        </w:tc>
        <w:tc>
          <w:tcPr>
            <w:tcW w:w="1109" w:type="pct"/>
            <w:vAlign w:val="center"/>
          </w:tcPr>
          <w:p>
            <w:pPr>
              <w:jc w:val="center"/>
              <w:rPr>
                <w:sz w:val="18"/>
                <w:szCs w:val="18"/>
              </w:rPr>
            </w:pPr>
            <w:r>
              <w:rPr>
                <w:rFonts w:hint="eastAsia"/>
                <w:sz w:val="18"/>
                <w:szCs w:val="18"/>
              </w:rPr>
              <w:t>0.2</w:t>
            </w:r>
          </w:p>
        </w:tc>
        <w:tc>
          <w:tcPr>
            <w:tcW w:w="1333"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558" w:type="pct"/>
            <w:vAlign w:val="center"/>
          </w:tcPr>
          <w:p>
            <w:pPr>
              <w:ind w:left="174" w:leftChars="83"/>
              <w:rPr>
                <w:sz w:val="18"/>
                <w:szCs w:val="18"/>
              </w:rPr>
            </w:pPr>
            <w:r>
              <w:rPr>
                <w:rFonts w:hint="eastAsia"/>
                <w:sz w:val="18"/>
                <w:szCs w:val="18"/>
              </w:rPr>
              <w:t>3、常用英文数据库检索方法</w:t>
            </w:r>
          </w:p>
        </w:tc>
        <w:tc>
          <w:tcPr>
            <w:tcW w:w="1109" w:type="pct"/>
            <w:vAlign w:val="center"/>
          </w:tcPr>
          <w:p>
            <w:pPr>
              <w:jc w:val="center"/>
              <w:rPr>
                <w:sz w:val="18"/>
                <w:szCs w:val="18"/>
              </w:rPr>
            </w:pPr>
            <w:r>
              <w:rPr>
                <w:rFonts w:hint="eastAsia"/>
                <w:sz w:val="18"/>
                <w:szCs w:val="18"/>
              </w:rPr>
              <w:t>0.2</w:t>
            </w:r>
          </w:p>
        </w:tc>
        <w:tc>
          <w:tcPr>
            <w:tcW w:w="1333"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558" w:type="pct"/>
            <w:vAlign w:val="center"/>
          </w:tcPr>
          <w:p>
            <w:pPr>
              <w:ind w:left="174" w:leftChars="83"/>
              <w:rPr>
                <w:sz w:val="18"/>
                <w:szCs w:val="18"/>
              </w:rPr>
            </w:pPr>
            <w:r>
              <w:rPr>
                <w:rFonts w:hint="eastAsia"/>
                <w:sz w:val="18"/>
                <w:szCs w:val="18"/>
              </w:rPr>
              <w:t>4、常用网络数据库检索方法</w:t>
            </w:r>
          </w:p>
        </w:tc>
        <w:tc>
          <w:tcPr>
            <w:tcW w:w="1109" w:type="pct"/>
            <w:vAlign w:val="center"/>
          </w:tcPr>
          <w:p>
            <w:pPr>
              <w:jc w:val="center"/>
              <w:rPr>
                <w:sz w:val="18"/>
                <w:szCs w:val="18"/>
              </w:rPr>
            </w:pPr>
            <w:r>
              <w:rPr>
                <w:rFonts w:hint="eastAsia"/>
                <w:sz w:val="18"/>
                <w:szCs w:val="18"/>
              </w:rPr>
              <w:t>0.2</w:t>
            </w:r>
          </w:p>
        </w:tc>
        <w:tc>
          <w:tcPr>
            <w:tcW w:w="1333" w:type="pct"/>
            <w:vAlign w:val="center"/>
          </w:tcPr>
          <w:p>
            <w:pPr>
              <w:jc w:val="center"/>
              <w:rPr>
                <w:bCs/>
                <w:sz w:val="18"/>
                <w:szCs w:val="18"/>
              </w:rPr>
            </w:pPr>
            <w:r>
              <w:rPr>
                <w:rFonts w:hint="eastAsia"/>
                <w:bCs/>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558" w:type="pct"/>
            <w:vAlign w:val="center"/>
          </w:tcPr>
          <w:p>
            <w:pPr>
              <w:ind w:left="174" w:leftChars="83"/>
              <w:rPr>
                <w:sz w:val="18"/>
                <w:szCs w:val="18"/>
              </w:rPr>
            </w:pPr>
            <w:r>
              <w:rPr>
                <w:sz w:val="18"/>
                <w:szCs w:val="18"/>
              </w:rPr>
              <w:t>5</w:t>
            </w:r>
            <w:r>
              <w:rPr>
                <w:rFonts w:hint="eastAsia"/>
                <w:sz w:val="18"/>
                <w:szCs w:val="18"/>
              </w:rPr>
              <w:t>、综合检索方法及报告写作</w:t>
            </w:r>
          </w:p>
        </w:tc>
        <w:tc>
          <w:tcPr>
            <w:tcW w:w="1109" w:type="pct"/>
            <w:vAlign w:val="center"/>
          </w:tcPr>
          <w:p>
            <w:pPr>
              <w:jc w:val="center"/>
              <w:rPr>
                <w:sz w:val="18"/>
                <w:szCs w:val="18"/>
              </w:rPr>
            </w:pPr>
            <w:r>
              <w:rPr>
                <w:rFonts w:hint="eastAsia"/>
                <w:sz w:val="18"/>
                <w:szCs w:val="18"/>
              </w:rPr>
              <w:t>0.3</w:t>
            </w:r>
          </w:p>
        </w:tc>
        <w:tc>
          <w:tcPr>
            <w:tcW w:w="1333" w:type="pct"/>
            <w:vAlign w:val="center"/>
          </w:tcPr>
          <w:p>
            <w:pPr>
              <w:jc w:val="center"/>
              <w:rPr>
                <w:bCs/>
                <w:sz w:val="18"/>
                <w:szCs w:val="18"/>
              </w:rPr>
            </w:pPr>
            <w:r>
              <w:rPr>
                <w:bCs/>
                <w:sz w:val="18"/>
                <w:szCs w:val="18"/>
              </w:rPr>
              <w:t>3</w:t>
            </w:r>
          </w:p>
        </w:tc>
      </w:tr>
    </w:tbl>
    <w:p>
      <w:pPr>
        <w:spacing w:before="120" w:beforeLines="50" w:line="360" w:lineRule="auto"/>
        <w:ind w:firstLine="630" w:firstLineChars="300"/>
        <w:rPr>
          <w:color w:val="000000"/>
          <w:sz w:val="24"/>
          <w:szCs w:val="24"/>
        </w:rPr>
        <w:sectPr>
          <w:headerReference r:id="rId69" w:type="first"/>
          <w:footerReference r:id="rId72" w:type="first"/>
          <w:headerReference r:id="rId67" w:type="default"/>
          <w:footerReference r:id="rId70" w:type="default"/>
          <w:headerReference r:id="rId68" w:type="even"/>
          <w:footerReference r:id="rId71" w:type="even"/>
          <w:pgSz w:w="11906" w:h="16838"/>
          <w:pgMar w:top="1440" w:right="1800" w:bottom="1440" w:left="1800" w:header="851" w:footer="992" w:gutter="0"/>
          <w:cols w:space="425" w:num="1"/>
          <w:docGrid w:linePitch="312" w:charSpace="0"/>
        </w:sect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788"/>
        <w:gridCol w:w="1117"/>
        <w:gridCol w:w="951"/>
        <w:gridCol w:w="951"/>
        <w:gridCol w:w="1110"/>
        <w:gridCol w:w="1110"/>
        <w:gridCol w:w="1110"/>
        <w:gridCol w:w="951"/>
        <w:gridCol w:w="951"/>
        <w:gridCol w:w="1110"/>
        <w:gridCol w:w="951"/>
        <w:gridCol w:w="951"/>
        <w:gridCol w:w="951"/>
        <w:gridCol w:w="946"/>
      </w:tblGrid>
      <w:tr>
        <w:tblPrEx>
          <w:tblCellMar>
            <w:top w:w="0" w:type="dxa"/>
            <w:left w:w="108" w:type="dxa"/>
            <w:bottom w:w="0" w:type="dxa"/>
            <w:right w:w="108" w:type="dxa"/>
          </w:tblCellMar>
        </w:tblPrEx>
        <w:trPr>
          <w:trHeight w:val="1015" w:hRule="atLeast"/>
          <w:jc w:val="center"/>
        </w:trPr>
        <w:tc>
          <w:tcPr>
            <w:tcW w:w="282"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400"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hint="eastAsia" w:ascii="宋体" w:hAnsi="宋体" w:cs="宋体"/>
                <w:i/>
                <w:kern w:val="0"/>
                <w:sz w:val="18"/>
                <w:szCs w:val="18"/>
              </w:rPr>
              <w:t>P</w:t>
            </w:r>
            <w:r>
              <w:rPr>
                <w:rFonts w:hint="eastAsia" w:ascii="宋体" w:hAnsi="宋体" w:cs="宋体"/>
                <w:i/>
                <w:kern w:val="0"/>
                <w:sz w:val="18"/>
                <w:szCs w:val="18"/>
                <w:vertAlign w:val="subscript"/>
              </w:rPr>
              <w:t>i</w:t>
            </w:r>
          </w:p>
        </w:tc>
        <w:tc>
          <w:tcPr>
            <w:tcW w:w="1477" w:type="pct"/>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477" w:type="pct"/>
            <w:gridSpan w:val="4"/>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64" w:type="pct"/>
            <w:gridSpan w:val="4"/>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8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p>
        </w:tc>
        <w:tc>
          <w:tcPr>
            <w:tcW w:w="40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i/>
                <w:kern w:val="0"/>
                <w:sz w:val="18"/>
                <w:szCs w:val="18"/>
              </w:rPr>
            </w:pP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课堂</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作业</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检索实验</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kern w:val="0"/>
                <w:sz w:val="18"/>
                <w:szCs w:val="18"/>
              </w:rPr>
              <w:t>综合性报告</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课堂</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作业</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检索实验</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kern w:val="0"/>
                <w:sz w:val="18"/>
                <w:szCs w:val="18"/>
              </w:rPr>
              <w:t>综合性报告</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课堂</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作业</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kern w:val="0"/>
                <w:sz w:val="18"/>
                <w:szCs w:val="18"/>
              </w:rPr>
              <w:t>检索实验</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kern w:val="0"/>
                <w:sz w:val="18"/>
                <w:szCs w:val="18"/>
              </w:rPr>
              <w:t>综合性报告</w:t>
            </w:r>
          </w:p>
        </w:tc>
      </w:tr>
      <w:tr>
        <w:tblPrEx>
          <w:tblCellMar>
            <w:top w:w="0" w:type="dxa"/>
            <w:left w:w="108" w:type="dxa"/>
            <w:bottom w:w="0" w:type="dxa"/>
            <w:right w:w="108" w:type="dxa"/>
          </w:tblCellMar>
        </w:tblPrEx>
        <w:trPr>
          <w:trHeight w:val="913" w:hRule="atLeast"/>
          <w:jc w:val="center"/>
        </w:trPr>
        <w:tc>
          <w:tcPr>
            <w:tcW w:w="282" w:type="pct"/>
            <w:tcBorders>
              <w:top w:val="nil"/>
              <w:left w:val="single" w:color="auto" w:sz="4" w:space="0"/>
              <w:bottom w:val="single" w:color="auto" w:sz="4" w:space="0"/>
              <w:right w:val="single" w:color="auto" w:sz="4" w:space="0"/>
            </w:tcBorders>
            <w:vAlign w:val="center"/>
          </w:tcPr>
          <w:p>
            <w:pPr>
              <w:widowControl/>
              <w:adjustRightInd w:val="0"/>
              <w:jc w:val="center"/>
              <w:rPr>
                <w:rFonts w:ascii="宋体" w:hAnsi="宋体"/>
                <w:kern w:val="0"/>
                <w:sz w:val="18"/>
                <w:szCs w:val="18"/>
              </w:rPr>
            </w:pPr>
            <w:r>
              <w:rPr>
                <w:rFonts w:hint="eastAsia"/>
                <w:kern w:val="0"/>
                <w:sz w:val="18"/>
                <w:szCs w:val="18"/>
              </w:rPr>
              <w:t>1</w:t>
            </w:r>
          </w:p>
        </w:tc>
        <w:tc>
          <w:tcPr>
            <w:tcW w:w="400"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4</w:t>
            </w:r>
            <w:r>
              <w:rPr>
                <w:sz w:val="18"/>
                <w:szCs w:val="18"/>
              </w:rPr>
              <w:t>0</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w:t>
            </w:r>
            <w:r>
              <w:rPr>
                <w:sz w:val="18"/>
                <w:szCs w:val="18"/>
              </w:rPr>
              <w:t>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0.40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4</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1</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1</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4</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0.25</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0.06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0.0</w:t>
            </w:r>
            <w:r>
              <w:rPr>
                <w:rFonts w:ascii="宋体" w:hAnsi="宋体" w:cs="宋体"/>
                <w:kern w:val="0"/>
                <w:sz w:val="18"/>
                <w:szCs w:val="18"/>
              </w:rPr>
              <w:t>5</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0.0</w:t>
            </w:r>
            <w:r>
              <w:rPr>
                <w:rFonts w:ascii="宋体" w:hAnsi="宋体" w:cs="宋体"/>
                <w:kern w:val="0"/>
                <w:sz w:val="18"/>
                <w:szCs w:val="18"/>
              </w:rPr>
              <w:t>9</w:t>
            </w:r>
          </w:p>
        </w:tc>
      </w:tr>
      <w:tr>
        <w:tblPrEx>
          <w:tblCellMar>
            <w:top w:w="0" w:type="dxa"/>
            <w:left w:w="108" w:type="dxa"/>
            <w:bottom w:w="0" w:type="dxa"/>
            <w:right w:w="108" w:type="dxa"/>
          </w:tblCellMar>
        </w:tblPrEx>
        <w:trPr>
          <w:trHeight w:val="920" w:hRule="atLeast"/>
          <w:jc w:val="center"/>
        </w:trPr>
        <w:tc>
          <w:tcPr>
            <w:tcW w:w="282" w:type="pct"/>
            <w:tcBorders>
              <w:top w:val="nil"/>
              <w:left w:val="single" w:color="auto" w:sz="4"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kern w:val="0"/>
                <w:sz w:val="18"/>
                <w:szCs w:val="18"/>
              </w:rPr>
              <w:t>2</w:t>
            </w:r>
          </w:p>
        </w:tc>
        <w:tc>
          <w:tcPr>
            <w:tcW w:w="400"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3</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20</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 xml:space="preserve"> 1</w:t>
            </w:r>
            <w:r>
              <w:rPr>
                <w:sz w:val="18"/>
                <w:szCs w:val="18"/>
              </w:rPr>
              <w:t>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3</w:t>
            </w:r>
            <w:r>
              <w:rPr>
                <w:sz w:val="18"/>
                <w:szCs w:val="18"/>
              </w:rPr>
              <w:t>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0.40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03</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09</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12</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0.3</w:t>
            </w:r>
            <w:r>
              <w:rPr>
                <w:rFonts w:ascii="宋体" w:hAnsi="宋体" w:cs="宋体"/>
                <w:kern w:val="0"/>
                <w:sz w:val="18"/>
                <w:szCs w:val="18"/>
              </w:rPr>
              <w:t>8</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0</w:t>
            </w:r>
            <w:r>
              <w:rPr>
                <w:rFonts w:hint="eastAsia" w:ascii="宋体" w:hAnsi="宋体" w:cs="宋体"/>
                <w:kern w:val="0"/>
                <w:sz w:val="18"/>
                <w:szCs w:val="18"/>
              </w:rPr>
              <w:t>.1</w:t>
            </w:r>
            <w:r>
              <w:rPr>
                <w:rFonts w:ascii="宋体" w:hAnsi="宋体" w:cs="宋体"/>
                <w:kern w:val="0"/>
                <w:sz w:val="18"/>
                <w:szCs w:val="18"/>
              </w:rPr>
              <w:t>9</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w:t>
            </w:r>
            <w:r>
              <w:rPr>
                <w:rFonts w:ascii="宋体" w:hAnsi="宋体" w:cs="宋体"/>
                <w:kern w:val="0"/>
                <w:sz w:val="18"/>
                <w:szCs w:val="18"/>
              </w:rPr>
              <w:t>.</w:t>
            </w:r>
            <w:r>
              <w:rPr>
                <w:rFonts w:hint="eastAsia" w:ascii="宋体" w:hAnsi="宋体" w:cs="宋体"/>
                <w:kern w:val="0"/>
                <w:sz w:val="18"/>
                <w:szCs w:val="18"/>
              </w:rPr>
              <w:t>4</w:t>
            </w:r>
            <w:r>
              <w:rPr>
                <w:rFonts w:ascii="宋体" w:hAnsi="宋体" w:cs="宋体"/>
                <w:kern w:val="0"/>
                <w:sz w:val="18"/>
                <w:szCs w:val="18"/>
              </w:rPr>
              <w:t>1</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0.26</w:t>
            </w:r>
          </w:p>
        </w:tc>
      </w:tr>
      <w:tr>
        <w:tblPrEx>
          <w:tblCellMar>
            <w:top w:w="0" w:type="dxa"/>
            <w:left w:w="108" w:type="dxa"/>
            <w:bottom w:w="0" w:type="dxa"/>
            <w:right w:w="108" w:type="dxa"/>
          </w:tblCellMar>
        </w:tblPrEx>
        <w:trPr>
          <w:trHeight w:val="919" w:hRule="atLeast"/>
          <w:jc w:val="center"/>
        </w:trPr>
        <w:tc>
          <w:tcPr>
            <w:tcW w:w="282" w:type="pct"/>
            <w:tcBorders>
              <w:top w:val="nil"/>
              <w:left w:val="single" w:color="auto" w:sz="4"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kern w:val="0"/>
                <w:sz w:val="18"/>
                <w:szCs w:val="18"/>
              </w:rPr>
              <w:t>3</w:t>
            </w:r>
          </w:p>
        </w:tc>
        <w:tc>
          <w:tcPr>
            <w:tcW w:w="400"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w:t>
            </w:r>
            <w:r>
              <w:rPr>
                <w:sz w:val="18"/>
                <w:szCs w:val="18"/>
              </w:rPr>
              <w:t>0</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0.20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2</w:t>
            </w:r>
            <w:r>
              <w:rPr>
                <w:sz w:val="18"/>
                <w:szCs w:val="18"/>
              </w:rPr>
              <w:t>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0.50</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0.0</w:t>
            </w:r>
            <w:r>
              <w:rPr>
                <w:rFonts w:hint="eastAsia"/>
                <w:sz w:val="18"/>
                <w:szCs w:val="18"/>
              </w:rPr>
              <w:t>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12</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12</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3</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0.37</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0.75</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0.54</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0.65</w:t>
            </w:r>
          </w:p>
        </w:tc>
      </w:tr>
      <w:tr>
        <w:tblPrEx>
          <w:tblCellMar>
            <w:top w:w="0" w:type="dxa"/>
            <w:left w:w="108" w:type="dxa"/>
            <w:bottom w:w="0" w:type="dxa"/>
            <w:right w:w="108" w:type="dxa"/>
          </w:tblCellMar>
        </w:tblPrEx>
        <w:trPr>
          <w:trHeight w:val="1012" w:hRule="atLeast"/>
          <w:jc w:val="center"/>
        </w:trPr>
        <w:tc>
          <w:tcPr>
            <w:tcW w:w="2159" w:type="pct"/>
            <w:gridSpan w:val="6"/>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0.1</w:t>
            </w:r>
            <w:r>
              <w:rPr>
                <w:rFonts w:hint="eastAsia"/>
                <w:sz w:val="18"/>
                <w:szCs w:val="18"/>
              </w:rPr>
              <w:t>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1</w:t>
            </w:r>
            <w:r>
              <w:rPr>
                <w:sz w:val="18"/>
                <w:szCs w:val="18"/>
              </w:rPr>
              <w:t>6</w:t>
            </w:r>
          </w:p>
        </w:tc>
        <w:tc>
          <w:tcPr>
            <w:tcW w:w="341"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w:t>
            </w:r>
            <w:r>
              <w:rPr>
                <w:rFonts w:hint="eastAsia"/>
                <w:sz w:val="18"/>
                <w:szCs w:val="18"/>
              </w:rPr>
              <w:t>22</w:t>
            </w:r>
          </w:p>
        </w:tc>
        <w:tc>
          <w:tcPr>
            <w:tcW w:w="398"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sz w:val="18"/>
                <w:szCs w:val="18"/>
              </w:rPr>
              <w:t>0.4</w:t>
            </w:r>
            <w:r>
              <w:rPr>
                <w:rFonts w:hint="eastAsia"/>
                <w:sz w:val="18"/>
                <w:szCs w:val="18"/>
              </w:rPr>
              <w:t>6</w:t>
            </w:r>
          </w:p>
        </w:tc>
        <w:tc>
          <w:tcPr>
            <w:tcW w:w="1364" w:type="pct"/>
            <w:gridSpan w:val="4"/>
            <w:tcBorders>
              <w:top w:val="nil"/>
              <w:left w:val="nil"/>
              <w:bottom w:val="single" w:color="auto" w:sz="4" w:space="0"/>
              <w:right w:val="single" w:color="auto" w:sz="4" w:space="0"/>
            </w:tcBorders>
            <w:vAlign w:val="center"/>
          </w:tcPr>
          <w:p>
            <w:pPr>
              <w:jc w:val="center"/>
              <w:rPr>
                <w:sz w:val="18"/>
                <w:szCs w:val="18"/>
              </w:rPr>
            </w:pPr>
            <w:r>
              <w:rPr>
                <w:sz w:val="18"/>
                <w:szCs w:val="18"/>
              </w:rPr>
              <w:t>教师出题或布置作业时</w:t>
            </w:r>
          </w:p>
          <w:p>
            <w:pPr>
              <w:widowControl/>
              <w:jc w:val="center"/>
              <w:rPr>
                <w:rFonts w:ascii="宋体" w:hAnsi="宋体" w:cs="宋体"/>
                <w:kern w:val="0"/>
                <w:sz w:val="18"/>
                <w:szCs w:val="18"/>
              </w:rPr>
            </w:pPr>
            <w:r>
              <w:rPr>
                <w:sz w:val="18"/>
                <w:szCs w:val="18"/>
              </w:rPr>
              <w:t>要尽量做到按照以上比例布局</w:t>
            </w:r>
          </w:p>
        </w:tc>
      </w:tr>
    </w:tbl>
    <w:p>
      <w:pPr>
        <w:spacing w:line="360" w:lineRule="auto"/>
      </w:pPr>
    </w:p>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50"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50" DrawAspect="Content" ObjectID="_1468075850" r:id="rId313">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51"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51" DrawAspect="Content" ObjectID="_1468075851" r:id="rId314">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52"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52" DrawAspect="Content" ObjectID="_1468075852" r:id="rId315">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53"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53" DrawAspect="Content" ObjectID="_1468075853" r:id="rId316">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54"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54" DrawAspect="Content" ObjectID="_1468075854" r:id="rId317">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55"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55" DrawAspect="Content" ObjectID="_1468075855" r:id="rId318">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08" w:name="_Toc18412"/>
      <w:bookmarkStart w:id="209" w:name="_Toc46996575"/>
      <w:r>
        <w:rPr>
          <w:rFonts w:hint="eastAsia"/>
        </w:rPr>
        <w:t>《</w:t>
      </w:r>
      <w:r>
        <w:t>Y07060006-</w:t>
      </w:r>
      <w:r>
        <w:rPr>
          <w:rFonts w:hint="eastAsia"/>
        </w:rPr>
        <w:t>毕业设计专题》教学大纲</w:t>
      </w:r>
      <w:bookmarkEnd w:id="208"/>
      <w:bookmarkEnd w:id="209"/>
    </w:p>
    <w:p>
      <w:pPr>
        <w:adjustRightInd w:val="0"/>
        <w:snapToGrid w:val="0"/>
        <w:spacing w:line="360" w:lineRule="auto"/>
        <w:rPr>
          <w:bCs/>
          <w:kern w:val="0"/>
        </w:rPr>
      </w:pPr>
      <w:r>
        <w:rPr>
          <w:rFonts w:hint="eastAsia" w:eastAsia="黑体"/>
          <w:szCs w:val="21"/>
        </w:rPr>
        <w:t>课程编号：</w:t>
      </w:r>
      <w:r>
        <w:rPr>
          <w:bCs/>
          <w:kern w:val="0"/>
        </w:rPr>
        <w:t>Y07060006</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毕业设计专题</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rFonts w:hint="eastAsia"/>
          <w:szCs w:val="21"/>
        </w:rPr>
        <w:t xml:space="preserve">8              </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分：0.5</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无</w:t>
      </w:r>
    </w:p>
    <w:p>
      <w:pPr>
        <w:adjustRightInd w:val="0"/>
        <w:snapToGrid w:val="0"/>
        <w:spacing w:line="360" w:lineRule="auto"/>
        <w:rPr>
          <w:szCs w:val="21"/>
        </w:rPr>
      </w:pPr>
      <w:r>
        <w:rPr>
          <w:rFonts w:hint="eastAsia" w:eastAsia="黑体"/>
          <w:szCs w:val="21"/>
        </w:rPr>
        <w:t>大纲撰写人：</w:t>
      </w:r>
      <w:r>
        <w:rPr>
          <w:rFonts w:hint="eastAsia"/>
          <w:szCs w:val="21"/>
        </w:rPr>
        <w:t>甄国涌</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adjustRightInd w:val="0"/>
        <w:snapToGrid w:val="0"/>
        <w:spacing w:line="360" w:lineRule="auto"/>
        <w:ind w:firstLine="420" w:firstLineChars="200"/>
        <w:rPr>
          <w:szCs w:val="21"/>
        </w:rPr>
      </w:pPr>
      <w:r>
        <w:rPr>
          <w:szCs w:val="21"/>
        </w:rPr>
        <w:t>《毕业设计专题》是对毕业设计过程进行指导的选修课程。该课程主要说明毕业设计过程、各过程中要完成的工作及如何做好每个过程。通过该课程的学习，可以使学生对毕业设计过程有较全面的认识，更好的完成毕业设计教学环节。</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2509"/>
        <w:gridCol w:w="51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1509" w:type="pct"/>
            <w:vAlign w:val="center"/>
          </w:tcPr>
          <w:p>
            <w:pPr>
              <w:spacing w:line="360" w:lineRule="auto"/>
              <w:jc w:val="center"/>
              <w:rPr>
                <w:sz w:val="18"/>
                <w:szCs w:val="18"/>
              </w:rPr>
            </w:pPr>
            <w:r>
              <w:rPr>
                <w:sz w:val="18"/>
                <w:szCs w:val="18"/>
              </w:rPr>
              <w:t>课程目标</w:t>
            </w:r>
          </w:p>
        </w:tc>
        <w:tc>
          <w:tcPr>
            <w:tcW w:w="3124"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1509" w:type="pct"/>
          </w:tcPr>
          <w:p>
            <w:pPr>
              <w:spacing w:line="360" w:lineRule="auto"/>
              <w:rPr>
                <w:sz w:val="18"/>
                <w:szCs w:val="18"/>
              </w:rPr>
            </w:pPr>
            <w:r>
              <w:rPr>
                <w:rFonts w:hint="eastAsia"/>
                <w:sz w:val="18"/>
                <w:szCs w:val="18"/>
              </w:rPr>
              <w:t>能够确定毕业设计任务书中任务涉及的知识点及相关的表征参数。</w:t>
            </w:r>
          </w:p>
        </w:tc>
        <w:tc>
          <w:tcPr>
            <w:tcW w:w="3124" w:type="pct"/>
          </w:tcPr>
          <w:p>
            <w:pPr>
              <w:spacing w:line="360" w:lineRule="auto"/>
              <w:rPr>
                <w:sz w:val="18"/>
                <w:szCs w:val="18"/>
              </w:rPr>
            </w:pPr>
            <w:r>
              <w:rPr>
                <w:rFonts w:hint="eastAsia"/>
                <w:b/>
                <w:sz w:val="18"/>
                <w:szCs w:val="18"/>
              </w:rPr>
              <w:t>指标点2-1 问题识别：</w:t>
            </w:r>
            <w:r>
              <w:rPr>
                <w:rFonts w:hint="eastAsia"/>
                <w:sz w:val="18"/>
                <w:szCs w:val="18"/>
              </w:rPr>
              <w:t>能应用科学原理对电路系统、物联网及现场总线等领域专业复杂工程问题进行分解，并识别其中的关键特征和参数。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1509" w:type="pct"/>
          </w:tcPr>
          <w:p>
            <w:pPr>
              <w:spacing w:line="360" w:lineRule="auto"/>
              <w:rPr>
                <w:sz w:val="18"/>
                <w:szCs w:val="18"/>
              </w:rPr>
            </w:pPr>
            <w:r>
              <w:rPr>
                <w:rFonts w:hint="eastAsia"/>
                <w:sz w:val="18"/>
                <w:szCs w:val="18"/>
              </w:rPr>
              <w:t>能够通过调研、资料及实验界定任务要求并确定自己的实现方案。</w:t>
            </w:r>
          </w:p>
        </w:tc>
        <w:tc>
          <w:tcPr>
            <w:tcW w:w="3124" w:type="pct"/>
          </w:tcPr>
          <w:p>
            <w:pPr>
              <w:spacing w:line="360" w:lineRule="auto"/>
              <w:rPr>
                <w:b/>
                <w:sz w:val="18"/>
                <w:szCs w:val="18"/>
              </w:rPr>
            </w:pPr>
            <w:r>
              <w:rPr>
                <w:rFonts w:hint="eastAsia"/>
                <w:b/>
                <w:sz w:val="18"/>
                <w:szCs w:val="18"/>
              </w:rPr>
              <w:t>指标点2-4 信息获取能力：</w:t>
            </w:r>
            <w:r>
              <w:rPr>
                <w:rFonts w:hint="eastAsia"/>
                <w:sz w:val="18"/>
                <w:szCs w:val="18"/>
              </w:rPr>
              <w:t>掌握文献检索、资料查询及运用现代技术获取信息的方法，能通过该手段获取行业内解决同类问题的方法与效果，支撑自己的方案，并理解其差距与优势。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3</w:t>
            </w:r>
          </w:p>
        </w:tc>
        <w:tc>
          <w:tcPr>
            <w:tcW w:w="1509" w:type="pct"/>
          </w:tcPr>
          <w:p>
            <w:pPr>
              <w:spacing w:line="360" w:lineRule="auto"/>
              <w:rPr>
                <w:sz w:val="18"/>
                <w:szCs w:val="18"/>
              </w:rPr>
            </w:pPr>
            <w:r>
              <w:rPr>
                <w:sz w:val="18"/>
                <w:szCs w:val="18"/>
              </w:rPr>
              <w:t>能够</w:t>
            </w:r>
            <w:r>
              <w:rPr>
                <w:rFonts w:hint="eastAsia"/>
                <w:sz w:val="18"/>
                <w:szCs w:val="18"/>
              </w:rPr>
              <w:t>识别毕业设计过程中包括流程、文档、管理等应遵循的规范。</w:t>
            </w:r>
          </w:p>
        </w:tc>
        <w:tc>
          <w:tcPr>
            <w:tcW w:w="3124" w:type="pct"/>
          </w:tcPr>
          <w:p>
            <w:pPr>
              <w:spacing w:line="360" w:lineRule="auto"/>
              <w:rPr>
                <w:sz w:val="18"/>
                <w:szCs w:val="18"/>
              </w:rPr>
            </w:pPr>
            <w:r>
              <w:rPr>
                <w:rFonts w:hint="eastAsia"/>
                <w:b/>
                <w:sz w:val="18"/>
                <w:szCs w:val="18"/>
              </w:rPr>
              <w:t>指标点3-2 非技术因素：</w:t>
            </w:r>
            <w:r>
              <w:rPr>
                <w:rFonts w:hint="eastAsia"/>
                <w:sz w:val="18"/>
                <w:szCs w:val="18"/>
              </w:rPr>
              <w:t>设计方案的过程中，能够考虑并分析社会、健康、安全、法律、文化以及环境等因素的影响。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4</w:t>
            </w:r>
          </w:p>
        </w:tc>
        <w:tc>
          <w:tcPr>
            <w:tcW w:w="1509" w:type="pct"/>
          </w:tcPr>
          <w:p>
            <w:pPr>
              <w:spacing w:line="360" w:lineRule="auto"/>
              <w:rPr>
                <w:sz w:val="18"/>
                <w:szCs w:val="18"/>
              </w:rPr>
            </w:pPr>
            <w:r>
              <w:rPr>
                <w:rFonts w:hint="eastAsia"/>
                <w:sz w:val="18"/>
                <w:szCs w:val="18"/>
              </w:rPr>
              <w:t>通过典型案例的学习，能够分析和优化在毕业设计中体现低功耗</w:t>
            </w:r>
            <w:r>
              <w:rPr>
                <w:sz w:val="18"/>
                <w:szCs w:val="18"/>
              </w:rPr>
              <w:t>、</w:t>
            </w:r>
            <w:r>
              <w:rPr>
                <w:rFonts w:hint="eastAsia"/>
                <w:sz w:val="18"/>
                <w:szCs w:val="18"/>
              </w:rPr>
              <w:t>电磁辐射及相关行业标准的实现方案。</w:t>
            </w:r>
          </w:p>
        </w:tc>
        <w:tc>
          <w:tcPr>
            <w:tcW w:w="3124" w:type="pct"/>
          </w:tcPr>
          <w:p>
            <w:pPr>
              <w:spacing w:line="360" w:lineRule="auto"/>
              <w:rPr>
                <w:b/>
                <w:sz w:val="18"/>
                <w:szCs w:val="18"/>
              </w:rPr>
            </w:pPr>
            <w:r>
              <w:rPr>
                <w:rFonts w:hint="eastAsia"/>
                <w:b/>
                <w:sz w:val="18"/>
                <w:szCs w:val="18"/>
              </w:rPr>
              <w:t>指标点7-1 环境影响评价：</w:t>
            </w:r>
            <w:r>
              <w:rPr>
                <w:rFonts w:hint="eastAsia"/>
                <w:sz w:val="18"/>
                <w:szCs w:val="18"/>
              </w:rPr>
              <w:t>充分了解本专业工程实践所使用的原材料、工艺、生产过程对各类资源的消耗情况，能合理评价生产试验和产品运行过程中可能产生的功耗、噪声、辐射、废料对环境的影响。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5</w:t>
            </w:r>
          </w:p>
        </w:tc>
        <w:tc>
          <w:tcPr>
            <w:tcW w:w="1509" w:type="pct"/>
          </w:tcPr>
          <w:p>
            <w:pPr>
              <w:spacing w:line="360" w:lineRule="auto"/>
              <w:rPr>
                <w:sz w:val="18"/>
                <w:szCs w:val="18"/>
              </w:rPr>
            </w:pPr>
            <w:r>
              <w:rPr>
                <w:rFonts w:hint="eastAsia"/>
                <w:sz w:val="18"/>
                <w:szCs w:val="18"/>
              </w:rPr>
              <w:t>通过典型案例的学习，能够分析和优化在毕业设计开题及方案设计中实现环境友好的设计路线及方案。</w:t>
            </w:r>
          </w:p>
        </w:tc>
        <w:tc>
          <w:tcPr>
            <w:tcW w:w="3124" w:type="pct"/>
          </w:tcPr>
          <w:p>
            <w:pPr>
              <w:spacing w:line="360" w:lineRule="auto"/>
              <w:rPr>
                <w:b/>
                <w:sz w:val="18"/>
                <w:szCs w:val="18"/>
              </w:rPr>
            </w:pPr>
            <w:r>
              <w:rPr>
                <w:rFonts w:hint="eastAsia"/>
                <w:b/>
                <w:sz w:val="18"/>
                <w:szCs w:val="18"/>
              </w:rPr>
              <w:t>指标点7-2 环保设计与环保意识：</w:t>
            </w:r>
            <w:r>
              <w:rPr>
                <w:rFonts w:hint="eastAsia"/>
                <w:sz w:val="18"/>
                <w:szCs w:val="18"/>
              </w:rPr>
              <w:t>接受过相关的环保教育及环保案例教育，了解国家可持续发展的理念，在工程设计中体现保护环境、维持社会可持续发展的意识。</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r>
        <w:drawing>
          <wp:anchor distT="0" distB="0" distL="114300" distR="114300" simplePos="0" relativeHeight="251692032" behindDoc="0" locked="0" layoutInCell="1" allowOverlap="1">
            <wp:simplePos x="0" y="0"/>
            <wp:positionH relativeFrom="character">
              <wp:posOffset>4479290</wp:posOffset>
            </wp:positionH>
            <wp:positionV relativeFrom="line">
              <wp:posOffset>419735</wp:posOffset>
            </wp:positionV>
            <wp:extent cx="13970" cy="10795"/>
            <wp:effectExtent l="19050" t="19050" r="24130" b="27305"/>
            <wp:wrapNone/>
            <wp:docPr id="267" name="图片 267"/>
            <wp:cNvGraphicFramePr/>
            <a:graphic xmlns:a="http://schemas.openxmlformats.org/drawingml/2006/main">
              <a:graphicData uri="http://schemas.openxmlformats.org/drawingml/2006/picture">
                <pic:pic xmlns:pic="http://schemas.openxmlformats.org/drawingml/2006/picture">
                  <pic:nvPicPr>
                    <pic:cNvPr id="267" name="图片 267"/>
                    <pic:cNvPicPr preferRelativeResize="0">
                      <a:picLocks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13970" cy="10795"/>
                    </a:xfrm>
                    <a:prstGeom prst="rect">
                      <a:avLst/>
                    </a:prstGeom>
                    <a:solidFill>
                      <a:srgbClr val="FFFFFF"/>
                    </a:solidFill>
                    <a:ln w="9525">
                      <a:solidFill>
                        <a:srgbClr val="000000"/>
                      </a:solidFill>
                      <a:round/>
                    </a:ln>
                  </pic:spPr>
                </pic:pic>
              </a:graphicData>
            </a:graphic>
          </wp:anchor>
        </w:drawing>
      </w:r>
    </w:p>
    <w:p>
      <w:pPr>
        <w:adjustRightInd w:val="0"/>
        <w:snapToGrid w:val="0"/>
        <w:spacing w:line="360" w:lineRule="auto"/>
        <w:ind w:firstLine="420" w:firstLineChars="200"/>
        <w:rPr>
          <w:szCs w:val="21"/>
        </w:rPr>
      </w:pPr>
      <w:r>
        <w:rPr>
          <w:szCs w:val="21"/>
        </w:rPr>
        <w:t>1、本课程在毕业设计开始前安排。</w:t>
      </w:r>
    </w:p>
    <w:p>
      <w:pPr>
        <w:adjustRightInd w:val="0"/>
        <w:snapToGrid w:val="0"/>
        <w:spacing w:line="360" w:lineRule="auto"/>
        <w:ind w:firstLine="420" w:firstLineChars="200"/>
        <w:rPr>
          <w:szCs w:val="21"/>
        </w:rPr>
      </w:pPr>
      <w:r>
        <w:rPr>
          <w:szCs w:val="21"/>
        </w:rPr>
        <w:t>2、教师要多组织互动讨论，提高学生参与度，使学生了解如何做好毕业设计。</w:t>
      </w:r>
    </w:p>
    <w:p>
      <w:pPr>
        <w:spacing w:line="360" w:lineRule="auto"/>
        <w:ind w:firstLine="420" w:firstLineChars="200"/>
        <w:rPr>
          <w:szCs w:val="21"/>
        </w:rPr>
      </w:pPr>
      <w:r>
        <w:rPr>
          <w:rFonts w:hint="eastAsia"/>
          <w:szCs w:val="21"/>
        </w:rPr>
        <w:t>3、深度和广度说明：</w:t>
      </w:r>
      <w:r>
        <w:rPr>
          <w:szCs w:val="21"/>
        </w:rPr>
        <w:t>对毕业设计过程中涉及的工作内容要深入讲解，对于毕业设计所涉及的软硬件的基础工作只做简单介绍，对毕业设计如何安排、验证等尽可能做拓展讲解；毕业设计开题报告和说明书撰写要重点讲解。</w:t>
      </w:r>
    </w:p>
    <w:p>
      <w:pPr>
        <w:spacing w:line="360" w:lineRule="auto"/>
        <w:ind w:firstLine="420" w:firstLineChars="200"/>
        <w:rPr>
          <w:szCs w:val="21"/>
        </w:rPr>
      </w:pPr>
      <w:r>
        <w:rPr>
          <w:rFonts w:hint="eastAsia"/>
          <w:szCs w:val="21"/>
        </w:rPr>
        <w:t>4</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adjustRightInd w:val="0"/>
        <w:snapToGrid w:val="0"/>
        <w:spacing w:line="360" w:lineRule="auto"/>
        <w:ind w:firstLine="420" w:firstLineChars="200"/>
        <w:rPr>
          <w:szCs w:val="21"/>
        </w:rPr>
      </w:pPr>
      <w:r>
        <w:rPr>
          <w:szCs w:val="21"/>
        </w:rPr>
        <w:t>本课程重点讲授的内容包括：毕业设计的目的和意义、毕业设计过程及包含的文档及要做的工作、毕业设计选题以及任务书的构成、对于毕业设计题目进行总体设计，并学会运用先修课程中的基础理论对总体设计进行初步验证及毕业答辩组织等。</w:t>
      </w:r>
    </w:p>
    <w:p>
      <w:pPr>
        <w:widowControl/>
        <w:adjustRightInd w:val="0"/>
        <w:snapToGrid w:val="0"/>
        <w:spacing w:line="360" w:lineRule="auto"/>
        <w:ind w:firstLine="420" w:firstLineChars="200"/>
        <w:rPr>
          <w:rFonts w:eastAsia="黑体"/>
          <w:kern w:val="0"/>
          <w:szCs w:val="21"/>
        </w:rPr>
      </w:pPr>
      <w:r>
        <w:rPr>
          <w:rFonts w:eastAsia="黑体"/>
          <w:snapToGrid w:val="0"/>
          <w:kern w:val="0"/>
          <w:szCs w:val="21"/>
        </w:rPr>
        <w:t>1概述（2学时）</w:t>
      </w:r>
    </w:p>
    <w:p>
      <w:pPr>
        <w:widowControl/>
        <w:adjustRightInd w:val="0"/>
        <w:snapToGrid w:val="0"/>
        <w:spacing w:line="360" w:lineRule="auto"/>
        <w:ind w:firstLine="420" w:firstLineChars="200"/>
        <w:rPr>
          <w:snapToGrid w:val="0"/>
          <w:kern w:val="0"/>
          <w:szCs w:val="21"/>
        </w:rPr>
      </w:pPr>
      <w:r>
        <w:rPr>
          <w:snapToGrid w:val="0"/>
          <w:kern w:val="0"/>
          <w:szCs w:val="21"/>
        </w:rPr>
        <w:t>1.1、</w:t>
      </w:r>
      <w:r>
        <w:rPr>
          <w:rFonts w:hint="eastAsia"/>
          <w:snapToGrid w:val="0"/>
          <w:kern w:val="0"/>
          <w:szCs w:val="21"/>
        </w:rPr>
        <w:t>了解</w:t>
      </w:r>
      <w:r>
        <w:rPr>
          <w:snapToGrid w:val="0"/>
          <w:kern w:val="0"/>
          <w:szCs w:val="21"/>
        </w:rPr>
        <w:t>毕业设计的目的及意义；</w:t>
      </w:r>
    </w:p>
    <w:p>
      <w:pPr>
        <w:widowControl/>
        <w:adjustRightInd w:val="0"/>
        <w:snapToGrid w:val="0"/>
        <w:spacing w:line="360" w:lineRule="auto"/>
        <w:ind w:firstLine="420" w:firstLineChars="200"/>
        <w:rPr>
          <w:snapToGrid w:val="0"/>
          <w:kern w:val="0"/>
          <w:szCs w:val="21"/>
        </w:rPr>
      </w:pPr>
      <w:r>
        <w:rPr>
          <w:snapToGrid w:val="0"/>
          <w:kern w:val="0"/>
          <w:szCs w:val="21"/>
        </w:rPr>
        <w:t>1.2、</w:t>
      </w:r>
      <w:r>
        <w:rPr>
          <w:rFonts w:hint="eastAsia"/>
          <w:snapToGrid w:val="0"/>
          <w:kern w:val="0"/>
          <w:szCs w:val="21"/>
        </w:rPr>
        <w:t>了解</w:t>
      </w:r>
      <w:r>
        <w:rPr>
          <w:snapToGrid w:val="0"/>
          <w:kern w:val="0"/>
          <w:szCs w:val="21"/>
        </w:rPr>
        <w:t>毕业设计过程；</w:t>
      </w:r>
    </w:p>
    <w:p>
      <w:pPr>
        <w:widowControl/>
        <w:adjustRightInd w:val="0"/>
        <w:snapToGrid w:val="0"/>
        <w:spacing w:line="360" w:lineRule="auto"/>
        <w:ind w:firstLine="420" w:firstLineChars="200"/>
        <w:rPr>
          <w:snapToGrid w:val="0"/>
          <w:kern w:val="0"/>
          <w:szCs w:val="21"/>
        </w:rPr>
      </w:pPr>
      <w:r>
        <w:rPr>
          <w:snapToGrid w:val="0"/>
          <w:kern w:val="0"/>
          <w:szCs w:val="21"/>
        </w:rPr>
        <w:t>1.3、</w:t>
      </w:r>
      <w:r>
        <w:rPr>
          <w:rFonts w:hint="eastAsia"/>
          <w:snapToGrid w:val="0"/>
          <w:kern w:val="0"/>
          <w:szCs w:val="21"/>
        </w:rPr>
        <w:t>掌握</w:t>
      </w:r>
      <w:r>
        <w:rPr>
          <w:snapToGrid w:val="0"/>
          <w:kern w:val="0"/>
          <w:szCs w:val="21"/>
        </w:rPr>
        <w:t>毕业设计过程包含的文档及要做的工作。</w:t>
      </w:r>
    </w:p>
    <w:p>
      <w:pPr>
        <w:widowControl/>
        <w:adjustRightInd w:val="0"/>
        <w:snapToGrid w:val="0"/>
        <w:spacing w:line="360" w:lineRule="auto"/>
        <w:ind w:firstLine="420" w:firstLineChars="200"/>
        <w:rPr>
          <w:snapToGrid w:val="0"/>
          <w:kern w:val="0"/>
          <w:szCs w:val="21"/>
        </w:rPr>
      </w:pPr>
      <w:r>
        <w:rPr>
          <w:snapToGrid w:val="0"/>
          <w:kern w:val="0"/>
          <w:szCs w:val="21"/>
        </w:rPr>
        <w:t>重点：毕业设计中包含的文档。</w:t>
      </w:r>
    </w:p>
    <w:p>
      <w:pPr>
        <w:adjustRightInd w:val="0"/>
        <w:snapToGrid w:val="0"/>
        <w:spacing w:line="360" w:lineRule="auto"/>
        <w:ind w:firstLine="454"/>
        <w:rPr>
          <w:szCs w:val="21"/>
        </w:rPr>
      </w:pPr>
      <w:r>
        <w:rPr>
          <w:rFonts w:hint="eastAsia"/>
          <w:szCs w:val="21"/>
        </w:rPr>
        <w:t>本章内容支撑课程目标3</w:t>
      </w:r>
    </w:p>
    <w:p>
      <w:pPr>
        <w:widowControl/>
        <w:adjustRightInd w:val="0"/>
        <w:snapToGrid w:val="0"/>
        <w:spacing w:line="360" w:lineRule="auto"/>
        <w:ind w:firstLine="420" w:firstLineChars="200"/>
        <w:rPr>
          <w:rFonts w:eastAsia="黑体"/>
          <w:kern w:val="0"/>
          <w:szCs w:val="21"/>
        </w:rPr>
      </w:pPr>
      <w:r>
        <w:rPr>
          <w:rFonts w:eastAsia="黑体"/>
          <w:snapToGrid w:val="0"/>
          <w:kern w:val="0"/>
          <w:szCs w:val="21"/>
        </w:rPr>
        <w:t>2 </w:t>
      </w:r>
      <w:r>
        <w:rPr>
          <w:rFonts w:eastAsia="黑体"/>
          <w:bCs/>
          <w:snapToGrid w:val="0"/>
          <w:kern w:val="0"/>
          <w:szCs w:val="21"/>
        </w:rPr>
        <w:t>选题及任务书</w:t>
      </w:r>
      <w:r>
        <w:rPr>
          <w:rFonts w:eastAsia="黑体"/>
          <w:snapToGrid w:val="0"/>
          <w:kern w:val="0"/>
          <w:szCs w:val="21"/>
        </w:rPr>
        <w:t>（2学时）</w:t>
      </w:r>
    </w:p>
    <w:p>
      <w:pPr>
        <w:widowControl/>
        <w:adjustRightInd w:val="0"/>
        <w:snapToGrid w:val="0"/>
        <w:spacing w:line="360" w:lineRule="auto"/>
        <w:ind w:firstLine="420" w:firstLineChars="200"/>
        <w:rPr>
          <w:snapToGrid w:val="0"/>
          <w:kern w:val="0"/>
          <w:szCs w:val="21"/>
        </w:rPr>
      </w:pPr>
      <w:r>
        <w:rPr>
          <w:snapToGrid w:val="0"/>
          <w:kern w:val="0"/>
          <w:szCs w:val="21"/>
        </w:rPr>
        <w:t>2.1、</w:t>
      </w:r>
      <w:r>
        <w:rPr>
          <w:rFonts w:hint="eastAsia"/>
          <w:snapToGrid w:val="0"/>
          <w:kern w:val="0"/>
          <w:szCs w:val="21"/>
        </w:rPr>
        <w:t>了解</w:t>
      </w:r>
      <w:r>
        <w:rPr>
          <w:snapToGrid w:val="0"/>
          <w:kern w:val="0"/>
          <w:szCs w:val="21"/>
        </w:rPr>
        <w:t>选题的内涵，选题原则；</w:t>
      </w:r>
    </w:p>
    <w:p>
      <w:pPr>
        <w:widowControl/>
        <w:adjustRightInd w:val="0"/>
        <w:snapToGrid w:val="0"/>
        <w:spacing w:line="360" w:lineRule="auto"/>
        <w:ind w:firstLine="420" w:firstLineChars="200"/>
        <w:rPr>
          <w:snapToGrid w:val="0"/>
          <w:kern w:val="0"/>
          <w:szCs w:val="21"/>
        </w:rPr>
      </w:pPr>
      <w:r>
        <w:rPr>
          <w:snapToGrid w:val="0"/>
          <w:kern w:val="0"/>
          <w:szCs w:val="21"/>
        </w:rPr>
        <w:t>2.2、</w:t>
      </w:r>
      <w:r>
        <w:rPr>
          <w:rFonts w:hint="eastAsia"/>
          <w:snapToGrid w:val="0"/>
          <w:kern w:val="0"/>
          <w:szCs w:val="21"/>
        </w:rPr>
        <w:t>掌握</w:t>
      </w:r>
      <w:r>
        <w:rPr>
          <w:snapToGrid w:val="0"/>
          <w:kern w:val="0"/>
          <w:szCs w:val="21"/>
        </w:rPr>
        <w:t>沟通内容，</w:t>
      </w:r>
      <w:r>
        <w:rPr>
          <w:rFonts w:hint="eastAsia"/>
          <w:snapToGrid w:val="0"/>
          <w:kern w:val="0"/>
          <w:szCs w:val="21"/>
        </w:rPr>
        <w:t>分析</w:t>
      </w:r>
      <w:r>
        <w:rPr>
          <w:snapToGrid w:val="0"/>
          <w:kern w:val="0"/>
          <w:szCs w:val="21"/>
        </w:rPr>
        <w:t>设计题目合理性；</w:t>
      </w:r>
    </w:p>
    <w:p>
      <w:pPr>
        <w:widowControl/>
        <w:adjustRightInd w:val="0"/>
        <w:snapToGrid w:val="0"/>
        <w:spacing w:line="360" w:lineRule="auto"/>
        <w:ind w:firstLine="420" w:firstLineChars="200"/>
        <w:rPr>
          <w:snapToGrid w:val="0"/>
          <w:kern w:val="0"/>
          <w:szCs w:val="21"/>
        </w:rPr>
      </w:pPr>
      <w:r>
        <w:rPr>
          <w:snapToGrid w:val="0"/>
          <w:kern w:val="0"/>
          <w:szCs w:val="21"/>
        </w:rPr>
        <w:t>2.3、</w:t>
      </w:r>
      <w:r>
        <w:rPr>
          <w:rFonts w:hint="eastAsia"/>
          <w:snapToGrid w:val="0"/>
          <w:kern w:val="0"/>
          <w:szCs w:val="21"/>
        </w:rPr>
        <w:t>掌握</w:t>
      </w:r>
      <w:r>
        <w:rPr>
          <w:snapToGrid w:val="0"/>
          <w:kern w:val="0"/>
          <w:szCs w:val="21"/>
        </w:rPr>
        <w:t>任务书构成。</w:t>
      </w:r>
    </w:p>
    <w:p>
      <w:pPr>
        <w:widowControl/>
        <w:adjustRightInd w:val="0"/>
        <w:snapToGrid w:val="0"/>
        <w:spacing w:line="360" w:lineRule="auto"/>
        <w:ind w:firstLine="420" w:firstLineChars="200"/>
        <w:rPr>
          <w:snapToGrid w:val="0"/>
          <w:kern w:val="0"/>
          <w:szCs w:val="21"/>
        </w:rPr>
      </w:pPr>
      <w:r>
        <w:rPr>
          <w:snapToGrid w:val="0"/>
          <w:kern w:val="0"/>
          <w:szCs w:val="21"/>
        </w:rPr>
        <w:t>重点：明确选题合理性</w:t>
      </w:r>
    </w:p>
    <w:p>
      <w:pPr>
        <w:adjustRightInd w:val="0"/>
        <w:snapToGrid w:val="0"/>
        <w:spacing w:line="360" w:lineRule="auto"/>
        <w:ind w:firstLine="454"/>
        <w:rPr>
          <w:szCs w:val="21"/>
        </w:rPr>
      </w:pPr>
      <w:r>
        <w:rPr>
          <w:rFonts w:hint="eastAsia"/>
          <w:szCs w:val="21"/>
        </w:rPr>
        <w:t>本章内容支撑课程目标1</w:t>
      </w:r>
    </w:p>
    <w:p>
      <w:pPr>
        <w:widowControl/>
        <w:adjustRightInd w:val="0"/>
        <w:snapToGrid w:val="0"/>
        <w:spacing w:line="360" w:lineRule="auto"/>
        <w:ind w:firstLine="420" w:firstLineChars="200"/>
        <w:rPr>
          <w:rFonts w:eastAsia="黑体"/>
          <w:bCs/>
          <w:snapToGrid w:val="0"/>
          <w:kern w:val="0"/>
          <w:szCs w:val="21"/>
        </w:rPr>
      </w:pPr>
      <w:r>
        <w:rPr>
          <w:rFonts w:eastAsia="黑体"/>
          <w:bCs/>
          <w:snapToGrid w:val="0"/>
          <w:kern w:val="0"/>
          <w:szCs w:val="21"/>
        </w:rPr>
        <w:t>3毕业设计开题</w:t>
      </w:r>
      <w:r>
        <w:rPr>
          <w:rFonts w:eastAsia="黑体"/>
          <w:snapToGrid w:val="0"/>
          <w:kern w:val="0"/>
          <w:szCs w:val="21"/>
        </w:rPr>
        <w:t>（2学时）</w:t>
      </w:r>
    </w:p>
    <w:p>
      <w:pPr>
        <w:adjustRightInd w:val="0"/>
        <w:snapToGrid w:val="0"/>
        <w:spacing w:line="360" w:lineRule="auto"/>
        <w:ind w:firstLine="420" w:firstLineChars="200"/>
      </w:pPr>
      <w:r>
        <w:t>3.1、</w:t>
      </w:r>
      <w:r>
        <w:rPr>
          <w:rFonts w:hint="eastAsia"/>
        </w:rPr>
        <w:t>掌握</w:t>
      </w:r>
      <w:r>
        <w:t>撰写开题依据原则、方法；</w:t>
      </w:r>
    </w:p>
    <w:p>
      <w:pPr>
        <w:adjustRightInd w:val="0"/>
        <w:snapToGrid w:val="0"/>
        <w:spacing w:line="360" w:lineRule="auto"/>
        <w:ind w:firstLine="420" w:firstLineChars="200"/>
      </w:pPr>
      <w:r>
        <w:t>3.2、</w:t>
      </w:r>
      <w:r>
        <w:rPr>
          <w:rFonts w:hint="eastAsia"/>
        </w:rPr>
        <w:t>掌握</w:t>
      </w:r>
      <w:r>
        <w:t>设计方案编制应包含的内容；</w:t>
      </w:r>
    </w:p>
    <w:p>
      <w:pPr>
        <w:adjustRightInd w:val="0"/>
        <w:snapToGrid w:val="0"/>
        <w:spacing w:line="360" w:lineRule="auto"/>
        <w:ind w:firstLine="420" w:firstLineChars="200"/>
        <w:rPr>
          <w:snapToGrid w:val="0"/>
          <w:kern w:val="0"/>
          <w:szCs w:val="21"/>
        </w:rPr>
      </w:pPr>
      <w:r>
        <w:t>3.3、</w:t>
      </w:r>
      <w:r>
        <w:rPr>
          <w:rFonts w:hint="eastAsia"/>
        </w:rPr>
        <w:t>掌握</w:t>
      </w:r>
      <w:r>
        <w:t>关键实验、仿真等工作的开展目的和设计方法</w:t>
      </w:r>
      <w:r>
        <w:rPr>
          <w:snapToGrid w:val="0"/>
          <w:kern w:val="0"/>
          <w:szCs w:val="21"/>
        </w:rPr>
        <w:t>；</w:t>
      </w:r>
    </w:p>
    <w:p>
      <w:pPr>
        <w:adjustRightInd w:val="0"/>
        <w:snapToGrid w:val="0"/>
        <w:spacing w:line="360" w:lineRule="auto"/>
        <w:ind w:firstLine="420" w:firstLineChars="200"/>
        <w:rPr>
          <w:snapToGrid w:val="0"/>
          <w:kern w:val="0"/>
          <w:szCs w:val="21"/>
        </w:rPr>
      </w:pPr>
      <w:r>
        <w:rPr>
          <w:snapToGrid w:val="0"/>
          <w:kern w:val="0"/>
          <w:szCs w:val="21"/>
        </w:rPr>
        <w:t>3.4、</w:t>
      </w:r>
      <w:r>
        <w:rPr>
          <w:rFonts w:hint="eastAsia"/>
          <w:snapToGrid w:val="0"/>
          <w:kern w:val="0"/>
          <w:szCs w:val="21"/>
        </w:rPr>
        <w:t>掌握电路或系统在低功耗设计、电磁兼容设计及相关设计标准的实现方法。</w:t>
      </w:r>
    </w:p>
    <w:p>
      <w:pPr>
        <w:adjustRightInd w:val="0"/>
        <w:snapToGrid w:val="0"/>
        <w:spacing w:line="360" w:lineRule="auto"/>
        <w:ind w:firstLine="420" w:firstLineChars="200"/>
        <w:rPr>
          <w:snapToGrid w:val="0"/>
          <w:kern w:val="0"/>
          <w:szCs w:val="21"/>
        </w:rPr>
      </w:pPr>
      <w:r>
        <w:rPr>
          <w:snapToGrid w:val="0"/>
          <w:kern w:val="0"/>
          <w:szCs w:val="21"/>
        </w:rPr>
        <w:t>重点：设计方案编制方法</w:t>
      </w:r>
    </w:p>
    <w:p>
      <w:pPr>
        <w:adjustRightInd w:val="0"/>
        <w:snapToGrid w:val="0"/>
        <w:spacing w:line="360" w:lineRule="auto"/>
        <w:ind w:firstLine="420" w:firstLineChars="200"/>
        <w:rPr>
          <w:snapToGrid w:val="0"/>
          <w:kern w:val="0"/>
          <w:szCs w:val="21"/>
        </w:rPr>
      </w:pPr>
      <w:r>
        <w:rPr>
          <w:snapToGrid w:val="0"/>
          <w:kern w:val="0"/>
          <w:szCs w:val="21"/>
        </w:rPr>
        <w:t>难点：设计方案中技术途径</w:t>
      </w:r>
    </w:p>
    <w:p>
      <w:pPr>
        <w:adjustRightInd w:val="0"/>
        <w:snapToGrid w:val="0"/>
        <w:spacing w:line="360" w:lineRule="auto"/>
        <w:ind w:firstLine="454"/>
        <w:rPr>
          <w:szCs w:val="21"/>
        </w:rPr>
      </w:pPr>
      <w:r>
        <w:rPr>
          <w:rFonts w:hint="eastAsia"/>
          <w:szCs w:val="21"/>
        </w:rPr>
        <w:t>本章内容支撑课程目标2、4</w:t>
      </w:r>
    </w:p>
    <w:p>
      <w:pPr>
        <w:tabs>
          <w:tab w:val="left" w:pos="1260"/>
        </w:tabs>
        <w:adjustRightInd w:val="0"/>
        <w:snapToGrid w:val="0"/>
        <w:spacing w:line="360" w:lineRule="auto"/>
        <w:ind w:firstLine="420" w:firstLineChars="200"/>
      </w:pPr>
      <w:r>
        <w:rPr>
          <w:rFonts w:eastAsia="黑体"/>
        </w:rPr>
        <w:t>4</w:t>
      </w:r>
      <w:r>
        <w:rPr>
          <w:rFonts w:eastAsia="黑体"/>
          <w:snapToGrid w:val="0"/>
          <w:kern w:val="0"/>
          <w:szCs w:val="21"/>
        </w:rPr>
        <w:t>毕业设计及说明书撰写、答辩（2学时）</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4.1、</w:t>
      </w:r>
      <w:r>
        <w:rPr>
          <w:rFonts w:hint="eastAsia"/>
          <w:bCs/>
          <w:snapToGrid w:val="0"/>
          <w:kern w:val="0"/>
          <w:szCs w:val="21"/>
        </w:rPr>
        <w:t>了解</w:t>
      </w:r>
      <w:r>
        <w:rPr>
          <w:bCs/>
          <w:snapToGrid w:val="0"/>
          <w:kern w:val="0"/>
          <w:szCs w:val="21"/>
        </w:rPr>
        <w:t>设计</w:t>
      </w:r>
      <w:r>
        <w:rPr>
          <w:snapToGrid w:val="0"/>
          <w:kern w:val="0"/>
          <w:szCs w:val="21"/>
        </w:rPr>
        <w:t>工作安排</w:t>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4.2、</w:t>
      </w:r>
      <w:r>
        <w:rPr>
          <w:rFonts w:hint="eastAsia"/>
          <w:bCs/>
          <w:snapToGrid w:val="0"/>
          <w:kern w:val="0"/>
          <w:szCs w:val="21"/>
        </w:rPr>
        <w:t>掌握毕业设计中电路或系统对环境的影响；</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4.3、</w:t>
      </w:r>
      <w:r>
        <w:rPr>
          <w:rFonts w:hint="eastAsia"/>
          <w:bCs/>
          <w:snapToGrid w:val="0"/>
          <w:kern w:val="0"/>
          <w:szCs w:val="21"/>
        </w:rPr>
        <w:t>掌握</w:t>
      </w:r>
      <w:r>
        <w:rPr>
          <w:bCs/>
          <w:snapToGrid w:val="0"/>
          <w:kern w:val="0"/>
          <w:szCs w:val="21"/>
        </w:rPr>
        <w:t>毕业设计说明书构成及撰写原则；</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4.4、</w:t>
      </w:r>
      <w:r>
        <w:rPr>
          <w:rFonts w:hint="eastAsia"/>
          <w:bCs/>
          <w:snapToGrid w:val="0"/>
          <w:kern w:val="0"/>
          <w:szCs w:val="21"/>
        </w:rPr>
        <w:t>了解</w:t>
      </w:r>
      <w:r>
        <w:rPr>
          <w:bCs/>
          <w:snapToGrid w:val="0"/>
          <w:kern w:val="0"/>
          <w:szCs w:val="21"/>
        </w:rPr>
        <w:t>毕业答辩材料的组织及答辩规则。</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重点：设计说明书内容及答辩</w:t>
      </w:r>
    </w:p>
    <w:p>
      <w:pPr>
        <w:adjustRightInd w:val="0"/>
        <w:snapToGrid w:val="0"/>
        <w:spacing w:line="360" w:lineRule="auto"/>
        <w:ind w:firstLine="454"/>
        <w:rPr>
          <w:szCs w:val="21"/>
        </w:rPr>
      </w:pPr>
      <w:r>
        <w:rPr>
          <w:rFonts w:hint="eastAsia"/>
          <w:szCs w:val="21"/>
        </w:rPr>
        <w:t>本章内容支撑课程目标3、5</w:t>
      </w: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spacing w:line="360" w:lineRule="auto"/>
        <w:ind w:firstLine="435"/>
        <w:rPr>
          <w:szCs w:val="21"/>
        </w:rPr>
      </w:pPr>
      <w:r>
        <w:rPr>
          <w:rFonts w:hint="eastAsia"/>
          <w:szCs w:val="21"/>
        </w:rPr>
        <w:t>无。</w:t>
      </w:r>
    </w:p>
    <w:p>
      <w:pPr>
        <w:spacing w:line="360" w:lineRule="auto"/>
        <w:ind w:firstLine="435"/>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161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讲授的知识点及内容</w:t>
            </w:r>
          </w:p>
        </w:tc>
        <w:tc>
          <w:tcPr>
            <w:tcW w:w="972" w:type="pct"/>
            <w:shd w:val="clear" w:color="auto" w:fill="auto"/>
            <w:vAlign w:val="center"/>
          </w:tcPr>
          <w:p>
            <w:pPr>
              <w:adjustRightInd w:val="0"/>
              <w:snapToGrid w:val="0"/>
              <w:jc w:val="center"/>
              <w:rPr>
                <w:sz w:val="18"/>
                <w:szCs w:val="18"/>
              </w:rPr>
            </w:pPr>
            <w:r>
              <w:rPr>
                <w:sz w:val="18"/>
                <w:szCs w:val="18"/>
              </w:rPr>
              <w:t>讲授（学时）</w:t>
            </w:r>
          </w:p>
        </w:tc>
        <w:tc>
          <w:tcPr>
            <w:tcW w:w="983" w:type="pct"/>
            <w:shd w:val="clear" w:color="auto" w:fill="auto"/>
            <w:vAlign w:val="center"/>
          </w:tcPr>
          <w:p>
            <w:pPr>
              <w:adjustRightInd w:val="0"/>
              <w:snapToGrid w:val="0"/>
              <w:jc w:val="center"/>
              <w:rPr>
                <w:sz w:val="18"/>
                <w:szCs w:val="18"/>
              </w:rPr>
            </w:pPr>
            <w:r>
              <w:rPr>
                <w:sz w:val="18"/>
                <w:szCs w:val="18"/>
              </w:rPr>
              <w:t>实验（学时）</w:t>
            </w:r>
          </w:p>
        </w:tc>
        <w:tc>
          <w:tcPr>
            <w:tcW w:w="804"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1概述</w:t>
            </w:r>
          </w:p>
        </w:tc>
        <w:tc>
          <w:tcPr>
            <w:tcW w:w="972" w:type="pct"/>
            <w:shd w:val="clear" w:color="auto" w:fill="auto"/>
            <w:vAlign w:val="center"/>
          </w:tcPr>
          <w:p>
            <w:pPr>
              <w:adjustRightInd w:val="0"/>
              <w:snapToGrid w:val="0"/>
              <w:jc w:val="center"/>
              <w:rPr>
                <w:sz w:val="18"/>
                <w:szCs w:val="18"/>
              </w:rPr>
            </w:pPr>
            <w:r>
              <w:rPr>
                <w:sz w:val="18"/>
                <w:szCs w:val="18"/>
              </w:rPr>
              <w:t>2</w:t>
            </w:r>
          </w:p>
        </w:tc>
        <w:tc>
          <w:tcPr>
            <w:tcW w:w="983" w:type="pct"/>
            <w:shd w:val="clear" w:color="auto" w:fill="auto"/>
            <w:vAlign w:val="center"/>
          </w:tcPr>
          <w:p>
            <w:pPr>
              <w:adjustRightInd w:val="0"/>
              <w:snapToGrid w:val="0"/>
              <w:jc w:val="center"/>
              <w:rPr>
                <w:sz w:val="18"/>
                <w:szCs w:val="18"/>
              </w:rPr>
            </w:pPr>
            <w:r>
              <w:rPr>
                <w:sz w:val="18"/>
                <w:szCs w:val="18"/>
              </w:rPr>
              <w:t>0</w:t>
            </w:r>
          </w:p>
        </w:tc>
        <w:tc>
          <w:tcPr>
            <w:tcW w:w="804"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2选题及任务书</w:t>
            </w:r>
          </w:p>
        </w:tc>
        <w:tc>
          <w:tcPr>
            <w:tcW w:w="972" w:type="pct"/>
            <w:shd w:val="clear" w:color="auto" w:fill="auto"/>
            <w:vAlign w:val="center"/>
          </w:tcPr>
          <w:p>
            <w:pPr>
              <w:adjustRightInd w:val="0"/>
              <w:snapToGrid w:val="0"/>
              <w:jc w:val="center"/>
              <w:rPr>
                <w:sz w:val="18"/>
                <w:szCs w:val="18"/>
              </w:rPr>
            </w:pPr>
            <w:r>
              <w:rPr>
                <w:sz w:val="18"/>
                <w:szCs w:val="18"/>
              </w:rPr>
              <w:t>2</w:t>
            </w:r>
          </w:p>
        </w:tc>
        <w:tc>
          <w:tcPr>
            <w:tcW w:w="983" w:type="pct"/>
            <w:shd w:val="clear" w:color="auto" w:fill="auto"/>
            <w:vAlign w:val="center"/>
          </w:tcPr>
          <w:p>
            <w:pPr>
              <w:adjustRightInd w:val="0"/>
              <w:snapToGrid w:val="0"/>
              <w:jc w:val="center"/>
              <w:rPr>
                <w:sz w:val="18"/>
                <w:szCs w:val="18"/>
              </w:rPr>
            </w:pPr>
            <w:r>
              <w:rPr>
                <w:rFonts w:hint="eastAsia"/>
                <w:sz w:val="18"/>
                <w:szCs w:val="18"/>
              </w:rPr>
              <w:t>0</w:t>
            </w:r>
          </w:p>
        </w:tc>
        <w:tc>
          <w:tcPr>
            <w:tcW w:w="804"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3毕业设计开题</w:t>
            </w:r>
          </w:p>
        </w:tc>
        <w:tc>
          <w:tcPr>
            <w:tcW w:w="972" w:type="pct"/>
            <w:shd w:val="clear" w:color="auto" w:fill="auto"/>
            <w:vAlign w:val="center"/>
          </w:tcPr>
          <w:p>
            <w:pPr>
              <w:adjustRightInd w:val="0"/>
              <w:snapToGrid w:val="0"/>
              <w:jc w:val="center"/>
              <w:rPr>
                <w:sz w:val="18"/>
                <w:szCs w:val="18"/>
              </w:rPr>
            </w:pPr>
            <w:r>
              <w:rPr>
                <w:sz w:val="18"/>
                <w:szCs w:val="18"/>
              </w:rPr>
              <w:t>2</w:t>
            </w:r>
          </w:p>
        </w:tc>
        <w:tc>
          <w:tcPr>
            <w:tcW w:w="983" w:type="pct"/>
            <w:shd w:val="clear" w:color="auto" w:fill="auto"/>
            <w:vAlign w:val="center"/>
          </w:tcPr>
          <w:p>
            <w:pPr>
              <w:adjustRightInd w:val="0"/>
              <w:snapToGrid w:val="0"/>
              <w:jc w:val="center"/>
              <w:rPr>
                <w:sz w:val="18"/>
                <w:szCs w:val="18"/>
              </w:rPr>
            </w:pPr>
            <w:r>
              <w:rPr>
                <w:rFonts w:hint="eastAsia"/>
                <w:sz w:val="18"/>
                <w:szCs w:val="18"/>
              </w:rPr>
              <w:t>0</w:t>
            </w:r>
          </w:p>
        </w:tc>
        <w:tc>
          <w:tcPr>
            <w:tcW w:w="804"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4毕业设计及说明书撰写、答辩</w:t>
            </w:r>
          </w:p>
        </w:tc>
        <w:tc>
          <w:tcPr>
            <w:tcW w:w="972" w:type="pct"/>
            <w:shd w:val="clear" w:color="auto" w:fill="auto"/>
            <w:vAlign w:val="center"/>
          </w:tcPr>
          <w:p>
            <w:pPr>
              <w:adjustRightInd w:val="0"/>
              <w:snapToGrid w:val="0"/>
              <w:jc w:val="center"/>
              <w:rPr>
                <w:sz w:val="18"/>
                <w:szCs w:val="18"/>
              </w:rPr>
            </w:pPr>
            <w:r>
              <w:rPr>
                <w:sz w:val="18"/>
                <w:szCs w:val="18"/>
              </w:rPr>
              <w:t>2</w:t>
            </w:r>
          </w:p>
        </w:tc>
        <w:tc>
          <w:tcPr>
            <w:tcW w:w="983" w:type="pct"/>
            <w:shd w:val="clear" w:color="auto" w:fill="auto"/>
            <w:vAlign w:val="center"/>
          </w:tcPr>
          <w:p>
            <w:pPr>
              <w:adjustRightInd w:val="0"/>
              <w:snapToGrid w:val="0"/>
              <w:jc w:val="center"/>
              <w:rPr>
                <w:sz w:val="18"/>
                <w:szCs w:val="18"/>
              </w:rPr>
            </w:pPr>
            <w:r>
              <w:rPr>
                <w:sz w:val="18"/>
                <w:szCs w:val="18"/>
              </w:rPr>
              <w:t>0</w:t>
            </w:r>
          </w:p>
        </w:tc>
        <w:tc>
          <w:tcPr>
            <w:tcW w:w="804" w:type="pct"/>
            <w:shd w:val="clear" w:color="auto" w:fill="auto"/>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rFonts w:hint="eastAsia"/>
                <w:sz w:val="18"/>
                <w:szCs w:val="18"/>
              </w:rPr>
              <w:t>合计：</w:t>
            </w:r>
          </w:p>
        </w:tc>
        <w:tc>
          <w:tcPr>
            <w:tcW w:w="972" w:type="pct"/>
            <w:shd w:val="clear" w:color="auto" w:fill="auto"/>
            <w:vAlign w:val="center"/>
          </w:tcPr>
          <w:p>
            <w:pPr>
              <w:adjustRightInd w:val="0"/>
              <w:snapToGrid w:val="0"/>
              <w:jc w:val="center"/>
              <w:rPr>
                <w:sz w:val="18"/>
                <w:szCs w:val="18"/>
              </w:rPr>
            </w:pPr>
            <w:r>
              <w:rPr>
                <w:sz w:val="18"/>
                <w:szCs w:val="18"/>
              </w:rPr>
              <w:t>8</w:t>
            </w:r>
          </w:p>
        </w:tc>
        <w:tc>
          <w:tcPr>
            <w:tcW w:w="983" w:type="pct"/>
            <w:shd w:val="clear" w:color="auto" w:fill="auto"/>
            <w:vAlign w:val="center"/>
          </w:tcPr>
          <w:p>
            <w:pPr>
              <w:adjustRightInd w:val="0"/>
              <w:snapToGrid w:val="0"/>
              <w:jc w:val="center"/>
              <w:rPr>
                <w:sz w:val="18"/>
                <w:szCs w:val="18"/>
              </w:rPr>
            </w:pPr>
            <w:r>
              <w:rPr>
                <w:rFonts w:hint="eastAsia"/>
                <w:sz w:val="18"/>
                <w:szCs w:val="18"/>
              </w:rPr>
              <w:t>0</w:t>
            </w:r>
          </w:p>
        </w:tc>
        <w:tc>
          <w:tcPr>
            <w:tcW w:w="804" w:type="pct"/>
            <w:shd w:val="clear" w:color="auto" w:fill="auto"/>
            <w:vAlign w:val="center"/>
          </w:tcPr>
          <w:p>
            <w:pPr>
              <w:adjustRightInd w:val="0"/>
              <w:snapToGrid w:val="0"/>
              <w:jc w:val="center"/>
              <w:rPr>
                <w:sz w:val="18"/>
                <w:szCs w:val="18"/>
              </w:rPr>
            </w:pPr>
            <w:r>
              <w:rPr>
                <w:sz w:val="18"/>
                <w:szCs w:val="18"/>
              </w:rPr>
              <w:t>8</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1、郑霞忠，黄正伟，《科技论文写作与文献检索》，ISBN978-7-3-7-10025-1，武汉大学出版社 2012.09。</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2、怎样做文献综述六步走向成功</w:t>
      </w:r>
      <w:r>
        <w:fldChar w:fldCharType="begin"/>
      </w:r>
      <w:r>
        <w:instrText xml:space="preserve"> HYPERLINK "http://vdisk.weibo.com/s/ualzvM5m6bHqn" </w:instrText>
      </w:r>
      <w:r>
        <w:fldChar w:fldCharType="separate"/>
      </w:r>
      <w:r>
        <w:rPr>
          <w:bCs/>
          <w:snapToGrid w:val="0"/>
          <w:kern w:val="0"/>
          <w:szCs w:val="21"/>
        </w:rPr>
        <w:t>http://vdisk.weibo.com/s/ualzvM5m6bHqn</w:t>
      </w:r>
      <w:r>
        <w:rPr>
          <w:bCs/>
          <w:snapToGrid w:val="0"/>
          <w:kern w:val="0"/>
          <w:szCs w:val="21"/>
        </w:rPr>
        <w:fldChar w:fldCharType="end"/>
      </w:r>
      <w:r>
        <w:rPr>
          <w:bCs/>
          <w:snapToGrid w:val="0"/>
          <w:kern w:val="0"/>
          <w:szCs w:val="21"/>
        </w:rPr>
        <w:t>。</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3、华莹，董婷，《高校学校毕业设计（论文）指导教程电气工程类专业》，ISBN978-7-5170-3083-6 ，中国水利水电出版社 2015.05。</w:t>
      </w:r>
    </w:p>
    <w:p>
      <w:pPr>
        <w:widowControl/>
        <w:tabs>
          <w:tab w:val="left" w:pos="900"/>
        </w:tabs>
        <w:adjustRightInd w:val="0"/>
        <w:snapToGrid w:val="0"/>
        <w:spacing w:line="360" w:lineRule="auto"/>
        <w:ind w:firstLine="420" w:firstLineChars="200"/>
        <w:rPr>
          <w:bCs/>
          <w:snapToGrid w:val="0"/>
          <w:kern w:val="0"/>
          <w:szCs w:val="21"/>
        </w:rPr>
      </w:pPr>
      <w:r>
        <w:rPr>
          <w:bCs/>
          <w:snapToGrid w:val="0"/>
          <w:kern w:val="0"/>
          <w:szCs w:val="21"/>
        </w:rPr>
        <w:t>4、董锦凤，《毕业设计指导电类》，ISBN7-5606-1480-9，西安电子科技大学出版社 2005.02。</w:t>
      </w:r>
    </w:p>
    <w:p>
      <w:pPr>
        <w:widowControl/>
        <w:tabs>
          <w:tab w:val="left" w:pos="900"/>
        </w:tabs>
        <w:adjustRightInd w:val="0"/>
        <w:snapToGrid w:val="0"/>
        <w:spacing w:line="360" w:lineRule="auto"/>
        <w:ind w:firstLine="420" w:firstLineChars="200"/>
        <w:rPr>
          <w:bCs/>
          <w:snapToGrid w:val="0"/>
          <w:kern w:val="0"/>
          <w:szCs w:val="21"/>
        </w:rPr>
      </w:pPr>
      <w:r>
        <w:rPr>
          <w:rFonts w:hint="eastAsia" w:eastAsia="黑体"/>
          <w:szCs w:val="24"/>
        </w:rPr>
        <w:t>5、</w:t>
      </w:r>
      <w:r>
        <w:rPr>
          <w:rFonts w:hint="eastAsia"/>
          <w:bCs/>
          <w:snapToGrid w:val="0"/>
          <w:kern w:val="0"/>
          <w:szCs w:val="21"/>
        </w:rPr>
        <w:t>吴振谦《工科学生如何做毕业设计》资料链接：</w:t>
      </w:r>
    </w:p>
    <w:p>
      <w:pPr>
        <w:widowControl/>
        <w:tabs>
          <w:tab w:val="left" w:pos="900"/>
        </w:tabs>
        <w:adjustRightInd w:val="0"/>
        <w:snapToGrid w:val="0"/>
        <w:spacing w:line="360" w:lineRule="auto"/>
        <w:ind w:firstLine="420" w:firstLineChars="200"/>
        <w:rPr>
          <w:rFonts w:eastAsia="黑体"/>
          <w:szCs w:val="24"/>
        </w:rPr>
      </w:pPr>
      <w:r>
        <w:rPr>
          <w:bCs/>
          <w:snapToGrid w:val="0"/>
          <w:kern w:val="0"/>
          <w:szCs w:val="21"/>
        </w:rPr>
        <w:t>https://video.tudou.com/v/XMTM4Njk3MzE5Ng==.html?spm=a2hzp.8253876.0.0&amp;f=26244724</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w:t>
      </w:r>
      <w:r>
        <w:rPr>
          <w:bCs/>
          <w:snapToGrid w:val="0"/>
          <w:kern w:val="0"/>
          <w:szCs w:val="21"/>
        </w:rPr>
        <w:t>学生对毕业设计规范、过程、开题报告撰写、设计说明书撰写及毕业答辩组织的认识及相关工作开展方法的掌握情况。</w:t>
      </w:r>
    </w:p>
    <w:p>
      <w:pPr>
        <w:spacing w:line="360" w:lineRule="auto"/>
        <w:ind w:firstLine="420" w:firstLineChars="200"/>
        <w:rPr>
          <w:szCs w:val="21"/>
        </w:rPr>
      </w:pPr>
      <w:r>
        <w:rPr>
          <w:szCs w:val="21"/>
        </w:rPr>
        <w:t>2</w:t>
      </w:r>
      <w:r>
        <w:rPr>
          <w:rFonts w:hint="eastAsia"/>
          <w:szCs w:val="21"/>
        </w:rPr>
        <w:t>、考核方式：</w:t>
      </w:r>
      <w:r>
        <w:rPr>
          <w:rFonts w:hint="eastAsia"/>
          <w:bCs/>
          <w:snapToGrid w:val="0"/>
          <w:kern w:val="0"/>
          <w:szCs w:val="21"/>
        </w:rPr>
        <w:t>作业</w:t>
      </w:r>
      <w:r>
        <w:rPr>
          <w:bCs/>
          <w:snapToGrid w:val="0"/>
          <w:kern w:val="0"/>
          <w:szCs w:val="21"/>
        </w:rPr>
        <w:t>、报告。</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400"/>
        <w:gridCol w:w="3456"/>
        <w:gridCol w:w="3456"/>
      </w:tblGrid>
      <w:tr>
        <w:tblPrEx>
          <w:tblCellMar>
            <w:top w:w="0" w:type="dxa"/>
            <w:left w:w="108" w:type="dxa"/>
            <w:bottom w:w="0" w:type="dxa"/>
            <w:right w:w="108" w:type="dxa"/>
          </w:tblCellMar>
        </w:tblPrEx>
        <w:trPr>
          <w:trHeight w:val="691" w:hRule="atLeast"/>
          <w:jc w:val="center"/>
        </w:trPr>
        <w:tc>
          <w:tcPr>
            <w:tcW w:w="1782"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17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作业</w:t>
            </w:r>
          </w:p>
        </w:tc>
        <w:tc>
          <w:tcPr>
            <w:tcW w:w="1515"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报告</w:t>
            </w:r>
          </w:p>
        </w:tc>
      </w:tr>
      <w:tr>
        <w:tblPrEx>
          <w:tblCellMar>
            <w:top w:w="0" w:type="dxa"/>
            <w:left w:w="108" w:type="dxa"/>
            <w:bottom w:w="0" w:type="dxa"/>
            <w:right w:w="108" w:type="dxa"/>
          </w:tblCellMar>
        </w:tblPrEx>
        <w:trPr>
          <w:trHeight w:val="567" w:hRule="atLeast"/>
          <w:jc w:val="center"/>
        </w:trPr>
        <w:tc>
          <w:tcPr>
            <w:tcW w:w="1782"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w:t>
            </w:r>
          </w:p>
          <w:p>
            <w:pPr>
              <w:widowControl/>
              <w:jc w:val="center"/>
              <w:rPr>
                <w:rFonts w:ascii="宋体" w:hAnsi="宋体" w:cs="宋体"/>
                <w:color w:val="000000"/>
                <w:kern w:val="0"/>
                <w:sz w:val="18"/>
              </w:rPr>
            </w:pPr>
            <w:r>
              <w:rPr>
                <w:rFonts w:hint="eastAsia" w:ascii="宋体" w:hAnsi="宋体" w:cs="宋体"/>
                <w:color w:val="000000"/>
                <w:kern w:val="0"/>
                <w:sz w:val="18"/>
              </w:rPr>
              <w:t>的贡献率</w:t>
            </w:r>
          </w:p>
        </w:tc>
        <w:tc>
          <w:tcPr>
            <w:tcW w:w="170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t>0.</w:t>
            </w:r>
            <w:r>
              <w:rPr>
                <w:rFonts w:hint="eastAsia"/>
              </w:rPr>
              <w:t>51</w:t>
            </w:r>
          </w:p>
        </w:tc>
        <w:tc>
          <w:tcPr>
            <w:tcW w:w="1515" w:type="pct"/>
            <w:tcBorders>
              <w:top w:val="single" w:color="auto" w:sz="4" w:space="0"/>
              <w:left w:val="single" w:color="auto" w:sz="4" w:space="0"/>
              <w:bottom w:val="single" w:color="auto" w:sz="4" w:space="0"/>
            </w:tcBorders>
            <w:shd w:val="clear" w:color="auto" w:fill="auto"/>
            <w:noWrap/>
            <w:vAlign w:val="center"/>
          </w:tcPr>
          <w:p>
            <w:pPr>
              <w:jc w:val="center"/>
            </w:pPr>
            <w:r>
              <w:t>0.</w:t>
            </w:r>
            <w:r>
              <w:rPr>
                <w:rFonts w:hint="eastAsia"/>
              </w:rPr>
              <w:t>49</w:t>
            </w:r>
          </w:p>
        </w:tc>
      </w:tr>
      <w:tr>
        <w:tblPrEx>
          <w:tblCellMar>
            <w:top w:w="0" w:type="dxa"/>
            <w:left w:w="108" w:type="dxa"/>
            <w:bottom w:w="0" w:type="dxa"/>
            <w:right w:w="108" w:type="dxa"/>
          </w:tblCellMar>
        </w:tblPrEx>
        <w:trPr>
          <w:trHeight w:val="561" w:hRule="atLeast"/>
          <w:jc w:val="center"/>
        </w:trPr>
        <w:tc>
          <w:tcPr>
            <w:tcW w:w="1782"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170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rPr>
            </w:pPr>
            <w:r>
              <w:rPr>
                <w:rFonts w:ascii="宋体" w:hAnsi="宋体" w:cs="宋体"/>
                <w:color w:val="000000"/>
                <w:kern w:val="0"/>
                <w:sz w:val="18"/>
              </w:rPr>
              <w:t>作业评价标准，</w:t>
            </w:r>
            <w:r>
              <w:rPr>
                <w:rFonts w:hint="eastAsia" w:ascii="宋体" w:hAnsi="宋体" w:cs="宋体"/>
                <w:color w:val="000000"/>
                <w:kern w:val="0"/>
                <w:sz w:val="18"/>
              </w:rPr>
              <w:t>典型作业</w:t>
            </w:r>
            <w:r>
              <w:rPr>
                <w:rFonts w:ascii="宋体" w:hAnsi="宋体" w:cs="宋体"/>
                <w:color w:val="000000"/>
                <w:kern w:val="0"/>
                <w:sz w:val="18"/>
              </w:rPr>
              <w:t>拍照，或电子版</w:t>
            </w:r>
          </w:p>
        </w:tc>
        <w:tc>
          <w:tcPr>
            <w:tcW w:w="1515" w:type="pct"/>
            <w:tcBorders>
              <w:top w:val="single" w:color="auto" w:sz="4" w:space="0"/>
              <w:left w:val="single" w:color="auto" w:sz="4" w:space="0"/>
              <w:bottom w:val="single" w:color="auto" w:sz="4" w:space="0"/>
            </w:tcBorders>
            <w:shd w:val="clear" w:color="auto" w:fill="auto"/>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报告评价标准，典型报告拍照，或电子版</w:t>
            </w:r>
          </w:p>
        </w:tc>
      </w:tr>
    </w:tbl>
    <w:p>
      <w:pPr>
        <w:pStyle w:val="31"/>
        <w:widowControl/>
        <w:spacing w:line="360" w:lineRule="auto"/>
        <w:ind w:left="360" w:firstLine="0" w:firstLineChars="0"/>
        <w:jc w:val="left"/>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1842"/>
        <w:gridCol w:w="2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44" w:type="pct"/>
            <w:vAlign w:val="center"/>
          </w:tcPr>
          <w:p>
            <w:pPr>
              <w:jc w:val="center"/>
              <w:rPr>
                <w:sz w:val="18"/>
                <w:szCs w:val="18"/>
              </w:rPr>
            </w:pPr>
            <w:r>
              <w:rPr>
                <w:sz w:val="18"/>
                <w:szCs w:val="18"/>
              </w:rPr>
              <w:t>知识点</w:t>
            </w:r>
          </w:p>
        </w:tc>
        <w:tc>
          <w:tcPr>
            <w:tcW w:w="1108" w:type="pct"/>
            <w:vAlign w:val="center"/>
          </w:tcPr>
          <w:p>
            <w:pPr>
              <w:jc w:val="center"/>
              <w:rPr>
                <w:sz w:val="18"/>
                <w:szCs w:val="18"/>
              </w:rPr>
            </w:pPr>
            <w:r>
              <w:rPr>
                <w:sz w:val="18"/>
                <w:szCs w:val="18"/>
              </w:rPr>
              <w:t>权重</w:t>
            </w:r>
          </w:p>
        </w:tc>
        <w:tc>
          <w:tcPr>
            <w:tcW w:w="12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44" w:type="pct"/>
            <w:vAlign w:val="center"/>
          </w:tcPr>
          <w:p>
            <w:pPr>
              <w:adjustRightInd w:val="0"/>
              <w:snapToGrid w:val="0"/>
              <w:spacing w:before="100" w:beforeAutospacing="1"/>
              <w:ind w:left="174" w:leftChars="83"/>
              <w:rPr>
                <w:sz w:val="18"/>
                <w:szCs w:val="18"/>
              </w:rPr>
            </w:pPr>
            <w:r>
              <w:rPr>
                <w:sz w:val="18"/>
                <w:szCs w:val="18"/>
              </w:rPr>
              <w:t>1</w:t>
            </w:r>
            <w:r>
              <w:rPr>
                <w:rFonts w:hint="eastAsia"/>
                <w:sz w:val="18"/>
                <w:szCs w:val="18"/>
              </w:rPr>
              <w:t>毕业设计在课程体系中的意义和作用</w:t>
            </w:r>
          </w:p>
        </w:tc>
        <w:tc>
          <w:tcPr>
            <w:tcW w:w="1108" w:type="pct"/>
            <w:vAlign w:val="center"/>
          </w:tcPr>
          <w:p>
            <w:pPr>
              <w:jc w:val="center"/>
              <w:rPr>
                <w:sz w:val="18"/>
                <w:szCs w:val="18"/>
              </w:rPr>
            </w:pPr>
            <w:r>
              <w:rPr>
                <w:sz w:val="18"/>
                <w:szCs w:val="18"/>
              </w:rPr>
              <w:t>0.25</w:t>
            </w:r>
          </w:p>
        </w:tc>
        <w:tc>
          <w:tcPr>
            <w:tcW w:w="1248" w:type="pct"/>
            <w:vAlign w:val="center"/>
          </w:tcPr>
          <w:p>
            <w:pPr>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44" w:type="pct"/>
            <w:vAlign w:val="center"/>
          </w:tcPr>
          <w:p>
            <w:pPr>
              <w:adjustRightInd w:val="0"/>
              <w:snapToGrid w:val="0"/>
              <w:spacing w:before="100" w:beforeAutospacing="1"/>
              <w:ind w:left="174" w:leftChars="83"/>
              <w:rPr>
                <w:sz w:val="18"/>
                <w:szCs w:val="18"/>
              </w:rPr>
            </w:pPr>
            <w:r>
              <w:rPr>
                <w:sz w:val="18"/>
                <w:szCs w:val="18"/>
              </w:rPr>
              <w:t>2选题及任务书</w:t>
            </w:r>
          </w:p>
        </w:tc>
        <w:tc>
          <w:tcPr>
            <w:tcW w:w="1108" w:type="pct"/>
            <w:vAlign w:val="center"/>
          </w:tcPr>
          <w:p>
            <w:pPr>
              <w:jc w:val="center"/>
              <w:rPr>
                <w:sz w:val="18"/>
                <w:szCs w:val="18"/>
              </w:rPr>
            </w:pPr>
            <w:r>
              <w:rPr>
                <w:sz w:val="18"/>
                <w:szCs w:val="18"/>
              </w:rPr>
              <w:t>0.25</w:t>
            </w:r>
          </w:p>
        </w:tc>
        <w:tc>
          <w:tcPr>
            <w:tcW w:w="12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44" w:type="pct"/>
            <w:vAlign w:val="center"/>
          </w:tcPr>
          <w:p>
            <w:pPr>
              <w:adjustRightInd w:val="0"/>
              <w:snapToGrid w:val="0"/>
              <w:spacing w:before="100" w:beforeAutospacing="1"/>
              <w:ind w:left="174" w:leftChars="83"/>
              <w:rPr>
                <w:sz w:val="18"/>
                <w:szCs w:val="18"/>
              </w:rPr>
            </w:pPr>
            <w:r>
              <w:rPr>
                <w:sz w:val="18"/>
                <w:szCs w:val="18"/>
              </w:rPr>
              <w:t>3毕业设计开题</w:t>
            </w:r>
          </w:p>
        </w:tc>
        <w:tc>
          <w:tcPr>
            <w:tcW w:w="1108" w:type="pct"/>
            <w:vAlign w:val="center"/>
          </w:tcPr>
          <w:p>
            <w:pPr>
              <w:jc w:val="center"/>
              <w:rPr>
                <w:sz w:val="18"/>
                <w:szCs w:val="18"/>
              </w:rPr>
            </w:pPr>
            <w:r>
              <w:rPr>
                <w:sz w:val="18"/>
                <w:szCs w:val="18"/>
              </w:rPr>
              <w:t>0.25</w:t>
            </w:r>
          </w:p>
        </w:tc>
        <w:tc>
          <w:tcPr>
            <w:tcW w:w="1248" w:type="pct"/>
            <w:vAlign w:val="center"/>
          </w:tcPr>
          <w:p>
            <w:pPr>
              <w:jc w:val="center"/>
              <w:rPr>
                <w:sz w:val="18"/>
                <w:szCs w:val="18"/>
              </w:rPr>
            </w:pPr>
            <w:r>
              <w:rPr>
                <w:rFonts w:hint="eastAsia"/>
                <w:sz w:val="18"/>
                <w:szCs w:val="18"/>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644" w:type="pct"/>
            <w:vAlign w:val="center"/>
          </w:tcPr>
          <w:p>
            <w:pPr>
              <w:adjustRightInd w:val="0"/>
              <w:snapToGrid w:val="0"/>
              <w:spacing w:before="100" w:beforeAutospacing="1"/>
              <w:ind w:left="174" w:leftChars="83"/>
              <w:rPr>
                <w:sz w:val="18"/>
                <w:szCs w:val="18"/>
              </w:rPr>
            </w:pPr>
            <w:r>
              <w:rPr>
                <w:sz w:val="18"/>
                <w:szCs w:val="18"/>
              </w:rPr>
              <w:t>4毕业设计及说明书撰写、答辩</w:t>
            </w:r>
          </w:p>
        </w:tc>
        <w:tc>
          <w:tcPr>
            <w:tcW w:w="1108" w:type="pct"/>
            <w:vAlign w:val="center"/>
          </w:tcPr>
          <w:p>
            <w:pPr>
              <w:jc w:val="center"/>
              <w:rPr>
                <w:sz w:val="18"/>
                <w:szCs w:val="18"/>
              </w:rPr>
            </w:pPr>
            <w:r>
              <w:rPr>
                <w:sz w:val="18"/>
                <w:szCs w:val="18"/>
              </w:rPr>
              <w:t>0.25</w:t>
            </w:r>
          </w:p>
        </w:tc>
        <w:tc>
          <w:tcPr>
            <w:tcW w:w="1248" w:type="pct"/>
            <w:vAlign w:val="center"/>
          </w:tcPr>
          <w:p>
            <w:pPr>
              <w:jc w:val="center"/>
              <w:rPr>
                <w:sz w:val="18"/>
                <w:szCs w:val="18"/>
              </w:rPr>
            </w:pPr>
            <w:r>
              <w:rPr>
                <w:rFonts w:hint="eastAsia"/>
                <w:sz w:val="18"/>
                <w:szCs w:val="18"/>
              </w:rPr>
              <w:t>3、5</w:t>
            </w:r>
          </w:p>
        </w:tc>
      </w:tr>
    </w:tbl>
    <w:p>
      <w:pPr>
        <w:spacing w:before="120" w:beforeLines="50" w:line="360" w:lineRule="auto"/>
        <w:ind w:firstLine="420" w:firstLineChars="200"/>
        <w:rPr>
          <w:color w:val="000000"/>
          <w:sz w:val="24"/>
          <w:szCs w:val="24"/>
        </w:rPr>
        <w:sectPr>
          <w:footerReference r:id="rId73" w:type="default"/>
          <w:pgSz w:w="11906" w:h="16838"/>
          <w:pgMar w:top="1440" w:right="1797" w:bottom="1440" w:left="1797" w:header="851" w:footer="992" w:gutter="0"/>
          <w:cols w:space="425" w:num="1"/>
          <w:docGrid w:linePitch="312" w:charSpace="0"/>
        </w:sect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1129"/>
        <w:gridCol w:w="2354"/>
        <w:gridCol w:w="1746"/>
        <w:gridCol w:w="1744"/>
        <w:gridCol w:w="1668"/>
        <w:gridCol w:w="1822"/>
        <w:gridCol w:w="1744"/>
        <w:gridCol w:w="1741"/>
      </w:tblGrid>
      <w:tr>
        <w:tblPrEx>
          <w:tblCellMar>
            <w:top w:w="0" w:type="dxa"/>
            <w:left w:w="108" w:type="dxa"/>
            <w:bottom w:w="0" w:type="dxa"/>
            <w:right w:w="108" w:type="dxa"/>
          </w:tblCellMar>
        </w:tblPrEx>
        <w:trPr>
          <w:trHeight w:val="1015" w:hRule="atLeast"/>
          <w:jc w:val="center"/>
        </w:trPr>
        <w:tc>
          <w:tcPr>
            <w:tcW w:w="4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8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25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251"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2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40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8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62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625"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报告</w:t>
            </w:r>
          </w:p>
        </w:tc>
        <w:tc>
          <w:tcPr>
            <w:tcW w:w="5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65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报告</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报告</w:t>
            </w:r>
          </w:p>
        </w:tc>
      </w:tr>
      <w:tr>
        <w:tblPrEx>
          <w:tblCellMar>
            <w:top w:w="0" w:type="dxa"/>
            <w:left w:w="108" w:type="dxa"/>
            <w:bottom w:w="0" w:type="dxa"/>
            <w:right w:w="108" w:type="dxa"/>
          </w:tblCellMar>
        </w:tblPrEx>
        <w:trPr>
          <w:trHeight w:val="702" w:hRule="atLeast"/>
          <w:jc w:val="center"/>
        </w:trPr>
        <w:tc>
          <w:tcPr>
            <w:tcW w:w="40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84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w:t>
            </w:r>
            <w:r>
              <w:rPr>
                <w:rFonts w:hint="eastAsia"/>
                <w:bCs/>
                <w:sz w:val="18"/>
                <w:szCs w:val="18"/>
              </w:rPr>
              <w:t>20</w:t>
            </w:r>
          </w:p>
        </w:tc>
        <w:tc>
          <w:tcPr>
            <w:tcW w:w="62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0.8</w:t>
            </w:r>
          </w:p>
        </w:tc>
        <w:tc>
          <w:tcPr>
            <w:tcW w:w="625"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0.2</w:t>
            </w:r>
          </w:p>
        </w:tc>
        <w:tc>
          <w:tcPr>
            <w:tcW w:w="59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0.16</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0.31</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0.08</w:t>
            </w:r>
          </w:p>
        </w:tc>
      </w:tr>
      <w:tr>
        <w:tblPrEx>
          <w:tblCellMar>
            <w:top w:w="0" w:type="dxa"/>
            <w:left w:w="108" w:type="dxa"/>
            <w:bottom w:w="0" w:type="dxa"/>
            <w:right w:w="108" w:type="dxa"/>
          </w:tblCellMar>
        </w:tblPrEx>
        <w:trPr>
          <w:trHeight w:val="694" w:hRule="atLeast"/>
          <w:jc w:val="center"/>
        </w:trPr>
        <w:tc>
          <w:tcPr>
            <w:tcW w:w="40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844"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w:t>
            </w:r>
            <w:r>
              <w:rPr>
                <w:rFonts w:hint="eastAsia"/>
                <w:bCs/>
                <w:sz w:val="18"/>
                <w:szCs w:val="18"/>
              </w:rPr>
              <w:t>20</w:t>
            </w:r>
          </w:p>
        </w:tc>
        <w:tc>
          <w:tcPr>
            <w:tcW w:w="62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0.4</w:t>
            </w:r>
          </w:p>
        </w:tc>
        <w:tc>
          <w:tcPr>
            <w:tcW w:w="62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0.6</w:t>
            </w:r>
          </w:p>
        </w:tc>
        <w:tc>
          <w:tcPr>
            <w:tcW w:w="5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65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0.16</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0.25</w:t>
            </w:r>
          </w:p>
        </w:tc>
      </w:tr>
      <w:tr>
        <w:tblPrEx>
          <w:tblCellMar>
            <w:top w:w="0" w:type="dxa"/>
            <w:left w:w="108" w:type="dxa"/>
            <w:bottom w:w="0" w:type="dxa"/>
            <w:right w:w="108" w:type="dxa"/>
          </w:tblCellMar>
        </w:tblPrEx>
        <w:trPr>
          <w:trHeight w:val="694" w:hRule="atLeast"/>
          <w:jc w:val="center"/>
        </w:trPr>
        <w:tc>
          <w:tcPr>
            <w:tcW w:w="40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3</w:t>
            </w:r>
          </w:p>
        </w:tc>
        <w:tc>
          <w:tcPr>
            <w:tcW w:w="844"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0.30</w:t>
            </w:r>
          </w:p>
        </w:tc>
        <w:tc>
          <w:tcPr>
            <w:tcW w:w="62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0.5</w:t>
            </w:r>
          </w:p>
        </w:tc>
        <w:tc>
          <w:tcPr>
            <w:tcW w:w="62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0.5</w:t>
            </w:r>
          </w:p>
        </w:tc>
        <w:tc>
          <w:tcPr>
            <w:tcW w:w="5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0.15</w:t>
            </w:r>
          </w:p>
        </w:tc>
        <w:tc>
          <w:tcPr>
            <w:tcW w:w="65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0.29</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0.31</w:t>
            </w:r>
          </w:p>
        </w:tc>
      </w:tr>
      <w:tr>
        <w:tblPrEx>
          <w:tblCellMar>
            <w:top w:w="0" w:type="dxa"/>
            <w:left w:w="108" w:type="dxa"/>
            <w:bottom w:w="0" w:type="dxa"/>
            <w:right w:w="108" w:type="dxa"/>
          </w:tblCellMar>
        </w:tblPrEx>
        <w:trPr>
          <w:trHeight w:val="694" w:hRule="atLeast"/>
          <w:jc w:val="center"/>
        </w:trPr>
        <w:tc>
          <w:tcPr>
            <w:tcW w:w="40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4</w:t>
            </w:r>
          </w:p>
        </w:tc>
        <w:tc>
          <w:tcPr>
            <w:tcW w:w="844"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0.15</w:t>
            </w:r>
          </w:p>
        </w:tc>
        <w:tc>
          <w:tcPr>
            <w:tcW w:w="62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0.4</w:t>
            </w:r>
          </w:p>
        </w:tc>
        <w:tc>
          <w:tcPr>
            <w:tcW w:w="62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0.6</w:t>
            </w:r>
          </w:p>
        </w:tc>
        <w:tc>
          <w:tcPr>
            <w:tcW w:w="5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0.06</w:t>
            </w:r>
          </w:p>
        </w:tc>
        <w:tc>
          <w:tcPr>
            <w:tcW w:w="65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0.09</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0.12</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0.18</w:t>
            </w:r>
          </w:p>
        </w:tc>
      </w:tr>
      <w:tr>
        <w:tblPrEx>
          <w:tblCellMar>
            <w:top w:w="0" w:type="dxa"/>
            <w:left w:w="108" w:type="dxa"/>
            <w:bottom w:w="0" w:type="dxa"/>
            <w:right w:w="108" w:type="dxa"/>
          </w:tblCellMar>
        </w:tblPrEx>
        <w:trPr>
          <w:trHeight w:val="694" w:hRule="atLeast"/>
          <w:jc w:val="center"/>
        </w:trPr>
        <w:tc>
          <w:tcPr>
            <w:tcW w:w="40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5</w:t>
            </w:r>
          </w:p>
        </w:tc>
        <w:tc>
          <w:tcPr>
            <w:tcW w:w="844"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0.15</w:t>
            </w:r>
          </w:p>
        </w:tc>
        <w:tc>
          <w:tcPr>
            <w:tcW w:w="62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0.4</w:t>
            </w:r>
          </w:p>
        </w:tc>
        <w:tc>
          <w:tcPr>
            <w:tcW w:w="62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0.6</w:t>
            </w:r>
          </w:p>
        </w:tc>
        <w:tc>
          <w:tcPr>
            <w:tcW w:w="5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0.06</w:t>
            </w:r>
          </w:p>
        </w:tc>
        <w:tc>
          <w:tcPr>
            <w:tcW w:w="65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0.09</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0.12</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sz w:val="18"/>
                <w:szCs w:val="18"/>
              </w:rPr>
              <w:t>0.18</w:t>
            </w:r>
          </w:p>
        </w:tc>
      </w:tr>
      <w:tr>
        <w:tblPrEx>
          <w:tblCellMar>
            <w:top w:w="0" w:type="dxa"/>
            <w:left w:w="108" w:type="dxa"/>
            <w:bottom w:w="0" w:type="dxa"/>
            <w:right w:w="108" w:type="dxa"/>
          </w:tblCellMar>
        </w:tblPrEx>
        <w:trPr>
          <w:trHeight w:val="1026" w:hRule="atLeast"/>
          <w:jc w:val="center"/>
        </w:trPr>
        <w:tc>
          <w:tcPr>
            <w:tcW w:w="2500" w:type="pct"/>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bCs/>
                <w:kern w:val="0"/>
                <w:sz w:val="18"/>
                <w:szCs w:val="18"/>
              </w:rPr>
            </w:pPr>
            <w:r>
              <w:rPr>
                <w:rFonts w:hint="eastAsia" w:ascii="宋体" w:hAnsi="宋体" w:cs="宋体"/>
                <w:bCs/>
                <w:kern w:val="0"/>
                <w:sz w:val="18"/>
                <w:szCs w:val="18"/>
              </w:rPr>
              <w:t>环节对课程目标达成的贡献率（</w:t>
            </w:r>
            <w:r>
              <w:rPr>
                <w:rFonts w:hint="eastAsia" w:ascii="宋体" w:hAnsi="宋体" w:cs="宋体"/>
                <w:bCs/>
                <w:i/>
                <w:kern w:val="0"/>
                <w:sz w:val="18"/>
                <w:szCs w:val="18"/>
              </w:rPr>
              <w:t>M</w:t>
            </w:r>
            <w:r>
              <w:rPr>
                <w:rFonts w:hint="eastAsia" w:ascii="宋体" w:hAnsi="宋体" w:cs="宋体"/>
                <w:bCs/>
                <w:i/>
                <w:kern w:val="0"/>
                <w:sz w:val="18"/>
                <w:szCs w:val="18"/>
                <w:vertAlign w:val="subscript"/>
              </w:rPr>
              <w:t>k</w:t>
            </w:r>
            <w:r>
              <w:rPr>
                <w:rFonts w:hint="eastAsia" w:ascii="宋体" w:hAnsi="宋体" w:cs="宋体"/>
                <w:bCs/>
                <w:kern w:val="0"/>
                <w:sz w:val="18"/>
                <w:szCs w:val="18"/>
              </w:rPr>
              <w:t>）</w:t>
            </w:r>
          </w:p>
        </w:tc>
        <w:tc>
          <w:tcPr>
            <w:tcW w:w="5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0.51</w:t>
            </w:r>
          </w:p>
        </w:tc>
        <w:tc>
          <w:tcPr>
            <w:tcW w:w="65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0.49</w:t>
            </w:r>
          </w:p>
        </w:tc>
        <w:tc>
          <w:tcPr>
            <w:tcW w:w="12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教师出题或布置作业时</w:t>
            </w:r>
          </w:p>
          <w:p>
            <w:pPr>
              <w:jc w:val="center"/>
              <w:rPr>
                <w:bCs/>
                <w:sz w:val="18"/>
                <w:szCs w:val="18"/>
              </w:rPr>
            </w:pPr>
            <w:r>
              <w:rPr>
                <w:bCs/>
                <w:sz w:val="18"/>
                <w:szCs w:val="18"/>
              </w:rPr>
              <w:t>要尽量做到按照以上比例布局</w:t>
            </w:r>
          </w:p>
        </w:tc>
      </w:tr>
    </w:tbl>
    <w:p>
      <w:pPr>
        <w:spacing w:line="360" w:lineRule="auto"/>
        <w:jc w:val="left"/>
      </w:pPr>
    </w:p>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bookmarkStart w:id="210" w:name="_Toc498689406"/>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156"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56" DrawAspect="Content" ObjectID="_1468075856" r:id="rId320">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157"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57" DrawAspect="Content" ObjectID="_1468075857" r:id="rId321">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158"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58" DrawAspect="Content" ObjectID="_1468075858" r:id="rId322">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159"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59" DrawAspect="Content" ObjectID="_1468075859" r:id="rId323">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160"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60" DrawAspect="Content" ObjectID="_1468075860" r:id="rId324">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161"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61" DrawAspect="Content" ObjectID="_1468075861" r:id="rId325">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sectPr>
          <w:pgSz w:w="11906" w:h="16838"/>
          <w:pgMar w:top="1440" w:right="1800" w:bottom="1440" w:left="1800" w:header="851" w:footer="992" w:gutter="0"/>
          <w:cols w:space="720" w:num="1"/>
          <w:docGrid w:type="lines" w:linePitch="312" w:charSpace="0"/>
        </w:sect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312" w:after="468"/>
      </w:pPr>
      <w:bookmarkStart w:id="211" w:name="_Toc29275"/>
      <w:bookmarkStart w:id="212" w:name="_Toc46996576"/>
      <w:r>
        <w:rPr>
          <w:rFonts w:hint="eastAsia"/>
        </w:rPr>
        <w:t>《</w:t>
      </w:r>
      <w:r>
        <w:t>Y07060102</w:t>
      </w:r>
      <w:r>
        <w:rPr>
          <w:rFonts w:hint="eastAsia"/>
        </w:rPr>
        <w:t>专业认知实习》教学大纲</w:t>
      </w:r>
      <w:bookmarkEnd w:id="211"/>
    </w:p>
    <w:p>
      <w:pPr>
        <w:adjustRightInd w:val="0"/>
        <w:snapToGrid w:val="0"/>
        <w:spacing w:line="360" w:lineRule="auto"/>
        <w:rPr>
          <w:bCs/>
          <w:kern w:val="0"/>
        </w:rPr>
      </w:pPr>
      <w:r>
        <w:rPr>
          <w:rFonts w:hint="eastAsia" w:eastAsia="黑体" w:cs="黑体"/>
          <w:szCs w:val="21"/>
        </w:rPr>
        <w:t>课程编号：</w:t>
      </w:r>
      <w:r>
        <w:rPr>
          <w:bCs/>
          <w:kern w:val="0"/>
        </w:rPr>
        <w:t>Y07060102</w:t>
      </w:r>
    </w:p>
    <w:p>
      <w:pPr>
        <w:adjustRightInd w:val="0"/>
        <w:snapToGrid w:val="0"/>
        <w:spacing w:line="360" w:lineRule="auto"/>
        <w:rPr>
          <w:snapToGrid w:val="0"/>
          <w:kern w:val="0"/>
          <w:szCs w:val="21"/>
        </w:rPr>
      </w:pPr>
      <w:r>
        <w:rPr>
          <w:rFonts w:hint="eastAsia" w:eastAsia="黑体" w:cs="黑体"/>
          <w:szCs w:val="21"/>
        </w:rPr>
        <w:t>课程名称：</w:t>
      </w:r>
      <w:r>
        <w:rPr>
          <w:rFonts w:hint="eastAsia" w:cs="宋体"/>
          <w:szCs w:val="21"/>
        </w:rPr>
        <w:t>专业认知实习</w:t>
      </w:r>
      <w:r>
        <w:rPr>
          <w:szCs w:val="21"/>
        </w:rPr>
        <w:tab/>
      </w:r>
      <w:r>
        <w:rPr>
          <w:szCs w:val="21"/>
        </w:rPr>
        <w:tab/>
      </w:r>
      <w:r>
        <w:rPr>
          <w:szCs w:val="21"/>
        </w:rPr>
        <w:tab/>
      </w:r>
      <w:r>
        <w:rPr>
          <w:szCs w:val="21"/>
        </w:rPr>
        <w:tab/>
      </w:r>
      <w:r>
        <w:rPr>
          <w:szCs w:val="21"/>
        </w:rPr>
        <w:tab/>
      </w:r>
      <w:r>
        <w:rPr>
          <w:rFonts w:hint="eastAsia" w:eastAsia="黑体" w:cs="黑体"/>
          <w:szCs w:val="21"/>
        </w:rPr>
        <w:t>开课单位：</w:t>
      </w:r>
      <w:r>
        <w:rPr>
          <w:rFonts w:hint="eastAsia" w:cs="宋体"/>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cs="黑体"/>
          <w:szCs w:val="21"/>
        </w:rPr>
        <w:t>总</w:t>
      </w:r>
      <w:r>
        <w:rPr>
          <w:rFonts w:eastAsia="黑体"/>
          <w:szCs w:val="21"/>
        </w:rPr>
        <w:t xml:space="preserve"> </w:t>
      </w:r>
      <w:r>
        <w:rPr>
          <w:rFonts w:hint="eastAsia" w:eastAsia="黑体" w:cs="黑体"/>
          <w:szCs w:val="21"/>
        </w:rPr>
        <w:t>学</w:t>
      </w:r>
      <w:r>
        <w:rPr>
          <w:rFonts w:eastAsia="黑体"/>
          <w:szCs w:val="21"/>
        </w:rPr>
        <w:t xml:space="preserve"> </w:t>
      </w:r>
      <w:r>
        <w:rPr>
          <w:rFonts w:hint="eastAsia" w:eastAsia="黑体" w:cs="黑体"/>
          <w:szCs w:val="21"/>
        </w:rPr>
        <w:t>时：</w:t>
      </w:r>
      <w:r>
        <w:rPr>
          <w:szCs w:val="21"/>
        </w:rPr>
        <w:t>8</w:t>
      </w:r>
      <w:r>
        <w:rPr>
          <w:szCs w:val="21"/>
        </w:rPr>
        <w:tab/>
      </w:r>
      <w:r>
        <w:rPr>
          <w:szCs w:val="21"/>
        </w:rPr>
        <w:tab/>
      </w:r>
      <w:r>
        <w:rPr>
          <w:szCs w:val="21"/>
        </w:rPr>
        <w:tab/>
      </w:r>
      <w:r>
        <w:rPr>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cs="黑体"/>
          <w:szCs w:val="21"/>
        </w:rPr>
        <w:t>学</w:t>
      </w:r>
      <w:r>
        <w:rPr>
          <w:rFonts w:eastAsia="黑体"/>
          <w:szCs w:val="21"/>
        </w:rPr>
        <w:t xml:space="preserve">    </w:t>
      </w:r>
      <w:r>
        <w:rPr>
          <w:rFonts w:hint="eastAsia" w:eastAsia="黑体" w:cs="黑体"/>
          <w:szCs w:val="21"/>
        </w:rPr>
        <w:t>分：</w:t>
      </w:r>
      <w:r>
        <w:rPr>
          <w:rFonts w:eastAsia="黑体"/>
          <w:szCs w:val="21"/>
        </w:rPr>
        <w:t>0.5</w:t>
      </w:r>
    </w:p>
    <w:p>
      <w:pPr>
        <w:adjustRightInd w:val="0"/>
        <w:snapToGrid w:val="0"/>
        <w:spacing w:line="360" w:lineRule="auto"/>
        <w:rPr>
          <w:rFonts w:eastAsia="黑体"/>
          <w:szCs w:val="21"/>
        </w:rPr>
      </w:pPr>
      <w:r>
        <w:rPr>
          <w:rFonts w:hint="eastAsia" w:eastAsia="黑体" w:cs="黑体"/>
          <w:szCs w:val="21"/>
        </w:rPr>
        <w:t>适用专业：</w:t>
      </w:r>
      <w:r>
        <w:rPr>
          <w:rFonts w:hint="eastAsia" w:cs="宋体"/>
          <w:szCs w:val="21"/>
        </w:rPr>
        <w:t>电子科学与技术专业</w:t>
      </w:r>
    </w:p>
    <w:p>
      <w:pPr>
        <w:adjustRightInd w:val="0"/>
        <w:snapToGrid w:val="0"/>
        <w:spacing w:line="360" w:lineRule="auto"/>
        <w:rPr>
          <w:szCs w:val="21"/>
        </w:rPr>
      </w:pPr>
      <w:r>
        <w:rPr>
          <w:rFonts w:hint="eastAsia" w:eastAsia="黑体" w:cs="黑体"/>
          <w:szCs w:val="21"/>
        </w:rPr>
        <w:t>先修课程：</w:t>
      </w:r>
      <w:r>
        <w:rPr>
          <w:szCs w:val="21"/>
        </w:rPr>
        <w:t xml:space="preserve"> </w:t>
      </w:r>
    </w:p>
    <w:p>
      <w:pPr>
        <w:adjustRightInd w:val="0"/>
        <w:snapToGrid w:val="0"/>
        <w:spacing w:line="360" w:lineRule="auto"/>
        <w:rPr>
          <w:szCs w:val="21"/>
        </w:rPr>
      </w:pPr>
      <w:r>
        <w:rPr>
          <w:rFonts w:hint="eastAsia" w:eastAsia="黑体" w:cs="黑体"/>
          <w:szCs w:val="21"/>
        </w:rPr>
        <w:t>大纲撰写人：</w:t>
      </w:r>
      <w:r>
        <w:rPr>
          <w:rFonts w:hint="eastAsia" w:cs="宋体"/>
          <w:szCs w:val="21"/>
        </w:rPr>
        <w:t>刘文耀</w:t>
      </w:r>
    </w:p>
    <w:p>
      <w:pPr>
        <w:adjustRightInd w:val="0"/>
        <w:snapToGrid w:val="0"/>
        <w:spacing w:line="360" w:lineRule="auto"/>
        <w:rPr>
          <w:szCs w:val="21"/>
        </w:rPr>
      </w:pPr>
      <w:r>
        <w:rPr>
          <w:rFonts w:hint="eastAsia" w:eastAsia="黑体" w:cs="黑体"/>
          <w:szCs w:val="21"/>
        </w:rPr>
        <w:t>大纲编写（修订）时间：</w:t>
      </w:r>
      <w:r>
        <w:rPr>
          <w:rFonts w:hint="eastAsia" w:ascii="宋体" w:hAnsi="宋体" w:cs="宋体"/>
          <w:szCs w:val="21"/>
        </w:rPr>
        <w:t>2019年5月</w:t>
      </w:r>
    </w:p>
    <w:p>
      <w:pPr>
        <w:rPr>
          <w:b/>
          <w:szCs w:val="21"/>
        </w:rPr>
      </w:pPr>
    </w:p>
    <w:p>
      <w:pPr>
        <w:numPr>
          <w:ilvl w:val="0"/>
          <w:numId w:val="30"/>
        </w:numPr>
        <w:adjustRightInd w:val="0"/>
        <w:snapToGrid w:val="0"/>
        <w:spacing w:line="360" w:lineRule="auto"/>
        <w:rPr>
          <w:rFonts w:eastAsia="黑体"/>
          <w:szCs w:val="21"/>
        </w:rPr>
      </w:pPr>
      <w:r>
        <w:rPr>
          <w:rFonts w:hint="eastAsia" w:eastAsia="黑体" w:cs="黑体"/>
          <w:szCs w:val="21"/>
        </w:rPr>
        <w:t>课程在教学计划中的地位、作用</w:t>
      </w:r>
    </w:p>
    <w:p>
      <w:pPr>
        <w:adjustRightInd w:val="0"/>
        <w:snapToGrid w:val="0"/>
        <w:spacing w:line="360" w:lineRule="auto"/>
        <w:ind w:firstLine="420" w:firstLineChars="200"/>
        <w:rPr>
          <w:szCs w:val="21"/>
        </w:rPr>
      </w:pPr>
      <w:r>
        <w:rPr>
          <w:rFonts w:hint="eastAsia"/>
          <w:szCs w:val="21"/>
        </w:rPr>
        <w:t>专业认知实习是仪器类专业学生入学之后，为增强对专业的感性认识，尽快了解专业方面的有关内容，是学习专业知识的入门课程。实习环节以实习动员、参观实验室、讲座等形式开展。通过本课程的学习能够增加学生对专业概况的了解，激发专业的学习热情，增加学生对专业的了解，提高学生对专业的认知程度。</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cs="黑体"/>
          <w:szCs w:val="21"/>
        </w:rPr>
        <w:t>二、课程目标</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639"/>
        <w:gridCol w:w="3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522" w:type="pct"/>
            <w:tcBorders>
              <w:top w:val="single" w:color="auto" w:sz="4" w:space="0"/>
              <w:left w:val="nil"/>
              <w:bottom w:val="single" w:color="auto" w:sz="4" w:space="0"/>
              <w:right w:val="single" w:color="auto" w:sz="4" w:space="0"/>
            </w:tcBorders>
            <w:shd w:val="clear" w:color="auto" w:fill="auto"/>
            <w:vAlign w:val="center"/>
          </w:tcPr>
          <w:p>
            <w:pPr>
              <w:snapToGrid w:val="0"/>
              <w:jc w:val="center"/>
              <w:rPr>
                <w:rFonts w:ascii="宋体" w:hAnsi="宋体" w:cs="宋体"/>
                <w:sz w:val="18"/>
                <w:szCs w:val="18"/>
              </w:rPr>
            </w:pPr>
            <w:r>
              <w:rPr>
                <w:rFonts w:hint="eastAsia" w:ascii="宋体" w:hAnsi="宋体" w:cs="宋体"/>
                <w:sz w:val="18"/>
                <w:szCs w:val="18"/>
              </w:rPr>
              <w:t>序号</w:t>
            </w:r>
          </w:p>
        </w:tc>
        <w:tc>
          <w:tcPr>
            <w:tcW w:w="218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cs="宋体"/>
                <w:sz w:val="18"/>
                <w:szCs w:val="18"/>
              </w:rPr>
            </w:pPr>
            <w:r>
              <w:rPr>
                <w:rFonts w:hint="eastAsia" w:ascii="宋体" w:hAnsi="宋体" w:cs="宋体"/>
                <w:sz w:val="18"/>
                <w:szCs w:val="18"/>
              </w:rPr>
              <w:t>课程目标</w:t>
            </w:r>
          </w:p>
        </w:tc>
        <w:tc>
          <w:tcPr>
            <w:tcW w:w="2288" w:type="pct"/>
            <w:tcBorders>
              <w:top w:val="single" w:color="auto" w:sz="4" w:space="0"/>
              <w:left w:val="single" w:color="auto" w:sz="4" w:space="0"/>
              <w:bottom w:val="single" w:color="auto" w:sz="4" w:space="0"/>
              <w:right w:val="nil"/>
            </w:tcBorders>
            <w:shd w:val="clear" w:color="auto" w:fill="auto"/>
            <w:vAlign w:val="center"/>
          </w:tcPr>
          <w:p>
            <w:pPr>
              <w:snapToGrid w:val="0"/>
              <w:jc w:val="center"/>
              <w:rPr>
                <w:rFonts w:ascii="宋体" w:hAnsi="宋体" w:cs="宋体"/>
                <w:sz w:val="18"/>
                <w:szCs w:val="18"/>
              </w:rPr>
            </w:pPr>
            <w:r>
              <w:rPr>
                <w:rFonts w:hint="eastAsia" w:ascii="宋体" w:hAnsi="宋体" w:cs="宋体"/>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tcBorders>
              <w:top w:val="single" w:color="auto" w:sz="4" w:space="0"/>
              <w:left w:val="nil"/>
              <w:bottom w:val="single" w:color="auto" w:sz="4" w:space="0"/>
              <w:right w:val="single" w:color="auto" w:sz="4" w:space="0"/>
            </w:tcBorders>
            <w:shd w:val="clear" w:color="auto" w:fill="auto"/>
            <w:vAlign w:val="center"/>
          </w:tcPr>
          <w:p>
            <w:pPr>
              <w:snapToGrid w:val="0"/>
              <w:spacing w:line="360" w:lineRule="auto"/>
              <w:jc w:val="center"/>
              <w:rPr>
                <w:rFonts w:ascii="宋体" w:hAnsi="宋体" w:cs="宋体"/>
                <w:sz w:val="18"/>
                <w:szCs w:val="18"/>
              </w:rPr>
            </w:pPr>
            <w:r>
              <w:rPr>
                <w:rFonts w:hint="eastAsia" w:ascii="宋体" w:hAnsi="宋体" w:cs="宋体"/>
                <w:sz w:val="18"/>
                <w:szCs w:val="18"/>
              </w:rPr>
              <w:t>1</w:t>
            </w:r>
          </w:p>
        </w:tc>
        <w:tc>
          <w:tcPr>
            <w:tcW w:w="2188"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spacing w:line="360" w:lineRule="auto"/>
              <w:rPr>
                <w:rFonts w:ascii="宋体" w:hAnsi="宋体" w:cs="宋体"/>
                <w:sz w:val="18"/>
                <w:szCs w:val="18"/>
              </w:rPr>
            </w:pPr>
            <w:r>
              <w:rPr>
                <w:rFonts w:hint="eastAsia" w:ascii="宋体" w:hAnsi="宋体" w:cs="宋体"/>
                <w:sz w:val="18"/>
                <w:szCs w:val="18"/>
              </w:rPr>
              <w:t>能够增强学生对本专业的感性认识，了解本专业需要学习的知识体系。</w:t>
            </w:r>
          </w:p>
        </w:tc>
        <w:tc>
          <w:tcPr>
            <w:tcW w:w="2288" w:type="pct"/>
            <w:tcBorders>
              <w:top w:val="single" w:color="auto" w:sz="4" w:space="0"/>
              <w:left w:val="single" w:color="auto" w:sz="4" w:space="0"/>
              <w:bottom w:val="single" w:color="auto" w:sz="4" w:space="0"/>
              <w:right w:val="nil"/>
            </w:tcBorders>
            <w:shd w:val="clear" w:color="auto" w:fill="auto"/>
          </w:tcPr>
          <w:p>
            <w:pPr>
              <w:snapToGrid w:val="0"/>
              <w:spacing w:line="360" w:lineRule="auto"/>
              <w:rPr>
                <w:rFonts w:ascii="宋体" w:hAnsi="宋体" w:cs="宋体"/>
                <w:sz w:val="18"/>
                <w:szCs w:val="18"/>
              </w:rPr>
            </w:pPr>
            <w:r>
              <w:rPr>
                <w:rFonts w:hint="eastAsia" w:ascii="宋体" w:hAnsi="宋体" w:cs="宋体"/>
                <w:b/>
                <w:sz w:val="18"/>
                <w:szCs w:val="18"/>
              </w:rPr>
              <w:t>指标点1-1 知识体系</w:t>
            </w:r>
            <w:r>
              <w:rPr>
                <w:rFonts w:hint="eastAsia" w:ascii="宋体" w:hAnsi="宋体" w:cs="宋体"/>
                <w:sz w:val="18"/>
                <w:szCs w:val="18"/>
              </w:rPr>
              <w:t>：具备本专业相关的数学、自然科学、工程基础和专业等多方面的知识。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tcBorders>
              <w:top w:val="single" w:color="auto" w:sz="4" w:space="0"/>
              <w:left w:val="nil"/>
              <w:bottom w:val="single" w:color="auto" w:sz="4" w:space="0"/>
              <w:right w:val="single" w:color="auto" w:sz="4" w:space="0"/>
            </w:tcBorders>
            <w:shd w:val="clear" w:color="auto" w:fill="auto"/>
            <w:vAlign w:val="center"/>
          </w:tcPr>
          <w:p>
            <w:pPr>
              <w:snapToGrid w:val="0"/>
              <w:spacing w:line="360" w:lineRule="auto"/>
              <w:jc w:val="center"/>
              <w:rPr>
                <w:rFonts w:ascii="宋体" w:hAnsi="宋体" w:cs="宋体"/>
                <w:sz w:val="18"/>
                <w:szCs w:val="18"/>
              </w:rPr>
            </w:pPr>
            <w:r>
              <w:rPr>
                <w:rFonts w:hint="eastAsia" w:ascii="宋体" w:hAnsi="宋体" w:cs="宋体"/>
                <w:sz w:val="18"/>
                <w:szCs w:val="18"/>
              </w:rPr>
              <w:t>2</w:t>
            </w:r>
          </w:p>
        </w:tc>
        <w:tc>
          <w:tcPr>
            <w:tcW w:w="2188" w:type="pct"/>
            <w:tcBorders>
              <w:top w:val="single" w:color="auto" w:sz="4" w:space="0"/>
              <w:left w:val="single" w:color="auto" w:sz="4" w:space="0"/>
              <w:bottom w:val="single" w:color="auto" w:sz="4" w:space="0"/>
              <w:right w:val="single" w:color="auto" w:sz="4" w:space="0"/>
            </w:tcBorders>
            <w:shd w:val="clear" w:color="auto" w:fill="auto"/>
          </w:tcPr>
          <w:p>
            <w:pPr>
              <w:snapToGrid w:val="0"/>
              <w:spacing w:line="360" w:lineRule="auto"/>
              <w:rPr>
                <w:rFonts w:ascii="宋体" w:hAnsi="宋体" w:cs="宋体"/>
                <w:sz w:val="18"/>
                <w:szCs w:val="18"/>
              </w:rPr>
            </w:pPr>
            <w:r>
              <w:rPr>
                <w:rFonts w:hint="eastAsia" w:ascii="宋体" w:hAnsi="宋体" w:cs="宋体"/>
                <w:sz w:val="18"/>
                <w:szCs w:val="18"/>
              </w:rPr>
              <w:t>通过了解电子、微电子或仪器领域背景及经典案例，能够对行业现状有初步定认识。</w:t>
            </w:r>
          </w:p>
        </w:tc>
        <w:tc>
          <w:tcPr>
            <w:tcW w:w="2288" w:type="pct"/>
            <w:tcBorders>
              <w:top w:val="single" w:color="auto" w:sz="4" w:space="0"/>
              <w:left w:val="single" w:color="auto" w:sz="4" w:space="0"/>
              <w:bottom w:val="single" w:color="auto" w:sz="4" w:space="0"/>
              <w:right w:val="nil"/>
            </w:tcBorders>
            <w:shd w:val="clear" w:color="auto" w:fill="auto"/>
          </w:tcPr>
          <w:p>
            <w:pPr>
              <w:snapToGrid w:val="0"/>
              <w:spacing w:line="360" w:lineRule="auto"/>
              <w:rPr>
                <w:rFonts w:ascii="宋体" w:hAnsi="宋体" w:cs="宋体"/>
                <w:sz w:val="18"/>
                <w:szCs w:val="18"/>
              </w:rPr>
            </w:pPr>
            <w:r>
              <w:rPr>
                <w:rFonts w:hint="eastAsia" w:ascii="宋体" w:hAnsi="宋体" w:cs="宋体"/>
                <w:b/>
                <w:sz w:val="18"/>
                <w:szCs w:val="18"/>
              </w:rPr>
              <w:t>指标点4-1 领域现状认知能力</w:t>
            </w:r>
            <w:r>
              <w:rPr>
                <w:rFonts w:hint="eastAsia" w:ascii="宋体" w:hAnsi="宋体" w:cs="宋体"/>
                <w:sz w:val="18"/>
                <w:szCs w:val="18"/>
              </w:rPr>
              <w:t>：了解电子、微电子或仪器领域背景及经典案例，能够针对复杂工程问题提出研究思路和分析方法，并有意识地将实验结果用于指导解决方案的改善和优化。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tcBorders>
              <w:top w:val="single" w:color="auto" w:sz="4" w:space="0"/>
              <w:left w:val="nil"/>
              <w:bottom w:val="single" w:color="auto" w:sz="4" w:space="0"/>
              <w:right w:val="single" w:color="auto" w:sz="4" w:space="0"/>
            </w:tcBorders>
            <w:shd w:val="clear" w:color="auto" w:fill="auto"/>
            <w:vAlign w:val="center"/>
          </w:tcPr>
          <w:p>
            <w:pPr>
              <w:snapToGrid w:val="0"/>
              <w:spacing w:line="360" w:lineRule="auto"/>
              <w:jc w:val="center"/>
              <w:rPr>
                <w:rFonts w:ascii="宋体" w:hAnsi="宋体" w:cs="宋体"/>
                <w:sz w:val="18"/>
                <w:szCs w:val="18"/>
              </w:rPr>
            </w:pPr>
            <w:r>
              <w:rPr>
                <w:rFonts w:hint="eastAsia" w:ascii="宋体" w:hAnsi="宋体" w:cs="宋体"/>
                <w:sz w:val="18"/>
                <w:szCs w:val="18"/>
              </w:rPr>
              <w:t>3</w:t>
            </w:r>
          </w:p>
        </w:tc>
        <w:tc>
          <w:tcPr>
            <w:tcW w:w="2188" w:type="pct"/>
            <w:tcBorders>
              <w:top w:val="single" w:color="auto" w:sz="4" w:space="0"/>
              <w:left w:val="single" w:color="auto" w:sz="4" w:space="0"/>
              <w:bottom w:val="single" w:color="auto" w:sz="4" w:space="0"/>
              <w:right w:val="single" w:color="auto" w:sz="4" w:space="0"/>
            </w:tcBorders>
            <w:shd w:val="clear" w:color="auto" w:fill="auto"/>
          </w:tcPr>
          <w:p>
            <w:pPr>
              <w:snapToGrid w:val="0"/>
              <w:spacing w:line="360" w:lineRule="auto"/>
              <w:rPr>
                <w:rFonts w:ascii="宋体" w:hAnsi="宋体" w:cs="宋体"/>
                <w:b/>
                <w:sz w:val="18"/>
                <w:szCs w:val="18"/>
              </w:rPr>
            </w:pPr>
            <w:r>
              <w:rPr>
                <w:rFonts w:hint="eastAsia" w:ascii="宋体" w:hAnsi="宋体" w:cs="宋体"/>
                <w:sz w:val="18"/>
                <w:szCs w:val="18"/>
              </w:rPr>
              <w:t>通过学习，能够产生主动了解行业的发展动向，并有主动参与社会的意识。</w:t>
            </w:r>
          </w:p>
        </w:tc>
        <w:tc>
          <w:tcPr>
            <w:tcW w:w="2288" w:type="pct"/>
            <w:tcBorders>
              <w:top w:val="single" w:color="auto" w:sz="4" w:space="0"/>
              <w:left w:val="single" w:color="auto" w:sz="4" w:space="0"/>
              <w:bottom w:val="single" w:color="auto" w:sz="4" w:space="0"/>
              <w:right w:val="nil"/>
            </w:tcBorders>
            <w:shd w:val="clear" w:color="auto" w:fill="auto"/>
          </w:tcPr>
          <w:p>
            <w:pPr>
              <w:widowControl/>
              <w:snapToGrid w:val="0"/>
              <w:spacing w:line="360" w:lineRule="auto"/>
              <w:rPr>
                <w:rFonts w:ascii="宋体" w:hAnsi="宋体" w:cs="宋体"/>
                <w:b/>
                <w:sz w:val="18"/>
                <w:szCs w:val="18"/>
              </w:rPr>
            </w:pPr>
            <w:r>
              <w:rPr>
                <w:rFonts w:hint="eastAsia" w:ascii="宋体" w:hAnsi="宋体" w:cs="宋体"/>
                <w:b/>
                <w:sz w:val="18"/>
                <w:szCs w:val="18"/>
              </w:rPr>
              <w:t>指标点6-1 参与社会：</w:t>
            </w:r>
            <w:r>
              <w:rPr>
                <w:rFonts w:hint="eastAsia" w:ascii="宋体" w:hAnsi="宋体" w:cs="宋体"/>
                <w:sz w:val="18"/>
                <w:szCs w:val="18"/>
              </w:rPr>
              <w:t>通过工程实习和社会实践活动，体现主动参与社会的意识。</w:t>
            </w:r>
          </w:p>
        </w:tc>
      </w:tr>
    </w:tbl>
    <w:p>
      <w:pPr>
        <w:tabs>
          <w:tab w:val="left" w:pos="420"/>
        </w:tabs>
        <w:adjustRightInd w:val="0"/>
        <w:snapToGrid w:val="0"/>
        <w:spacing w:line="360" w:lineRule="auto"/>
        <w:ind w:left="420" w:hanging="420"/>
        <w:rPr>
          <w:rFonts w:eastAsia="黑体"/>
          <w:szCs w:val="21"/>
        </w:rPr>
      </w:pPr>
    </w:p>
    <w:p>
      <w:pPr>
        <w:adjustRightInd w:val="0"/>
        <w:snapToGrid w:val="0"/>
        <w:spacing w:line="360" w:lineRule="auto"/>
        <w:ind w:firstLine="420" w:firstLineChars="200"/>
        <w:rPr>
          <w:szCs w:val="21"/>
        </w:rPr>
      </w:pPr>
      <w:r>
        <w:rPr>
          <w:rFonts w:hint="eastAsia"/>
          <w:szCs w:val="21"/>
        </w:rPr>
        <w:t>思政目标：</w:t>
      </w:r>
    </w:p>
    <w:p>
      <w:pPr>
        <w:adjustRightInd w:val="0"/>
        <w:snapToGrid w:val="0"/>
        <w:spacing w:line="360" w:lineRule="auto"/>
        <w:ind w:firstLine="420" w:firstLineChars="200"/>
        <w:rPr>
          <w:szCs w:val="21"/>
        </w:rPr>
      </w:pPr>
      <w:r>
        <w:rPr>
          <w:rFonts w:hint="eastAsia"/>
          <w:szCs w:val="21"/>
        </w:rPr>
        <w:t>了解本专业的特色和服务领域，</w:t>
      </w:r>
      <w:r>
        <w:rPr>
          <w:szCs w:val="21"/>
        </w:rPr>
        <w:t>保持坚定正确的政治方向，明确自己的服务对象和历史使命；</w:t>
      </w:r>
    </w:p>
    <w:p>
      <w:pPr>
        <w:adjustRightInd w:val="0"/>
        <w:snapToGrid w:val="0"/>
        <w:spacing w:line="360" w:lineRule="auto"/>
        <w:ind w:firstLine="420" w:firstLineChars="200"/>
        <w:rPr>
          <w:szCs w:val="21"/>
        </w:rPr>
      </w:pPr>
      <w:r>
        <w:rPr>
          <w:rFonts w:hint="eastAsia"/>
          <w:szCs w:val="21"/>
        </w:rPr>
        <w:t>热爱专业，</w:t>
      </w:r>
      <w:r>
        <w:rPr>
          <w:szCs w:val="21"/>
        </w:rPr>
        <w:t>热爱祖国，热爱人民，以服务国防、服务社会为己任；</w:t>
      </w:r>
    </w:p>
    <w:p>
      <w:pPr>
        <w:adjustRightInd w:val="0"/>
        <w:snapToGrid w:val="0"/>
        <w:spacing w:line="360" w:lineRule="auto"/>
        <w:ind w:firstLine="420" w:firstLineChars="200"/>
        <w:rPr>
          <w:szCs w:val="21"/>
        </w:rPr>
      </w:pPr>
      <w:r>
        <w:rPr>
          <w:rFonts w:hint="eastAsia"/>
          <w:szCs w:val="21"/>
        </w:rPr>
        <w:t>培养敬业精神，</w:t>
      </w:r>
      <w:r>
        <w:rPr>
          <w:szCs w:val="21"/>
        </w:rPr>
        <w:t>重视专业技术能力的提升和科学素养的提高，了解自主学习的重要性。</w:t>
      </w:r>
      <w:r>
        <w:rPr>
          <w:rFonts w:hint="eastAsia"/>
          <w:szCs w:val="21"/>
        </w:rPr>
        <w:t>。</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cs="黑体"/>
          <w:szCs w:val="21"/>
        </w:rPr>
        <w:t>三、</w:t>
      </w:r>
      <w:r>
        <w:rPr>
          <w:rFonts w:eastAsia="黑体"/>
          <w:szCs w:val="21"/>
        </w:rPr>
        <w:t xml:space="preserve"> </w:t>
      </w:r>
      <w:r>
        <w:rPr>
          <w:rFonts w:hint="eastAsia" w:eastAsia="黑体" w:cs="黑体"/>
          <w:szCs w:val="21"/>
        </w:rPr>
        <w:t>基本要求</w:t>
      </w:r>
    </w:p>
    <w:p>
      <w:pPr>
        <w:adjustRightInd w:val="0"/>
        <w:snapToGrid w:val="0"/>
        <w:spacing w:line="360" w:lineRule="auto"/>
        <w:ind w:firstLine="420" w:firstLineChars="200"/>
        <w:rPr>
          <w:szCs w:val="21"/>
        </w:rPr>
      </w:pPr>
      <w:r>
        <w:rPr>
          <w:szCs w:val="21"/>
        </w:rPr>
        <w:t>1</w:t>
      </w:r>
      <w:r>
        <w:rPr>
          <w:rFonts w:hint="eastAsia"/>
          <w:szCs w:val="21"/>
        </w:rPr>
        <w:t>、本课程为实践类课程，是进入专业学习的入门课。主要是为了增强学生对专业的感性认识，尽快了解专业方面的有关内容。</w:t>
      </w:r>
    </w:p>
    <w:p>
      <w:pPr>
        <w:adjustRightInd w:val="0"/>
        <w:snapToGrid w:val="0"/>
        <w:spacing w:line="360" w:lineRule="auto"/>
        <w:ind w:firstLine="420" w:firstLineChars="200"/>
        <w:rPr>
          <w:szCs w:val="21"/>
        </w:rPr>
      </w:pPr>
      <w:r>
        <w:rPr>
          <w:szCs w:val="21"/>
        </w:rPr>
        <w:t>2</w:t>
      </w:r>
      <w:r>
        <w:rPr>
          <w:rFonts w:hint="eastAsia"/>
          <w:szCs w:val="21"/>
        </w:rPr>
        <w:t>、偏差说明：为了鼓励教师引入个人授课风格或者适应技术发展的紧迫性，本课程允许教师授课内容做适当调整，最大正偏差为</w:t>
      </w:r>
      <w:r>
        <w:rPr>
          <w:szCs w:val="21"/>
        </w:rPr>
        <w:t>10%</w:t>
      </w:r>
      <w:r>
        <w:rPr>
          <w:rFonts w:hint="eastAsia"/>
          <w:szCs w:val="21"/>
        </w:rPr>
        <w:t>，不允许负偏差。正偏差通过压缩同等内容的学时数来完成。特殊情况，最大正偏差和置换偏差累计可达到</w:t>
      </w:r>
      <w:r>
        <w:rPr>
          <w:szCs w:val="21"/>
        </w:rPr>
        <w:t>20%</w:t>
      </w:r>
      <w:r>
        <w:rPr>
          <w:rFonts w:hint="eastAsia"/>
          <w:szCs w:val="21"/>
        </w:rPr>
        <w:t>，但在开课前要申请专业责任人批准。（正偏差指大纲知识点不变，新增知识点；负偏差是大纲知识点减少；置换偏差是指大纲中部分知识点被其它类似知识点替换）。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cs="黑体"/>
          <w:szCs w:val="21"/>
        </w:rPr>
        <w:t>四、教学内容和教学方法</w:t>
      </w:r>
    </w:p>
    <w:p>
      <w:pPr>
        <w:adjustRightInd w:val="0"/>
        <w:snapToGrid w:val="0"/>
        <w:spacing w:line="360" w:lineRule="auto"/>
        <w:ind w:firstLine="420" w:firstLineChars="200"/>
        <w:rPr>
          <w:szCs w:val="21"/>
        </w:rPr>
      </w:pPr>
      <w:r>
        <w:rPr>
          <w:rFonts w:hint="eastAsia"/>
          <w:szCs w:val="21"/>
        </w:rPr>
        <w:t>本课程重点讲授的内容包括：专业基本情况、专业课程特色、学生就业需求、专业建设发展等方面学生关心的问题进行介绍。</w:t>
      </w:r>
    </w:p>
    <w:p>
      <w:pPr>
        <w:adjustRightInd w:val="0"/>
        <w:snapToGrid w:val="0"/>
        <w:spacing w:line="360" w:lineRule="auto"/>
        <w:ind w:firstLine="420" w:firstLineChars="200"/>
        <w:rPr>
          <w:szCs w:val="21"/>
        </w:rPr>
      </w:pPr>
      <w:r>
        <w:rPr>
          <w:rFonts w:hint="eastAsia"/>
          <w:szCs w:val="21"/>
        </w:rPr>
        <w:t>本课程在教学方法上，可以包括参观实验室、讲座等形式。讲述过程要充分利用问题引导、案例分析等方法。此外，专业领域发展较快，教学过程中须实时更新内容，能够将前沿的相关科研成果引入教学过程，提高学生们的学习兴趣。</w:t>
      </w:r>
    </w:p>
    <w:p>
      <w:pPr>
        <w:adjustRightInd w:val="0"/>
        <w:snapToGrid w:val="0"/>
        <w:spacing w:line="360" w:lineRule="auto"/>
        <w:ind w:left="426"/>
        <w:jc w:val="left"/>
        <w:rPr>
          <w:rFonts w:eastAsia="黑体"/>
          <w:kern w:val="0"/>
          <w:szCs w:val="21"/>
          <w:lang w:val="zh-CN"/>
        </w:rPr>
      </w:pPr>
      <w:r>
        <w:rPr>
          <w:rFonts w:eastAsia="黑体"/>
          <w:szCs w:val="21"/>
        </w:rPr>
        <w:t xml:space="preserve">1 </w:t>
      </w:r>
      <w:r>
        <w:rPr>
          <w:rFonts w:hint="eastAsia" w:eastAsia="黑体" w:cs="黑体"/>
          <w:szCs w:val="21"/>
        </w:rPr>
        <w:t>专业介绍</w:t>
      </w:r>
      <w:r>
        <w:rPr>
          <w:rFonts w:hint="eastAsia" w:eastAsia="黑体" w:cs="黑体"/>
          <w:kern w:val="0"/>
          <w:szCs w:val="21"/>
          <w:lang w:val="zh-CN"/>
        </w:rPr>
        <w:t>（</w:t>
      </w:r>
      <w:r>
        <w:rPr>
          <w:rFonts w:eastAsia="黑体"/>
          <w:kern w:val="0"/>
          <w:szCs w:val="21"/>
          <w:lang w:val="zh-CN"/>
        </w:rPr>
        <w:t>4</w:t>
      </w:r>
      <w:r>
        <w:rPr>
          <w:rFonts w:hint="eastAsia" w:eastAsia="黑体" w:cs="黑体"/>
          <w:kern w:val="0"/>
          <w:szCs w:val="21"/>
          <w:lang w:val="zh-CN"/>
        </w:rPr>
        <w:t>学时）</w:t>
      </w:r>
      <w:r>
        <w:rPr>
          <w:rFonts w:eastAsia="黑体"/>
          <w:color w:val="FF0000"/>
          <w:kern w:val="0"/>
          <w:szCs w:val="21"/>
          <w:lang w:val="zh-CN"/>
        </w:rPr>
        <w:t xml:space="preserve"> </w:t>
      </w:r>
    </w:p>
    <w:p>
      <w:pPr>
        <w:adjustRightInd w:val="0"/>
        <w:snapToGrid w:val="0"/>
        <w:spacing w:line="360" w:lineRule="auto"/>
        <w:ind w:firstLine="420" w:firstLineChars="200"/>
        <w:rPr>
          <w:szCs w:val="21"/>
        </w:rPr>
      </w:pPr>
      <w:r>
        <w:rPr>
          <w:szCs w:val="21"/>
        </w:rPr>
        <w:t>1.1</w:t>
      </w:r>
      <w:r>
        <w:rPr>
          <w:rFonts w:hint="eastAsia"/>
          <w:szCs w:val="21"/>
        </w:rPr>
        <w:t>、测控、电科和微电专业的专业概况；</w:t>
      </w:r>
      <w:r>
        <w:rPr>
          <w:szCs w:val="21"/>
        </w:rPr>
        <w:t xml:space="preserve"> </w:t>
      </w:r>
    </w:p>
    <w:p>
      <w:pPr>
        <w:adjustRightInd w:val="0"/>
        <w:snapToGrid w:val="0"/>
        <w:spacing w:line="360" w:lineRule="auto"/>
        <w:ind w:firstLine="420" w:firstLineChars="200"/>
        <w:rPr>
          <w:szCs w:val="21"/>
        </w:rPr>
      </w:pPr>
      <w:r>
        <w:rPr>
          <w:szCs w:val="21"/>
        </w:rPr>
        <w:t>1.2</w:t>
      </w:r>
      <w:r>
        <w:rPr>
          <w:rFonts w:hint="eastAsia"/>
          <w:szCs w:val="21"/>
        </w:rPr>
        <w:t>、各专业的课程体系；</w:t>
      </w:r>
    </w:p>
    <w:p>
      <w:pPr>
        <w:adjustRightInd w:val="0"/>
        <w:snapToGrid w:val="0"/>
        <w:spacing w:line="360" w:lineRule="auto"/>
        <w:ind w:firstLine="420" w:firstLineChars="200"/>
        <w:rPr>
          <w:szCs w:val="21"/>
        </w:rPr>
      </w:pPr>
      <w:r>
        <w:rPr>
          <w:szCs w:val="21"/>
        </w:rPr>
        <w:t>1.3</w:t>
      </w:r>
      <w:r>
        <w:rPr>
          <w:rFonts w:hint="eastAsia"/>
          <w:szCs w:val="21"/>
        </w:rPr>
        <w:t>、各专业的就业需求；</w:t>
      </w:r>
    </w:p>
    <w:p>
      <w:pPr>
        <w:adjustRightInd w:val="0"/>
        <w:snapToGrid w:val="0"/>
        <w:spacing w:line="360" w:lineRule="auto"/>
        <w:ind w:firstLine="420" w:firstLineChars="200"/>
        <w:rPr>
          <w:szCs w:val="21"/>
        </w:rPr>
      </w:pPr>
      <w:r>
        <w:rPr>
          <w:szCs w:val="21"/>
        </w:rPr>
        <w:t>1.4</w:t>
      </w:r>
      <w:r>
        <w:rPr>
          <w:rFonts w:hint="eastAsia"/>
          <w:szCs w:val="21"/>
        </w:rPr>
        <w:t>、专业的内涵及发展；</w:t>
      </w:r>
    </w:p>
    <w:p>
      <w:pPr>
        <w:adjustRightInd w:val="0"/>
        <w:snapToGrid w:val="0"/>
        <w:spacing w:line="360" w:lineRule="auto"/>
        <w:ind w:firstLine="420" w:firstLineChars="200"/>
        <w:rPr>
          <w:szCs w:val="21"/>
        </w:rPr>
      </w:pPr>
      <w:r>
        <w:rPr>
          <w:rFonts w:hint="eastAsia"/>
          <w:szCs w:val="21"/>
        </w:rPr>
        <w:t>本章内容支撑课程目标</w:t>
      </w:r>
      <w:r>
        <w:rPr>
          <w:szCs w:val="21"/>
        </w:rPr>
        <w:t>1</w:t>
      </w:r>
      <w:r>
        <w:rPr>
          <w:rFonts w:hint="eastAsia"/>
          <w:szCs w:val="21"/>
        </w:rPr>
        <w:t>、</w:t>
      </w:r>
      <w:r>
        <w:rPr>
          <w:szCs w:val="21"/>
        </w:rPr>
        <w:t>2</w:t>
      </w:r>
      <w:r>
        <w:rPr>
          <w:rFonts w:hint="eastAsia"/>
          <w:szCs w:val="21"/>
        </w:rPr>
        <w:t>、</w:t>
      </w:r>
      <w:r>
        <w:rPr>
          <w:szCs w:val="21"/>
        </w:rPr>
        <w:t>3</w:t>
      </w:r>
      <w:r>
        <w:rPr>
          <w:rFonts w:hint="eastAsia"/>
          <w:szCs w:val="21"/>
        </w:rPr>
        <w:t>。</w:t>
      </w:r>
    </w:p>
    <w:p>
      <w:pPr>
        <w:adjustRightInd w:val="0"/>
        <w:snapToGrid w:val="0"/>
        <w:spacing w:line="360" w:lineRule="auto"/>
        <w:ind w:firstLine="422" w:firstLineChars="200"/>
        <w:rPr>
          <w:b/>
          <w:bCs/>
          <w:szCs w:val="21"/>
        </w:rPr>
      </w:pPr>
      <w:r>
        <w:rPr>
          <w:rFonts w:hint="eastAsia"/>
          <w:b/>
          <w:bCs/>
          <w:szCs w:val="21"/>
        </w:rPr>
        <w:t>思政元素：</w:t>
      </w:r>
    </w:p>
    <w:p>
      <w:pPr>
        <w:adjustRightInd w:val="0"/>
        <w:snapToGrid w:val="0"/>
        <w:spacing w:line="360" w:lineRule="auto"/>
        <w:ind w:firstLine="422" w:firstLineChars="200"/>
        <w:rPr>
          <w:b/>
          <w:bCs/>
          <w:szCs w:val="21"/>
        </w:rPr>
      </w:pPr>
      <w:r>
        <w:rPr>
          <w:rFonts w:hint="eastAsia"/>
          <w:b/>
          <w:bCs/>
          <w:szCs w:val="21"/>
        </w:rPr>
        <w:t>了解本专业的特色和服务领域，</w:t>
      </w:r>
      <w:r>
        <w:rPr>
          <w:b/>
          <w:bCs/>
          <w:szCs w:val="21"/>
        </w:rPr>
        <w:t>保持坚定正确的政治方向，明确自己的服务对象和历史使命；</w:t>
      </w:r>
    </w:p>
    <w:p>
      <w:pPr>
        <w:adjustRightInd w:val="0"/>
        <w:snapToGrid w:val="0"/>
        <w:spacing w:line="360" w:lineRule="auto"/>
        <w:ind w:firstLine="422" w:firstLineChars="200"/>
        <w:rPr>
          <w:b/>
          <w:bCs/>
          <w:szCs w:val="21"/>
        </w:rPr>
      </w:pPr>
      <w:r>
        <w:rPr>
          <w:rFonts w:hint="eastAsia"/>
          <w:b/>
          <w:bCs/>
          <w:szCs w:val="21"/>
        </w:rPr>
        <w:t>热爱专业，</w:t>
      </w:r>
      <w:r>
        <w:rPr>
          <w:b/>
          <w:bCs/>
          <w:szCs w:val="21"/>
        </w:rPr>
        <w:t>热爱祖国，热爱人民，以服务国防、服务社会为己任；</w:t>
      </w:r>
    </w:p>
    <w:p>
      <w:pPr>
        <w:adjustRightInd w:val="0"/>
        <w:snapToGrid w:val="0"/>
        <w:spacing w:line="360" w:lineRule="auto"/>
        <w:ind w:firstLine="420" w:firstLineChars="200"/>
        <w:rPr>
          <w:szCs w:val="21"/>
        </w:rPr>
      </w:pPr>
    </w:p>
    <w:p>
      <w:pPr>
        <w:adjustRightInd w:val="0"/>
        <w:snapToGrid w:val="0"/>
        <w:spacing w:line="360" w:lineRule="auto"/>
        <w:ind w:left="426"/>
        <w:jc w:val="left"/>
        <w:rPr>
          <w:szCs w:val="21"/>
        </w:rPr>
      </w:pPr>
      <w:r>
        <w:rPr>
          <w:szCs w:val="21"/>
        </w:rPr>
        <w:t xml:space="preserve">2 </w:t>
      </w:r>
      <w:r>
        <w:rPr>
          <w:rFonts w:hint="eastAsia" w:eastAsia="黑体" w:cs="黑体"/>
          <w:szCs w:val="21"/>
        </w:rPr>
        <w:t>参观学习</w:t>
      </w:r>
      <w:r>
        <w:rPr>
          <w:rFonts w:hint="eastAsia" w:eastAsia="黑体" w:cs="黑体"/>
          <w:kern w:val="0"/>
          <w:szCs w:val="21"/>
          <w:lang w:val="zh-CN"/>
        </w:rPr>
        <w:t>（</w:t>
      </w:r>
      <w:r>
        <w:rPr>
          <w:rFonts w:eastAsia="黑体"/>
          <w:kern w:val="0"/>
          <w:szCs w:val="21"/>
          <w:lang w:val="zh-CN"/>
        </w:rPr>
        <w:t>4</w:t>
      </w:r>
      <w:r>
        <w:rPr>
          <w:rFonts w:hint="eastAsia" w:eastAsia="黑体" w:cs="黑体"/>
          <w:kern w:val="0"/>
          <w:szCs w:val="21"/>
          <w:lang w:val="zh-CN"/>
        </w:rPr>
        <w:t>学时）</w:t>
      </w:r>
    </w:p>
    <w:p>
      <w:pPr>
        <w:adjustRightInd w:val="0"/>
        <w:snapToGrid w:val="0"/>
        <w:spacing w:line="360" w:lineRule="auto"/>
        <w:ind w:firstLine="420" w:firstLineChars="200"/>
        <w:rPr>
          <w:szCs w:val="21"/>
        </w:rPr>
      </w:pPr>
      <w:r>
        <w:rPr>
          <w:szCs w:val="21"/>
        </w:rPr>
        <w:t>2.1</w:t>
      </w:r>
      <w:r>
        <w:rPr>
          <w:rFonts w:hint="eastAsia"/>
          <w:szCs w:val="21"/>
        </w:rPr>
        <w:t>、参观专业实验室及学生创新实验室；</w:t>
      </w:r>
      <w:r>
        <w:rPr>
          <w:szCs w:val="21"/>
        </w:rPr>
        <w:t xml:space="preserve"> </w:t>
      </w:r>
    </w:p>
    <w:p>
      <w:pPr>
        <w:adjustRightInd w:val="0"/>
        <w:snapToGrid w:val="0"/>
        <w:spacing w:line="360" w:lineRule="auto"/>
        <w:ind w:firstLine="420" w:firstLineChars="200"/>
        <w:rPr>
          <w:szCs w:val="21"/>
        </w:rPr>
      </w:pPr>
      <w:r>
        <w:rPr>
          <w:szCs w:val="21"/>
        </w:rPr>
        <w:t>2.2</w:t>
      </w:r>
      <w:r>
        <w:rPr>
          <w:rFonts w:hint="eastAsia"/>
          <w:szCs w:val="21"/>
        </w:rPr>
        <w:t>、介绍大学生创新活动；</w:t>
      </w:r>
      <w:r>
        <w:rPr>
          <w:szCs w:val="21"/>
        </w:rPr>
        <w:t xml:space="preserve"> </w:t>
      </w:r>
    </w:p>
    <w:p>
      <w:pPr>
        <w:adjustRightInd w:val="0"/>
        <w:snapToGrid w:val="0"/>
        <w:spacing w:line="360" w:lineRule="auto"/>
        <w:ind w:firstLine="422" w:firstLineChars="200"/>
        <w:rPr>
          <w:b/>
          <w:bCs/>
          <w:szCs w:val="21"/>
        </w:rPr>
      </w:pPr>
      <w:r>
        <w:rPr>
          <w:rFonts w:hint="eastAsia"/>
          <w:b/>
          <w:bCs/>
          <w:szCs w:val="21"/>
        </w:rPr>
        <w:t>思政元素：</w:t>
      </w:r>
    </w:p>
    <w:p>
      <w:pPr>
        <w:adjustRightInd w:val="0"/>
        <w:snapToGrid w:val="0"/>
        <w:spacing w:line="360" w:lineRule="auto"/>
        <w:ind w:firstLine="422" w:firstLineChars="200"/>
        <w:rPr>
          <w:b/>
          <w:bCs/>
          <w:szCs w:val="21"/>
        </w:rPr>
      </w:pPr>
      <w:r>
        <w:rPr>
          <w:rFonts w:hint="eastAsia"/>
          <w:b/>
          <w:bCs/>
          <w:szCs w:val="21"/>
        </w:rPr>
        <w:t>培养敬业精神，学习实验室学生的先进事迹</w:t>
      </w:r>
      <w:r>
        <w:rPr>
          <w:b/>
          <w:bCs/>
          <w:szCs w:val="21"/>
        </w:rPr>
        <w:t>，</w:t>
      </w:r>
      <w:r>
        <w:rPr>
          <w:rFonts w:hint="eastAsia"/>
          <w:b/>
          <w:bCs/>
          <w:szCs w:val="21"/>
        </w:rPr>
        <w:t>了解</w:t>
      </w:r>
      <w:r>
        <w:rPr>
          <w:b/>
          <w:bCs/>
          <w:szCs w:val="21"/>
        </w:rPr>
        <w:t>自主学习</w:t>
      </w:r>
      <w:r>
        <w:rPr>
          <w:rFonts w:hint="eastAsia"/>
          <w:b/>
          <w:bCs/>
          <w:szCs w:val="21"/>
        </w:rPr>
        <w:t>的重要性。</w:t>
      </w:r>
    </w:p>
    <w:p>
      <w:pPr>
        <w:adjustRightInd w:val="0"/>
        <w:snapToGrid w:val="0"/>
        <w:spacing w:line="360" w:lineRule="auto"/>
        <w:ind w:firstLine="420" w:firstLineChars="200"/>
        <w:rPr>
          <w:szCs w:val="21"/>
        </w:rPr>
      </w:pPr>
    </w:p>
    <w:p>
      <w:pPr>
        <w:adjustRightInd w:val="0"/>
        <w:snapToGrid w:val="0"/>
        <w:spacing w:line="360" w:lineRule="auto"/>
        <w:rPr>
          <w:rFonts w:eastAsia="黑体"/>
          <w:kern w:val="0"/>
          <w:szCs w:val="21"/>
        </w:rPr>
      </w:pPr>
      <w:r>
        <w:rPr>
          <w:rFonts w:hint="eastAsia" w:eastAsia="黑体" w:cs="黑体"/>
          <w:szCs w:val="21"/>
        </w:rPr>
        <w:t>五</w:t>
      </w:r>
      <w:r>
        <w:rPr>
          <w:rFonts w:hint="eastAsia" w:eastAsia="黑体" w:cs="黑体"/>
          <w:kern w:val="0"/>
          <w:szCs w:val="21"/>
        </w:rPr>
        <w:t>、学时分配</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7"/>
        <w:gridCol w:w="1614"/>
        <w:gridCol w:w="163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jc w:val="center"/>
              <w:rPr>
                <w:rFonts w:ascii="宋体" w:hAnsi="宋体" w:cs="宋体"/>
                <w:sz w:val="18"/>
                <w:szCs w:val="18"/>
              </w:rPr>
            </w:pPr>
            <w:r>
              <w:rPr>
                <w:rFonts w:hint="eastAsia" w:ascii="宋体" w:hAnsi="宋体" w:cs="宋体"/>
                <w:sz w:val="18"/>
                <w:szCs w:val="18"/>
              </w:rPr>
              <w:t>知识点及内容</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sz w:val="18"/>
                <w:szCs w:val="18"/>
              </w:rPr>
            </w:pPr>
            <w:r>
              <w:rPr>
                <w:rFonts w:hint="eastAsia" w:ascii="宋体" w:hAnsi="宋体" w:cs="宋体"/>
                <w:sz w:val="18"/>
                <w:szCs w:val="18"/>
              </w:rPr>
              <w:t>讲授（学时）</w:t>
            </w:r>
          </w:p>
        </w:tc>
        <w:tc>
          <w:tcPr>
            <w:tcW w:w="98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sz w:val="18"/>
                <w:szCs w:val="18"/>
              </w:rPr>
            </w:pPr>
            <w:r>
              <w:rPr>
                <w:rFonts w:hint="eastAsia" w:ascii="宋体" w:hAnsi="宋体" w:cs="宋体"/>
                <w:sz w:val="18"/>
                <w:szCs w:val="18"/>
              </w:rPr>
              <w:t>实践（学时）</w:t>
            </w:r>
          </w:p>
        </w:tc>
        <w:tc>
          <w:tcPr>
            <w:tcW w:w="804" w:type="pct"/>
            <w:tcBorders>
              <w:top w:val="single" w:color="auto" w:sz="4" w:space="0"/>
              <w:left w:val="single" w:color="auto" w:sz="4" w:space="0"/>
              <w:bottom w:val="single" w:color="auto" w:sz="4" w:space="0"/>
              <w:right w:val="nil"/>
            </w:tcBorders>
            <w:shd w:val="clear" w:color="auto" w:fill="auto"/>
            <w:vAlign w:val="center"/>
          </w:tcPr>
          <w:p>
            <w:pPr>
              <w:adjustRightInd w:val="0"/>
              <w:snapToGrid w:val="0"/>
              <w:jc w:val="center"/>
              <w:rPr>
                <w:rFonts w:ascii="宋体" w:hAnsi="宋体" w:cs="宋体"/>
                <w:sz w:val="18"/>
                <w:szCs w:val="18"/>
              </w:rPr>
            </w:pPr>
            <w:r>
              <w:rPr>
                <w:rFonts w:hint="eastAsia" w:ascii="宋体" w:hAnsi="宋体" w:cs="宋体"/>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tcBorders>
              <w:top w:val="single" w:color="auto" w:sz="4" w:space="0"/>
              <w:left w:val="nil"/>
              <w:bottom w:val="single" w:color="auto" w:sz="4" w:space="0"/>
              <w:right w:val="single" w:color="auto" w:sz="4" w:space="0"/>
            </w:tcBorders>
            <w:shd w:val="clear" w:color="auto" w:fill="auto"/>
            <w:vAlign w:val="center"/>
          </w:tcPr>
          <w:p>
            <w:pPr>
              <w:widowControl/>
              <w:snapToGrid w:val="0"/>
              <w:ind w:left="218" w:leftChars="104"/>
              <w:jc w:val="left"/>
              <w:rPr>
                <w:rFonts w:ascii="宋体" w:hAnsi="宋体" w:cs="宋体"/>
                <w:snapToGrid w:val="0"/>
                <w:kern w:val="0"/>
                <w:sz w:val="18"/>
                <w:szCs w:val="18"/>
              </w:rPr>
            </w:pPr>
            <w:r>
              <w:rPr>
                <w:rFonts w:hint="eastAsia" w:ascii="宋体" w:hAnsi="宋体" w:cs="宋体"/>
                <w:kern w:val="0"/>
                <w:sz w:val="18"/>
                <w:szCs w:val="18"/>
              </w:rPr>
              <w:t>1专业介绍</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c>
          <w:tcPr>
            <w:tcW w:w="9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tcBorders>
              <w:top w:val="single" w:color="auto" w:sz="4" w:space="0"/>
              <w:left w:val="nil"/>
              <w:bottom w:val="single" w:color="auto" w:sz="4" w:space="0"/>
              <w:right w:val="single" w:color="auto" w:sz="4" w:space="0"/>
            </w:tcBorders>
            <w:shd w:val="clear" w:color="auto" w:fill="auto"/>
            <w:vAlign w:val="center"/>
          </w:tcPr>
          <w:p>
            <w:pPr>
              <w:widowControl/>
              <w:snapToGrid w:val="0"/>
              <w:ind w:left="218" w:leftChars="104"/>
              <w:jc w:val="left"/>
              <w:rPr>
                <w:rFonts w:ascii="宋体" w:hAnsi="宋体" w:cs="宋体"/>
                <w:kern w:val="0"/>
                <w:sz w:val="18"/>
                <w:szCs w:val="18"/>
              </w:rPr>
            </w:pPr>
            <w:r>
              <w:rPr>
                <w:rFonts w:hint="eastAsia" w:ascii="宋体" w:hAnsi="宋体" w:cs="宋体"/>
                <w:kern w:val="0"/>
                <w:sz w:val="18"/>
                <w:szCs w:val="18"/>
              </w:rPr>
              <w:t>2参观学习</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9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cs="宋体"/>
                <w:kern w:val="0"/>
                <w:sz w:val="18"/>
                <w:szCs w:val="18"/>
              </w:rPr>
            </w:pPr>
            <w:r>
              <w:rPr>
                <w:rFonts w:hint="eastAsia" w:ascii="宋体" w:hAnsi="宋体" w:cs="宋体"/>
                <w:kern w:val="0"/>
                <w:sz w:val="18"/>
                <w:szCs w:val="18"/>
              </w:rPr>
              <w:t>4</w:t>
            </w:r>
          </w:p>
        </w:tc>
        <w:tc>
          <w:tcPr>
            <w:tcW w:w="804" w:type="pct"/>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宋体" w:hAnsi="宋体" w:cs="宋体"/>
                <w:kern w:val="0"/>
                <w:sz w:val="18"/>
                <w:szCs w:val="18"/>
              </w:rPr>
            </w:pPr>
            <w:r>
              <w:rPr>
                <w:rFonts w:hint="eastAsia" w:ascii="宋体" w:hAnsi="宋体" w:cs="宋体"/>
                <w:kern w:val="0"/>
                <w:sz w:val="18"/>
                <w:szCs w:val="18"/>
              </w:rPr>
              <w:t>合计</w:t>
            </w:r>
          </w:p>
        </w:tc>
        <w:tc>
          <w:tcPr>
            <w:tcW w:w="9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c>
          <w:tcPr>
            <w:tcW w:w="9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c>
          <w:tcPr>
            <w:tcW w:w="804" w:type="pct"/>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8</w:t>
            </w:r>
          </w:p>
        </w:tc>
      </w:tr>
    </w:tbl>
    <w:p>
      <w:pPr>
        <w:adjustRightInd w:val="0"/>
        <w:snapToGrid w:val="0"/>
        <w:spacing w:line="360" w:lineRule="auto"/>
        <w:rPr>
          <w:b/>
          <w:sz w:val="24"/>
          <w:szCs w:val="24"/>
        </w:rPr>
      </w:pPr>
    </w:p>
    <w:p>
      <w:pPr>
        <w:tabs>
          <w:tab w:val="left" w:pos="420"/>
        </w:tabs>
        <w:spacing w:line="360" w:lineRule="auto"/>
        <w:ind w:left="420" w:hanging="420"/>
        <w:rPr>
          <w:rFonts w:eastAsia="黑体"/>
          <w:szCs w:val="24"/>
        </w:rPr>
      </w:pPr>
      <w:r>
        <w:rPr>
          <w:rFonts w:hint="eastAsia" w:eastAsia="黑体" w:cs="黑体"/>
          <w:szCs w:val="24"/>
        </w:rPr>
        <w:t>七、教材、补充教材及参考资料</w:t>
      </w:r>
    </w:p>
    <w:p>
      <w:pPr>
        <w:adjustRightInd w:val="0"/>
        <w:snapToGrid w:val="0"/>
        <w:spacing w:line="360" w:lineRule="auto"/>
        <w:ind w:firstLine="420" w:firstLineChars="200"/>
        <w:rPr>
          <w:szCs w:val="21"/>
        </w:rPr>
      </w:pPr>
      <w:r>
        <w:rPr>
          <w:szCs w:val="21"/>
        </w:rPr>
        <w:t>1</w:t>
      </w:r>
      <w:r>
        <w:rPr>
          <w:rFonts w:hint="eastAsia"/>
          <w:szCs w:val="21"/>
        </w:rPr>
        <w:t>、《微电子制造技术概论》，严利人、周卫、刘道广主编，清华大学出版社，</w:t>
      </w:r>
      <w:r>
        <w:rPr>
          <w:szCs w:val="21"/>
        </w:rPr>
        <w:t xml:space="preserve">2010.03. </w:t>
      </w:r>
    </w:p>
    <w:p>
      <w:pPr>
        <w:adjustRightInd w:val="0"/>
        <w:snapToGrid w:val="0"/>
        <w:spacing w:line="360" w:lineRule="auto"/>
        <w:ind w:firstLine="420" w:firstLineChars="200"/>
        <w:rPr>
          <w:szCs w:val="21"/>
        </w:rPr>
      </w:pPr>
      <w:r>
        <w:rPr>
          <w:szCs w:val="21"/>
        </w:rPr>
        <w:t>2</w:t>
      </w:r>
      <w:r>
        <w:rPr>
          <w:rFonts w:hint="eastAsia"/>
          <w:szCs w:val="21"/>
        </w:rPr>
        <w:t>、视频资料：《测控的奥妙》，网易公开课，资料链接：</w:t>
      </w:r>
      <w:r>
        <w:rPr>
          <w:szCs w:val="21"/>
        </w:rPr>
        <w:t xml:space="preserve"> </w:t>
      </w:r>
      <w:r>
        <w:fldChar w:fldCharType="begin"/>
      </w:r>
      <w:r>
        <w:instrText xml:space="preserve"> HYPERLINK "http://open.163.com/newview/" </w:instrText>
      </w:r>
      <w:r>
        <w:fldChar w:fldCharType="separate"/>
      </w:r>
      <w:r>
        <w:rPr>
          <w:rStyle w:val="27"/>
          <w:szCs w:val="21"/>
        </w:rPr>
        <w:t>http://open.163.com/newview/</w:t>
      </w:r>
      <w:r>
        <w:rPr>
          <w:rStyle w:val="27"/>
          <w:szCs w:val="21"/>
        </w:rPr>
        <w:fldChar w:fldCharType="end"/>
      </w:r>
      <w:r>
        <w:rPr>
          <w:rFonts w:hint="eastAsia"/>
          <w:szCs w:val="21"/>
        </w:rPr>
        <w:t xml:space="preserve"> </w:t>
      </w:r>
      <w:r>
        <w:rPr>
          <w:szCs w:val="21"/>
        </w:rPr>
        <w:t>movie/courseintro?newurl=/special/cuvocw/cekongaomi.html</w:t>
      </w:r>
      <w:r>
        <w:rPr>
          <w:rFonts w:hint="eastAsia"/>
          <w:szCs w:val="21"/>
        </w:rPr>
        <w:t>。</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cs="黑体"/>
          <w:szCs w:val="24"/>
        </w:rPr>
        <w:t>八、课程目标达成的途径和措施</w:t>
      </w:r>
    </w:p>
    <w:p>
      <w:pPr>
        <w:adjustRightInd w:val="0"/>
        <w:snapToGrid w:val="0"/>
        <w:spacing w:line="360" w:lineRule="auto"/>
        <w:ind w:firstLine="420" w:firstLineChars="200"/>
        <w:rPr>
          <w:szCs w:val="21"/>
        </w:rPr>
      </w:pPr>
      <w:r>
        <w:rPr>
          <w:szCs w:val="21"/>
        </w:rPr>
        <w:t>1</w:t>
      </w:r>
      <w:r>
        <w:rPr>
          <w:rFonts w:hint="eastAsia"/>
          <w:szCs w:val="21"/>
        </w:rPr>
        <w:t>、考核目标：在考核学生对光电探测器中的常见光源，光电导探测器，光伏探测器，光电子发射探测器，热探测器，光电图像探测器等基本理论知识和应用技术的基础上，重点考核学生对典型光电器件的基本原理结构、特性参数和典型应用的理解，并能设计简单的测试系统，通过对领域最新进展的调研，提出改善和优化方法。</w:t>
      </w:r>
    </w:p>
    <w:p>
      <w:pPr>
        <w:adjustRightInd w:val="0"/>
        <w:snapToGrid w:val="0"/>
        <w:spacing w:line="360" w:lineRule="auto"/>
        <w:ind w:firstLine="420" w:firstLineChars="200"/>
        <w:rPr>
          <w:szCs w:val="21"/>
        </w:rPr>
      </w:pPr>
      <w:r>
        <w:rPr>
          <w:szCs w:val="21"/>
        </w:rPr>
        <w:t>2</w:t>
      </w:r>
      <w:r>
        <w:rPr>
          <w:rFonts w:hint="eastAsia"/>
          <w:szCs w:val="21"/>
        </w:rPr>
        <w:t>、考核方式：课堂情况、作业、实验、课程考查报告。</w:t>
      </w:r>
    </w:p>
    <w:p>
      <w:pPr>
        <w:adjustRightInd w:val="0"/>
        <w:snapToGrid w:val="0"/>
        <w:spacing w:line="360" w:lineRule="auto"/>
        <w:ind w:firstLine="420" w:firstLineChars="200"/>
        <w:rPr>
          <w:szCs w:val="21"/>
        </w:rPr>
      </w:pPr>
      <w:r>
        <w:rPr>
          <w:szCs w:val="21"/>
        </w:rPr>
        <w:t>3</w:t>
      </w:r>
      <w:r>
        <w:rPr>
          <w:rFonts w:hint="eastAsia"/>
          <w:szCs w:val="21"/>
        </w:rPr>
        <w:t>、评价环节对课程目标达成贡献率及支撑材料：</w:t>
      </w:r>
      <w:r>
        <w:rPr>
          <w:szCs w:val="21"/>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1"/>
        <w:gridCol w:w="2552"/>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考察环节</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课堂情况</w:t>
            </w:r>
          </w:p>
        </w:tc>
        <w:tc>
          <w:tcPr>
            <w:tcW w:w="2163"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课程考查报告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课程目标达成</w:t>
            </w:r>
          </w:p>
          <w:p>
            <w:pPr>
              <w:widowControl/>
              <w:jc w:val="center"/>
              <w:rPr>
                <w:rFonts w:ascii="宋体" w:hAnsi="宋体" w:cs="宋体"/>
                <w:kern w:val="0"/>
                <w:sz w:val="18"/>
                <w:szCs w:val="18"/>
              </w:rPr>
            </w:pPr>
            <w:r>
              <w:rPr>
                <w:rFonts w:hint="eastAsia" w:ascii="宋体" w:hAnsi="宋体" w:cs="宋体"/>
                <w:kern w:val="0"/>
                <w:sz w:val="18"/>
                <w:szCs w:val="18"/>
              </w:rPr>
              <w:t>的贡献率</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0.35</w:t>
            </w:r>
          </w:p>
        </w:tc>
        <w:tc>
          <w:tcPr>
            <w:tcW w:w="2163" w:type="pct"/>
            <w:tcBorders>
              <w:top w:val="single" w:color="auto" w:sz="4" w:space="0"/>
              <w:left w:val="single" w:color="auto" w:sz="4" w:space="0"/>
              <w:bottom w:val="single" w:color="auto" w:sz="4" w:space="0"/>
              <w:right w:val="nil"/>
            </w:tcBorders>
            <w:shd w:val="clear" w:color="auto" w:fill="auto"/>
            <w:vAlign w:val="center"/>
          </w:tcPr>
          <w:p>
            <w:pPr>
              <w:jc w:val="center"/>
              <w:rPr>
                <w:rFonts w:ascii="宋体" w:hAnsi="宋体" w:cs="宋体"/>
                <w:sz w:val="18"/>
                <w:szCs w:val="18"/>
              </w:rPr>
            </w:pPr>
            <w:r>
              <w:rPr>
                <w:rFonts w:hint="eastAsia" w:ascii="宋体" w:hAnsi="宋体" w:cs="宋体"/>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支撑材料</w:t>
            </w:r>
          </w:p>
        </w:tc>
        <w:tc>
          <w:tcPr>
            <w:tcW w:w="15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出勤率 </w:t>
            </w:r>
          </w:p>
        </w:tc>
        <w:tc>
          <w:tcPr>
            <w:tcW w:w="2163"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课程考查报告评分标准，实习报告</w:t>
            </w:r>
          </w:p>
        </w:tc>
      </w:tr>
    </w:tbl>
    <w:p>
      <w:pPr>
        <w:rPr>
          <w:rFonts w:eastAsia="黑体"/>
          <w:szCs w:val="24"/>
        </w:rPr>
      </w:pPr>
    </w:p>
    <w:p>
      <w:pPr>
        <w:spacing w:line="360" w:lineRule="auto"/>
        <w:ind w:firstLine="420" w:firstLineChars="200"/>
        <w:rPr>
          <w:rFonts w:ascii="宋体" w:hAnsi="宋体" w:cs="宋体"/>
          <w:color w:val="0000FF"/>
          <w:szCs w:val="21"/>
        </w:rPr>
      </w:pPr>
    </w:p>
    <w:p>
      <w:pPr>
        <w:spacing w:line="360" w:lineRule="auto"/>
        <w:ind w:firstLine="420" w:firstLineChars="200"/>
        <w:rPr>
          <w:rFonts w:ascii="宋体" w:hAnsi="宋体" w:cs="宋体"/>
          <w:color w:val="0000FF"/>
          <w:szCs w:val="21"/>
        </w:rPr>
      </w:pPr>
    </w:p>
    <w:p>
      <w:pPr>
        <w:spacing w:line="360" w:lineRule="auto"/>
        <w:ind w:firstLine="420" w:firstLineChars="200"/>
        <w:rPr>
          <w:rFonts w:ascii="宋体" w:hAnsi="宋体" w:cs="宋体"/>
          <w:color w:val="0000FF"/>
          <w:szCs w:val="21"/>
        </w:rPr>
      </w:pPr>
    </w:p>
    <w:p>
      <w:pPr>
        <w:spacing w:line="360" w:lineRule="auto"/>
        <w:rPr>
          <w:rFonts w:ascii="宋体" w:hAnsi="宋体" w:cs="宋体"/>
          <w:color w:val="0000FF"/>
          <w:szCs w:val="21"/>
        </w:rPr>
        <w:sectPr>
          <w:pgSz w:w="11906" w:h="16838"/>
          <w:pgMar w:top="1440" w:right="1797" w:bottom="1440" w:left="1797" w:header="851" w:footer="992" w:gutter="0"/>
          <w:cols w:space="720" w:num="1"/>
          <w:docGrid w:type="lines"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cs="黑体"/>
          <w:szCs w:val="24"/>
        </w:rPr>
        <w:t>十、课程目标达成评价</w:t>
      </w:r>
    </w:p>
    <w:p>
      <w:pPr>
        <w:spacing w:line="360" w:lineRule="auto"/>
        <w:ind w:firstLine="420" w:firstLineChars="200"/>
        <w:jc w:val="center"/>
      </w:pPr>
      <w:r>
        <w:rPr>
          <w:rFonts w:hint="eastAsia" w:cs="宋体"/>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1407"/>
        <w:gridCol w:w="2181"/>
        <w:gridCol w:w="1693"/>
        <w:gridCol w:w="1696"/>
        <w:gridCol w:w="1663"/>
        <w:gridCol w:w="1584"/>
        <w:gridCol w:w="1640"/>
        <w:gridCol w:w="2084"/>
      </w:tblGrid>
      <w:tr>
        <w:tblPrEx>
          <w:tblCellMar>
            <w:top w:w="0" w:type="dxa"/>
            <w:left w:w="108" w:type="dxa"/>
            <w:bottom w:w="0" w:type="dxa"/>
            <w:right w:w="108" w:type="dxa"/>
          </w:tblCellMar>
        </w:tblPrEx>
        <w:trPr>
          <w:trHeight w:val="873" w:hRule="atLeast"/>
          <w:jc w:val="center"/>
        </w:trPr>
        <w:tc>
          <w:tcPr>
            <w:tcW w:w="5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课程目标</w:t>
            </w:r>
          </w:p>
        </w:tc>
        <w:tc>
          <w:tcPr>
            <w:tcW w:w="7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知识面比例</w:t>
            </w:r>
          </w:p>
          <w:p>
            <w:pPr>
              <w:widowControl/>
              <w:jc w:val="center"/>
              <w:rPr>
                <w:kern w:val="0"/>
                <w:sz w:val="18"/>
                <w:szCs w:val="18"/>
              </w:rPr>
            </w:pPr>
            <w:r>
              <w:rPr>
                <w:rFonts w:hint="eastAsia" w:cs="宋体"/>
                <w:kern w:val="0"/>
                <w:sz w:val="18"/>
                <w:szCs w:val="18"/>
              </w:rPr>
              <w:t>（本列总和为</w:t>
            </w:r>
            <w:r>
              <w:rPr>
                <w:kern w:val="0"/>
                <w:sz w:val="18"/>
                <w:szCs w:val="18"/>
              </w:rPr>
              <w:t>1</w:t>
            </w:r>
            <w:r>
              <w:rPr>
                <w:rFonts w:hint="eastAsia" w:cs="宋体"/>
                <w:kern w:val="0"/>
                <w:sz w:val="18"/>
                <w:szCs w:val="18"/>
              </w:rPr>
              <w:t>）</w:t>
            </w:r>
          </w:p>
          <w:p>
            <w:pPr>
              <w:widowControl/>
              <w:jc w:val="center"/>
              <w:rPr>
                <w:i/>
                <w:kern w:val="0"/>
                <w:sz w:val="18"/>
                <w:szCs w:val="18"/>
              </w:rPr>
            </w:pPr>
            <w:r>
              <w:rPr>
                <w:i/>
                <w:kern w:val="0"/>
                <w:sz w:val="18"/>
                <w:szCs w:val="18"/>
              </w:rPr>
              <w:t>P</w:t>
            </w:r>
            <w:r>
              <w:rPr>
                <w:i/>
                <w:kern w:val="0"/>
                <w:sz w:val="18"/>
                <w:szCs w:val="18"/>
                <w:vertAlign w:val="subscript"/>
              </w:rPr>
              <w:t>i</w:t>
            </w:r>
          </w:p>
        </w:tc>
        <w:tc>
          <w:tcPr>
            <w:tcW w:w="12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sz w:val="18"/>
                <w:szCs w:val="18"/>
              </w:rPr>
              <w:t>各环节评价比例分配</w:t>
            </w:r>
            <w:r>
              <w:rPr>
                <w:sz w:val="18"/>
                <w:szCs w:val="18"/>
              </w:rPr>
              <w:br w:type="textWrapping"/>
            </w:r>
            <w:r>
              <w:rPr>
                <w:rFonts w:hint="eastAsia" w:cs="宋体"/>
                <w:sz w:val="18"/>
                <w:szCs w:val="18"/>
              </w:rPr>
              <w:t>（每行总和为</w:t>
            </w:r>
            <w:r>
              <w:rPr>
                <w:sz w:val="18"/>
                <w:szCs w:val="18"/>
              </w:rPr>
              <w:t>1</w:t>
            </w:r>
            <w:r>
              <w:rPr>
                <w:rFonts w:hint="eastAsia" w:cs="宋体"/>
                <w:sz w:val="18"/>
                <w:szCs w:val="18"/>
              </w:rPr>
              <w:t>）</w:t>
            </w:r>
            <w:r>
              <w:rPr>
                <w:sz w:val="18"/>
                <w:szCs w:val="18"/>
              </w:rPr>
              <w:br w:type="textWrapping"/>
            </w:r>
            <w:r>
              <w:rPr>
                <w:i/>
                <w:sz w:val="18"/>
                <w:szCs w:val="18"/>
              </w:rPr>
              <w:t>W</w:t>
            </w:r>
            <w:r>
              <w:rPr>
                <w:i/>
                <w:sz w:val="18"/>
                <w:szCs w:val="18"/>
                <w:vertAlign w:val="subscript"/>
              </w:rPr>
              <w:t>ik</w:t>
            </w:r>
          </w:p>
        </w:tc>
        <w:tc>
          <w:tcPr>
            <w:tcW w:w="1163" w:type="pct"/>
            <w:gridSpan w:val="2"/>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rFonts w:hint="eastAsia" w:cs="宋体"/>
                <w:sz w:val="18"/>
                <w:szCs w:val="18"/>
              </w:rPr>
              <w:t>各环节在课程达成中的占比</w:t>
            </w:r>
            <w:r>
              <w:rPr>
                <w:sz w:val="18"/>
                <w:szCs w:val="18"/>
              </w:rPr>
              <w:br w:type="textWrapping"/>
            </w:r>
            <w:r>
              <w:rPr>
                <w:rFonts w:hint="eastAsia" w:cs="宋体"/>
                <w:sz w:val="18"/>
                <w:szCs w:val="18"/>
              </w:rPr>
              <w:t>（所有行列总和为</w:t>
            </w:r>
            <w:r>
              <w:rPr>
                <w:sz w:val="18"/>
                <w:szCs w:val="18"/>
              </w:rPr>
              <w:t>1</w:t>
            </w:r>
            <w:r>
              <w:rPr>
                <w:rFonts w:hint="eastAsia" w:cs="宋体"/>
                <w:sz w:val="18"/>
                <w:szCs w:val="18"/>
              </w:rPr>
              <w:t>）</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336" w:type="pct"/>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 w:val="18"/>
                <w:szCs w:val="18"/>
              </w:rPr>
            </w:pPr>
            <w:r>
              <w:rPr>
                <w:rFonts w:hint="eastAsia" w:ascii="宋体" w:hAnsi="宋体" w:cs="宋体"/>
                <w:sz w:val="18"/>
                <w:szCs w:val="18"/>
              </w:rPr>
              <w:t>各环节课程目标考核权重分布</w:t>
            </w:r>
          </w:p>
          <w:p>
            <w:pPr>
              <w:jc w:val="center"/>
              <w:rPr>
                <w:rFonts w:ascii="宋体" w:hAnsi="宋体" w:cs="宋体"/>
                <w:sz w:val="18"/>
                <w:szCs w:val="18"/>
              </w:rPr>
            </w:pPr>
            <w:r>
              <w:rPr>
                <w:rFonts w:hint="eastAsia" w:ascii="宋体" w:hAnsi="宋体" w:cs="宋体"/>
                <w:sz w:val="18"/>
                <w:szCs w:val="18"/>
              </w:rPr>
              <w:t>（每一列总和为1）</w:t>
            </w:r>
          </w:p>
          <w:p>
            <w:pPr>
              <w:jc w:val="center"/>
              <w:rPr>
                <w:sz w:val="18"/>
                <w:szCs w:val="18"/>
              </w:rPr>
            </w:pPr>
            <w:r>
              <w:rPr>
                <w:rFonts w:hint="eastAsia" w:ascii="宋体" w:hAnsi="宋体" w:cs="宋体"/>
                <w:i/>
                <w:sz w:val="18"/>
                <w:szCs w:val="18"/>
              </w:rPr>
              <w:t>E</w:t>
            </w:r>
            <w:r>
              <w:rPr>
                <w:rFonts w:hint="eastAsia" w:ascii="宋体" w:hAnsi="宋体" w:cs="宋体"/>
                <w:i/>
                <w:sz w:val="18"/>
                <w:szCs w:val="18"/>
                <w:vertAlign w:val="subscript"/>
              </w:rPr>
              <w:t>ik</w:t>
            </w:r>
            <w:r>
              <w:rPr>
                <w:rFonts w:hint="eastAsia" w:ascii="宋体" w:hAnsi="宋体" w:cs="宋体"/>
                <w:i/>
                <w:sz w:val="18"/>
                <w:szCs w:val="18"/>
              </w:rPr>
              <w:t>=S</w:t>
            </w:r>
            <w:r>
              <w:rPr>
                <w:rFonts w:hint="eastAsia" w:ascii="宋体" w:hAnsi="宋体" w:cs="宋体"/>
                <w:i/>
                <w:sz w:val="18"/>
                <w:szCs w:val="18"/>
                <w:vertAlign w:val="subscript"/>
              </w:rPr>
              <w:t>ik</w:t>
            </w:r>
            <w:r>
              <w:rPr>
                <w:rFonts w:hint="eastAsia" w:ascii="宋体" w:hAnsi="宋体" w:cs="宋体"/>
                <w:i/>
                <w:sz w:val="18"/>
                <w:szCs w:val="18"/>
              </w:rPr>
              <w:t>/M</w:t>
            </w:r>
            <w:r>
              <w:rPr>
                <w:rFonts w:hint="eastAsia" w:ascii="宋体" w:hAnsi="宋体" w:cs="宋体"/>
                <w:i/>
                <w:sz w:val="18"/>
                <w:szCs w:val="18"/>
                <w:vertAlign w:val="subscript"/>
              </w:rPr>
              <w:t>ik</w:t>
            </w:r>
          </w:p>
        </w:tc>
      </w:tr>
      <w:tr>
        <w:tblPrEx>
          <w:tblCellMar>
            <w:top w:w="0" w:type="dxa"/>
            <w:left w:w="108" w:type="dxa"/>
            <w:bottom w:w="0" w:type="dxa"/>
            <w:right w:w="108" w:type="dxa"/>
          </w:tblCellMar>
        </w:tblPrEx>
        <w:trPr>
          <w:trHeight w:val="701" w:hRule="atLeast"/>
          <w:jc w:val="center"/>
        </w:trPr>
        <w:tc>
          <w:tcPr>
            <w:tcW w:w="5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rPr>
            </w:pPr>
          </w:p>
        </w:tc>
        <w:tc>
          <w:tcPr>
            <w:tcW w:w="7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20"/>
              </w:rPr>
            </w:pPr>
          </w:p>
        </w:tc>
        <w:tc>
          <w:tcPr>
            <w:tcW w:w="60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课堂</w:t>
            </w:r>
          </w:p>
          <w:p>
            <w:pPr>
              <w:widowControl/>
              <w:jc w:val="center"/>
              <w:rPr>
                <w:kern w:val="0"/>
                <w:sz w:val="18"/>
                <w:szCs w:val="18"/>
              </w:rPr>
            </w:pPr>
            <w:r>
              <w:rPr>
                <w:rFonts w:hint="eastAsia" w:cs="宋体"/>
                <w:kern w:val="0"/>
                <w:sz w:val="18"/>
                <w:szCs w:val="18"/>
              </w:rPr>
              <w:t>情况</w:t>
            </w:r>
          </w:p>
        </w:tc>
        <w:tc>
          <w:tcPr>
            <w:tcW w:w="60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期末</w:t>
            </w:r>
          </w:p>
          <w:p>
            <w:pPr>
              <w:widowControl/>
              <w:jc w:val="center"/>
              <w:rPr>
                <w:kern w:val="0"/>
                <w:sz w:val="18"/>
                <w:szCs w:val="18"/>
              </w:rPr>
            </w:pPr>
            <w:r>
              <w:rPr>
                <w:rFonts w:hint="eastAsia" w:cs="宋体"/>
                <w:kern w:val="0"/>
                <w:sz w:val="18"/>
                <w:szCs w:val="18"/>
              </w:rPr>
              <w:t>考查报告</w:t>
            </w:r>
          </w:p>
        </w:tc>
        <w:tc>
          <w:tcPr>
            <w:tcW w:w="596"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课堂</w:t>
            </w:r>
          </w:p>
          <w:p>
            <w:pPr>
              <w:widowControl/>
              <w:jc w:val="center"/>
              <w:rPr>
                <w:kern w:val="0"/>
                <w:sz w:val="18"/>
                <w:szCs w:val="18"/>
              </w:rPr>
            </w:pPr>
            <w:r>
              <w:rPr>
                <w:rFonts w:hint="eastAsia" w:cs="宋体"/>
                <w:kern w:val="0"/>
                <w:sz w:val="18"/>
                <w:szCs w:val="18"/>
              </w:rPr>
              <w:t>情况</w:t>
            </w:r>
          </w:p>
        </w:tc>
        <w:tc>
          <w:tcPr>
            <w:tcW w:w="56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期末</w:t>
            </w:r>
          </w:p>
          <w:p>
            <w:pPr>
              <w:widowControl/>
              <w:jc w:val="center"/>
              <w:rPr>
                <w:kern w:val="0"/>
                <w:sz w:val="18"/>
                <w:szCs w:val="18"/>
              </w:rPr>
            </w:pPr>
            <w:r>
              <w:rPr>
                <w:rFonts w:hint="eastAsia" w:cs="宋体"/>
                <w:kern w:val="0"/>
                <w:sz w:val="18"/>
                <w:szCs w:val="18"/>
              </w:rPr>
              <w:t>考查报告</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课堂</w:t>
            </w:r>
          </w:p>
          <w:p>
            <w:pPr>
              <w:widowControl/>
              <w:jc w:val="center"/>
              <w:rPr>
                <w:kern w:val="0"/>
                <w:sz w:val="18"/>
                <w:szCs w:val="18"/>
              </w:rPr>
            </w:pPr>
            <w:r>
              <w:rPr>
                <w:rFonts w:hint="eastAsia" w:cs="宋体"/>
                <w:kern w:val="0"/>
                <w:sz w:val="18"/>
                <w:szCs w:val="18"/>
              </w:rPr>
              <w:t>情况</w:t>
            </w:r>
          </w:p>
        </w:tc>
        <w:tc>
          <w:tcPr>
            <w:tcW w:w="74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rFonts w:hint="eastAsia" w:cs="宋体"/>
                <w:kern w:val="0"/>
                <w:sz w:val="18"/>
                <w:szCs w:val="18"/>
              </w:rPr>
              <w:t>期末</w:t>
            </w:r>
          </w:p>
          <w:p>
            <w:pPr>
              <w:widowControl/>
              <w:jc w:val="center"/>
              <w:rPr>
                <w:kern w:val="0"/>
                <w:sz w:val="18"/>
                <w:szCs w:val="18"/>
              </w:rPr>
            </w:pPr>
            <w:r>
              <w:rPr>
                <w:rFonts w:hint="eastAsia" w:cs="宋体"/>
                <w:kern w:val="0"/>
                <w:sz w:val="18"/>
                <w:szCs w:val="18"/>
              </w:rPr>
              <w:t>考查报告</w:t>
            </w:r>
          </w:p>
        </w:tc>
      </w:tr>
      <w:tr>
        <w:tblPrEx>
          <w:tblCellMar>
            <w:top w:w="0" w:type="dxa"/>
            <w:left w:w="108" w:type="dxa"/>
            <w:bottom w:w="0" w:type="dxa"/>
            <w:right w:w="108" w:type="dxa"/>
          </w:tblCellMar>
        </w:tblPrEx>
        <w:trPr>
          <w:trHeight w:val="1020" w:hRule="atLeast"/>
          <w:jc w:val="center"/>
        </w:trPr>
        <w:tc>
          <w:tcPr>
            <w:tcW w:w="504" w:type="pct"/>
            <w:tcBorders>
              <w:top w:val="nil"/>
              <w:left w:val="single" w:color="auto" w:sz="4" w:space="0"/>
              <w:bottom w:val="single" w:color="auto" w:sz="4" w:space="0"/>
              <w:right w:val="single" w:color="auto" w:sz="4" w:space="0"/>
            </w:tcBorders>
            <w:shd w:val="clear" w:color="auto" w:fill="auto"/>
            <w:vAlign w:val="center"/>
          </w:tcPr>
          <w:p>
            <w:pPr>
              <w:ind w:firstLine="361" w:firstLineChars="200"/>
              <w:rPr>
                <w:b/>
                <w:sz w:val="18"/>
                <w:szCs w:val="18"/>
              </w:rPr>
            </w:pPr>
            <w:r>
              <w:rPr>
                <w:b/>
                <w:sz w:val="18"/>
                <w:szCs w:val="18"/>
              </w:rPr>
              <w:t>1</w:t>
            </w:r>
          </w:p>
        </w:tc>
        <w:tc>
          <w:tcPr>
            <w:tcW w:w="782"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0.5</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0.5</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0.5</w:t>
            </w:r>
          </w:p>
        </w:tc>
        <w:tc>
          <w:tcPr>
            <w:tcW w:w="596"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0.25</w:t>
            </w:r>
          </w:p>
        </w:tc>
        <w:tc>
          <w:tcPr>
            <w:tcW w:w="56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0.25</w:t>
            </w:r>
          </w:p>
        </w:tc>
        <w:tc>
          <w:tcPr>
            <w:tcW w:w="58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0.71</w:t>
            </w:r>
          </w:p>
        </w:tc>
        <w:tc>
          <w:tcPr>
            <w:tcW w:w="74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0.38</w:t>
            </w:r>
          </w:p>
        </w:tc>
      </w:tr>
      <w:tr>
        <w:tblPrEx>
          <w:tblCellMar>
            <w:top w:w="0" w:type="dxa"/>
            <w:left w:w="108" w:type="dxa"/>
            <w:bottom w:w="0" w:type="dxa"/>
            <w:right w:w="108" w:type="dxa"/>
          </w:tblCellMar>
        </w:tblPrEx>
        <w:trPr>
          <w:trHeight w:val="694" w:hRule="atLeast"/>
          <w:jc w:val="center"/>
        </w:trPr>
        <w:tc>
          <w:tcPr>
            <w:tcW w:w="504"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361" w:firstLineChars="200"/>
              <w:rPr>
                <w:b/>
                <w:sz w:val="18"/>
                <w:szCs w:val="18"/>
              </w:rPr>
            </w:pPr>
            <w:r>
              <w:rPr>
                <w:b/>
                <w:sz w:val="18"/>
                <w:szCs w:val="18"/>
              </w:rPr>
              <w:t>2</w:t>
            </w:r>
          </w:p>
        </w:tc>
        <w:tc>
          <w:tcPr>
            <w:tcW w:w="782"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0.4</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0.2</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0.8</w:t>
            </w:r>
          </w:p>
        </w:tc>
        <w:tc>
          <w:tcPr>
            <w:tcW w:w="596"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0.08</w:t>
            </w:r>
          </w:p>
        </w:tc>
        <w:tc>
          <w:tcPr>
            <w:tcW w:w="56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0.32</w:t>
            </w:r>
          </w:p>
        </w:tc>
        <w:tc>
          <w:tcPr>
            <w:tcW w:w="58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0.23</w:t>
            </w:r>
          </w:p>
        </w:tc>
        <w:tc>
          <w:tcPr>
            <w:tcW w:w="74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0.5</w:t>
            </w:r>
          </w:p>
        </w:tc>
      </w:tr>
      <w:tr>
        <w:tblPrEx>
          <w:tblCellMar>
            <w:top w:w="0" w:type="dxa"/>
            <w:left w:w="108" w:type="dxa"/>
            <w:bottom w:w="0" w:type="dxa"/>
            <w:right w:w="108" w:type="dxa"/>
          </w:tblCellMar>
        </w:tblPrEx>
        <w:trPr>
          <w:trHeight w:val="694" w:hRule="atLeast"/>
          <w:jc w:val="center"/>
        </w:trPr>
        <w:tc>
          <w:tcPr>
            <w:tcW w:w="504"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361" w:firstLineChars="200"/>
              <w:rPr>
                <w:b/>
                <w:sz w:val="18"/>
                <w:szCs w:val="18"/>
              </w:rPr>
            </w:pPr>
            <w:r>
              <w:rPr>
                <w:b/>
                <w:sz w:val="18"/>
                <w:szCs w:val="18"/>
              </w:rPr>
              <w:t>3</w:t>
            </w:r>
          </w:p>
        </w:tc>
        <w:tc>
          <w:tcPr>
            <w:tcW w:w="782"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0.1</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0.2</w:t>
            </w:r>
          </w:p>
        </w:tc>
        <w:tc>
          <w:tcPr>
            <w:tcW w:w="607"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0.8</w:t>
            </w:r>
          </w:p>
        </w:tc>
        <w:tc>
          <w:tcPr>
            <w:tcW w:w="596"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0.02</w:t>
            </w:r>
          </w:p>
        </w:tc>
        <w:tc>
          <w:tcPr>
            <w:tcW w:w="56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0.08</w:t>
            </w:r>
          </w:p>
        </w:tc>
        <w:tc>
          <w:tcPr>
            <w:tcW w:w="58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0.06</w:t>
            </w:r>
          </w:p>
        </w:tc>
        <w:tc>
          <w:tcPr>
            <w:tcW w:w="74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0.12</w:t>
            </w:r>
          </w:p>
        </w:tc>
      </w:tr>
      <w:tr>
        <w:tblPrEx>
          <w:tblCellMar>
            <w:top w:w="0" w:type="dxa"/>
            <w:left w:w="108" w:type="dxa"/>
            <w:bottom w:w="0" w:type="dxa"/>
            <w:right w:w="108" w:type="dxa"/>
          </w:tblCellMar>
        </w:tblPrEx>
        <w:trPr>
          <w:trHeight w:val="694" w:hRule="atLeast"/>
          <w:jc w:val="center"/>
        </w:trPr>
        <w:tc>
          <w:tcPr>
            <w:tcW w:w="2501" w:type="pct"/>
            <w:gridSpan w:val="4"/>
            <w:tcBorders>
              <w:top w:val="nil"/>
              <w:left w:val="single" w:color="auto" w:sz="4" w:space="0"/>
              <w:bottom w:val="single" w:color="auto" w:sz="4" w:space="0"/>
              <w:right w:val="single" w:color="auto" w:sz="4" w:space="0"/>
            </w:tcBorders>
            <w:shd w:val="clear" w:color="auto" w:fill="auto"/>
            <w:vAlign w:val="center"/>
          </w:tcPr>
          <w:p>
            <w:pPr>
              <w:jc w:val="center"/>
              <w:rPr>
                <w:b/>
                <w:sz w:val="20"/>
              </w:rPr>
            </w:pPr>
            <w:r>
              <w:rPr>
                <w:rFonts w:hint="eastAsia" w:cs="宋体"/>
                <w:kern w:val="0"/>
                <w:sz w:val="18"/>
                <w:szCs w:val="18"/>
              </w:rPr>
              <w:t>各环节对课程目标达成的贡献率（</w:t>
            </w:r>
            <w:r>
              <w:rPr>
                <w:i/>
                <w:kern w:val="0"/>
                <w:sz w:val="18"/>
                <w:szCs w:val="18"/>
              </w:rPr>
              <w:t>M</w:t>
            </w:r>
            <w:r>
              <w:rPr>
                <w:i/>
                <w:kern w:val="0"/>
                <w:sz w:val="18"/>
                <w:szCs w:val="18"/>
                <w:vertAlign w:val="subscript"/>
              </w:rPr>
              <w:t>k</w:t>
            </w:r>
            <w:r>
              <w:rPr>
                <w:rFonts w:hint="eastAsia" w:cs="宋体"/>
                <w:kern w:val="0"/>
                <w:sz w:val="18"/>
                <w:szCs w:val="18"/>
              </w:rPr>
              <w:t>）</w:t>
            </w:r>
          </w:p>
        </w:tc>
        <w:tc>
          <w:tcPr>
            <w:tcW w:w="596"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0.35</w:t>
            </w:r>
          </w:p>
        </w:tc>
        <w:tc>
          <w:tcPr>
            <w:tcW w:w="568" w:type="pct"/>
            <w:tcBorders>
              <w:top w:val="nil"/>
              <w:left w:val="nil"/>
              <w:bottom w:val="single" w:color="auto" w:sz="4" w:space="0"/>
              <w:right w:val="single" w:color="auto" w:sz="4" w:space="0"/>
            </w:tcBorders>
            <w:shd w:val="clear" w:color="auto" w:fill="auto"/>
            <w:vAlign w:val="center"/>
          </w:tcPr>
          <w:p>
            <w:pPr>
              <w:jc w:val="center"/>
              <w:rPr>
                <w:b/>
                <w:sz w:val="20"/>
              </w:rPr>
            </w:pPr>
            <w:r>
              <w:rPr>
                <w:b/>
                <w:sz w:val="20"/>
              </w:rPr>
              <w:t>0.65</w:t>
            </w:r>
          </w:p>
        </w:tc>
        <w:tc>
          <w:tcPr>
            <w:tcW w:w="1336" w:type="pct"/>
            <w:gridSpan w:val="2"/>
            <w:tcBorders>
              <w:top w:val="nil"/>
              <w:left w:val="nil"/>
              <w:bottom w:val="single" w:color="auto" w:sz="4" w:space="0"/>
              <w:right w:val="single" w:color="auto" w:sz="4" w:space="0"/>
            </w:tcBorders>
            <w:shd w:val="clear" w:color="auto" w:fill="auto"/>
            <w:vAlign w:val="center"/>
          </w:tcPr>
          <w:p>
            <w:pPr>
              <w:jc w:val="center"/>
              <w:rPr>
                <w:b/>
                <w:sz w:val="20"/>
              </w:rPr>
            </w:pPr>
            <w:r>
              <w:rPr>
                <w:rFonts w:hint="eastAsia" w:cs="宋体"/>
              </w:rPr>
              <w:t>教师布置作业时要尽量做到按照以上比例布局</w:t>
            </w:r>
          </w:p>
        </w:tc>
      </w:tr>
    </w:tbl>
    <w:p>
      <w:pPr>
        <w:spacing w:line="360" w:lineRule="auto"/>
        <w:jc w:val="left"/>
      </w:pPr>
      <w:r>
        <w:rPr>
          <w:rFonts w:hint="eastAsia" w:cs="宋体"/>
        </w:rPr>
        <w:t>说明：教师在授课总结中作各环节考核题目合理性评价时，应围绕右边各环节考核权重要求进行分析。</w:t>
      </w:r>
    </w:p>
    <w:p>
      <w:pPr>
        <w:spacing w:line="360" w:lineRule="auto"/>
      </w:pPr>
    </w:p>
    <w:p>
      <w:pPr>
        <w:spacing w:line="360" w:lineRule="auto"/>
        <w:rPr>
          <w:color w:val="FF0000"/>
        </w:rPr>
        <w:sectPr>
          <w:pgSz w:w="16838" w:h="11906" w:orient="landscape"/>
          <w:pgMar w:top="1797" w:right="1440" w:bottom="1797" w:left="1440" w:header="851" w:footer="992" w:gutter="0"/>
          <w:cols w:space="720" w:num="1"/>
          <w:docGrid w:type="line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6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62" DrawAspect="Content" ObjectID="_1468075862" r:id="rId326">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6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63" DrawAspect="Content" ObjectID="_1468075863" r:id="rId327">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6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64" DrawAspect="Content" ObjectID="_1468075864" r:id="rId328">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6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65" DrawAspect="Content" ObjectID="_1468075865" r:id="rId329">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6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66" DrawAspect="Content" ObjectID="_1468075866" r:id="rId330">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6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67" DrawAspect="Content" ObjectID="_1468075867" r:id="rId331">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本课程允许教师在各评价环节根据具体情况采取多样化、个性化的考核手段，其评价标准应当在课堂教学过程中明确并向学生公布，教学过程中的考核评价应当严格按照标准完成。</w:t>
      </w:r>
    </w:p>
    <w:p>
      <w:pPr>
        <w:spacing w:line="360" w:lineRule="auto"/>
        <w:ind w:firstLine="420" w:firstLineChars="200"/>
        <w:rPr>
          <w:szCs w:val="21"/>
        </w:rPr>
      </w:pP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widowControl/>
        <w:jc w:val="left"/>
        <w:rPr>
          <w:rFonts w:eastAsia="黑体"/>
          <w:szCs w:val="24"/>
        </w:rPr>
      </w:pPr>
    </w:p>
    <w:p>
      <w:pPr>
        <w:widowControl/>
        <w:jc w:val="left"/>
        <w:rPr>
          <w:rFonts w:eastAsia="黑体"/>
          <w:szCs w:val="24"/>
        </w:rPr>
      </w:pPr>
    </w:p>
    <w:p>
      <w:pPr>
        <w:widowControl/>
        <w:jc w:val="left"/>
        <w:rPr>
          <w:rFonts w:eastAsia="黑体"/>
          <w:szCs w:val="24"/>
        </w:rPr>
      </w:pPr>
    </w:p>
    <w:p>
      <w:r>
        <w:br w:type="page"/>
      </w:r>
    </w:p>
    <w:p>
      <w:pPr>
        <w:pStyle w:val="20"/>
        <w:spacing w:before="312" w:after="468"/>
        <w:rPr>
          <w:szCs w:val="21"/>
        </w:rPr>
      </w:pPr>
      <w:bookmarkStart w:id="213" w:name="_Toc2196"/>
      <w:r>
        <w:t>《Z02060205-光电子技术基础》教学大纲</w:t>
      </w:r>
      <w:bookmarkEnd w:id="210"/>
      <w:bookmarkEnd w:id="212"/>
      <w:bookmarkEnd w:id="213"/>
    </w:p>
    <w:p>
      <w:pPr>
        <w:adjustRightInd w:val="0"/>
        <w:snapToGrid w:val="0"/>
        <w:spacing w:line="360" w:lineRule="auto"/>
        <w:rPr>
          <w:rFonts w:ascii="宋体" w:hAnsi="宋体" w:cs="Arial"/>
          <w:kern w:val="0"/>
          <w:sz w:val="20"/>
        </w:rPr>
      </w:pPr>
      <w:r>
        <w:rPr>
          <w:rFonts w:eastAsia="黑体"/>
          <w:szCs w:val="21"/>
        </w:rPr>
        <w:t>课程编号</w:t>
      </w:r>
      <w:r>
        <w:rPr>
          <w:szCs w:val="21"/>
        </w:rPr>
        <w:t>：</w:t>
      </w:r>
      <w:r>
        <w:rPr>
          <w:kern w:val="0"/>
          <w:szCs w:val="21"/>
        </w:rPr>
        <w:t>Z02060205</w:t>
      </w:r>
    </w:p>
    <w:p>
      <w:pPr>
        <w:adjustRightInd w:val="0"/>
        <w:snapToGrid w:val="0"/>
        <w:spacing w:line="360" w:lineRule="auto"/>
        <w:rPr>
          <w:szCs w:val="21"/>
        </w:rPr>
      </w:pPr>
      <w:r>
        <w:rPr>
          <w:rFonts w:eastAsia="黑体"/>
          <w:szCs w:val="21"/>
        </w:rPr>
        <w:t>课程名称</w:t>
      </w:r>
      <w:r>
        <w:rPr>
          <w:szCs w:val="21"/>
        </w:rPr>
        <w:t>：</w:t>
      </w:r>
      <w:r>
        <w:t>光电子技术基础</w:t>
      </w:r>
      <w:r>
        <w:tab/>
      </w:r>
      <w:r>
        <w:tab/>
      </w:r>
      <w:r>
        <w:tab/>
      </w:r>
      <w:r>
        <w:tab/>
      </w:r>
      <w:r>
        <w:tab/>
      </w:r>
      <w:r>
        <w:rPr>
          <w:rFonts w:eastAsia="黑体"/>
          <w:szCs w:val="21"/>
        </w:rPr>
        <w:t>开课单位</w:t>
      </w:r>
      <w:r>
        <w:rPr>
          <w:szCs w:val="21"/>
        </w:rPr>
        <w:t>：仪器与电子学院</w:t>
      </w:r>
    </w:p>
    <w:p>
      <w:pPr>
        <w:adjustRightInd w:val="0"/>
        <w:snapToGrid w:val="0"/>
        <w:spacing w:line="360" w:lineRule="auto"/>
        <w:rPr>
          <w:snapToGrid w:val="0"/>
          <w:kern w:val="0"/>
          <w:szCs w:val="21"/>
        </w:rPr>
      </w:pPr>
      <w:r>
        <w:rPr>
          <w:rFonts w:eastAsia="黑体"/>
          <w:szCs w:val="21"/>
        </w:rPr>
        <w:t>总 学 时：</w:t>
      </w:r>
      <w:r>
        <w:rPr>
          <w:szCs w:val="21"/>
        </w:rPr>
        <w:t>32</w:t>
      </w:r>
      <w:r>
        <w:rPr>
          <w:szCs w:val="21"/>
        </w:rPr>
        <w:tab/>
      </w:r>
      <w:r>
        <w:rPr>
          <w:szCs w:val="21"/>
        </w:rPr>
        <w:tab/>
      </w:r>
      <w:r>
        <w:rPr>
          <w:szCs w:val="21"/>
        </w:rPr>
        <w:tab/>
      </w:r>
      <w:r>
        <w:rPr>
          <w:szCs w:val="21"/>
        </w:rPr>
        <w:tab/>
      </w:r>
      <w:r>
        <w:rPr>
          <w:szCs w:val="21"/>
        </w:rPr>
        <w:tab/>
      </w:r>
      <w:r>
        <w:rPr>
          <w:szCs w:val="21"/>
        </w:rPr>
        <w:tab/>
      </w:r>
      <w:r>
        <w:rPr>
          <w:szCs w:val="21"/>
        </w:rPr>
        <w:tab/>
      </w:r>
      <w:r>
        <w:rPr>
          <w:szCs w:val="21"/>
        </w:rPr>
        <w:tab/>
      </w:r>
      <w:r>
        <w:rPr>
          <w:rFonts w:eastAsia="黑体"/>
          <w:szCs w:val="21"/>
        </w:rPr>
        <w:t>学    分：</w:t>
      </w:r>
      <w:r>
        <w:rPr>
          <w:bCs/>
          <w:snapToGrid w:val="0"/>
          <w:kern w:val="0"/>
          <w:szCs w:val="21"/>
        </w:rPr>
        <w:t>2</w:t>
      </w:r>
    </w:p>
    <w:p>
      <w:pPr>
        <w:adjustRightInd w:val="0"/>
        <w:snapToGrid w:val="0"/>
        <w:spacing w:line="360" w:lineRule="auto"/>
        <w:rPr>
          <w:szCs w:val="21"/>
        </w:rPr>
      </w:pPr>
      <w:r>
        <w:rPr>
          <w:rFonts w:eastAsia="黑体"/>
          <w:szCs w:val="21"/>
        </w:rPr>
        <w:t>适用专业：</w:t>
      </w:r>
      <w:r>
        <w:rPr>
          <w:szCs w:val="21"/>
        </w:rPr>
        <w:t>电子科学与技术</w:t>
      </w:r>
      <w:r>
        <w:rPr>
          <w:rFonts w:hint="eastAsia"/>
          <w:szCs w:val="21"/>
        </w:rPr>
        <w:t>专业</w:t>
      </w:r>
    </w:p>
    <w:p>
      <w:pPr>
        <w:adjustRightInd w:val="0"/>
        <w:snapToGrid w:val="0"/>
        <w:spacing w:line="360" w:lineRule="auto"/>
        <w:rPr>
          <w:szCs w:val="21"/>
        </w:rPr>
      </w:pPr>
      <w:r>
        <w:rPr>
          <w:rFonts w:eastAsia="黑体"/>
          <w:szCs w:val="21"/>
        </w:rPr>
        <w:t>先修课程：</w:t>
      </w:r>
      <w:r>
        <w:rPr>
          <w:szCs w:val="21"/>
        </w:rPr>
        <w:t>大学物理</w:t>
      </w:r>
    </w:p>
    <w:p>
      <w:pPr>
        <w:adjustRightInd w:val="0"/>
        <w:snapToGrid w:val="0"/>
        <w:spacing w:line="360" w:lineRule="auto"/>
        <w:rPr>
          <w:szCs w:val="21"/>
        </w:rPr>
      </w:pPr>
      <w:r>
        <w:rPr>
          <w:rFonts w:eastAsia="黑体"/>
          <w:szCs w:val="21"/>
        </w:rPr>
        <w:t>大纲执笔人</w:t>
      </w:r>
      <w:r>
        <w:rPr>
          <w:szCs w:val="21"/>
        </w:rPr>
        <w:t>：</w:t>
      </w:r>
      <w:r>
        <w:rPr>
          <w:rFonts w:hint="eastAsia"/>
          <w:szCs w:val="21"/>
        </w:rPr>
        <w:t>安国文</w:t>
      </w:r>
    </w:p>
    <w:p>
      <w:pPr>
        <w:adjustRightInd w:val="0"/>
        <w:snapToGrid w:val="0"/>
        <w:spacing w:line="360" w:lineRule="auto"/>
        <w:rPr>
          <w:szCs w:val="21"/>
        </w:rPr>
      </w:pPr>
      <w:r>
        <w:rPr>
          <w:rFonts w:eastAsia="黑体"/>
          <w:szCs w:val="21"/>
        </w:rPr>
        <w:t>大纲编写（修订）时间：</w:t>
      </w:r>
      <w:r>
        <w:rPr>
          <w:szCs w:val="21"/>
        </w:rPr>
        <w:t>2019年5月</w:t>
      </w:r>
    </w:p>
    <w:p>
      <w:pPr>
        <w:adjustRightInd w:val="0"/>
        <w:snapToGrid w:val="0"/>
        <w:spacing w:line="360" w:lineRule="auto"/>
        <w:rPr>
          <w:b/>
          <w:szCs w:val="21"/>
        </w:rPr>
      </w:pPr>
    </w:p>
    <w:p>
      <w:pPr>
        <w:adjustRightInd w:val="0"/>
        <w:snapToGrid w:val="0"/>
        <w:spacing w:line="360" w:lineRule="auto"/>
        <w:rPr>
          <w:rFonts w:eastAsia="黑体"/>
          <w:szCs w:val="21"/>
        </w:rPr>
      </w:pPr>
      <w:r>
        <w:rPr>
          <w:rFonts w:eastAsia="黑体"/>
          <w:szCs w:val="21"/>
        </w:rPr>
        <w:t>一、课程在教学计划中的地位、作用</w:t>
      </w:r>
    </w:p>
    <w:p>
      <w:pPr>
        <w:adjustRightInd w:val="0"/>
        <w:snapToGrid w:val="0"/>
        <w:spacing w:line="360" w:lineRule="auto"/>
        <w:ind w:firstLine="420" w:firstLineChars="200"/>
        <w:rPr>
          <w:szCs w:val="21"/>
        </w:rPr>
      </w:pPr>
      <w:r>
        <w:rPr>
          <w:szCs w:val="21"/>
        </w:rPr>
        <w:t>本课程是电子科学与技术专业的基础教育课程。光电子技术是由电子技术和光子技术互相渗透、优势结合而产生的，已经成为电子科学与技术的一个极为重要的组成部分。该课程以学生学会光电子技术的基本概念、基本原理和基础理论为目的，使学生对光电子技术的全貌有基本的了解，是学生进一步学习《激光原理与技术》、《光纤技术及应用》、《光电探测技术》以及《大型光学仪器应用》相关课程的基础。同时为学生今后从事光通信、光信息处理、光传感等光电子技术方面的研究和工作提供必要的基础知识。</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eastAsia="黑体"/>
          <w:szCs w:val="21"/>
        </w:rPr>
        <w:t>二、课程目标</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4067"/>
        <w:gridCol w:w="36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shd w:val="clear" w:color="auto" w:fill="auto"/>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448" w:type="pct"/>
            <w:shd w:val="clear" w:color="auto" w:fill="auto"/>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186" w:type="pct"/>
            <w:shd w:val="clear" w:color="auto" w:fill="auto"/>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shd w:val="clear" w:color="auto" w:fill="auto"/>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448" w:type="pct"/>
            <w:shd w:val="clear" w:color="auto" w:fill="auto"/>
          </w:tcPr>
          <w:p>
            <w:pPr>
              <w:adjustRightInd w:val="0"/>
              <w:snapToGrid w:val="0"/>
              <w:spacing w:line="360" w:lineRule="auto"/>
              <w:rPr>
                <w:rFonts w:ascii="宋体" w:hAnsi="宋体"/>
                <w:sz w:val="18"/>
                <w:szCs w:val="18"/>
              </w:rPr>
            </w:pPr>
            <w:r>
              <w:rPr>
                <w:rFonts w:ascii="宋体" w:hAnsi="宋体"/>
                <w:sz w:val="18"/>
                <w:szCs w:val="18"/>
              </w:rPr>
              <w:t>通过本课程的学习，</w:t>
            </w:r>
            <w:r>
              <w:rPr>
                <w:rFonts w:hint="eastAsia" w:ascii="宋体" w:hAnsi="宋体"/>
                <w:sz w:val="18"/>
                <w:szCs w:val="18"/>
              </w:rPr>
              <w:t>能够从</w:t>
            </w:r>
            <w:r>
              <w:rPr>
                <w:rFonts w:ascii="宋体" w:hAnsi="宋体"/>
                <w:sz w:val="18"/>
                <w:szCs w:val="18"/>
              </w:rPr>
              <w:t>光</w:t>
            </w:r>
            <w:r>
              <w:rPr>
                <w:rFonts w:hint="eastAsia" w:ascii="宋体" w:hAnsi="宋体"/>
                <w:sz w:val="18"/>
                <w:szCs w:val="18"/>
              </w:rPr>
              <w:t>电子</w:t>
            </w:r>
            <w:r>
              <w:rPr>
                <w:rFonts w:ascii="宋体" w:hAnsi="宋体"/>
                <w:sz w:val="18"/>
                <w:szCs w:val="18"/>
              </w:rPr>
              <w:t>学基础知识</w:t>
            </w:r>
            <w:r>
              <w:rPr>
                <w:rFonts w:hint="eastAsia" w:ascii="宋体" w:hAnsi="宋体"/>
                <w:sz w:val="18"/>
                <w:szCs w:val="18"/>
              </w:rPr>
              <w:t>、</w:t>
            </w:r>
            <w:r>
              <w:rPr>
                <w:rFonts w:ascii="宋体" w:hAnsi="宋体"/>
                <w:sz w:val="18"/>
                <w:szCs w:val="18"/>
              </w:rPr>
              <w:t>光场传播规律</w:t>
            </w:r>
            <w:r>
              <w:rPr>
                <w:rFonts w:hint="eastAsia" w:ascii="宋体" w:hAnsi="宋体"/>
                <w:sz w:val="18"/>
                <w:szCs w:val="18"/>
              </w:rPr>
              <w:t>、波导理论、调制理论等</w:t>
            </w:r>
            <w:r>
              <w:rPr>
                <w:rFonts w:ascii="宋体" w:hAnsi="宋体"/>
                <w:sz w:val="18"/>
                <w:szCs w:val="18"/>
              </w:rPr>
              <w:t>光电子学的基本理论</w:t>
            </w:r>
            <w:r>
              <w:rPr>
                <w:rFonts w:hint="eastAsia" w:ascii="宋体" w:hAnsi="宋体"/>
                <w:sz w:val="18"/>
                <w:szCs w:val="18"/>
              </w:rPr>
              <w:t>层面，深化理解</w:t>
            </w:r>
            <w:r>
              <w:rPr>
                <w:rFonts w:ascii="宋体" w:hAnsi="宋体"/>
                <w:sz w:val="18"/>
                <w:szCs w:val="18"/>
              </w:rPr>
              <w:t>光电子器件的原理</w:t>
            </w:r>
            <w:r>
              <w:rPr>
                <w:rFonts w:hint="eastAsia" w:ascii="宋体" w:hAnsi="宋体"/>
                <w:sz w:val="18"/>
                <w:szCs w:val="18"/>
              </w:rPr>
              <w:t>、</w:t>
            </w:r>
            <w:r>
              <w:rPr>
                <w:rFonts w:ascii="宋体" w:hAnsi="宋体"/>
                <w:sz w:val="18"/>
                <w:szCs w:val="18"/>
              </w:rPr>
              <w:t>功能</w:t>
            </w:r>
            <w:r>
              <w:rPr>
                <w:rFonts w:hint="eastAsia" w:ascii="宋体" w:hAnsi="宋体"/>
                <w:sz w:val="18"/>
                <w:szCs w:val="18"/>
              </w:rPr>
              <w:t>和关键参数</w:t>
            </w:r>
            <w:r>
              <w:rPr>
                <w:rFonts w:ascii="宋体" w:hAnsi="宋体"/>
                <w:sz w:val="18"/>
                <w:szCs w:val="18"/>
              </w:rPr>
              <w:t>，</w:t>
            </w:r>
            <w:r>
              <w:rPr>
                <w:rFonts w:hint="eastAsia" w:ascii="宋体" w:hAnsi="宋体"/>
                <w:sz w:val="18"/>
                <w:szCs w:val="18"/>
              </w:rPr>
              <w:t>为运用</w:t>
            </w:r>
            <w:r>
              <w:rPr>
                <w:rFonts w:ascii="宋体" w:hAnsi="宋体"/>
                <w:sz w:val="18"/>
                <w:szCs w:val="18"/>
              </w:rPr>
              <w:t>光电子器件解决</w:t>
            </w:r>
            <w:r>
              <w:rPr>
                <w:rFonts w:hint="eastAsia" w:ascii="宋体" w:hAnsi="宋体"/>
                <w:sz w:val="18"/>
                <w:szCs w:val="18"/>
              </w:rPr>
              <w:t>实际</w:t>
            </w:r>
            <w:r>
              <w:rPr>
                <w:rFonts w:ascii="宋体" w:hAnsi="宋体"/>
                <w:sz w:val="18"/>
                <w:szCs w:val="18"/>
              </w:rPr>
              <w:t>工程问题</w:t>
            </w:r>
            <w:r>
              <w:rPr>
                <w:rFonts w:hint="eastAsia" w:ascii="宋体" w:hAnsi="宋体"/>
                <w:sz w:val="18"/>
                <w:szCs w:val="18"/>
              </w:rPr>
              <w:t>，</w:t>
            </w:r>
            <w:r>
              <w:rPr>
                <w:rFonts w:ascii="宋体" w:hAnsi="宋体"/>
                <w:sz w:val="18"/>
                <w:szCs w:val="18"/>
              </w:rPr>
              <w:t>优化光电子系统设计，从事光电子技术方面的研究和开发工作打下基础。</w:t>
            </w:r>
          </w:p>
        </w:tc>
        <w:tc>
          <w:tcPr>
            <w:tcW w:w="2186" w:type="pct"/>
            <w:shd w:val="clear" w:color="auto" w:fill="auto"/>
          </w:tcPr>
          <w:p>
            <w:pPr>
              <w:adjustRightInd w:val="0"/>
              <w:snapToGrid w:val="0"/>
              <w:spacing w:line="360" w:lineRule="auto"/>
              <w:rPr>
                <w:rFonts w:ascii="宋体" w:hAnsi="宋体"/>
                <w:sz w:val="18"/>
                <w:szCs w:val="18"/>
              </w:rPr>
            </w:pPr>
            <w:r>
              <w:rPr>
                <w:rFonts w:hint="eastAsia" w:ascii="宋体" w:hAnsi="宋体"/>
                <w:b/>
                <w:bCs/>
                <w:sz w:val="18"/>
                <w:szCs w:val="18"/>
              </w:rPr>
              <w:t>指标点1-1 知识体系</w:t>
            </w:r>
            <w:r>
              <w:rPr>
                <w:rFonts w:hint="eastAsia" w:ascii="宋体" w:hAnsi="宋体"/>
                <w:sz w:val="18"/>
                <w:szCs w:val="18"/>
              </w:rPr>
              <w:t>：具备与本专业相关的数学、自然科学、光学和电子学工程基础及电子系统集成等多方面的知识。</w:t>
            </w:r>
          </w:p>
          <w:p>
            <w:pPr>
              <w:adjustRightInd w:val="0"/>
              <w:snapToGrid w:val="0"/>
              <w:spacing w:line="360" w:lineRule="auto"/>
              <w:rPr>
                <w:rFonts w:ascii="宋体" w:hAnsi="宋体"/>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shd w:val="clear" w:color="auto" w:fill="auto"/>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448" w:type="pct"/>
            <w:shd w:val="clear" w:color="auto" w:fill="auto"/>
          </w:tcPr>
          <w:p>
            <w:pPr>
              <w:adjustRightInd w:val="0"/>
              <w:snapToGrid w:val="0"/>
              <w:spacing w:line="360" w:lineRule="auto"/>
              <w:rPr>
                <w:rFonts w:ascii="宋体" w:hAnsi="宋体"/>
                <w:sz w:val="18"/>
                <w:szCs w:val="18"/>
              </w:rPr>
            </w:pPr>
            <w:r>
              <w:rPr>
                <w:rFonts w:hint="eastAsia" w:ascii="宋体" w:hAnsi="宋体"/>
                <w:sz w:val="18"/>
                <w:szCs w:val="18"/>
              </w:rPr>
              <w:t>能够利用学术资源了解</w:t>
            </w:r>
            <w:r>
              <w:rPr>
                <w:rFonts w:ascii="宋体" w:hAnsi="宋体"/>
                <w:sz w:val="18"/>
                <w:szCs w:val="18"/>
              </w:rPr>
              <w:t>光电子技术在</w:t>
            </w:r>
            <w:r>
              <w:rPr>
                <w:rFonts w:hint="eastAsia" w:ascii="宋体" w:hAnsi="宋体"/>
                <w:sz w:val="18"/>
                <w:szCs w:val="18"/>
              </w:rPr>
              <w:t>国防、医疗、测试计量、科研等领域</w:t>
            </w:r>
            <w:r>
              <w:rPr>
                <w:rFonts w:ascii="宋体" w:hAnsi="宋体"/>
                <w:sz w:val="18"/>
                <w:szCs w:val="18"/>
              </w:rPr>
              <w:t>的应用及新成果</w:t>
            </w:r>
            <w:r>
              <w:rPr>
                <w:rFonts w:hint="eastAsia" w:ascii="宋体" w:hAnsi="宋体"/>
                <w:sz w:val="18"/>
                <w:szCs w:val="18"/>
              </w:rPr>
              <w:t>，能够根据工作，科研或自身发展需要拓展相关知识领域，分析前人成果，追踪前沿进展，判断未来发展。</w:t>
            </w:r>
          </w:p>
          <w:p>
            <w:pPr>
              <w:adjustRightInd w:val="0"/>
              <w:snapToGrid w:val="0"/>
              <w:spacing w:line="360" w:lineRule="auto"/>
              <w:jc w:val="right"/>
              <w:rPr>
                <w:rFonts w:ascii="宋体" w:hAnsi="宋体"/>
                <w:sz w:val="18"/>
                <w:szCs w:val="18"/>
              </w:rPr>
            </w:pPr>
          </w:p>
        </w:tc>
        <w:tc>
          <w:tcPr>
            <w:tcW w:w="2186" w:type="pct"/>
            <w:shd w:val="clear" w:color="auto" w:fill="auto"/>
          </w:tcPr>
          <w:p>
            <w:pPr>
              <w:adjustRightInd w:val="0"/>
              <w:snapToGrid w:val="0"/>
              <w:spacing w:line="360" w:lineRule="auto"/>
              <w:rPr>
                <w:rFonts w:ascii="宋体" w:hAnsi="宋体"/>
                <w:sz w:val="18"/>
                <w:szCs w:val="18"/>
              </w:rPr>
            </w:pPr>
            <w:r>
              <w:rPr>
                <w:rFonts w:hint="eastAsia" w:ascii="宋体" w:hAnsi="宋体"/>
                <w:b/>
                <w:bCs/>
                <w:sz w:val="18"/>
                <w:szCs w:val="18"/>
              </w:rPr>
              <w:t>指标点4-1 领域现状认知能力</w:t>
            </w:r>
            <w:r>
              <w:rPr>
                <w:rFonts w:hint="eastAsia" w:ascii="宋体" w:hAnsi="宋体"/>
                <w:sz w:val="18"/>
                <w:szCs w:val="18"/>
              </w:rPr>
              <w:t>：</w:t>
            </w:r>
            <w:r>
              <w:rPr>
                <w:rFonts w:hint="eastAsia" w:ascii="宋体" w:hAnsi="宋体"/>
                <w:kern w:val="0"/>
                <w:sz w:val="18"/>
                <w:szCs w:val="18"/>
              </w:rPr>
              <w:t>了解电子科学与技术专业领域背景及经典案例，能够针对复杂工程问题提出研究思路和分析方法，并有意识地将实验结果用于指导解决方案的改善和优化。</w:t>
            </w:r>
          </w:p>
        </w:tc>
      </w:tr>
    </w:tbl>
    <w:p>
      <w:pPr>
        <w:adjustRightInd w:val="0"/>
        <w:snapToGrid w:val="0"/>
        <w:spacing w:line="360" w:lineRule="auto"/>
        <w:rPr>
          <w:szCs w:val="21"/>
        </w:rPr>
      </w:pPr>
    </w:p>
    <w:p>
      <w:pPr>
        <w:tabs>
          <w:tab w:val="left" w:pos="420"/>
        </w:tabs>
        <w:adjustRightInd w:val="0"/>
        <w:snapToGrid w:val="0"/>
        <w:spacing w:line="360" w:lineRule="auto"/>
        <w:ind w:left="420" w:hanging="420"/>
        <w:rPr>
          <w:rFonts w:eastAsia="黑体"/>
          <w:szCs w:val="21"/>
        </w:rPr>
      </w:pPr>
      <w:r>
        <w:rPr>
          <w:rFonts w:eastAsia="黑体"/>
          <w:szCs w:val="21"/>
        </w:rPr>
        <w:t>三、基本要求</w:t>
      </w:r>
    </w:p>
    <w:p>
      <w:pPr>
        <w:adjustRightInd w:val="0"/>
        <w:snapToGrid w:val="0"/>
        <w:spacing w:line="360" w:lineRule="auto"/>
        <w:ind w:firstLine="420" w:firstLineChars="200"/>
        <w:rPr>
          <w:szCs w:val="21"/>
        </w:rPr>
      </w:pPr>
      <w:r>
        <w:rPr>
          <w:szCs w:val="21"/>
        </w:rPr>
        <w:t>1、本课程要求先修大学物理，在教学中应注重基本概念、基本原理以及基础理论的传授，并辅以光电子学各研究内容相关应用领域及其发展动态等知识讲解。</w:t>
      </w:r>
    </w:p>
    <w:p>
      <w:pPr>
        <w:adjustRightInd w:val="0"/>
        <w:snapToGrid w:val="0"/>
        <w:spacing w:line="360" w:lineRule="auto"/>
        <w:ind w:firstLine="420" w:firstLineChars="200"/>
        <w:rPr>
          <w:szCs w:val="21"/>
        </w:rPr>
      </w:pPr>
      <w:r>
        <w:rPr>
          <w:szCs w:val="21"/>
        </w:rPr>
        <w:t>2、根据光电子器件的功能，知识点涵盖光的产生、传输、调制、光电探测、光电显示、光存储等方面的重点内容，体现光电子技术的全貌，全面反应光电子系统中各个环节有关的知识。</w:t>
      </w:r>
    </w:p>
    <w:p>
      <w:pPr>
        <w:adjustRightInd w:val="0"/>
        <w:snapToGrid w:val="0"/>
        <w:spacing w:line="360" w:lineRule="auto"/>
        <w:ind w:firstLine="420" w:firstLineChars="200"/>
        <w:rPr>
          <w:szCs w:val="21"/>
        </w:rPr>
      </w:pPr>
      <w:r>
        <w:rPr>
          <w:szCs w:val="21"/>
        </w:rPr>
        <w:t>3、要求每一章内容自成体系，从基本原理入手，系统诠释基本概念、基本知识、基本理论和相关技术。</w:t>
      </w:r>
    </w:p>
    <w:p>
      <w:pPr>
        <w:adjustRightInd w:val="0"/>
        <w:snapToGrid w:val="0"/>
        <w:spacing w:line="360" w:lineRule="auto"/>
        <w:ind w:firstLine="420" w:firstLineChars="200"/>
        <w:rPr>
          <w:szCs w:val="21"/>
        </w:rPr>
      </w:pPr>
      <w:r>
        <w:rPr>
          <w:szCs w:val="21"/>
        </w:rPr>
        <w:t>4、课程内容应加入一些近年光电子技术领域的研究和应用成果，将新相关科研成果融合在教学过程之中，拓宽学生的视野，启发学生对创新的思考。</w:t>
      </w:r>
    </w:p>
    <w:p>
      <w:pPr>
        <w:adjustRightInd w:val="0"/>
        <w:snapToGrid w:val="0"/>
        <w:spacing w:line="360" w:lineRule="auto"/>
        <w:ind w:firstLine="420" w:firstLineChars="200"/>
        <w:rPr>
          <w:szCs w:val="21"/>
        </w:rPr>
      </w:pPr>
      <w:r>
        <w:rPr>
          <w:rFonts w:hint="eastAsia"/>
          <w:szCs w:val="21"/>
        </w:rPr>
        <w:t>5、</w:t>
      </w:r>
      <w:r>
        <w:rPr>
          <w:szCs w:val="21"/>
        </w:rPr>
        <w:t>深度和广度说明：本课程立足于光电子学涉及到的基本概念、基本原理和基础理论的传授。从数学和物理基础出发，使学生学会光电子技术的基础理论，熟知光源、光波导、光调制器件、光探测和成像器件等技术的原理，以及光电子技术的相关应用。</w:t>
      </w:r>
    </w:p>
    <w:p>
      <w:pPr>
        <w:spacing w:line="360" w:lineRule="auto"/>
        <w:ind w:firstLine="420" w:firstLineChars="200"/>
        <w:rPr>
          <w:szCs w:val="21"/>
        </w:rPr>
      </w:pPr>
      <w:r>
        <w:rPr>
          <w:rFonts w:hint="eastAsia"/>
          <w:szCs w:val="21"/>
        </w:rPr>
        <w:t>6、</w:t>
      </w:r>
      <w:r>
        <w:rPr>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rPr>
          <w:szCs w:val="21"/>
        </w:rPr>
      </w:pPr>
    </w:p>
    <w:p>
      <w:pPr>
        <w:tabs>
          <w:tab w:val="left" w:pos="420"/>
        </w:tabs>
        <w:adjustRightInd w:val="0"/>
        <w:snapToGrid w:val="0"/>
        <w:spacing w:line="360" w:lineRule="auto"/>
        <w:ind w:left="420" w:hanging="420"/>
        <w:rPr>
          <w:rFonts w:eastAsia="黑体"/>
          <w:szCs w:val="21"/>
        </w:rPr>
      </w:pPr>
      <w:r>
        <w:rPr>
          <w:rFonts w:eastAsia="黑体"/>
          <w:szCs w:val="21"/>
        </w:rPr>
        <w:t>四、教学内容和教学方法</w:t>
      </w:r>
    </w:p>
    <w:p>
      <w:pPr>
        <w:adjustRightInd w:val="0"/>
        <w:snapToGrid w:val="0"/>
        <w:spacing w:line="360" w:lineRule="auto"/>
        <w:ind w:firstLine="420" w:firstLineChars="200"/>
        <w:rPr>
          <w:szCs w:val="21"/>
        </w:rPr>
      </w:pPr>
      <w:r>
        <w:rPr>
          <w:szCs w:val="21"/>
        </w:rPr>
        <w:t>本课程重点讲授的内容包括：光的基本属性、光源以及激光原理、光波导理论、光调制</w:t>
      </w:r>
      <w:r>
        <w:rPr>
          <w:rFonts w:hint="eastAsia"/>
          <w:szCs w:val="21"/>
        </w:rPr>
        <w:t>器的结构及工作原理</w:t>
      </w:r>
      <w:r>
        <w:rPr>
          <w:szCs w:val="21"/>
        </w:rPr>
        <w:t>、光电探测与成像技术以及光电子技术应用等。</w:t>
      </w:r>
    </w:p>
    <w:p>
      <w:pPr>
        <w:adjustRightInd w:val="0"/>
        <w:snapToGrid w:val="0"/>
        <w:spacing w:line="360" w:lineRule="auto"/>
        <w:ind w:firstLine="420" w:firstLineChars="200"/>
        <w:rPr>
          <w:szCs w:val="21"/>
        </w:rPr>
      </w:pPr>
      <w:r>
        <w:rPr>
          <w:szCs w:val="21"/>
        </w:rPr>
        <w:t>在教学过程中，突出本课程的地位、作用与特色，对于与其它课程交叉部分的内容，要分工明确，注意采用课堂讲授、讨论、多媒体教学相结合的教学方式，增加学生的学习兴趣。</w:t>
      </w:r>
    </w:p>
    <w:p>
      <w:pPr>
        <w:widowControl/>
        <w:adjustRightInd w:val="0"/>
        <w:snapToGrid w:val="0"/>
        <w:spacing w:line="360" w:lineRule="auto"/>
        <w:ind w:left="426"/>
        <w:jc w:val="left"/>
        <w:rPr>
          <w:rFonts w:eastAsia="黑体"/>
          <w:snapToGrid w:val="0"/>
          <w:kern w:val="0"/>
          <w:szCs w:val="21"/>
        </w:rPr>
      </w:pP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1 绪论（</w:t>
      </w:r>
      <w:r>
        <w:rPr>
          <w:rFonts w:hint="eastAsia" w:eastAsia="黑体"/>
          <w:snapToGrid w:val="0"/>
          <w:kern w:val="0"/>
          <w:szCs w:val="21"/>
        </w:rPr>
        <w:t>2</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1.1、光电子技术及其发展历史沿革；</w:t>
      </w:r>
    </w:p>
    <w:p>
      <w:pPr>
        <w:widowControl/>
        <w:adjustRightInd w:val="0"/>
        <w:snapToGrid w:val="0"/>
        <w:spacing w:line="360" w:lineRule="auto"/>
        <w:ind w:left="426"/>
        <w:jc w:val="left"/>
        <w:rPr>
          <w:snapToGrid w:val="0"/>
          <w:kern w:val="0"/>
          <w:szCs w:val="21"/>
        </w:rPr>
      </w:pPr>
      <w:r>
        <w:rPr>
          <w:snapToGrid w:val="0"/>
          <w:kern w:val="0"/>
          <w:szCs w:val="21"/>
        </w:rPr>
        <w:t>1.2、光电子系统构成；</w:t>
      </w:r>
    </w:p>
    <w:p>
      <w:pPr>
        <w:widowControl/>
        <w:adjustRightInd w:val="0"/>
        <w:snapToGrid w:val="0"/>
        <w:spacing w:line="360" w:lineRule="auto"/>
        <w:ind w:left="426"/>
        <w:jc w:val="left"/>
        <w:rPr>
          <w:snapToGrid w:val="0"/>
          <w:kern w:val="0"/>
          <w:szCs w:val="21"/>
        </w:rPr>
      </w:pPr>
      <w:r>
        <w:rPr>
          <w:snapToGrid w:val="0"/>
          <w:kern w:val="0"/>
          <w:szCs w:val="21"/>
        </w:rPr>
        <w:t>1.3、光电子器件分类及相关发展动态；</w:t>
      </w:r>
    </w:p>
    <w:p>
      <w:pPr>
        <w:widowControl/>
        <w:adjustRightInd w:val="0"/>
        <w:snapToGrid w:val="0"/>
        <w:spacing w:line="360" w:lineRule="auto"/>
        <w:ind w:left="426"/>
        <w:jc w:val="left"/>
        <w:rPr>
          <w:snapToGrid w:val="0"/>
          <w:kern w:val="0"/>
          <w:szCs w:val="21"/>
        </w:rPr>
      </w:pPr>
      <w:r>
        <w:rPr>
          <w:snapToGrid w:val="0"/>
          <w:kern w:val="0"/>
          <w:szCs w:val="21"/>
        </w:rPr>
        <w:t>1.4、光电子技术的应用领域；</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2 光学基础知识（</w:t>
      </w:r>
      <w:r>
        <w:rPr>
          <w:rFonts w:hint="eastAsia" w:eastAsia="黑体"/>
          <w:snapToGrid w:val="0"/>
          <w:kern w:val="0"/>
          <w:szCs w:val="21"/>
        </w:rPr>
        <w:t>6</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2.1、光的波粒二象性的原理；</w:t>
      </w:r>
    </w:p>
    <w:p>
      <w:pPr>
        <w:widowControl/>
        <w:adjustRightInd w:val="0"/>
        <w:snapToGrid w:val="0"/>
        <w:spacing w:line="360" w:lineRule="auto"/>
        <w:ind w:left="426"/>
        <w:jc w:val="left"/>
        <w:rPr>
          <w:snapToGrid w:val="0"/>
          <w:kern w:val="0"/>
          <w:szCs w:val="21"/>
        </w:rPr>
      </w:pPr>
      <w:r>
        <w:rPr>
          <w:snapToGrid w:val="0"/>
          <w:kern w:val="0"/>
          <w:szCs w:val="21"/>
        </w:rPr>
        <w:t>2.2、光的电磁理论；</w:t>
      </w:r>
    </w:p>
    <w:p>
      <w:pPr>
        <w:widowControl/>
        <w:adjustRightInd w:val="0"/>
        <w:snapToGrid w:val="0"/>
        <w:spacing w:line="360" w:lineRule="auto"/>
        <w:ind w:left="426"/>
        <w:jc w:val="left"/>
        <w:rPr>
          <w:snapToGrid w:val="0"/>
          <w:kern w:val="0"/>
          <w:szCs w:val="21"/>
        </w:rPr>
      </w:pPr>
      <w:r>
        <w:rPr>
          <w:snapToGrid w:val="0"/>
          <w:kern w:val="0"/>
          <w:szCs w:val="21"/>
        </w:rPr>
        <w:t>2.3、麦斯韦方程组的基本含义；</w:t>
      </w:r>
    </w:p>
    <w:p>
      <w:pPr>
        <w:widowControl/>
        <w:adjustRightInd w:val="0"/>
        <w:snapToGrid w:val="0"/>
        <w:spacing w:line="360" w:lineRule="auto"/>
        <w:ind w:left="426"/>
        <w:jc w:val="left"/>
        <w:rPr>
          <w:snapToGrid w:val="0"/>
          <w:kern w:val="0"/>
          <w:szCs w:val="21"/>
        </w:rPr>
      </w:pPr>
      <w:r>
        <w:rPr>
          <w:snapToGrid w:val="0"/>
          <w:kern w:val="0"/>
          <w:szCs w:val="21"/>
        </w:rPr>
        <w:t>2.4、光的传播中反射、折射、干涉及偏振的原理；</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3 光源（</w:t>
      </w:r>
      <w:r>
        <w:rPr>
          <w:rFonts w:hint="eastAsia" w:eastAsia="黑体"/>
          <w:snapToGrid w:val="0"/>
          <w:kern w:val="0"/>
          <w:szCs w:val="21"/>
        </w:rPr>
        <w:t>6</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3.1、热辐射和黑体辐射的概念；</w:t>
      </w:r>
    </w:p>
    <w:p>
      <w:pPr>
        <w:widowControl/>
        <w:adjustRightInd w:val="0"/>
        <w:snapToGrid w:val="0"/>
        <w:spacing w:line="360" w:lineRule="auto"/>
        <w:ind w:left="426"/>
        <w:jc w:val="left"/>
        <w:rPr>
          <w:snapToGrid w:val="0"/>
          <w:kern w:val="0"/>
          <w:szCs w:val="21"/>
        </w:rPr>
      </w:pPr>
      <w:r>
        <w:rPr>
          <w:snapToGrid w:val="0"/>
          <w:kern w:val="0"/>
          <w:szCs w:val="21"/>
        </w:rPr>
        <w:t>3.2、光的相关性的光子描述；</w:t>
      </w:r>
    </w:p>
    <w:p>
      <w:pPr>
        <w:widowControl/>
        <w:adjustRightInd w:val="0"/>
        <w:snapToGrid w:val="0"/>
        <w:spacing w:line="360" w:lineRule="auto"/>
        <w:ind w:left="426"/>
        <w:jc w:val="left"/>
        <w:rPr>
          <w:snapToGrid w:val="0"/>
          <w:kern w:val="0"/>
          <w:szCs w:val="21"/>
        </w:rPr>
      </w:pPr>
      <w:r>
        <w:rPr>
          <w:snapToGrid w:val="0"/>
          <w:kern w:val="0"/>
          <w:szCs w:val="21"/>
        </w:rPr>
        <w:t>3.3、激光的形成和基本特征；</w:t>
      </w:r>
    </w:p>
    <w:p>
      <w:pPr>
        <w:widowControl/>
        <w:adjustRightInd w:val="0"/>
        <w:snapToGrid w:val="0"/>
        <w:spacing w:line="360" w:lineRule="auto"/>
        <w:ind w:left="426"/>
        <w:jc w:val="left"/>
        <w:rPr>
          <w:snapToGrid w:val="0"/>
          <w:kern w:val="0"/>
          <w:szCs w:val="21"/>
        </w:rPr>
      </w:pPr>
      <w:r>
        <w:rPr>
          <w:snapToGrid w:val="0"/>
          <w:kern w:val="0"/>
          <w:szCs w:val="21"/>
        </w:rPr>
        <w:t>3.4、激光产生的物理条件及其机理、谐振腔与激光的模式；</w:t>
      </w:r>
      <w:bookmarkStart w:id="214" w:name="_Hlk496994283"/>
      <w:r>
        <w:rPr>
          <w:snapToGrid w:val="0"/>
          <w:kern w:val="0"/>
          <w:szCs w:val="21"/>
        </w:rPr>
        <w:t>（重点）</w:t>
      </w:r>
      <w:bookmarkEnd w:id="214"/>
    </w:p>
    <w:p>
      <w:pPr>
        <w:widowControl/>
        <w:adjustRightInd w:val="0"/>
        <w:snapToGrid w:val="0"/>
        <w:spacing w:line="360" w:lineRule="auto"/>
        <w:ind w:left="426"/>
        <w:jc w:val="left"/>
        <w:rPr>
          <w:snapToGrid w:val="0"/>
          <w:kern w:val="0"/>
          <w:szCs w:val="21"/>
        </w:rPr>
      </w:pPr>
      <w:r>
        <w:rPr>
          <w:snapToGrid w:val="0"/>
          <w:kern w:val="0"/>
          <w:szCs w:val="21"/>
        </w:rPr>
        <w:t>3.5、激光产生的必要条件和充分条件、粒子数反转与光放大的基本原理；（难点）</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4 光波导理论（6学时）</w:t>
      </w:r>
    </w:p>
    <w:p>
      <w:pPr>
        <w:widowControl/>
        <w:adjustRightInd w:val="0"/>
        <w:snapToGrid w:val="0"/>
        <w:spacing w:line="360" w:lineRule="auto"/>
        <w:ind w:left="426"/>
        <w:jc w:val="left"/>
        <w:rPr>
          <w:snapToGrid w:val="0"/>
          <w:kern w:val="0"/>
          <w:szCs w:val="21"/>
        </w:rPr>
      </w:pPr>
      <w:r>
        <w:rPr>
          <w:snapToGrid w:val="0"/>
          <w:kern w:val="0"/>
          <w:szCs w:val="21"/>
        </w:rPr>
        <w:t>4.1、平面介质光波导中的光传播与导引波、消失波、波导等概念；（重点）</w:t>
      </w:r>
    </w:p>
    <w:p>
      <w:pPr>
        <w:widowControl/>
        <w:adjustRightInd w:val="0"/>
        <w:snapToGrid w:val="0"/>
        <w:spacing w:line="360" w:lineRule="auto"/>
        <w:ind w:left="426"/>
        <w:jc w:val="left"/>
        <w:rPr>
          <w:snapToGrid w:val="0"/>
          <w:kern w:val="0"/>
          <w:szCs w:val="21"/>
        </w:rPr>
      </w:pPr>
      <w:r>
        <w:rPr>
          <w:snapToGrid w:val="0"/>
          <w:kern w:val="0"/>
          <w:szCs w:val="21"/>
        </w:rPr>
        <w:t>4.2、平面介质波导的射线分析理论；</w:t>
      </w:r>
    </w:p>
    <w:p>
      <w:pPr>
        <w:widowControl/>
        <w:adjustRightInd w:val="0"/>
        <w:snapToGrid w:val="0"/>
        <w:spacing w:line="360" w:lineRule="auto"/>
        <w:ind w:left="426"/>
        <w:jc w:val="left"/>
        <w:rPr>
          <w:snapToGrid w:val="0"/>
          <w:kern w:val="0"/>
          <w:szCs w:val="21"/>
        </w:rPr>
      </w:pPr>
      <w:r>
        <w:rPr>
          <w:snapToGrid w:val="0"/>
          <w:kern w:val="0"/>
          <w:szCs w:val="21"/>
        </w:rPr>
        <w:t>4.3、平板介质波导的波动分析理论；（难点）</w:t>
      </w:r>
    </w:p>
    <w:p>
      <w:pPr>
        <w:widowControl/>
        <w:adjustRightInd w:val="0"/>
        <w:snapToGrid w:val="0"/>
        <w:spacing w:line="360" w:lineRule="auto"/>
        <w:ind w:left="426"/>
        <w:jc w:val="left"/>
        <w:rPr>
          <w:snapToGrid w:val="0"/>
          <w:kern w:val="0"/>
          <w:szCs w:val="21"/>
        </w:rPr>
      </w:pPr>
      <w:r>
        <w:rPr>
          <w:snapToGrid w:val="0"/>
          <w:kern w:val="0"/>
          <w:szCs w:val="21"/>
        </w:rPr>
        <w:t>4.4、圆柱介质光波导（光纤）中光导波的射线光学分析理论；</w:t>
      </w:r>
    </w:p>
    <w:p>
      <w:pPr>
        <w:widowControl/>
        <w:adjustRightInd w:val="0"/>
        <w:snapToGrid w:val="0"/>
        <w:spacing w:line="360" w:lineRule="auto"/>
        <w:ind w:left="426"/>
        <w:jc w:val="left"/>
        <w:rPr>
          <w:snapToGrid w:val="0"/>
          <w:kern w:val="0"/>
          <w:szCs w:val="21"/>
        </w:rPr>
      </w:pPr>
      <w:r>
        <w:rPr>
          <w:snapToGrid w:val="0"/>
          <w:kern w:val="0"/>
          <w:szCs w:val="21"/>
        </w:rPr>
        <w:t>4.4、光纤中光导波的物理光学分析理论；（难点）</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5 光的调制（</w:t>
      </w:r>
      <w:r>
        <w:rPr>
          <w:rFonts w:hint="eastAsia" w:eastAsia="黑体"/>
          <w:snapToGrid w:val="0"/>
          <w:kern w:val="0"/>
          <w:szCs w:val="21"/>
        </w:rPr>
        <w:t>4</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5.1、光束的调制原理；（重点）</w:t>
      </w:r>
    </w:p>
    <w:p>
      <w:pPr>
        <w:widowControl/>
        <w:adjustRightInd w:val="0"/>
        <w:snapToGrid w:val="0"/>
        <w:spacing w:line="360" w:lineRule="auto"/>
        <w:ind w:left="426"/>
        <w:jc w:val="left"/>
        <w:rPr>
          <w:snapToGrid w:val="0"/>
          <w:kern w:val="0"/>
          <w:szCs w:val="21"/>
        </w:rPr>
      </w:pPr>
      <w:r>
        <w:rPr>
          <w:snapToGrid w:val="0"/>
          <w:kern w:val="0"/>
          <w:szCs w:val="21"/>
        </w:rPr>
        <w:t>5.2、电光效应与电光调制器结构及其工作原理；（难点、重点）</w:t>
      </w:r>
    </w:p>
    <w:p>
      <w:pPr>
        <w:widowControl/>
        <w:adjustRightInd w:val="0"/>
        <w:snapToGrid w:val="0"/>
        <w:spacing w:line="360" w:lineRule="auto"/>
        <w:ind w:left="426"/>
        <w:jc w:val="left"/>
        <w:rPr>
          <w:snapToGrid w:val="0"/>
          <w:kern w:val="0"/>
          <w:szCs w:val="21"/>
        </w:rPr>
      </w:pPr>
      <w:r>
        <w:rPr>
          <w:snapToGrid w:val="0"/>
          <w:kern w:val="0"/>
          <w:szCs w:val="21"/>
        </w:rPr>
        <w:t>5.3、声光效应与声光调制器结构及其工作原理；（难点、重点）</w:t>
      </w:r>
    </w:p>
    <w:p>
      <w:pPr>
        <w:widowControl/>
        <w:adjustRightInd w:val="0"/>
        <w:snapToGrid w:val="0"/>
        <w:spacing w:line="360" w:lineRule="auto"/>
        <w:ind w:left="426"/>
        <w:jc w:val="left"/>
        <w:rPr>
          <w:snapToGrid w:val="0"/>
          <w:kern w:val="0"/>
          <w:szCs w:val="21"/>
        </w:rPr>
      </w:pPr>
      <w:r>
        <w:rPr>
          <w:snapToGrid w:val="0"/>
          <w:kern w:val="0"/>
          <w:szCs w:val="21"/>
        </w:rPr>
        <w:t>5.4、磁光效应与磁光调制器结构及其工作原理；</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szCs w:val="21"/>
        </w:rPr>
      </w:pPr>
      <w:r>
        <w:rPr>
          <w:rFonts w:eastAsia="黑体"/>
          <w:snapToGrid w:val="0"/>
          <w:kern w:val="0"/>
          <w:szCs w:val="21"/>
        </w:rPr>
        <w:t>6光电探测（</w:t>
      </w:r>
      <w:r>
        <w:rPr>
          <w:rFonts w:hint="eastAsia" w:eastAsia="黑体"/>
          <w:snapToGrid w:val="0"/>
          <w:kern w:val="0"/>
          <w:szCs w:val="21"/>
        </w:rPr>
        <w:t>6</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6.1、光电探测的基本物理效应的物理效应，理解光辐射的探测原理；（重点）</w:t>
      </w:r>
    </w:p>
    <w:p>
      <w:pPr>
        <w:widowControl/>
        <w:adjustRightInd w:val="0"/>
        <w:snapToGrid w:val="0"/>
        <w:spacing w:line="360" w:lineRule="auto"/>
        <w:ind w:left="426"/>
        <w:jc w:val="left"/>
        <w:rPr>
          <w:snapToGrid w:val="0"/>
          <w:kern w:val="0"/>
          <w:szCs w:val="21"/>
        </w:rPr>
      </w:pPr>
      <w:r>
        <w:rPr>
          <w:snapToGrid w:val="0"/>
          <w:kern w:val="0"/>
          <w:szCs w:val="21"/>
        </w:rPr>
        <w:t>6.2、几种光电探测器件结构原理，特性参数以及应用；</w:t>
      </w:r>
    </w:p>
    <w:p>
      <w:pPr>
        <w:widowControl/>
        <w:adjustRightInd w:val="0"/>
        <w:snapToGrid w:val="0"/>
        <w:spacing w:line="360" w:lineRule="auto"/>
        <w:ind w:left="426"/>
        <w:jc w:val="left"/>
        <w:rPr>
          <w:snapToGrid w:val="0"/>
          <w:kern w:val="0"/>
          <w:szCs w:val="21"/>
        </w:rPr>
      </w:pPr>
      <w:r>
        <w:rPr>
          <w:snapToGrid w:val="0"/>
          <w:kern w:val="0"/>
          <w:szCs w:val="21"/>
        </w:rPr>
        <w:t>6.3、光电成像系统的概念和基本特性；</w:t>
      </w:r>
    </w:p>
    <w:p>
      <w:pPr>
        <w:widowControl/>
        <w:adjustRightInd w:val="0"/>
        <w:snapToGrid w:val="0"/>
        <w:spacing w:line="360" w:lineRule="auto"/>
        <w:ind w:left="426"/>
        <w:jc w:val="left"/>
        <w:rPr>
          <w:snapToGrid w:val="0"/>
          <w:kern w:val="0"/>
          <w:szCs w:val="21"/>
        </w:rPr>
      </w:pPr>
      <w:r>
        <w:rPr>
          <w:snapToGrid w:val="0"/>
          <w:kern w:val="0"/>
          <w:szCs w:val="21"/>
        </w:rPr>
        <w:t>6.4、几种光电成像器件的原理；（重点）</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left="426"/>
        <w:jc w:val="left"/>
        <w:rPr>
          <w:rFonts w:eastAsia="黑体"/>
          <w:snapToGrid w:val="0"/>
          <w:kern w:val="0"/>
          <w:szCs w:val="21"/>
        </w:rPr>
      </w:pPr>
      <w:r>
        <w:rPr>
          <w:rFonts w:hint="eastAsia" w:eastAsia="黑体"/>
          <w:snapToGrid w:val="0"/>
          <w:kern w:val="0"/>
          <w:szCs w:val="21"/>
        </w:rPr>
        <w:t>7</w:t>
      </w:r>
      <w:r>
        <w:rPr>
          <w:rFonts w:eastAsia="黑体"/>
          <w:snapToGrid w:val="0"/>
          <w:kern w:val="0"/>
          <w:szCs w:val="21"/>
        </w:rPr>
        <w:t>光电子技术应用（</w:t>
      </w:r>
      <w:r>
        <w:rPr>
          <w:rFonts w:hint="eastAsia" w:eastAsia="黑体"/>
          <w:snapToGrid w:val="0"/>
          <w:kern w:val="0"/>
          <w:szCs w:val="21"/>
        </w:rPr>
        <w:t>2</w:t>
      </w:r>
      <w:r>
        <w:rPr>
          <w:rFonts w:eastAsia="黑体"/>
          <w:snapToGrid w:val="0"/>
          <w:kern w:val="0"/>
          <w:szCs w:val="21"/>
        </w:rPr>
        <w:t>学时）</w:t>
      </w:r>
    </w:p>
    <w:p>
      <w:pPr>
        <w:widowControl/>
        <w:adjustRightInd w:val="0"/>
        <w:snapToGrid w:val="0"/>
        <w:spacing w:line="360" w:lineRule="auto"/>
        <w:ind w:left="426"/>
        <w:jc w:val="left"/>
        <w:rPr>
          <w:snapToGrid w:val="0"/>
          <w:kern w:val="0"/>
          <w:szCs w:val="21"/>
        </w:rPr>
      </w:pPr>
      <w:r>
        <w:rPr>
          <w:rFonts w:hint="eastAsia"/>
          <w:snapToGrid w:val="0"/>
          <w:kern w:val="0"/>
          <w:szCs w:val="21"/>
        </w:rPr>
        <w:t>7</w:t>
      </w:r>
      <w:r>
        <w:rPr>
          <w:snapToGrid w:val="0"/>
          <w:kern w:val="0"/>
          <w:szCs w:val="21"/>
        </w:rPr>
        <w:t>.</w:t>
      </w:r>
      <w:r>
        <w:rPr>
          <w:rFonts w:hint="eastAsia"/>
          <w:snapToGrid w:val="0"/>
          <w:kern w:val="0"/>
          <w:szCs w:val="21"/>
        </w:rPr>
        <w:t>1</w:t>
      </w:r>
      <w:r>
        <w:rPr>
          <w:snapToGrid w:val="0"/>
          <w:kern w:val="0"/>
          <w:szCs w:val="21"/>
        </w:rPr>
        <w:t>、激光加工技术的原理和应用；</w:t>
      </w:r>
    </w:p>
    <w:p>
      <w:pPr>
        <w:widowControl/>
        <w:adjustRightInd w:val="0"/>
        <w:snapToGrid w:val="0"/>
        <w:spacing w:line="360" w:lineRule="auto"/>
        <w:ind w:left="426"/>
        <w:jc w:val="left"/>
        <w:rPr>
          <w:snapToGrid w:val="0"/>
          <w:kern w:val="0"/>
          <w:szCs w:val="21"/>
        </w:rPr>
      </w:pPr>
      <w:r>
        <w:rPr>
          <w:rFonts w:hint="eastAsia"/>
          <w:snapToGrid w:val="0"/>
          <w:kern w:val="0"/>
          <w:szCs w:val="21"/>
        </w:rPr>
        <w:t>7</w:t>
      </w:r>
      <w:r>
        <w:rPr>
          <w:snapToGrid w:val="0"/>
          <w:kern w:val="0"/>
          <w:szCs w:val="21"/>
        </w:rPr>
        <w:t>.</w:t>
      </w:r>
      <w:r>
        <w:rPr>
          <w:rFonts w:hint="eastAsia"/>
          <w:snapToGrid w:val="0"/>
          <w:kern w:val="0"/>
          <w:szCs w:val="21"/>
        </w:rPr>
        <w:t>2</w:t>
      </w:r>
      <w:r>
        <w:rPr>
          <w:snapToGrid w:val="0"/>
          <w:kern w:val="0"/>
          <w:szCs w:val="21"/>
        </w:rPr>
        <w:t>、全息技术的相关应用；</w:t>
      </w:r>
    </w:p>
    <w:p>
      <w:pPr>
        <w:widowControl/>
        <w:adjustRightInd w:val="0"/>
        <w:snapToGrid w:val="0"/>
        <w:spacing w:line="360" w:lineRule="auto"/>
        <w:ind w:left="426"/>
        <w:jc w:val="left"/>
        <w:rPr>
          <w:snapToGrid w:val="0"/>
          <w:kern w:val="0"/>
          <w:szCs w:val="21"/>
        </w:rPr>
      </w:pPr>
      <w:r>
        <w:rPr>
          <w:rFonts w:hint="eastAsia"/>
          <w:snapToGrid w:val="0"/>
          <w:kern w:val="0"/>
          <w:szCs w:val="21"/>
        </w:rPr>
        <w:t>7</w:t>
      </w:r>
      <w:r>
        <w:rPr>
          <w:snapToGrid w:val="0"/>
          <w:kern w:val="0"/>
          <w:szCs w:val="21"/>
        </w:rPr>
        <w:t>.</w:t>
      </w:r>
      <w:r>
        <w:rPr>
          <w:rFonts w:hint="eastAsia"/>
          <w:snapToGrid w:val="0"/>
          <w:kern w:val="0"/>
          <w:szCs w:val="21"/>
        </w:rPr>
        <w:t>3</w:t>
      </w:r>
      <w:r>
        <w:rPr>
          <w:snapToGrid w:val="0"/>
          <w:kern w:val="0"/>
          <w:szCs w:val="21"/>
        </w:rPr>
        <w:t>、激光医学的相关应用；</w:t>
      </w:r>
    </w:p>
    <w:p>
      <w:pPr>
        <w:widowControl/>
        <w:adjustRightInd w:val="0"/>
        <w:snapToGrid w:val="0"/>
        <w:spacing w:line="360" w:lineRule="auto"/>
        <w:ind w:left="426"/>
        <w:jc w:val="left"/>
        <w:rPr>
          <w:snapToGrid w:val="0"/>
          <w:kern w:val="0"/>
          <w:szCs w:val="21"/>
        </w:rPr>
      </w:pPr>
      <w:r>
        <w:rPr>
          <w:rFonts w:hint="eastAsia"/>
          <w:snapToGrid w:val="0"/>
          <w:kern w:val="0"/>
          <w:szCs w:val="21"/>
        </w:rPr>
        <w:t>7</w:t>
      </w:r>
      <w:r>
        <w:rPr>
          <w:snapToGrid w:val="0"/>
          <w:kern w:val="0"/>
          <w:szCs w:val="21"/>
        </w:rPr>
        <w:t>.</w:t>
      </w:r>
      <w:r>
        <w:rPr>
          <w:rFonts w:hint="eastAsia"/>
          <w:snapToGrid w:val="0"/>
          <w:kern w:val="0"/>
          <w:szCs w:val="21"/>
        </w:rPr>
        <w:t>4</w:t>
      </w:r>
      <w:r>
        <w:rPr>
          <w:snapToGrid w:val="0"/>
          <w:kern w:val="0"/>
          <w:szCs w:val="21"/>
        </w:rPr>
        <w:t>、红外成像技术的相关应用。</w:t>
      </w:r>
    </w:p>
    <w:p>
      <w:pPr>
        <w:widowControl/>
        <w:adjustRightInd w:val="0"/>
        <w:snapToGrid w:val="0"/>
        <w:spacing w:line="360" w:lineRule="auto"/>
        <w:ind w:left="426"/>
        <w:jc w:val="left"/>
        <w:rPr>
          <w:snapToGrid w:val="0"/>
          <w:kern w:val="0"/>
          <w:szCs w:val="21"/>
        </w:rPr>
      </w:pPr>
      <w:r>
        <w:rPr>
          <w:rFonts w:cs="宋体"/>
          <w:bCs/>
          <w:snapToGrid w:val="0"/>
          <w:kern w:val="0"/>
          <w:szCs w:val="21"/>
        </w:rPr>
        <w:t>本章内容支撑课程目标</w:t>
      </w:r>
      <w:r>
        <w:rPr>
          <w:rFonts w:hint="eastAsia" w:cs="宋体"/>
          <w:bCs/>
          <w:snapToGrid w:val="0"/>
          <w:kern w:val="0"/>
          <w:szCs w:val="21"/>
        </w:rPr>
        <w:t>2。</w:t>
      </w:r>
    </w:p>
    <w:p>
      <w:pPr>
        <w:tabs>
          <w:tab w:val="left" w:pos="420"/>
        </w:tabs>
        <w:adjustRightInd w:val="0"/>
        <w:snapToGrid w:val="0"/>
        <w:spacing w:line="360" w:lineRule="auto"/>
        <w:rPr>
          <w:rFonts w:eastAsia="黑体"/>
        </w:rPr>
      </w:pPr>
    </w:p>
    <w:p>
      <w:pPr>
        <w:tabs>
          <w:tab w:val="left" w:pos="420"/>
        </w:tabs>
        <w:adjustRightInd w:val="0"/>
        <w:snapToGrid w:val="0"/>
        <w:spacing w:line="360" w:lineRule="auto"/>
        <w:ind w:left="420" w:hanging="420"/>
        <w:rPr>
          <w:rFonts w:eastAsia="黑体"/>
        </w:rPr>
      </w:pPr>
      <w:r>
        <w:rPr>
          <w:rFonts w:eastAsia="黑体"/>
        </w:rPr>
        <w:t>五、实验内容</w:t>
      </w:r>
    </w:p>
    <w:p>
      <w:pPr>
        <w:adjustRightInd w:val="0"/>
        <w:snapToGrid w:val="0"/>
        <w:spacing w:line="360" w:lineRule="auto"/>
        <w:ind w:firstLine="420" w:firstLineChars="200"/>
      </w:pPr>
      <w:r>
        <w:t>无</w:t>
      </w:r>
    </w:p>
    <w:p>
      <w:pPr>
        <w:widowControl/>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5"/>
        <w:gridCol w:w="1915"/>
        <w:gridCol w:w="1779"/>
        <w:gridCol w:w="14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vAlign w:val="center"/>
          </w:tcPr>
          <w:p>
            <w:pPr>
              <w:adjustRightInd w:val="0"/>
              <w:snapToGrid w:val="0"/>
              <w:jc w:val="center"/>
              <w:rPr>
                <w:sz w:val="18"/>
                <w:szCs w:val="18"/>
              </w:rPr>
            </w:pPr>
            <w:r>
              <w:rPr>
                <w:sz w:val="18"/>
                <w:szCs w:val="18"/>
              </w:rPr>
              <w:t>讲授的知识点及内容</w:t>
            </w:r>
          </w:p>
        </w:tc>
        <w:tc>
          <w:tcPr>
            <w:tcW w:w="1153" w:type="pct"/>
            <w:vAlign w:val="center"/>
          </w:tcPr>
          <w:p>
            <w:pPr>
              <w:adjustRightInd w:val="0"/>
              <w:snapToGrid w:val="0"/>
              <w:jc w:val="center"/>
              <w:rPr>
                <w:sz w:val="18"/>
                <w:szCs w:val="18"/>
              </w:rPr>
            </w:pPr>
            <w:r>
              <w:rPr>
                <w:sz w:val="18"/>
                <w:szCs w:val="18"/>
              </w:rPr>
              <w:t>讲授（学时）</w:t>
            </w:r>
          </w:p>
        </w:tc>
        <w:tc>
          <w:tcPr>
            <w:tcW w:w="1071" w:type="pct"/>
            <w:vAlign w:val="center"/>
          </w:tcPr>
          <w:p>
            <w:pPr>
              <w:adjustRightInd w:val="0"/>
              <w:snapToGrid w:val="0"/>
              <w:jc w:val="center"/>
              <w:rPr>
                <w:sz w:val="18"/>
                <w:szCs w:val="18"/>
              </w:rPr>
            </w:pPr>
            <w:r>
              <w:rPr>
                <w:sz w:val="18"/>
                <w:szCs w:val="18"/>
              </w:rPr>
              <w:t>实验（学时）</w:t>
            </w:r>
          </w:p>
        </w:tc>
        <w:tc>
          <w:tcPr>
            <w:tcW w:w="877"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1 绪论</w:t>
            </w:r>
          </w:p>
        </w:tc>
        <w:tc>
          <w:tcPr>
            <w:tcW w:w="1153" w:type="pct"/>
          </w:tcPr>
          <w:p>
            <w:pPr>
              <w:widowControl/>
              <w:adjustRightInd w:val="0"/>
              <w:snapToGrid w:val="0"/>
              <w:jc w:val="center"/>
              <w:rPr>
                <w:kern w:val="0"/>
                <w:sz w:val="18"/>
                <w:szCs w:val="18"/>
              </w:rPr>
            </w:pPr>
            <w:r>
              <w:rPr>
                <w:rFonts w:hint="eastAsia"/>
                <w:kern w:val="0"/>
                <w:sz w:val="18"/>
                <w:szCs w:val="18"/>
              </w:rPr>
              <w:t>2</w:t>
            </w:r>
          </w:p>
        </w:tc>
        <w:tc>
          <w:tcPr>
            <w:tcW w:w="1071" w:type="pct"/>
            <w:vAlign w:val="center"/>
          </w:tcPr>
          <w:p>
            <w:pPr>
              <w:widowControl/>
              <w:adjustRightInd w:val="0"/>
              <w:snapToGrid w:val="0"/>
              <w:ind w:firstLine="397"/>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2光学基础知识</w:t>
            </w:r>
          </w:p>
        </w:tc>
        <w:tc>
          <w:tcPr>
            <w:tcW w:w="1153" w:type="pct"/>
          </w:tcPr>
          <w:p>
            <w:pPr>
              <w:widowControl/>
              <w:adjustRightInd w:val="0"/>
              <w:snapToGrid w:val="0"/>
              <w:jc w:val="center"/>
              <w:rPr>
                <w:kern w:val="0"/>
                <w:sz w:val="18"/>
                <w:szCs w:val="18"/>
              </w:rPr>
            </w:pPr>
            <w:r>
              <w:rPr>
                <w:rFonts w:hint="eastAsia"/>
                <w:kern w:val="0"/>
                <w:sz w:val="18"/>
                <w:szCs w:val="18"/>
              </w:rPr>
              <w:t>6</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3光源</w:t>
            </w:r>
          </w:p>
        </w:tc>
        <w:tc>
          <w:tcPr>
            <w:tcW w:w="1153" w:type="pct"/>
          </w:tcPr>
          <w:p>
            <w:pPr>
              <w:widowControl/>
              <w:adjustRightInd w:val="0"/>
              <w:snapToGrid w:val="0"/>
              <w:jc w:val="center"/>
              <w:rPr>
                <w:kern w:val="0"/>
                <w:sz w:val="18"/>
                <w:szCs w:val="18"/>
              </w:rPr>
            </w:pPr>
            <w:r>
              <w:rPr>
                <w:rFonts w:hint="eastAsia"/>
                <w:kern w:val="0"/>
                <w:sz w:val="18"/>
                <w:szCs w:val="18"/>
              </w:rPr>
              <w:t>6</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4光波导理论</w:t>
            </w:r>
          </w:p>
        </w:tc>
        <w:tc>
          <w:tcPr>
            <w:tcW w:w="1153" w:type="pct"/>
          </w:tcPr>
          <w:p>
            <w:pPr>
              <w:widowControl/>
              <w:adjustRightInd w:val="0"/>
              <w:snapToGrid w:val="0"/>
              <w:jc w:val="center"/>
              <w:rPr>
                <w:kern w:val="0"/>
                <w:sz w:val="18"/>
                <w:szCs w:val="18"/>
              </w:rPr>
            </w:pPr>
            <w:r>
              <w:rPr>
                <w:kern w:val="0"/>
                <w:sz w:val="18"/>
                <w:szCs w:val="18"/>
              </w:rPr>
              <w:t>6</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5光的调制</w:t>
            </w:r>
          </w:p>
        </w:tc>
        <w:tc>
          <w:tcPr>
            <w:tcW w:w="1153" w:type="pct"/>
          </w:tcPr>
          <w:p>
            <w:pPr>
              <w:widowControl/>
              <w:adjustRightInd w:val="0"/>
              <w:snapToGrid w:val="0"/>
              <w:jc w:val="center"/>
              <w:rPr>
                <w:kern w:val="0"/>
                <w:sz w:val="18"/>
                <w:szCs w:val="18"/>
              </w:rPr>
            </w:pPr>
            <w:r>
              <w:rPr>
                <w:rFonts w:hint="eastAsia"/>
                <w:kern w:val="0"/>
                <w:sz w:val="18"/>
                <w:szCs w:val="18"/>
              </w:rPr>
              <w:t>4</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kern w:val="0"/>
                <w:sz w:val="18"/>
                <w:szCs w:val="18"/>
              </w:rPr>
              <w:t>6光</w:t>
            </w:r>
            <w:r>
              <w:rPr>
                <w:rFonts w:hint="eastAsia"/>
                <w:kern w:val="0"/>
                <w:sz w:val="18"/>
                <w:szCs w:val="18"/>
              </w:rPr>
              <w:t>电</w:t>
            </w:r>
            <w:r>
              <w:rPr>
                <w:kern w:val="0"/>
                <w:sz w:val="18"/>
                <w:szCs w:val="18"/>
              </w:rPr>
              <w:t>探测</w:t>
            </w:r>
          </w:p>
        </w:tc>
        <w:tc>
          <w:tcPr>
            <w:tcW w:w="1153" w:type="pct"/>
          </w:tcPr>
          <w:p>
            <w:pPr>
              <w:widowControl/>
              <w:adjustRightInd w:val="0"/>
              <w:snapToGrid w:val="0"/>
              <w:jc w:val="center"/>
              <w:rPr>
                <w:kern w:val="0"/>
                <w:sz w:val="18"/>
                <w:szCs w:val="18"/>
              </w:rPr>
            </w:pPr>
            <w:r>
              <w:rPr>
                <w:rFonts w:hint="eastAsia"/>
                <w:kern w:val="0"/>
                <w:sz w:val="18"/>
                <w:szCs w:val="18"/>
              </w:rPr>
              <w:t>6</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tcPr>
          <w:p>
            <w:pPr>
              <w:widowControl/>
              <w:adjustRightInd w:val="0"/>
              <w:snapToGrid w:val="0"/>
              <w:ind w:left="174" w:leftChars="83"/>
              <w:jc w:val="left"/>
              <w:rPr>
                <w:kern w:val="0"/>
                <w:sz w:val="18"/>
                <w:szCs w:val="18"/>
              </w:rPr>
            </w:pPr>
            <w:r>
              <w:rPr>
                <w:rFonts w:hint="eastAsia"/>
                <w:kern w:val="0"/>
                <w:sz w:val="18"/>
                <w:szCs w:val="18"/>
              </w:rPr>
              <w:t>7光电子技术应用前沿</w:t>
            </w:r>
          </w:p>
        </w:tc>
        <w:tc>
          <w:tcPr>
            <w:tcW w:w="1153" w:type="pct"/>
          </w:tcPr>
          <w:p>
            <w:pPr>
              <w:widowControl/>
              <w:adjustRightInd w:val="0"/>
              <w:snapToGrid w:val="0"/>
              <w:jc w:val="center"/>
              <w:rPr>
                <w:kern w:val="0"/>
                <w:sz w:val="18"/>
                <w:szCs w:val="18"/>
              </w:rPr>
            </w:pPr>
            <w:r>
              <w:rPr>
                <w:rFonts w:hint="eastAsia"/>
                <w:kern w:val="0"/>
                <w:sz w:val="18"/>
                <w:szCs w:val="18"/>
              </w:rPr>
              <w:t>2</w:t>
            </w:r>
          </w:p>
        </w:tc>
        <w:tc>
          <w:tcPr>
            <w:tcW w:w="1071" w:type="pct"/>
            <w:vAlign w:val="center"/>
          </w:tcPr>
          <w:p>
            <w:pPr>
              <w:widowControl/>
              <w:adjustRightInd w:val="0"/>
              <w:snapToGrid w:val="0"/>
              <w:jc w:val="center"/>
              <w:rPr>
                <w:kern w:val="0"/>
                <w:sz w:val="18"/>
                <w:szCs w:val="18"/>
              </w:rPr>
            </w:pPr>
          </w:p>
        </w:tc>
        <w:tc>
          <w:tcPr>
            <w:tcW w:w="877" w:type="pct"/>
          </w:tcPr>
          <w:p>
            <w:pPr>
              <w:widowControl/>
              <w:adjustRightInd w:val="0"/>
              <w:snapToGrid w:val="0"/>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99" w:type="pct"/>
            <w:vAlign w:val="center"/>
          </w:tcPr>
          <w:p>
            <w:pPr>
              <w:widowControl/>
              <w:adjustRightInd w:val="0"/>
              <w:snapToGrid w:val="0"/>
              <w:jc w:val="center"/>
              <w:rPr>
                <w:kern w:val="0"/>
                <w:sz w:val="18"/>
                <w:szCs w:val="18"/>
              </w:rPr>
            </w:pPr>
            <w:r>
              <w:rPr>
                <w:kern w:val="0"/>
                <w:sz w:val="18"/>
                <w:szCs w:val="18"/>
              </w:rPr>
              <w:t>小计</w:t>
            </w:r>
          </w:p>
        </w:tc>
        <w:tc>
          <w:tcPr>
            <w:tcW w:w="1153" w:type="pct"/>
            <w:vAlign w:val="center"/>
          </w:tcPr>
          <w:p>
            <w:pPr>
              <w:widowControl/>
              <w:adjustRightInd w:val="0"/>
              <w:snapToGrid w:val="0"/>
              <w:jc w:val="center"/>
              <w:rPr>
                <w:kern w:val="0"/>
                <w:sz w:val="18"/>
                <w:szCs w:val="18"/>
              </w:rPr>
            </w:pPr>
            <w:r>
              <w:rPr>
                <w:kern w:val="0"/>
                <w:sz w:val="18"/>
                <w:szCs w:val="18"/>
              </w:rPr>
              <w:t>32</w:t>
            </w:r>
          </w:p>
        </w:tc>
        <w:tc>
          <w:tcPr>
            <w:tcW w:w="1071" w:type="pct"/>
            <w:vAlign w:val="center"/>
          </w:tcPr>
          <w:p>
            <w:pPr>
              <w:widowControl/>
              <w:adjustRightInd w:val="0"/>
              <w:snapToGrid w:val="0"/>
              <w:jc w:val="center"/>
              <w:rPr>
                <w:kern w:val="0"/>
                <w:sz w:val="18"/>
                <w:szCs w:val="18"/>
              </w:rPr>
            </w:pPr>
          </w:p>
        </w:tc>
        <w:tc>
          <w:tcPr>
            <w:tcW w:w="877" w:type="pct"/>
            <w:vAlign w:val="center"/>
          </w:tcPr>
          <w:p>
            <w:pPr>
              <w:widowControl/>
              <w:adjustRightInd w:val="0"/>
              <w:snapToGrid w:val="0"/>
              <w:jc w:val="center"/>
              <w:rPr>
                <w:kern w:val="0"/>
                <w:sz w:val="18"/>
                <w:szCs w:val="18"/>
              </w:rPr>
            </w:pPr>
            <w:r>
              <w:rPr>
                <w:kern w:val="0"/>
                <w:sz w:val="18"/>
                <w:szCs w:val="18"/>
              </w:rPr>
              <w:t>32</w:t>
            </w:r>
          </w:p>
        </w:tc>
      </w:tr>
    </w:tbl>
    <w:p>
      <w:pPr>
        <w:spacing w:line="360" w:lineRule="auto"/>
        <w:rPr>
          <w:b/>
          <w:sz w:val="24"/>
        </w:rPr>
      </w:pPr>
    </w:p>
    <w:p>
      <w:pPr>
        <w:tabs>
          <w:tab w:val="left" w:pos="420"/>
        </w:tabs>
        <w:spacing w:line="360" w:lineRule="auto"/>
        <w:ind w:left="420" w:hanging="420"/>
        <w:rPr>
          <w:rFonts w:eastAsia="黑体"/>
        </w:rPr>
      </w:pPr>
      <w:r>
        <w:rPr>
          <w:rFonts w:eastAsia="黑体"/>
        </w:rPr>
        <w:t>七、教材、补充教材及参考资料</w:t>
      </w:r>
    </w:p>
    <w:p>
      <w:pPr>
        <w:spacing w:line="360" w:lineRule="auto"/>
        <w:ind w:firstLine="420" w:firstLineChars="200"/>
        <w:rPr>
          <w:szCs w:val="21"/>
        </w:rPr>
      </w:pPr>
      <w:r>
        <w:rPr>
          <w:szCs w:val="21"/>
        </w:rPr>
        <w:t>1、谭保华主编，《光电子技术基础》，ISBN 9787121217821，电子工业出版社。</w:t>
      </w:r>
    </w:p>
    <w:p>
      <w:pPr>
        <w:spacing w:line="360" w:lineRule="auto"/>
        <w:ind w:firstLine="420" w:firstLineChars="200"/>
        <w:rPr>
          <w:szCs w:val="21"/>
        </w:rPr>
      </w:pPr>
      <w:r>
        <w:rPr>
          <w:szCs w:val="21"/>
        </w:rPr>
        <w:t>2、朱京平主编，《光电子技术基础》(第二版)，ISBN 9787030226235，科学出版社。</w:t>
      </w:r>
    </w:p>
    <w:p>
      <w:pPr>
        <w:spacing w:line="360" w:lineRule="auto"/>
        <w:ind w:firstLine="420" w:firstLineChars="200"/>
        <w:rPr>
          <w:szCs w:val="21"/>
        </w:rPr>
      </w:pPr>
      <w:r>
        <w:rPr>
          <w:szCs w:val="21"/>
        </w:rPr>
        <w:t>3、周自刚等编著，《光电子技术基础》，ISBN 9787121246395，电子工业出版社。</w:t>
      </w:r>
    </w:p>
    <w:p>
      <w:pPr>
        <w:spacing w:line="360" w:lineRule="auto"/>
        <w:ind w:firstLine="420" w:firstLineChars="200"/>
        <w:rPr>
          <w:szCs w:val="21"/>
        </w:rPr>
      </w:pPr>
      <w:r>
        <w:rPr>
          <w:szCs w:val="21"/>
        </w:rPr>
        <w:t>4、韩晓冰主编，《光电子技术基础》，ISBN 9787560629551，西安电子科技大学出版社。</w:t>
      </w:r>
    </w:p>
    <w:p>
      <w:pPr>
        <w:tabs>
          <w:tab w:val="left" w:pos="420"/>
        </w:tabs>
        <w:spacing w:line="360" w:lineRule="auto"/>
        <w:ind w:left="420" w:hanging="420"/>
        <w:rPr>
          <w:rFonts w:eastAsia="黑体"/>
        </w:rPr>
      </w:pPr>
    </w:p>
    <w:p>
      <w:pPr>
        <w:tabs>
          <w:tab w:val="left" w:pos="420"/>
        </w:tabs>
        <w:spacing w:line="360" w:lineRule="auto"/>
        <w:ind w:left="420" w:hanging="420"/>
        <w:rPr>
          <w:rFonts w:eastAsia="黑体"/>
        </w:rPr>
      </w:pPr>
      <w:r>
        <w:rPr>
          <w:rFonts w:eastAsia="黑体"/>
        </w:rPr>
        <w:t>八、课程目标达成的途径和措施</w:t>
      </w:r>
    </w:p>
    <w:p>
      <w:pPr>
        <w:spacing w:line="360" w:lineRule="auto"/>
        <w:ind w:firstLine="420" w:firstLineChars="200"/>
        <w:rPr>
          <w:szCs w:val="21"/>
        </w:rPr>
      </w:pPr>
      <w:r>
        <w:rPr>
          <w:szCs w:val="21"/>
        </w:rPr>
        <w:t>1、考核目标：在考核学生对光电子技术基本知识、基本原理的基础上，重点考核学生对光电子器件的性能和功能的理解程度。</w:t>
      </w:r>
    </w:p>
    <w:p>
      <w:pPr>
        <w:spacing w:line="360" w:lineRule="auto"/>
        <w:ind w:firstLine="420" w:firstLineChars="200"/>
        <w:rPr>
          <w:szCs w:val="21"/>
        </w:rPr>
      </w:pPr>
      <w:r>
        <w:rPr>
          <w:szCs w:val="21"/>
        </w:rPr>
        <w:t>2、考核方式：考试、作业及课堂提问。</w:t>
      </w:r>
    </w:p>
    <w:p>
      <w:pPr>
        <w:spacing w:line="360" w:lineRule="auto"/>
        <w:ind w:firstLine="420" w:firstLineChars="200"/>
      </w:pPr>
      <w:r>
        <w:rPr>
          <w:szCs w:val="21"/>
        </w:rPr>
        <w:t>3、评价环节对课程目标达成贡献率及支撑材料：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2232"/>
        <w:gridCol w:w="2040"/>
        <w:gridCol w:w="2135"/>
        <w:gridCol w:w="1899"/>
      </w:tblGrid>
      <w:tr>
        <w:tblPrEx>
          <w:tblCellMar>
            <w:top w:w="0" w:type="dxa"/>
            <w:left w:w="108" w:type="dxa"/>
            <w:bottom w:w="0" w:type="dxa"/>
            <w:right w:w="108" w:type="dxa"/>
          </w:tblCellMar>
        </w:tblPrEx>
        <w:trPr>
          <w:trHeight w:val="691"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考察环节</w:t>
            </w:r>
          </w:p>
        </w:tc>
        <w:tc>
          <w:tcPr>
            <w:tcW w:w="1228"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课堂情况</w:t>
            </w:r>
          </w:p>
        </w:tc>
        <w:tc>
          <w:tcPr>
            <w:tcW w:w="12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作业</w:t>
            </w:r>
          </w:p>
        </w:tc>
        <w:tc>
          <w:tcPr>
            <w:tcW w:w="1143" w:type="pct"/>
            <w:tcBorders>
              <w:top w:val="single" w:color="auto" w:sz="4" w:space="0"/>
              <w:left w:val="single" w:color="auto" w:sz="4" w:space="0"/>
              <w:bottom w:val="single" w:color="auto" w:sz="4" w:space="0"/>
            </w:tcBorders>
            <w:vAlign w:val="center"/>
          </w:tcPr>
          <w:p>
            <w:pPr>
              <w:widowControl/>
              <w:jc w:val="center"/>
              <w:rPr>
                <w:kern w:val="0"/>
                <w:sz w:val="18"/>
              </w:rPr>
            </w:pPr>
            <w:r>
              <w:rPr>
                <w:kern w:val="0"/>
                <w:sz w:val="18"/>
              </w:rPr>
              <w:t>期末考试</w:t>
            </w:r>
          </w:p>
        </w:tc>
      </w:tr>
      <w:tr>
        <w:trPr>
          <w:trHeight w:val="1061"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课程目标达成</w:t>
            </w:r>
          </w:p>
          <w:p>
            <w:pPr>
              <w:widowControl/>
              <w:jc w:val="center"/>
              <w:rPr>
                <w:kern w:val="0"/>
                <w:sz w:val="18"/>
              </w:rPr>
            </w:pPr>
            <w:r>
              <w:rPr>
                <w:kern w:val="0"/>
                <w:sz w:val="18"/>
              </w:rPr>
              <w:t>的贡献率</w:t>
            </w:r>
          </w:p>
        </w:tc>
        <w:tc>
          <w:tcPr>
            <w:tcW w:w="1228"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0.20</w:t>
            </w:r>
          </w:p>
        </w:tc>
        <w:tc>
          <w:tcPr>
            <w:tcW w:w="12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0.2</w:t>
            </w:r>
            <w:r>
              <w:rPr>
                <w:rFonts w:hint="eastAsia"/>
                <w:kern w:val="0"/>
                <w:sz w:val="18"/>
              </w:rPr>
              <w:t>0</w:t>
            </w:r>
          </w:p>
        </w:tc>
        <w:tc>
          <w:tcPr>
            <w:tcW w:w="1143" w:type="pct"/>
            <w:tcBorders>
              <w:top w:val="single" w:color="auto" w:sz="4" w:space="0"/>
              <w:left w:val="single" w:color="auto" w:sz="4" w:space="0"/>
              <w:bottom w:val="single" w:color="auto" w:sz="4" w:space="0"/>
            </w:tcBorders>
            <w:vAlign w:val="center"/>
          </w:tcPr>
          <w:p>
            <w:pPr>
              <w:widowControl/>
              <w:jc w:val="center"/>
              <w:rPr>
                <w:kern w:val="0"/>
                <w:sz w:val="18"/>
              </w:rPr>
            </w:pPr>
            <w:r>
              <w:rPr>
                <w:kern w:val="0"/>
                <w:sz w:val="18"/>
              </w:rPr>
              <w:t>0.</w:t>
            </w:r>
            <w:r>
              <w:rPr>
                <w:rFonts w:hint="eastAsia"/>
                <w:kern w:val="0"/>
                <w:sz w:val="18"/>
              </w:rPr>
              <w:t>60</w:t>
            </w:r>
          </w:p>
        </w:tc>
      </w:tr>
      <w:tr>
        <w:tblPrEx>
          <w:tblCellMar>
            <w:top w:w="0" w:type="dxa"/>
            <w:left w:w="108" w:type="dxa"/>
            <w:bottom w:w="0" w:type="dxa"/>
            <w:right w:w="108" w:type="dxa"/>
          </w:tblCellMar>
        </w:tblPrEx>
        <w:trPr>
          <w:trHeight w:val="1847" w:hRule="atLeast"/>
          <w:jc w:val="center"/>
        </w:trPr>
        <w:tc>
          <w:tcPr>
            <w:tcW w:w="1344" w:type="pct"/>
            <w:tcBorders>
              <w:top w:val="single" w:color="auto" w:sz="4" w:space="0"/>
              <w:bottom w:val="single" w:color="auto" w:sz="4" w:space="0"/>
              <w:right w:val="single" w:color="auto" w:sz="4" w:space="0"/>
            </w:tcBorders>
            <w:vAlign w:val="center"/>
          </w:tcPr>
          <w:p>
            <w:pPr>
              <w:widowControl/>
              <w:jc w:val="center"/>
              <w:rPr>
                <w:kern w:val="0"/>
                <w:sz w:val="18"/>
              </w:rPr>
            </w:pPr>
            <w:r>
              <w:rPr>
                <w:kern w:val="0"/>
                <w:sz w:val="18"/>
              </w:rPr>
              <w:t>支撑材料</w:t>
            </w:r>
          </w:p>
        </w:tc>
        <w:tc>
          <w:tcPr>
            <w:tcW w:w="1228"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课堂评价标准，课堂提问记录或随堂考试，结合出勤率等</w:t>
            </w:r>
          </w:p>
        </w:tc>
        <w:tc>
          <w:tcPr>
            <w:tcW w:w="128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rPr>
            </w:pPr>
            <w:r>
              <w:rPr>
                <w:kern w:val="0"/>
                <w:sz w:val="18"/>
              </w:rPr>
              <w:t>作业评价标准，典型作业拍照，或电子版</w:t>
            </w:r>
          </w:p>
        </w:tc>
        <w:tc>
          <w:tcPr>
            <w:tcW w:w="1143" w:type="pct"/>
            <w:tcBorders>
              <w:top w:val="single" w:color="auto" w:sz="4" w:space="0"/>
              <w:left w:val="single" w:color="auto" w:sz="4" w:space="0"/>
              <w:bottom w:val="single" w:color="auto" w:sz="4" w:space="0"/>
            </w:tcBorders>
            <w:vAlign w:val="center"/>
          </w:tcPr>
          <w:p>
            <w:pPr>
              <w:widowControl/>
              <w:jc w:val="center"/>
              <w:rPr>
                <w:kern w:val="0"/>
                <w:sz w:val="18"/>
              </w:rPr>
            </w:pPr>
            <w:r>
              <w:rPr>
                <w:kern w:val="0"/>
                <w:sz w:val="18"/>
              </w:rPr>
              <w:t>试题评分标准，试卷</w:t>
            </w:r>
          </w:p>
        </w:tc>
      </w:tr>
    </w:tbl>
    <w:p>
      <w:pPr>
        <w:widowControl/>
        <w:jc w:val="left"/>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17"/>
        <w:gridCol w:w="1148"/>
        <w:gridCol w:w="17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shd w:val="clear" w:color="auto" w:fill="auto"/>
            <w:vAlign w:val="center"/>
          </w:tcPr>
          <w:p>
            <w:pPr>
              <w:jc w:val="center"/>
              <w:rPr>
                <w:sz w:val="18"/>
                <w:szCs w:val="18"/>
                <w:highlight w:val="yellow"/>
              </w:rPr>
            </w:pPr>
            <w:r>
              <w:rPr>
                <w:sz w:val="18"/>
                <w:szCs w:val="18"/>
              </w:rPr>
              <w:t>知识点</w:t>
            </w:r>
          </w:p>
        </w:tc>
        <w:tc>
          <w:tcPr>
            <w:tcW w:w="691" w:type="pct"/>
            <w:shd w:val="clear" w:color="auto" w:fill="auto"/>
            <w:vAlign w:val="center"/>
          </w:tcPr>
          <w:p>
            <w:pPr>
              <w:jc w:val="center"/>
              <w:rPr>
                <w:sz w:val="18"/>
                <w:szCs w:val="18"/>
              </w:rPr>
            </w:pPr>
            <w:r>
              <w:rPr>
                <w:sz w:val="18"/>
                <w:szCs w:val="18"/>
              </w:rPr>
              <w:t>权重</w:t>
            </w:r>
          </w:p>
        </w:tc>
        <w:tc>
          <w:tcPr>
            <w:tcW w:w="1048" w:type="pct"/>
            <w:shd w:val="clear" w:color="auto" w:fill="auto"/>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1、光电子系统构成，器件分类，及相关发展动态；</w:t>
            </w:r>
          </w:p>
        </w:tc>
        <w:tc>
          <w:tcPr>
            <w:tcW w:w="691" w:type="pct"/>
            <w:shd w:val="clear" w:color="auto" w:fill="auto"/>
            <w:vAlign w:val="center"/>
          </w:tcPr>
          <w:p>
            <w:pPr>
              <w:jc w:val="center"/>
              <w:rPr>
                <w:sz w:val="18"/>
                <w:szCs w:val="18"/>
              </w:rPr>
            </w:pPr>
            <w:r>
              <w:rPr>
                <w:rFonts w:hint="eastAsia"/>
                <w:sz w:val="18"/>
                <w:szCs w:val="18"/>
              </w:rPr>
              <w:t>0.</w:t>
            </w:r>
            <w:r>
              <w:rPr>
                <w:sz w:val="18"/>
                <w:szCs w:val="18"/>
              </w:rPr>
              <w:t>1</w:t>
            </w:r>
            <w:r>
              <w:rPr>
                <w:rFonts w:hint="eastAsia"/>
                <w:sz w:val="18"/>
                <w:szCs w:val="18"/>
              </w:rPr>
              <w:t>5</w:t>
            </w:r>
          </w:p>
        </w:tc>
        <w:tc>
          <w:tcPr>
            <w:tcW w:w="1048" w:type="pct"/>
            <w:shd w:val="clear" w:color="auto" w:fill="auto"/>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2、</w:t>
            </w:r>
            <w:r>
              <w:rPr>
                <w:snapToGrid w:val="0"/>
                <w:kern w:val="0"/>
                <w:sz w:val="18"/>
                <w:szCs w:val="18"/>
              </w:rPr>
              <w:t>光</w:t>
            </w:r>
            <w:r>
              <w:rPr>
                <w:rFonts w:hint="eastAsia"/>
                <w:snapToGrid w:val="0"/>
                <w:kern w:val="0"/>
                <w:sz w:val="18"/>
                <w:szCs w:val="18"/>
              </w:rPr>
              <w:t>在</w:t>
            </w:r>
            <w:r>
              <w:rPr>
                <w:snapToGrid w:val="0"/>
                <w:kern w:val="0"/>
                <w:sz w:val="18"/>
                <w:szCs w:val="18"/>
              </w:rPr>
              <w:t>传播中反射、折射、干涉及偏振</w:t>
            </w:r>
            <w:r>
              <w:rPr>
                <w:rFonts w:hint="eastAsia"/>
                <w:snapToGrid w:val="0"/>
                <w:kern w:val="0"/>
                <w:sz w:val="18"/>
                <w:szCs w:val="18"/>
              </w:rPr>
              <w:t>基本理论；</w:t>
            </w:r>
          </w:p>
        </w:tc>
        <w:tc>
          <w:tcPr>
            <w:tcW w:w="691" w:type="pct"/>
            <w:shd w:val="clear" w:color="auto" w:fill="auto"/>
            <w:vAlign w:val="center"/>
          </w:tcPr>
          <w:p>
            <w:pPr>
              <w:jc w:val="center"/>
              <w:rPr>
                <w:sz w:val="18"/>
                <w:szCs w:val="18"/>
              </w:rPr>
            </w:pPr>
            <w:r>
              <w:rPr>
                <w:rFonts w:hint="eastAsia"/>
                <w:sz w:val="18"/>
                <w:szCs w:val="18"/>
              </w:rPr>
              <w:t>0.</w:t>
            </w:r>
            <w:r>
              <w:rPr>
                <w:sz w:val="18"/>
                <w:szCs w:val="18"/>
              </w:rPr>
              <w:t>15</w:t>
            </w:r>
          </w:p>
        </w:tc>
        <w:tc>
          <w:tcPr>
            <w:tcW w:w="1048" w:type="pct"/>
            <w:shd w:val="clear" w:color="auto" w:fill="auto"/>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3、激光产生的条件、机理，激光器的种类及应用；</w:t>
            </w:r>
          </w:p>
        </w:tc>
        <w:tc>
          <w:tcPr>
            <w:tcW w:w="691" w:type="pct"/>
            <w:shd w:val="clear" w:color="auto" w:fill="auto"/>
            <w:vAlign w:val="center"/>
          </w:tcPr>
          <w:p>
            <w:pPr>
              <w:jc w:val="center"/>
              <w:rPr>
                <w:sz w:val="18"/>
                <w:szCs w:val="18"/>
              </w:rPr>
            </w:pPr>
            <w:r>
              <w:rPr>
                <w:rFonts w:hint="eastAsia"/>
                <w:sz w:val="18"/>
                <w:szCs w:val="18"/>
              </w:rPr>
              <w:t>0.</w:t>
            </w:r>
            <w:r>
              <w:rPr>
                <w:sz w:val="18"/>
                <w:szCs w:val="18"/>
              </w:rPr>
              <w:t>15</w:t>
            </w:r>
          </w:p>
        </w:tc>
        <w:tc>
          <w:tcPr>
            <w:tcW w:w="1048" w:type="pct"/>
            <w:shd w:val="clear" w:color="auto" w:fill="auto"/>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4、光波导基础理论，平面及圆柱波导基本分析方法；</w:t>
            </w:r>
          </w:p>
        </w:tc>
        <w:tc>
          <w:tcPr>
            <w:tcW w:w="691" w:type="pct"/>
            <w:shd w:val="clear" w:color="auto" w:fill="auto"/>
            <w:vAlign w:val="center"/>
          </w:tcPr>
          <w:p>
            <w:pPr>
              <w:jc w:val="center"/>
              <w:rPr>
                <w:sz w:val="18"/>
                <w:szCs w:val="18"/>
              </w:rPr>
            </w:pPr>
            <w:r>
              <w:rPr>
                <w:rFonts w:hint="eastAsia"/>
                <w:sz w:val="18"/>
                <w:szCs w:val="18"/>
              </w:rPr>
              <w:t>0.</w:t>
            </w:r>
            <w:r>
              <w:rPr>
                <w:sz w:val="18"/>
                <w:szCs w:val="18"/>
              </w:rPr>
              <w:t>10</w:t>
            </w:r>
          </w:p>
        </w:tc>
        <w:tc>
          <w:tcPr>
            <w:tcW w:w="1048" w:type="pct"/>
            <w:shd w:val="clear" w:color="auto" w:fill="auto"/>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5、电光及声光调制基础理论，常用光调制器件；</w:t>
            </w:r>
          </w:p>
        </w:tc>
        <w:tc>
          <w:tcPr>
            <w:tcW w:w="691" w:type="pct"/>
            <w:shd w:val="clear" w:color="auto" w:fill="auto"/>
            <w:vAlign w:val="center"/>
          </w:tcPr>
          <w:p>
            <w:pPr>
              <w:jc w:val="center"/>
              <w:rPr>
                <w:sz w:val="18"/>
                <w:szCs w:val="18"/>
              </w:rPr>
            </w:pPr>
            <w:r>
              <w:rPr>
                <w:rFonts w:hint="eastAsia"/>
                <w:sz w:val="18"/>
                <w:szCs w:val="18"/>
              </w:rPr>
              <w:t>0.1</w:t>
            </w:r>
            <w:r>
              <w:rPr>
                <w:sz w:val="18"/>
                <w:szCs w:val="18"/>
              </w:rPr>
              <w:t>0</w:t>
            </w:r>
          </w:p>
        </w:tc>
        <w:tc>
          <w:tcPr>
            <w:tcW w:w="1048" w:type="pct"/>
            <w:shd w:val="clear" w:color="auto" w:fill="auto"/>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6、光电探测基本物理效应，常见器件结构，原理及参数；</w:t>
            </w:r>
          </w:p>
        </w:tc>
        <w:tc>
          <w:tcPr>
            <w:tcW w:w="691" w:type="pct"/>
            <w:shd w:val="clear" w:color="auto" w:fill="auto"/>
            <w:vAlign w:val="center"/>
          </w:tcPr>
          <w:p>
            <w:pPr>
              <w:jc w:val="center"/>
              <w:rPr>
                <w:sz w:val="18"/>
                <w:szCs w:val="18"/>
              </w:rPr>
            </w:pPr>
            <w:r>
              <w:rPr>
                <w:rFonts w:hint="eastAsia"/>
                <w:sz w:val="18"/>
                <w:szCs w:val="18"/>
              </w:rPr>
              <w:t>0.2</w:t>
            </w:r>
            <w:r>
              <w:rPr>
                <w:sz w:val="18"/>
                <w:szCs w:val="18"/>
              </w:rPr>
              <w:t>0</w:t>
            </w:r>
          </w:p>
        </w:tc>
        <w:tc>
          <w:tcPr>
            <w:tcW w:w="1048" w:type="pct"/>
            <w:shd w:val="clear" w:color="auto" w:fill="auto"/>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shd w:val="clear" w:color="auto" w:fill="auto"/>
            <w:vAlign w:val="center"/>
          </w:tcPr>
          <w:p>
            <w:pPr>
              <w:ind w:left="174" w:leftChars="83"/>
              <w:rPr>
                <w:sz w:val="18"/>
                <w:szCs w:val="18"/>
              </w:rPr>
            </w:pPr>
            <w:r>
              <w:rPr>
                <w:rFonts w:hint="eastAsia"/>
                <w:sz w:val="18"/>
                <w:szCs w:val="18"/>
              </w:rPr>
              <w:t>7、光电子技术在精密加工，医疗等领域的应用及发展；</w:t>
            </w:r>
          </w:p>
        </w:tc>
        <w:tc>
          <w:tcPr>
            <w:tcW w:w="691" w:type="pct"/>
            <w:shd w:val="clear" w:color="auto" w:fill="auto"/>
            <w:vAlign w:val="center"/>
          </w:tcPr>
          <w:p>
            <w:pPr>
              <w:jc w:val="center"/>
              <w:rPr>
                <w:sz w:val="18"/>
                <w:szCs w:val="18"/>
              </w:rPr>
            </w:pPr>
            <w:r>
              <w:rPr>
                <w:rFonts w:hint="eastAsia"/>
                <w:sz w:val="18"/>
                <w:szCs w:val="18"/>
              </w:rPr>
              <w:t>0.</w:t>
            </w:r>
            <w:r>
              <w:rPr>
                <w:sz w:val="18"/>
                <w:szCs w:val="18"/>
              </w:rPr>
              <w:t>1</w:t>
            </w:r>
            <w:r>
              <w:rPr>
                <w:rFonts w:hint="eastAsia"/>
                <w:sz w:val="18"/>
                <w:szCs w:val="18"/>
              </w:rPr>
              <w:t>5</w:t>
            </w:r>
          </w:p>
        </w:tc>
        <w:tc>
          <w:tcPr>
            <w:tcW w:w="1048" w:type="pct"/>
            <w:shd w:val="clear" w:color="auto" w:fill="auto"/>
            <w:vAlign w:val="center"/>
          </w:tcPr>
          <w:p>
            <w:pPr>
              <w:jc w:val="center"/>
              <w:rPr>
                <w:sz w:val="18"/>
                <w:szCs w:val="18"/>
              </w:rPr>
            </w:pPr>
            <w:r>
              <w:rPr>
                <w:rFonts w:hint="eastAsia"/>
                <w:sz w:val="18"/>
                <w:szCs w:val="18"/>
              </w:rPr>
              <w:t>2</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widowControl/>
        <w:jc w:val="left"/>
        <w:sectPr>
          <w:pgSz w:w="11906" w:h="16838"/>
          <w:pgMar w:top="1440" w:right="1800" w:bottom="1440" w:left="1800" w:header="851" w:footer="992" w:gutter="0"/>
          <w:cols w:space="720" w:num="1"/>
          <w:docGrid w:type="lines" w:linePitch="312" w:charSpace="0"/>
        </w:sectPr>
      </w:pPr>
    </w:p>
    <w:p>
      <w:pPr>
        <w:adjustRightInd w:val="0"/>
        <w:snapToGrid w:val="0"/>
        <w:spacing w:line="360" w:lineRule="auto"/>
        <w:ind w:firstLine="360" w:firstLineChars="200"/>
        <w:rPr>
          <w:sz w:val="18"/>
          <w:szCs w:val="18"/>
        </w:rPr>
      </w:pPr>
    </w:p>
    <w:p>
      <w:pPr>
        <w:adjustRightInd w:val="0"/>
        <w:snapToGrid w:val="0"/>
        <w:spacing w:line="360" w:lineRule="auto"/>
        <w:rPr>
          <w:rFonts w:eastAsia="黑体"/>
        </w:rPr>
      </w:pPr>
      <w:r>
        <w:rPr>
          <w:rFonts w:hint="eastAsia" w:eastAsia="黑体"/>
        </w:rPr>
        <w:t>十、</w:t>
      </w:r>
      <w:r>
        <w:rPr>
          <w:rFonts w:eastAsia="黑体"/>
        </w:rPr>
        <w:t>课程目标达成评价</w:t>
      </w:r>
    </w:p>
    <w:p>
      <w:pPr>
        <w:spacing w:line="360" w:lineRule="auto"/>
        <w:jc w:val="center"/>
      </w:pPr>
      <w:r>
        <w:rPr>
          <w:rFonts w:hint="eastAsia"/>
        </w:rPr>
        <w:t>各环节对课程目标达成评价所使用到的权重占比分配及考核权重分配</w:t>
      </w:r>
    </w:p>
    <w:tbl>
      <w:tblPr>
        <w:tblStyle w:val="22"/>
        <w:tblpPr w:leftFromText="180" w:rightFromText="180" w:vertAnchor="text" w:horzAnchor="page" w:tblpX="1316" w:tblpY="27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146"/>
        <w:gridCol w:w="1358"/>
        <w:gridCol w:w="1358"/>
        <w:gridCol w:w="1359"/>
        <w:gridCol w:w="1359"/>
        <w:gridCol w:w="1359"/>
        <w:gridCol w:w="1359"/>
        <w:gridCol w:w="1359"/>
        <w:gridCol w:w="1359"/>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07" w:type="pct"/>
            <w:vMerge w:val="restart"/>
            <w:vAlign w:val="center"/>
          </w:tcPr>
          <w:p>
            <w:pPr>
              <w:widowControl/>
              <w:jc w:val="center"/>
              <w:rPr>
                <w:kern w:val="0"/>
                <w:sz w:val="18"/>
                <w:szCs w:val="18"/>
              </w:rPr>
            </w:pPr>
            <w:bookmarkStart w:id="215" w:name="_Hlk496996371"/>
            <w:r>
              <w:rPr>
                <w:kern w:val="0"/>
                <w:sz w:val="18"/>
                <w:szCs w:val="18"/>
              </w:rPr>
              <w:t>课程目标</w:t>
            </w:r>
          </w:p>
        </w:tc>
        <w:tc>
          <w:tcPr>
            <w:tcW w:w="411" w:type="pct"/>
            <w:vMerge w:val="restart"/>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460" w:type="pct"/>
            <w:gridSpan w:val="3"/>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460" w:type="pct"/>
            <w:gridSpan w:val="3"/>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61" w:type="pct"/>
            <w:gridSpan w:val="3"/>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07" w:type="pct"/>
            <w:vMerge w:val="continue"/>
            <w:vAlign w:val="center"/>
          </w:tcPr>
          <w:p>
            <w:pPr>
              <w:widowControl/>
              <w:jc w:val="center"/>
              <w:rPr>
                <w:kern w:val="0"/>
                <w:sz w:val="18"/>
                <w:szCs w:val="18"/>
              </w:rPr>
            </w:pPr>
          </w:p>
        </w:tc>
        <w:tc>
          <w:tcPr>
            <w:tcW w:w="411" w:type="pct"/>
            <w:vMerge w:val="continue"/>
            <w:vAlign w:val="center"/>
          </w:tcPr>
          <w:p>
            <w:pPr>
              <w:widowControl/>
              <w:jc w:val="center"/>
              <w:rPr>
                <w:kern w:val="0"/>
                <w:sz w:val="18"/>
                <w:szCs w:val="18"/>
              </w:rPr>
            </w:pPr>
          </w:p>
        </w:tc>
        <w:tc>
          <w:tcPr>
            <w:tcW w:w="487" w:type="pct"/>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vAlign w:val="center"/>
          </w:tcPr>
          <w:p>
            <w:pPr>
              <w:widowControl/>
              <w:jc w:val="center"/>
              <w:rPr>
                <w:kern w:val="0"/>
                <w:sz w:val="18"/>
                <w:szCs w:val="18"/>
              </w:rPr>
            </w:pPr>
            <w:r>
              <w:rPr>
                <w:kern w:val="0"/>
                <w:sz w:val="18"/>
                <w:szCs w:val="18"/>
              </w:rPr>
              <w:t>作业</w:t>
            </w:r>
          </w:p>
        </w:tc>
        <w:tc>
          <w:tcPr>
            <w:tcW w:w="487" w:type="pct"/>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87" w:type="pct"/>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vAlign w:val="center"/>
          </w:tcPr>
          <w:p>
            <w:pPr>
              <w:widowControl/>
              <w:jc w:val="center"/>
              <w:rPr>
                <w:kern w:val="0"/>
                <w:sz w:val="18"/>
                <w:szCs w:val="18"/>
              </w:rPr>
            </w:pPr>
            <w:r>
              <w:rPr>
                <w:kern w:val="0"/>
                <w:sz w:val="18"/>
                <w:szCs w:val="18"/>
              </w:rPr>
              <w:t>作业</w:t>
            </w:r>
          </w:p>
        </w:tc>
        <w:tc>
          <w:tcPr>
            <w:tcW w:w="487" w:type="pct"/>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87" w:type="pct"/>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vAlign w:val="center"/>
          </w:tcPr>
          <w:p>
            <w:pPr>
              <w:widowControl/>
              <w:jc w:val="center"/>
              <w:rPr>
                <w:kern w:val="0"/>
                <w:sz w:val="18"/>
                <w:szCs w:val="18"/>
              </w:rPr>
            </w:pPr>
            <w:r>
              <w:rPr>
                <w:kern w:val="0"/>
                <w:sz w:val="18"/>
                <w:szCs w:val="18"/>
              </w:rPr>
              <w:t>作业</w:t>
            </w:r>
          </w:p>
        </w:tc>
        <w:tc>
          <w:tcPr>
            <w:tcW w:w="488" w:type="pct"/>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07" w:type="pct"/>
            <w:vAlign w:val="center"/>
          </w:tcPr>
          <w:p>
            <w:pPr>
              <w:widowControl/>
              <w:jc w:val="center"/>
              <w:rPr>
                <w:kern w:val="0"/>
                <w:sz w:val="18"/>
                <w:szCs w:val="18"/>
              </w:rPr>
            </w:pPr>
            <w:r>
              <w:rPr>
                <w:rFonts w:hint="eastAsia"/>
                <w:kern w:val="0"/>
                <w:sz w:val="18"/>
                <w:szCs w:val="18"/>
              </w:rPr>
              <w:t>1</w:t>
            </w:r>
          </w:p>
        </w:tc>
        <w:tc>
          <w:tcPr>
            <w:tcW w:w="411" w:type="pct"/>
            <w:vAlign w:val="center"/>
          </w:tcPr>
          <w:p>
            <w:pPr>
              <w:jc w:val="center"/>
              <w:rPr>
                <w:sz w:val="18"/>
                <w:szCs w:val="18"/>
              </w:rPr>
            </w:pPr>
            <w:r>
              <w:rPr>
                <w:sz w:val="18"/>
                <w:szCs w:val="18"/>
              </w:rPr>
              <w:t>0.</w:t>
            </w:r>
            <w:r>
              <w:rPr>
                <w:rFonts w:hint="eastAsia"/>
                <w:sz w:val="18"/>
                <w:szCs w:val="18"/>
              </w:rPr>
              <w:t>7</w:t>
            </w:r>
          </w:p>
        </w:tc>
        <w:tc>
          <w:tcPr>
            <w:tcW w:w="487" w:type="pct"/>
            <w:vAlign w:val="center"/>
          </w:tcPr>
          <w:p>
            <w:pPr>
              <w:jc w:val="center"/>
              <w:rPr>
                <w:sz w:val="18"/>
                <w:szCs w:val="18"/>
              </w:rPr>
            </w:pPr>
            <w:r>
              <w:rPr>
                <w:sz w:val="18"/>
                <w:szCs w:val="18"/>
              </w:rPr>
              <w:t>0.</w:t>
            </w:r>
            <w:r>
              <w:rPr>
                <w:rFonts w:hint="eastAsia"/>
                <w:sz w:val="18"/>
                <w:szCs w:val="18"/>
              </w:rPr>
              <w:t>2</w:t>
            </w:r>
          </w:p>
        </w:tc>
        <w:tc>
          <w:tcPr>
            <w:tcW w:w="487" w:type="pct"/>
            <w:vAlign w:val="center"/>
          </w:tcPr>
          <w:p>
            <w:pPr>
              <w:jc w:val="center"/>
              <w:rPr>
                <w:sz w:val="18"/>
                <w:szCs w:val="18"/>
              </w:rPr>
            </w:pPr>
            <w:r>
              <w:rPr>
                <w:sz w:val="18"/>
                <w:szCs w:val="18"/>
              </w:rPr>
              <w:t>0.2</w:t>
            </w:r>
          </w:p>
        </w:tc>
        <w:tc>
          <w:tcPr>
            <w:tcW w:w="487" w:type="pct"/>
            <w:vAlign w:val="center"/>
          </w:tcPr>
          <w:p>
            <w:pPr>
              <w:jc w:val="center"/>
              <w:rPr>
                <w:sz w:val="18"/>
                <w:szCs w:val="18"/>
              </w:rPr>
            </w:pPr>
            <w:r>
              <w:rPr>
                <w:sz w:val="18"/>
                <w:szCs w:val="18"/>
              </w:rPr>
              <w:t>0.</w:t>
            </w:r>
            <w:r>
              <w:rPr>
                <w:rFonts w:hint="eastAsia"/>
                <w:sz w:val="18"/>
                <w:szCs w:val="18"/>
              </w:rPr>
              <w:t>6</w:t>
            </w:r>
          </w:p>
        </w:tc>
        <w:tc>
          <w:tcPr>
            <w:tcW w:w="487" w:type="pct"/>
            <w:vAlign w:val="center"/>
          </w:tcPr>
          <w:p>
            <w:pPr>
              <w:jc w:val="center"/>
              <w:rPr>
                <w:sz w:val="18"/>
                <w:szCs w:val="18"/>
              </w:rPr>
            </w:pPr>
            <w:r>
              <w:rPr>
                <w:sz w:val="18"/>
                <w:szCs w:val="18"/>
              </w:rPr>
              <w:t>0.1</w:t>
            </w:r>
            <w:r>
              <w:rPr>
                <w:rFonts w:hint="eastAsia"/>
                <w:sz w:val="18"/>
                <w:szCs w:val="18"/>
              </w:rPr>
              <w:t>4</w:t>
            </w:r>
          </w:p>
        </w:tc>
        <w:tc>
          <w:tcPr>
            <w:tcW w:w="487" w:type="pct"/>
            <w:vAlign w:val="center"/>
          </w:tcPr>
          <w:p>
            <w:pPr>
              <w:jc w:val="center"/>
              <w:rPr>
                <w:sz w:val="18"/>
                <w:szCs w:val="18"/>
              </w:rPr>
            </w:pPr>
            <w:r>
              <w:rPr>
                <w:sz w:val="18"/>
                <w:szCs w:val="18"/>
              </w:rPr>
              <w:t>0.14</w:t>
            </w:r>
          </w:p>
        </w:tc>
        <w:tc>
          <w:tcPr>
            <w:tcW w:w="487" w:type="pct"/>
            <w:vAlign w:val="center"/>
          </w:tcPr>
          <w:p>
            <w:pPr>
              <w:jc w:val="center"/>
              <w:rPr>
                <w:sz w:val="18"/>
                <w:szCs w:val="18"/>
              </w:rPr>
            </w:pPr>
            <w:r>
              <w:rPr>
                <w:sz w:val="18"/>
                <w:szCs w:val="18"/>
              </w:rPr>
              <w:t>0.</w:t>
            </w:r>
            <w:r>
              <w:rPr>
                <w:rFonts w:hint="eastAsia"/>
                <w:sz w:val="18"/>
                <w:szCs w:val="18"/>
              </w:rPr>
              <w:t>42</w:t>
            </w:r>
          </w:p>
        </w:tc>
        <w:tc>
          <w:tcPr>
            <w:tcW w:w="487" w:type="pct"/>
            <w:vAlign w:val="center"/>
          </w:tcPr>
          <w:p>
            <w:pPr>
              <w:jc w:val="center"/>
              <w:rPr>
                <w:sz w:val="18"/>
                <w:szCs w:val="18"/>
              </w:rPr>
            </w:pPr>
            <w:r>
              <w:rPr>
                <w:rFonts w:hint="eastAsia"/>
                <w:sz w:val="18"/>
                <w:szCs w:val="18"/>
              </w:rPr>
              <w:t>0.7</w:t>
            </w:r>
          </w:p>
        </w:tc>
        <w:tc>
          <w:tcPr>
            <w:tcW w:w="487" w:type="pct"/>
            <w:vAlign w:val="center"/>
          </w:tcPr>
          <w:p>
            <w:pPr>
              <w:jc w:val="center"/>
              <w:rPr>
                <w:sz w:val="18"/>
                <w:szCs w:val="18"/>
              </w:rPr>
            </w:pPr>
            <w:r>
              <w:rPr>
                <w:rFonts w:hint="eastAsia"/>
                <w:sz w:val="18"/>
                <w:szCs w:val="18"/>
              </w:rPr>
              <w:t>0.7</w:t>
            </w:r>
          </w:p>
        </w:tc>
        <w:tc>
          <w:tcPr>
            <w:tcW w:w="488" w:type="pct"/>
            <w:vAlign w:val="center"/>
          </w:tcPr>
          <w:p>
            <w:pPr>
              <w:jc w:val="center"/>
              <w:rPr>
                <w:sz w:val="18"/>
                <w:szCs w:val="18"/>
              </w:rPr>
            </w:pPr>
            <w:r>
              <w:rPr>
                <w:rFonts w:hint="eastAsia"/>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07" w:type="pct"/>
            <w:vAlign w:val="center"/>
          </w:tcPr>
          <w:p>
            <w:pPr>
              <w:widowControl/>
              <w:jc w:val="center"/>
              <w:rPr>
                <w:kern w:val="0"/>
                <w:sz w:val="18"/>
                <w:szCs w:val="18"/>
              </w:rPr>
            </w:pPr>
            <w:r>
              <w:rPr>
                <w:rFonts w:hint="eastAsia"/>
                <w:kern w:val="0"/>
                <w:sz w:val="18"/>
                <w:szCs w:val="18"/>
              </w:rPr>
              <w:t>2</w:t>
            </w:r>
          </w:p>
        </w:tc>
        <w:tc>
          <w:tcPr>
            <w:tcW w:w="411" w:type="pct"/>
            <w:vAlign w:val="center"/>
          </w:tcPr>
          <w:p>
            <w:pPr>
              <w:jc w:val="center"/>
              <w:rPr>
                <w:sz w:val="18"/>
                <w:szCs w:val="18"/>
              </w:rPr>
            </w:pPr>
            <w:r>
              <w:rPr>
                <w:sz w:val="18"/>
                <w:szCs w:val="18"/>
              </w:rPr>
              <w:t>0.</w:t>
            </w:r>
            <w:r>
              <w:rPr>
                <w:rFonts w:hint="eastAsia"/>
                <w:sz w:val="18"/>
                <w:szCs w:val="18"/>
              </w:rPr>
              <w:t>3</w:t>
            </w:r>
          </w:p>
        </w:tc>
        <w:tc>
          <w:tcPr>
            <w:tcW w:w="487" w:type="pct"/>
            <w:vAlign w:val="center"/>
          </w:tcPr>
          <w:p>
            <w:pPr>
              <w:jc w:val="center"/>
              <w:rPr>
                <w:sz w:val="18"/>
                <w:szCs w:val="18"/>
              </w:rPr>
            </w:pPr>
            <w:r>
              <w:rPr>
                <w:sz w:val="18"/>
                <w:szCs w:val="18"/>
              </w:rPr>
              <w:t>0.</w:t>
            </w:r>
            <w:r>
              <w:rPr>
                <w:rFonts w:hint="eastAsia"/>
                <w:sz w:val="18"/>
                <w:szCs w:val="18"/>
              </w:rPr>
              <w:t>2</w:t>
            </w:r>
          </w:p>
        </w:tc>
        <w:tc>
          <w:tcPr>
            <w:tcW w:w="487" w:type="pct"/>
            <w:vAlign w:val="center"/>
          </w:tcPr>
          <w:p>
            <w:pPr>
              <w:jc w:val="center"/>
              <w:rPr>
                <w:sz w:val="18"/>
                <w:szCs w:val="18"/>
              </w:rPr>
            </w:pPr>
            <w:r>
              <w:rPr>
                <w:sz w:val="18"/>
                <w:szCs w:val="18"/>
              </w:rPr>
              <w:t>0.2</w:t>
            </w:r>
          </w:p>
        </w:tc>
        <w:tc>
          <w:tcPr>
            <w:tcW w:w="487" w:type="pct"/>
            <w:vAlign w:val="center"/>
          </w:tcPr>
          <w:p>
            <w:pPr>
              <w:jc w:val="center"/>
              <w:rPr>
                <w:sz w:val="18"/>
                <w:szCs w:val="18"/>
              </w:rPr>
            </w:pPr>
            <w:r>
              <w:rPr>
                <w:sz w:val="18"/>
                <w:szCs w:val="18"/>
              </w:rPr>
              <w:t>0.</w:t>
            </w:r>
            <w:r>
              <w:rPr>
                <w:rFonts w:hint="eastAsia"/>
                <w:sz w:val="18"/>
                <w:szCs w:val="18"/>
              </w:rPr>
              <w:t>6</w:t>
            </w:r>
          </w:p>
        </w:tc>
        <w:tc>
          <w:tcPr>
            <w:tcW w:w="487" w:type="pct"/>
            <w:vAlign w:val="center"/>
          </w:tcPr>
          <w:p>
            <w:pPr>
              <w:jc w:val="center"/>
              <w:rPr>
                <w:sz w:val="18"/>
                <w:szCs w:val="18"/>
              </w:rPr>
            </w:pPr>
            <w:r>
              <w:rPr>
                <w:sz w:val="18"/>
                <w:szCs w:val="18"/>
              </w:rPr>
              <w:t>0</w:t>
            </w:r>
            <w:r>
              <w:rPr>
                <w:rFonts w:hint="eastAsia"/>
                <w:sz w:val="18"/>
                <w:szCs w:val="18"/>
              </w:rPr>
              <w:t>.06</w:t>
            </w:r>
          </w:p>
        </w:tc>
        <w:tc>
          <w:tcPr>
            <w:tcW w:w="487" w:type="pct"/>
            <w:vAlign w:val="center"/>
          </w:tcPr>
          <w:p>
            <w:pPr>
              <w:jc w:val="center"/>
              <w:rPr>
                <w:sz w:val="18"/>
                <w:szCs w:val="18"/>
              </w:rPr>
            </w:pPr>
            <w:r>
              <w:rPr>
                <w:sz w:val="18"/>
                <w:szCs w:val="18"/>
              </w:rPr>
              <w:t>0.06</w:t>
            </w:r>
          </w:p>
        </w:tc>
        <w:tc>
          <w:tcPr>
            <w:tcW w:w="487" w:type="pct"/>
            <w:vAlign w:val="center"/>
          </w:tcPr>
          <w:p>
            <w:pPr>
              <w:jc w:val="center"/>
              <w:rPr>
                <w:sz w:val="18"/>
                <w:szCs w:val="18"/>
              </w:rPr>
            </w:pPr>
            <w:r>
              <w:rPr>
                <w:sz w:val="18"/>
                <w:szCs w:val="18"/>
              </w:rPr>
              <w:t>0.18</w:t>
            </w:r>
          </w:p>
        </w:tc>
        <w:tc>
          <w:tcPr>
            <w:tcW w:w="487" w:type="pct"/>
            <w:vAlign w:val="center"/>
          </w:tcPr>
          <w:p>
            <w:pPr>
              <w:jc w:val="center"/>
              <w:rPr>
                <w:sz w:val="18"/>
                <w:szCs w:val="18"/>
              </w:rPr>
            </w:pPr>
            <w:r>
              <w:rPr>
                <w:rFonts w:hint="eastAsia"/>
                <w:sz w:val="18"/>
                <w:szCs w:val="18"/>
              </w:rPr>
              <w:t>0.3</w:t>
            </w:r>
          </w:p>
        </w:tc>
        <w:tc>
          <w:tcPr>
            <w:tcW w:w="487" w:type="pct"/>
            <w:vAlign w:val="center"/>
          </w:tcPr>
          <w:p>
            <w:pPr>
              <w:jc w:val="center"/>
              <w:rPr>
                <w:sz w:val="18"/>
                <w:szCs w:val="18"/>
              </w:rPr>
            </w:pPr>
            <w:r>
              <w:rPr>
                <w:rFonts w:hint="eastAsia"/>
                <w:sz w:val="18"/>
                <w:szCs w:val="18"/>
              </w:rPr>
              <w:t>0.</w:t>
            </w:r>
            <w:r>
              <w:rPr>
                <w:sz w:val="18"/>
                <w:szCs w:val="18"/>
              </w:rPr>
              <w:t>3</w:t>
            </w:r>
          </w:p>
        </w:tc>
        <w:tc>
          <w:tcPr>
            <w:tcW w:w="488" w:type="pct"/>
            <w:vAlign w:val="center"/>
          </w:tcPr>
          <w:p>
            <w:pPr>
              <w:jc w:val="center"/>
              <w:rPr>
                <w:sz w:val="18"/>
                <w:szCs w:val="18"/>
              </w:rPr>
            </w:pPr>
            <w:r>
              <w:rPr>
                <w:rFonts w:hint="eastAsia"/>
                <w:sz w:val="18"/>
                <w:szCs w:val="18"/>
              </w:rPr>
              <w:t>0.</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078" w:type="pct"/>
            <w:gridSpan w:val="5"/>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487" w:type="pct"/>
            <w:vAlign w:val="center"/>
          </w:tcPr>
          <w:p>
            <w:pPr>
              <w:jc w:val="center"/>
              <w:rPr>
                <w:sz w:val="18"/>
                <w:szCs w:val="18"/>
              </w:rPr>
            </w:pPr>
            <w:r>
              <w:rPr>
                <w:sz w:val="18"/>
                <w:szCs w:val="18"/>
              </w:rPr>
              <w:t>0.</w:t>
            </w:r>
            <w:r>
              <w:rPr>
                <w:rFonts w:hint="eastAsia"/>
                <w:sz w:val="18"/>
                <w:szCs w:val="18"/>
              </w:rPr>
              <w:t>2</w:t>
            </w:r>
          </w:p>
        </w:tc>
        <w:tc>
          <w:tcPr>
            <w:tcW w:w="487" w:type="pct"/>
            <w:vAlign w:val="center"/>
          </w:tcPr>
          <w:p>
            <w:pPr>
              <w:jc w:val="center"/>
              <w:rPr>
                <w:sz w:val="18"/>
                <w:szCs w:val="18"/>
              </w:rPr>
            </w:pPr>
            <w:r>
              <w:rPr>
                <w:sz w:val="18"/>
                <w:szCs w:val="18"/>
              </w:rPr>
              <w:t>0.2</w:t>
            </w:r>
          </w:p>
        </w:tc>
        <w:tc>
          <w:tcPr>
            <w:tcW w:w="487" w:type="pct"/>
            <w:vAlign w:val="center"/>
          </w:tcPr>
          <w:p>
            <w:pPr>
              <w:jc w:val="center"/>
              <w:rPr>
                <w:sz w:val="18"/>
                <w:szCs w:val="18"/>
              </w:rPr>
            </w:pPr>
            <w:r>
              <w:rPr>
                <w:sz w:val="18"/>
                <w:szCs w:val="18"/>
              </w:rPr>
              <w:t>0.6</w:t>
            </w:r>
          </w:p>
        </w:tc>
        <w:tc>
          <w:tcPr>
            <w:tcW w:w="1461" w:type="pct"/>
            <w:gridSpan w:val="3"/>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bookmarkEnd w:id="215"/>
    </w:tbl>
    <w:p>
      <w:pPr>
        <w:adjustRightInd w:val="0"/>
        <w:snapToGrid w:val="0"/>
        <w:spacing w:line="360" w:lineRule="auto"/>
        <w:jc w:val="center"/>
        <w:rPr>
          <w:rFonts w:eastAsia="黑体"/>
        </w:rPr>
      </w:pPr>
    </w:p>
    <w:p>
      <w:pPr>
        <w:spacing w:line="360" w:lineRule="auto"/>
        <w:ind w:firstLine="420" w:firstLineChars="200"/>
        <w:rPr>
          <w:szCs w:val="21"/>
        </w:rPr>
        <w:sectPr>
          <w:headerReference r:id="rId76" w:type="first"/>
          <w:footerReference r:id="rId79" w:type="first"/>
          <w:headerReference r:id="rId74" w:type="default"/>
          <w:footerReference r:id="rId77" w:type="default"/>
          <w:headerReference r:id="rId75" w:type="even"/>
          <w:footerReference r:id="rId78" w:type="even"/>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6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68" DrawAspect="Content" ObjectID="_1468075868" r:id="rId332">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6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69" DrawAspect="Content" ObjectID="_1468075869" r:id="rId333">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7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70" DrawAspect="Content" ObjectID="_1468075870" r:id="rId334">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7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71" DrawAspect="Content" ObjectID="_1468075871" r:id="rId335">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7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72" DrawAspect="Content" ObjectID="_1468075872" r:id="rId336">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7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73" DrawAspect="Content" ObjectID="_1468075873" r:id="rId337">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br w:type="page"/>
      </w:r>
    </w:p>
    <w:p>
      <w:pPr>
        <w:pStyle w:val="20"/>
        <w:spacing w:before="240" w:after="360"/>
        <w:rPr>
          <w:rFonts w:ascii="Times New Roman"/>
        </w:rPr>
      </w:pPr>
      <w:bookmarkStart w:id="216" w:name="_Toc46996577"/>
      <w:bookmarkStart w:id="217" w:name="_Toc29578"/>
      <w:r>
        <w:rPr>
          <w:rFonts w:hint="eastAsia"/>
        </w:rPr>
        <w:t>《</w:t>
      </w:r>
      <w:r>
        <w:t>Z02060251-</w:t>
      </w:r>
      <w:r>
        <w:rPr>
          <w:rFonts w:hint="eastAsia"/>
        </w:rPr>
        <w:t>电磁场与电磁波》教学大纲</w:t>
      </w:r>
      <w:bookmarkEnd w:id="216"/>
      <w:bookmarkEnd w:id="217"/>
    </w:p>
    <w:p>
      <w:pPr>
        <w:adjustRightInd w:val="0"/>
        <w:snapToGrid w:val="0"/>
        <w:spacing w:line="360" w:lineRule="auto"/>
        <w:rPr>
          <w:bCs/>
          <w:kern w:val="0"/>
          <w:szCs w:val="21"/>
        </w:rPr>
      </w:pPr>
      <w:r>
        <w:rPr>
          <w:rFonts w:hint="eastAsia" w:eastAsia="黑体"/>
          <w:szCs w:val="21"/>
        </w:rPr>
        <w:t>课程编号：</w:t>
      </w:r>
      <w:r>
        <w:rPr>
          <w:rFonts w:hint="eastAsia"/>
          <w:bCs/>
          <w:kern w:val="0"/>
          <w:szCs w:val="21"/>
        </w:rPr>
        <w:t>Z</w:t>
      </w:r>
      <w:r>
        <w:rPr>
          <w:bCs/>
          <w:kern w:val="0"/>
          <w:szCs w:val="21"/>
        </w:rPr>
        <w:t>02060</w:t>
      </w:r>
      <w:r>
        <w:rPr>
          <w:rFonts w:hint="eastAsia"/>
          <w:bCs/>
          <w:kern w:val="0"/>
          <w:szCs w:val="21"/>
        </w:rPr>
        <w:t>25</w:t>
      </w:r>
      <w:r>
        <w:rPr>
          <w:bCs/>
          <w:kern w:val="0"/>
          <w:szCs w:val="21"/>
        </w:rPr>
        <w:t>1</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电磁场与电磁波</w:t>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4</w:t>
      </w:r>
      <w:r>
        <w:rPr>
          <w:rFonts w:hint="eastAsia"/>
          <w:szCs w:val="21"/>
        </w:rPr>
        <w:t>8</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分：3</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高等数学、大学物理、复变函数与积分变换</w:t>
      </w:r>
    </w:p>
    <w:p>
      <w:pPr>
        <w:adjustRightInd w:val="0"/>
        <w:snapToGrid w:val="0"/>
        <w:spacing w:line="360" w:lineRule="auto"/>
        <w:rPr>
          <w:szCs w:val="21"/>
        </w:rPr>
      </w:pPr>
      <w:r>
        <w:rPr>
          <w:rFonts w:hint="eastAsia" w:eastAsia="黑体"/>
          <w:szCs w:val="21"/>
        </w:rPr>
        <w:t>大纲撰写人：</w:t>
      </w:r>
      <w:r>
        <w:rPr>
          <w:rFonts w:hint="eastAsia"/>
          <w:szCs w:val="21"/>
        </w:rPr>
        <w:t>张志东、马宗敏</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pStyle w:val="31"/>
        <w:numPr>
          <w:ilvl w:val="0"/>
          <w:numId w:val="27"/>
        </w:numPr>
        <w:adjustRightInd w:val="0"/>
        <w:snapToGrid w:val="0"/>
        <w:spacing w:line="360" w:lineRule="auto"/>
        <w:ind w:firstLineChars="0"/>
        <w:rPr>
          <w:rFonts w:eastAsia="黑体"/>
          <w:szCs w:val="21"/>
        </w:rPr>
      </w:pPr>
      <w:r>
        <w:rPr>
          <w:rFonts w:hint="eastAsia" w:eastAsia="黑体"/>
          <w:szCs w:val="21"/>
        </w:rPr>
        <w:t>课程在教学计划中的地位、作用</w:t>
      </w:r>
    </w:p>
    <w:p>
      <w:pPr>
        <w:tabs>
          <w:tab w:val="left" w:pos="0"/>
        </w:tabs>
        <w:adjustRightInd w:val="0"/>
        <w:snapToGrid w:val="0"/>
        <w:spacing w:line="360" w:lineRule="auto"/>
        <w:ind w:firstLine="420" w:firstLineChars="200"/>
        <w:rPr>
          <w:color w:val="000000"/>
          <w:szCs w:val="21"/>
        </w:rPr>
      </w:pPr>
      <w:r>
        <w:rPr>
          <w:color w:val="000000"/>
          <w:szCs w:val="21"/>
        </w:rPr>
        <w:t>电磁场与电磁波是高等学校电子科学与技术专业的学科基础教育课程。“电磁场与电磁波”</w:t>
      </w:r>
      <w:r>
        <w:rPr>
          <w:rFonts w:hint="eastAsia"/>
          <w:color w:val="000000"/>
          <w:szCs w:val="21"/>
        </w:rPr>
        <w:t>是电子科学与技术领域的核心知识</w:t>
      </w:r>
      <w:r>
        <w:rPr>
          <w:color w:val="000000"/>
          <w:szCs w:val="21"/>
        </w:rPr>
        <w:t>，也是一些交叉领域的学科生长点和新兴边缘学科发展的基础。本课程主要从矢量分析入手，介绍电磁场中基本定理、定律、麦克斯韦方程等的物理意义及数学表达。通过学习一些重要电磁场问题数学模型（如波动方程、拉氏方程等）的建立过程以及分析方法，使学生掌握静态场、时变场及平面电磁波传播的基本理论与性质，培养学生</w:t>
      </w:r>
      <w:r>
        <w:rPr>
          <w:rFonts w:hint="eastAsia"/>
          <w:color w:val="000000"/>
          <w:szCs w:val="21"/>
        </w:rPr>
        <w:t>的逻辑</w:t>
      </w:r>
      <w:r>
        <w:rPr>
          <w:color w:val="000000"/>
          <w:szCs w:val="21"/>
        </w:rPr>
        <w:t>思维</w:t>
      </w:r>
      <w:r>
        <w:rPr>
          <w:rFonts w:hint="eastAsia"/>
          <w:color w:val="000000"/>
          <w:szCs w:val="21"/>
        </w:rPr>
        <w:t>能力</w:t>
      </w:r>
      <w:r>
        <w:rPr>
          <w:color w:val="000000"/>
          <w:szCs w:val="21"/>
        </w:rPr>
        <w:t>；使学生初步具备</w:t>
      </w:r>
      <w:r>
        <w:rPr>
          <w:rFonts w:hint="eastAsia"/>
          <w:color w:val="000000"/>
          <w:szCs w:val="21"/>
        </w:rPr>
        <w:t>将</w:t>
      </w:r>
      <w:r>
        <w:rPr>
          <w:color w:val="000000"/>
          <w:szCs w:val="21"/>
        </w:rPr>
        <w:t>电磁场与电磁波</w:t>
      </w:r>
      <w:r>
        <w:rPr>
          <w:rFonts w:hint="eastAsia"/>
          <w:color w:val="000000"/>
          <w:szCs w:val="21"/>
        </w:rPr>
        <w:t>相关理论应用在</w:t>
      </w:r>
      <w:r>
        <w:rPr>
          <w:color w:val="000000"/>
          <w:szCs w:val="21"/>
        </w:rPr>
        <w:t>电子信息领域</w:t>
      </w:r>
      <w:r>
        <w:rPr>
          <w:rFonts w:hint="eastAsia"/>
          <w:color w:val="000000"/>
          <w:szCs w:val="21"/>
        </w:rPr>
        <w:t>的意识和能力</w:t>
      </w:r>
      <w:r>
        <w:rPr>
          <w:color w:val="000000"/>
          <w:szCs w:val="21"/>
        </w:rPr>
        <w:t>。该课程</w:t>
      </w:r>
      <w:r>
        <w:rPr>
          <w:rFonts w:hint="eastAsia"/>
          <w:color w:val="000000"/>
          <w:szCs w:val="21"/>
        </w:rPr>
        <w:t>以</w:t>
      </w:r>
      <w:r>
        <w:rPr>
          <w:color w:val="000000"/>
          <w:szCs w:val="21"/>
        </w:rPr>
        <w:t>《高等数学》、《线性代数》《大学物理》、《复变函数与积分变换》</w:t>
      </w:r>
      <w:r>
        <w:rPr>
          <w:rFonts w:hint="eastAsia"/>
          <w:color w:val="000000"/>
          <w:szCs w:val="21"/>
        </w:rPr>
        <w:t>为基础，</w:t>
      </w:r>
      <w:r>
        <w:rPr>
          <w:color w:val="000000"/>
          <w:szCs w:val="21"/>
        </w:rPr>
        <w:t>在整个电子科学与技术专业教学计划中起到承上启下的作用，为后续《微波技术基础》、《电磁兼容设计》专业课程的学习奠定基本的电磁场</w:t>
      </w:r>
      <w:r>
        <w:rPr>
          <w:rFonts w:hint="eastAsia"/>
          <w:color w:val="000000"/>
          <w:szCs w:val="21"/>
        </w:rPr>
        <w:t>理论</w:t>
      </w:r>
      <w:r>
        <w:rPr>
          <w:color w:val="000000"/>
          <w:szCs w:val="21"/>
        </w:rPr>
        <w:t>基础，也为今后学生从事射频电路、微波天线、电磁兼容等方面的设计工作打下坚实的理论基础。</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960"/>
        <w:gridCol w:w="364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24"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2382"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194"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2382" w:type="pct"/>
          </w:tcPr>
          <w:p>
            <w:pPr>
              <w:adjustRightInd w:val="0"/>
              <w:snapToGrid w:val="0"/>
              <w:spacing w:line="360" w:lineRule="auto"/>
              <w:rPr>
                <w:rFonts w:ascii="宋体" w:hAnsi="宋体"/>
                <w:sz w:val="18"/>
                <w:szCs w:val="18"/>
              </w:rPr>
            </w:pPr>
            <w:r>
              <w:rPr>
                <w:rFonts w:hint="eastAsia" w:ascii="宋体" w:hAnsi="宋体"/>
                <w:sz w:val="18"/>
                <w:szCs w:val="18"/>
              </w:rPr>
              <w:t>能够利用散度定理、高斯定理、麦克斯韦方程组、泊松方程、电磁波的波动方程等对基本的电磁场问题进行分析、逻辑推理，建立完整的知识体系，提高学生解决实际问题的力；</w:t>
            </w:r>
          </w:p>
        </w:tc>
        <w:tc>
          <w:tcPr>
            <w:tcW w:w="2194" w:type="pct"/>
          </w:tcPr>
          <w:p>
            <w:pPr>
              <w:adjustRightInd w:val="0"/>
              <w:snapToGrid w:val="0"/>
              <w:spacing w:line="360" w:lineRule="auto"/>
              <w:rPr>
                <w:rFonts w:ascii="宋体" w:hAnsi="宋体"/>
                <w:sz w:val="18"/>
                <w:szCs w:val="18"/>
              </w:rPr>
            </w:pPr>
            <w:r>
              <w:rPr>
                <w:rFonts w:hint="eastAsia" w:ascii="宋体" w:hAnsi="宋体"/>
                <w:b/>
                <w:sz w:val="18"/>
                <w:szCs w:val="18"/>
              </w:rPr>
              <w:t>指标点1-1 知识体系：</w:t>
            </w:r>
            <w:r>
              <w:rPr>
                <w:rFonts w:hint="eastAsia" w:ascii="宋体" w:hAnsi="宋体"/>
                <w:bCs/>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2382" w:type="pct"/>
          </w:tcPr>
          <w:p>
            <w:pPr>
              <w:adjustRightInd w:val="0"/>
              <w:snapToGrid w:val="0"/>
              <w:spacing w:line="360" w:lineRule="auto"/>
              <w:rPr>
                <w:rFonts w:ascii="宋体" w:hAnsi="宋体"/>
                <w:sz w:val="18"/>
                <w:szCs w:val="18"/>
              </w:rPr>
            </w:pPr>
            <w:r>
              <w:rPr>
                <w:rFonts w:hint="eastAsia" w:ascii="宋体" w:hAnsi="宋体"/>
                <w:sz w:val="18"/>
                <w:szCs w:val="18"/>
              </w:rPr>
              <w:t>能够应用电磁场基本理论分析实际电磁场工程应用案例，初步具备根据电磁场基本理论分析电磁污染，以及在解决工程问题时利用“场”和“波”的基本观点对环境影响做出评价。</w:t>
            </w:r>
          </w:p>
        </w:tc>
        <w:tc>
          <w:tcPr>
            <w:tcW w:w="2194" w:type="pct"/>
          </w:tcPr>
          <w:p>
            <w:pPr>
              <w:adjustRightInd w:val="0"/>
              <w:snapToGrid w:val="0"/>
              <w:spacing w:line="360" w:lineRule="auto"/>
              <w:rPr>
                <w:rFonts w:ascii="宋体" w:hAnsi="宋体"/>
                <w:sz w:val="18"/>
                <w:szCs w:val="18"/>
              </w:rPr>
            </w:pPr>
            <w:r>
              <w:rPr>
                <w:rFonts w:hint="eastAsia" w:ascii="宋体" w:hAnsi="宋体"/>
                <w:b/>
                <w:bCs/>
                <w:sz w:val="18"/>
                <w:szCs w:val="18"/>
              </w:rPr>
              <w:t>指标点7-1 环境影响评价</w:t>
            </w:r>
            <w:r>
              <w:rPr>
                <w:rFonts w:hint="eastAsia" w:ascii="宋体" w:hAnsi="宋体"/>
                <w:sz w:val="18"/>
                <w:szCs w:val="18"/>
              </w:rPr>
              <w:t>：充分了解本专业工程实践所使用的原材料、工艺、生产过程对各类资源的消耗情况，能合理评价生产试验和产品运行过程中可能产生的功耗、噪声、辐射、废料对环境的影响。</w:t>
            </w:r>
          </w:p>
        </w:tc>
      </w:tr>
    </w:tbl>
    <w:p>
      <w:pPr>
        <w:spacing w:line="360" w:lineRule="auto"/>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tabs>
          <w:tab w:val="left" w:pos="420"/>
        </w:tabs>
        <w:adjustRightInd w:val="0"/>
        <w:snapToGrid w:val="0"/>
        <w:spacing w:line="360" w:lineRule="auto"/>
        <w:rPr>
          <w:color w:val="000000"/>
          <w:szCs w:val="21"/>
        </w:rPr>
      </w:pPr>
      <w:r>
        <w:rPr>
          <w:rFonts w:eastAsia="黑体"/>
          <w:color w:val="0000FF"/>
          <w:szCs w:val="21"/>
        </w:rPr>
        <w:tab/>
      </w:r>
      <w:r>
        <w:rPr>
          <w:color w:val="000000"/>
          <w:szCs w:val="21"/>
        </w:rPr>
        <w:t>1、本课程为学科基础教育课程，要求先修大学物理、高等数学、复变函数与积分变换、在教学中要求学生熟练掌握电磁场理论的基本概念、基本定理和Maxwell方程等的物理意义及数学表达式；</w:t>
      </w:r>
    </w:p>
    <w:p>
      <w:pPr>
        <w:spacing w:line="360" w:lineRule="auto"/>
        <w:ind w:firstLine="420" w:firstLineChars="200"/>
        <w:rPr>
          <w:color w:val="000000"/>
          <w:szCs w:val="21"/>
        </w:rPr>
      </w:pPr>
      <w:r>
        <w:rPr>
          <w:color w:val="000000"/>
          <w:szCs w:val="21"/>
        </w:rPr>
        <w:t>2、教师应处理好数学公式与物理概念之间的关系，着重讲解电磁场方程的物理内涵。通过将抽象的电磁场理论知识在一些典型实际案例中的应用，让学生切实体会到电磁场理论的具体化，可以使学生对整个知识体系有更全面、更深刻的理解，还可以为以后的实际工作打下坚实的理论基础和工程实践应用；</w:t>
      </w:r>
    </w:p>
    <w:p>
      <w:pPr>
        <w:spacing w:line="360" w:lineRule="auto"/>
        <w:ind w:firstLine="420" w:firstLineChars="200"/>
        <w:rPr>
          <w:color w:val="000000"/>
          <w:szCs w:val="21"/>
        </w:rPr>
      </w:pPr>
      <w:r>
        <w:rPr>
          <w:color w:val="000000"/>
          <w:szCs w:val="21"/>
        </w:rPr>
        <w:t>3、 课后作业要少而精，内容包括基本概念、基本理论及计算</w:t>
      </w:r>
      <w:r>
        <w:rPr>
          <w:rFonts w:hint="eastAsia"/>
          <w:color w:val="000000"/>
          <w:szCs w:val="21"/>
        </w:rPr>
        <w:t>等</w:t>
      </w:r>
      <w:r>
        <w:rPr>
          <w:color w:val="000000"/>
          <w:szCs w:val="21"/>
        </w:rPr>
        <w:t>，要能起到巩固理论，掌握计算方法和技巧，提高分析问题、解决问题能力</w:t>
      </w:r>
      <w:r>
        <w:rPr>
          <w:rFonts w:hint="eastAsia"/>
          <w:color w:val="000000"/>
          <w:szCs w:val="21"/>
        </w:rPr>
        <w:t>；</w:t>
      </w:r>
      <w:r>
        <w:rPr>
          <w:color w:val="000000"/>
          <w:szCs w:val="21"/>
        </w:rPr>
        <w:t>对作业中的重点、难点，适当安排课内讲评作业</w:t>
      </w:r>
      <w:r>
        <w:rPr>
          <w:rFonts w:hint="eastAsia"/>
          <w:color w:val="000000"/>
          <w:szCs w:val="21"/>
        </w:rPr>
        <w:t>，</w:t>
      </w:r>
      <w:r>
        <w:rPr>
          <w:color w:val="000000"/>
          <w:szCs w:val="21"/>
        </w:rPr>
        <w:t>作业的完成情况应作为评定课程成绩的一部分</w:t>
      </w:r>
      <w:r>
        <w:rPr>
          <w:rFonts w:hint="eastAsia"/>
          <w:color w:val="000000"/>
          <w:szCs w:val="21"/>
        </w:rPr>
        <w:t>；</w:t>
      </w:r>
    </w:p>
    <w:p>
      <w:pPr>
        <w:spacing w:line="360" w:lineRule="auto"/>
        <w:ind w:firstLine="420" w:firstLineChars="200"/>
        <w:rPr>
          <w:color w:val="000000"/>
          <w:szCs w:val="21"/>
        </w:rPr>
      </w:pPr>
      <w:r>
        <w:rPr>
          <w:rFonts w:hint="eastAsia"/>
          <w:color w:val="000000"/>
          <w:szCs w:val="21"/>
        </w:rPr>
        <w:t>4、考试采取闭卷考试，综合评价成绩由平时成绩（点名、课堂提问）、作业成绩和期末考试组成；</w:t>
      </w:r>
    </w:p>
    <w:p>
      <w:pPr>
        <w:spacing w:line="360" w:lineRule="auto"/>
        <w:ind w:firstLine="420" w:firstLineChars="200"/>
        <w:rPr>
          <w:szCs w:val="21"/>
        </w:rPr>
      </w:pPr>
      <w:r>
        <w:rPr>
          <w:rFonts w:hint="eastAsia"/>
          <w:szCs w:val="21"/>
        </w:rPr>
        <w:t>5、</w:t>
      </w:r>
      <w:r>
        <w:rPr>
          <w:szCs w:val="21"/>
        </w:rPr>
        <w:t>深度和广度说明：在课堂教学中，在宏观上引导学生对电磁场理论体系的整体把握，课堂讲授中要重点对电磁场与电磁波的基本概念、基本理论和解题思路的讲解；在掌握课程基本电磁场与电磁波理论和规律的基础上，使学生能够触类旁通；在微观上启发学生能够从数学模型出发，通过分析典型的电磁场与电磁波应用实例培养工程化的思维。</w:t>
      </w:r>
    </w:p>
    <w:p>
      <w:pPr>
        <w:adjustRightInd w:val="0"/>
        <w:snapToGrid w:val="0"/>
        <w:spacing w:line="360" w:lineRule="auto"/>
        <w:ind w:firstLine="420" w:firstLineChars="200"/>
        <w:rPr>
          <w:color w:val="000000"/>
          <w:szCs w:val="21"/>
        </w:rPr>
      </w:pPr>
      <w:r>
        <w:rPr>
          <w:rFonts w:hint="eastAsia"/>
          <w:szCs w:val="21"/>
        </w:rPr>
        <w:t>6</w:t>
      </w:r>
      <w:r>
        <w:rPr>
          <w:szCs w:val="21"/>
        </w:rPr>
        <w:t>、</w:t>
      </w:r>
      <w:r>
        <w:rPr>
          <w:color w:val="000000"/>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szCs w:val="21"/>
        </w:rPr>
        <w:t>本课程重点讲授的内容包括：矢量分析与场论、静电场、静磁场、恒定电流、静态场的应用、时变电磁场与电磁波、平面波的传播。</w:t>
      </w:r>
    </w:p>
    <w:p>
      <w:pPr>
        <w:spacing w:line="360" w:lineRule="auto"/>
        <w:ind w:firstLine="420" w:firstLineChars="200"/>
        <w:rPr>
          <w:szCs w:val="21"/>
        </w:rPr>
      </w:pPr>
      <w:r>
        <w:rPr>
          <w:szCs w:val="21"/>
        </w:rPr>
        <w:t>教学方法：采用启发式和讲解式相结合的教学方法，培养学生思考问题、分析问题和解决问题的能力；引导和鼓励学生通过自学获取知识，培养学生的自学能力；讲课要联系实际并注重培养学生的创新能力。</w:t>
      </w:r>
    </w:p>
    <w:p>
      <w:pPr>
        <w:spacing w:line="360" w:lineRule="auto"/>
        <w:ind w:firstLine="420" w:firstLineChars="200"/>
        <w:rPr>
          <w:szCs w:val="21"/>
        </w:rPr>
      </w:pPr>
      <w:r>
        <w:rPr>
          <w:szCs w:val="21"/>
        </w:rPr>
        <w:t>教学手段：本课程属于技术基础课，在教学中采用电子教案、CAI课件及多媒体教学系统等先进教学手段，以确保在有限的学时内，全面、高质量地完成课程教学任务。</w:t>
      </w:r>
    </w:p>
    <w:p>
      <w:pPr>
        <w:spacing w:line="360" w:lineRule="auto"/>
        <w:ind w:left="426"/>
        <w:rPr>
          <w:rFonts w:eastAsia="黑体"/>
          <w:szCs w:val="21"/>
        </w:rPr>
      </w:pPr>
    </w:p>
    <w:p>
      <w:pPr>
        <w:adjustRightInd w:val="0"/>
        <w:snapToGrid w:val="0"/>
        <w:spacing w:line="360" w:lineRule="auto"/>
        <w:ind w:firstLine="420" w:firstLineChars="200"/>
        <w:rPr>
          <w:rFonts w:eastAsia="黑体"/>
          <w:snapToGrid w:val="0"/>
          <w:kern w:val="0"/>
          <w:szCs w:val="21"/>
          <w:lang w:val="zh-CN"/>
        </w:rPr>
      </w:pPr>
      <w:r>
        <w:rPr>
          <w:rFonts w:eastAsia="黑体"/>
          <w:snapToGrid w:val="0"/>
          <w:kern w:val="0"/>
          <w:szCs w:val="21"/>
        </w:rPr>
        <w:t>1 电磁场理论概述</w:t>
      </w:r>
      <w:r>
        <w:rPr>
          <w:rFonts w:eastAsia="黑体"/>
          <w:snapToGrid w:val="0"/>
          <w:kern w:val="0"/>
          <w:szCs w:val="21"/>
          <w:lang w:val="zh-CN"/>
        </w:rPr>
        <w:t>（ 2 学时）</w:t>
      </w:r>
    </w:p>
    <w:p>
      <w:pPr>
        <w:adjustRightInd w:val="0"/>
        <w:snapToGrid w:val="0"/>
        <w:spacing w:line="360" w:lineRule="auto"/>
        <w:ind w:firstLine="420" w:firstLineChars="200"/>
        <w:rPr>
          <w:snapToGrid w:val="0"/>
          <w:kern w:val="0"/>
          <w:szCs w:val="21"/>
        </w:rPr>
      </w:pPr>
      <w:r>
        <w:rPr>
          <w:snapToGrid w:val="0"/>
          <w:kern w:val="0"/>
          <w:szCs w:val="21"/>
        </w:rPr>
        <w:t>1.1、引言</w:t>
      </w:r>
    </w:p>
    <w:p>
      <w:pPr>
        <w:adjustRightInd w:val="0"/>
        <w:snapToGrid w:val="0"/>
        <w:spacing w:line="360" w:lineRule="auto"/>
        <w:ind w:firstLine="420" w:firstLineChars="200"/>
        <w:rPr>
          <w:snapToGrid w:val="0"/>
          <w:kern w:val="0"/>
          <w:szCs w:val="21"/>
        </w:rPr>
      </w:pPr>
      <w:r>
        <w:rPr>
          <w:snapToGrid w:val="0"/>
          <w:kern w:val="0"/>
          <w:szCs w:val="21"/>
        </w:rPr>
        <w:t>1.2、电磁场基本概念及理论基础（矢量分析、微分和积分表示法、静态场、时变场及其应用、数值解）</w:t>
      </w:r>
    </w:p>
    <w:p>
      <w:pPr>
        <w:adjustRightInd w:val="0"/>
        <w:snapToGrid w:val="0"/>
        <w:spacing w:line="360" w:lineRule="auto"/>
        <w:ind w:firstLine="420" w:firstLineChars="200"/>
        <w:rPr>
          <w:rFonts w:ascii="宋体" w:hAnsi="宋体"/>
          <w:snapToGrid w:val="0"/>
          <w:kern w:val="0"/>
          <w:szCs w:val="21"/>
        </w:rPr>
      </w:pPr>
      <w:bookmarkStart w:id="218" w:name="_Hlk11095273"/>
      <w:r>
        <w:rPr>
          <w:rFonts w:ascii="宋体" w:hAnsi="宋体"/>
          <w:snapToGrid w:val="0"/>
          <w:kern w:val="0"/>
          <w:szCs w:val="21"/>
        </w:rPr>
        <w:t>本章内容支撑课程目标1。</w:t>
      </w:r>
    </w:p>
    <w:bookmarkEnd w:id="218"/>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2 矢量分析</w:t>
      </w:r>
      <w:r>
        <w:rPr>
          <w:rFonts w:eastAsia="黑体"/>
          <w:snapToGrid w:val="0"/>
          <w:kern w:val="0"/>
          <w:szCs w:val="21"/>
          <w:lang w:val="zh-CN"/>
        </w:rPr>
        <w:t>（ 6 学时）</w:t>
      </w:r>
    </w:p>
    <w:p>
      <w:pPr>
        <w:adjustRightInd w:val="0"/>
        <w:snapToGrid w:val="0"/>
        <w:spacing w:line="360" w:lineRule="auto"/>
        <w:ind w:firstLine="420" w:firstLineChars="200"/>
        <w:rPr>
          <w:snapToGrid w:val="0"/>
          <w:kern w:val="0"/>
          <w:szCs w:val="21"/>
        </w:rPr>
      </w:pPr>
      <w:r>
        <w:rPr>
          <w:snapToGrid w:val="0"/>
          <w:kern w:val="0"/>
          <w:szCs w:val="21"/>
        </w:rPr>
        <w:t>2.1、掌握标量和矢量及其运算</w:t>
      </w:r>
    </w:p>
    <w:p>
      <w:pPr>
        <w:adjustRightInd w:val="0"/>
        <w:snapToGrid w:val="0"/>
        <w:spacing w:line="360" w:lineRule="auto"/>
        <w:ind w:firstLine="420" w:firstLineChars="200"/>
        <w:rPr>
          <w:snapToGrid w:val="0"/>
          <w:kern w:val="0"/>
          <w:szCs w:val="21"/>
        </w:rPr>
      </w:pPr>
      <w:r>
        <w:rPr>
          <w:snapToGrid w:val="0"/>
          <w:kern w:val="0"/>
          <w:szCs w:val="21"/>
        </w:rPr>
        <w:t>2.2、熟悉坐标系及其相应的微分元</w:t>
      </w:r>
    </w:p>
    <w:p>
      <w:pPr>
        <w:adjustRightInd w:val="0"/>
        <w:snapToGrid w:val="0"/>
        <w:spacing w:line="360" w:lineRule="auto"/>
        <w:ind w:firstLine="420" w:firstLineChars="200"/>
        <w:rPr>
          <w:snapToGrid w:val="0"/>
          <w:kern w:val="0"/>
          <w:szCs w:val="21"/>
        </w:rPr>
      </w:pPr>
      <w:r>
        <w:rPr>
          <w:snapToGrid w:val="0"/>
          <w:kern w:val="0"/>
          <w:szCs w:val="21"/>
        </w:rPr>
        <w:t>2.3、熟悉标量场和矢量场</w:t>
      </w:r>
    </w:p>
    <w:p>
      <w:pPr>
        <w:adjustRightInd w:val="0"/>
        <w:snapToGrid w:val="0"/>
        <w:spacing w:line="360" w:lineRule="auto"/>
        <w:ind w:firstLine="420" w:firstLineChars="200"/>
        <w:rPr>
          <w:snapToGrid w:val="0"/>
          <w:kern w:val="0"/>
          <w:szCs w:val="21"/>
        </w:rPr>
      </w:pPr>
      <w:r>
        <w:rPr>
          <w:snapToGrid w:val="0"/>
          <w:kern w:val="0"/>
          <w:szCs w:val="21"/>
        </w:rPr>
        <w:t>2.4、掌握标量场的梯度、矢量场的散度和旋度(重点、难点)</w:t>
      </w:r>
    </w:p>
    <w:p>
      <w:pPr>
        <w:adjustRightInd w:val="0"/>
        <w:snapToGrid w:val="0"/>
        <w:spacing w:line="360" w:lineRule="auto"/>
        <w:ind w:firstLine="420" w:firstLineChars="200"/>
        <w:rPr>
          <w:snapToGrid w:val="0"/>
          <w:kern w:val="0"/>
          <w:szCs w:val="21"/>
        </w:rPr>
      </w:pPr>
      <w:r>
        <w:rPr>
          <w:snapToGrid w:val="0"/>
          <w:kern w:val="0"/>
          <w:szCs w:val="21"/>
        </w:rPr>
        <w:t>2.5、了解拉普拉斯算子</w:t>
      </w:r>
    </w:p>
    <w:p>
      <w:pPr>
        <w:adjustRightInd w:val="0"/>
        <w:snapToGrid w:val="0"/>
        <w:spacing w:line="360" w:lineRule="auto"/>
        <w:ind w:firstLine="420" w:firstLineChars="200"/>
        <w:rPr>
          <w:snapToGrid w:val="0"/>
          <w:kern w:val="0"/>
          <w:szCs w:val="21"/>
        </w:rPr>
      </w:pPr>
      <w:r>
        <w:rPr>
          <w:snapToGrid w:val="0"/>
          <w:kern w:val="0"/>
          <w:szCs w:val="21"/>
        </w:rPr>
        <w:t>2.6、理解若干定理和电磁场的分类（重点、难点）</w:t>
      </w:r>
    </w:p>
    <w:p>
      <w:pPr>
        <w:adjustRightInd w:val="0"/>
        <w:snapToGrid w:val="0"/>
        <w:spacing w:line="360" w:lineRule="auto"/>
        <w:ind w:firstLine="420" w:firstLineChars="200"/>
        <w:rPr>
          <w:snapToGrid w:val="0"/>
          <w:kern w:val="0"/>
          <w:szCs w:val="21"/>
        </w:rPr>
      </w:pPr>
      <w:r>
        <w:rPr>
          <w:snapToGrid w:val="0"/>
          <w:kern w:val="0"/>
          <w:szCs w:val="21"/>
        </w:rPr>
        <w:t>2.7、掌握矢量恒等式（重点、难点）</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3 静电场</w:t>
      </w:r>
      <w:r>
        <w:rPr>
          <w:rFonts w:eastAsia="黑体"/>
          <w:snapToGrid w:val="0"/>
          <w:kern w:val="0"/>
          <w:szCs w:val="21"/>
          <w:lang w:val="zh-CN"/>
        </w:rPr>
        <w:t>（ 8 学时）</w:t>
      </w:r>
    </w:p>
    <w:p>
      <w:pPr>
        <w:adjustRightInd w:val="0"/>
        <w:snapToGrid w:val="0"/>
        <w:spacing w:line="360" w:lineRule="auto"/>
        <w:ind w:firstLine="420" w:firstLineChars="200"/>
        <w:rPr>
          <w:snapToGrid w:val="0"/>
          <w:kern w:val="0"/>
          <w:szCs w:val="21"/>
        </w:rPr>
      </w:pPr>
      <w:r>
        <w:rPr>
          <w:snapToGrid w:val="0"/>
          <w:kern w:val="0"/>
          <w:szCs w:val="21"/>
        </w:rPr>
        <w:t>3.1、理解静电场理论的基本概念及规律（电场强度、电通量、电通量密度、电位、电偶极子、电动势、库仑定律、高斯定律、电流连续性方程）（重点、难点）</w:t>
      </w:r>
    </w:p>
    <w:p>
      <w:pPr>
        <w:adjustRightInd w:val="0"/>
        <w:snapToGrid w:val="0"/>
        <w:spacing w:line="360" w:lineRule="auto"/>
        <w:ind w:firstLine="420" w:firstLineChars="200"/>
        <w:rPr>
          <w:snapToGrid w:val="0"/>
          <w:kern w:val="0"/>
          <w:szCs w:val="21"/>
        </w:rPr>
      </w:pPr>
      <w:r>
        <w:rPr>
          <w:snapToGrid w:val="0"/>
          <w:kern w:val="0"/>
          <w:szCs w:val="21"/>
        </w:rPr>
        <w:t>3.2、了解电场中的储能（重点）</w:t>
      </w:r>
    </w:p>
    <w:p>
      <w:pPr>
        <w:adjustRightInd w:val="0"/>
        <w:snapToGrid w:val="0"/>
        <w:spacing w:line="360" w:lineRule="auto"/>
        <w:ind w:firstLine="420" w:firstLineChars="200"/>
        <w:rPr>
          <w:snapToGrid w:val="0"/>
          <w:kern w:val="0"/>
          <w:szCs w:val="21"/>
        </w:rPr>
      </w:pPr>
      <w:r>
        <w:rPr>
          <w:snapToGrid w:val="0"/>
          <w:kern w:val="0"/>
          <w:szCs w:val="21"/>
        </w:rPr>
        <w:t>3.3、掌握边界条件（重点、难点）</w:t>
      </w:r>
    </w:p>
    <w:p>
      <w:pPr>
        <w:adjustRightInd w:val="0"/>
        <w:snapToGrid w:val="0"/>
        <w:spacing w:line="360" w:lineRule="auto"/>
        <w:ind w:firstLine="420" w:firstLineChars="200"/>
        <w:rPr>
          <w:snapToGrid w:val="0"/>
          <w:kern w:val="0"/>
          <w:szCs w:val="21"/>
        </w:rPr>
      </w:pPr>
      <w:r>
        <w:rPr>
          <w:snapToGrid w:val="0"/>
          <w:kern w:val="0"/>
          <w:szCs w:val="21"/>
        </w:rPr>
        <w:t>3.4、熟悉电容器和电容</w:t>
      </w:r>
    </w:p>
    <w:p>
      <w:pPr>
        <w:adjustRightInd w:val="0"/>
        <w:snapToGrid w:val="0"/>
        <w:spacing w:line="360" w:lineRule="auto"/>
        <w:ind w:firstLine="420" w:firstLineChars="200"/>
        <w:rPr>
          <w:snapToGrid w:val="0"/>
          <w:kern w:val="0"/>
          <w:szCs w:val="21"/>
        </w:rPr>
      </w:pPr>
      <w:r>
        <w:rPr>
          <w:snapToGrid w:val="0"/>
          <w:kern w:val="0"/>
          <w:szCs w:val="21"/>
        </w:rPr>
        <w:t>3.5、理解泊松方程和拉普拉斯方程（重点、难点）</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4 恒定电流</w:t>
      </w:r>
      <w:r>
        <w:rPr>
          <w:rFonts w:eastAsia="黑体"/>
          <w:snapToGrid w:val="0"/>
          <w:kern w:val="0"/>
          <w:szCs w:val="21"/>
          <w:lang w:val="zh-CN"/>
        </w:rPr>
        <w:t>（ 4 学时）</w:t>
      </w:r>
    </w:p>
    <w:p>
      <w:pPr>
        <w:adjustRightInd w:val="0"/>
        <w:snapToGrid w:val="0"/>
        <w:spacing w:line="360" w:lineRule="auto"/>
        <w:ind w:firstLine="420" w:firstLineChars="200"/>
        <w:rPr>
          <w:snapToGrid w:val="0"/>
          <w:kern w:val="0"/>
          <w:szCs w:val="21"/>
        </w:rPr>
      </w:pPr>
      <w:r>
        <w:rPr>
          <w:snapToGrid w:val="0"/>
          <w:kern w:val="0"/>
          <w:szCs w:val="21"/>
        </w:rPr>
        <w:t>4.1、理解恒定电流场中的基本概念（电流的性质及电流密度、传导电流及其密度、运动电流及其密度、导体电阻）（重点、难点）</w:t>
      </w:r>
    </w:p>
    <w:p>
      <w:pPr>
        <w:adjustRightInd w:val="0"/>
        <w:snapToGrid w:val="0"/>
        <w:spacing w:line="360" w:lineRule="auto"/>
        <w:ind w:left="848" w:leftChars="203" w:hanging="422" w:hangingChars="201"/>
        <w:rPr>
          <w:b/>
          <w:snapToGrid w:val="0"/>
          <w:kern w:val="0"/>
          <w:szCs w:val="21"/>
        </w:rPr>
      </w:pPr>
      <w:r>
        <w:rPr>
          <w:snapToGrid w:val="0"/>
          <w:kern w:val="0"/>
          <w:szCs w:val="21"/>
        </w:rPr>
        <w:t>4.2、掌握恒定电流场中的基本规律（电流的连续性方程、焦耳定律）（重点、难点）</w:t>
      </w:r>
    </w:p>
    <w:p>
      <w:pPr>
        <w:adjustRightInd w:val="0"/>
        <w:snapToGrid w:val="0"/>
        <w:spacing w:line="360" w:lineRule="auto"/>
        <w:ind w:firstLine="420" w:firstLineChars="200"/>
        <w:rPr>
          <w:snapToGrid w:val="0"/>
          <w:kern w:val="0"/>
          <w:szCs w:val="21"/>
        </w:rPr>
      </w:pPr>
      <w:r>
        <w:rPr>
          <w:snapToGrid w:val="0"/>
          <w:kern w:val="0"/>
          <w:szCs w:val="21"/>
        </w:rPr>
        <w:t>4.3、理解电流密度和边界条件（重点、难点）</w:t>
      </w:r>
    </w:p>
    <w:p>
      <w:pPr>
        <w:adjustRightInd w:val="0"/>
        <w:snapToGrid w:val="0"/>
        <w:spacing w:line="360" w:lineRule="auto"/>
        <w:ind w:firstLine="420" w:firstLineChars="200"/>
        <w:rPr>
          <w:snapToGrid w:val="0"/>
          <w:kern w:val="0"/>
          <w:szCs w:val="21"/>
        </w:rPr>
      </w:pPr>
      <w:r>
        <w:rPr>
          <w:snapToGrid w:val="0"/>
          <w:kern w:val="0"/>
          <w:szCs w:val="21"/>
        </w:rPr>
        <w:t>4.4、了解D和J之间的类比关系</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5 静磁场</w:t>
      </w:r>
      <w:r>
        <w:rPr>
          <w:rFonts w:eastAsia="黑体"/>
          <w:snapToGrid w:val="0"/>
          <w:kern w:val="0"/>
          <w:szCs w:val="21"/>
          <w:lang w:val="zh-CN"/>
        </w:rPr>
        <w:t>（ 4 学时）</w:t>
      </w:r>
    </w:p>
    <w:p>
      <w:pPr>
        <w:adjustRightInd w:val="0"/>
        <w:snapToGrid w:val="0"/>
        <w:spacing w:line="360" w:lineRule="auto"/>
        <w:ind w:firstLine="420" w:firstLineChars="200"/>
        <w:rPr>
          <w:snapToGrid w:val="0"/>
          <w:kern w:val="0"/>
          <w:szCs w:val="21"/>
        </w:rPr>
      </w:pPr>
      <w:r>
        <w:rPr>
          <w:snapToGrid w:val="0"/>
          <w:kern w:val="0"/>
          <w:szCs w:val="21"/>
        </w:rPr>
        <w:t>5.1、了解静磁场基本概念</w:t>
      </w:r>
    </w:p>
    <w:p>
      <w:pPr>
        <w:adjustRightInd w:val="0"/>
        <w:snapToGrid w:val="0"/>
        <w:spacing w:line="360" w:lineRule="auto"/>
        <w:ind w:firstLine="420" w:firstLineChars="200"/>
        <w:rPr>
          <w:snapToGrid w:val="0"/>
          <w:kern w:val="0"/>
          <w:szCs w:val="21"/>
        </w:rPr>
      </w:pPr>
      <w:r>
        <w:rPr>
          <w:snapToGrid w:val="0"/>
          <w:kern w:val="0"/>
          <w:szCs w:val="21"/>
        </w:rPr>
        <w:t>5.2、掌握静磁场的基本定律（毕奥-萨法尔定律、安培力定律、磁通量和磁场的高斯定律、磁场强度和安培环路定律）（重点、难点）</w:t>
      </w:r>
    </w:p>
    <w:p>
      <w:pPr>
        <w:adjustRightInd w:val="0"/>
        <w:snapToGrid w:val="0"/>
        <w:spacing w:line="360" w:lineRule="auto"/>
        <w:ind w:firstLine="420" w:firstLineChars="200"/>
        <w:rPr>
          <w:snapToGrid w:val="0"/>
          <w:kern w:val="0"/>
          <w:szCs w:val="21"/>
        </w:rPr>
      </w:pPr>
      <w:r>
        <w:rPr>
          <w:snapToGrid w:val="0"/>
          <w:kern w:val="0"/>
          <w:szCs w:val="21"/>
        </w:rPr>
        <w:t>5.3、了解磁场的边界条件</w:t>
      </w:r>
    </w:p>
    <w:p>
      <w:pPr>
        <w:adjustRightInd w:val="0"/>
        <w:snapToGrid w:val="0"/>
        <w:spacing w:line="360" w:lineRule="auto"/>
        <w:ind w:firstLine="420" w:firstLineChars="200"/>
        <w:rPr>
          <w:snapToGrid w:val="0"/>
          <w:kern w:val="0"/>
          <w:szCs w:val="21"/>
        </w:rPr>
      </w:pPr>
      <w:r>
        <w:rPr>
          <w:snapToGrid w:val="0"/>
          <w:kern w:val="0"/>
          <w:szCs w:val="21"/>
        </w:rPr>
        <w:t>5.4、理解磁场中的能量</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6 静态场的应用</w:t>
      </w:r>
      <w:r>
        <w:rPr>
          <w:rFonts w:eastAsia="黑体"/>
          <w:snapToGrid w:val="0"/>
          <w:kern w:val="0"/>
          <w:szCs w:val="21"/>
          <w:lang w:val="zh-CN"/>
        </w:rPr>
        <w:t>（ 2 学时）</w:t>
      </w:r>
    </w:p>
    <w:p>
      <w:pPr>
        <w:adjustRightInd w:val="0"/>
        <w:snapToGrid w:val="0"/>
        <w:spacing w:line="360" w:lineRule="auto"/>
        <w:ind w:firstLine="420" w:firstLineChars="200"/>
        <w:rPr>
          <w:snapToGrid w:val="0"/>
          <w:kern w:val="0"/>
          <w:szCs w:val="21"/>
        </w:rPr>
      </w:pPr>
      <w:r>
        <w:rPr>
          <w:snapToGrid w:val="0"/>
          <w:kern w:val="0"/>
          <w:szCs w:val="21"/>
        </w:rPr>
        <w:t>6.1、了解霍尔效应、喷墨打印机、阴极射线示波器</w:t>
      </w:r>
    </w:p>
    <w:p>
      <w:pPr>
        <w:adjustRightInd w:val="0"/>
        <w:snapToGrid w:val="0"/>
        <w:spacing w:line="360" w:lineRule="auto"/>
        <w:ind w:firstLine="420" w:firstLineChars="200"/>
        <w:rPr>
          <w:snapToGrid w:val="0"/>
          <w:kern w:val="0"/>
          <w:szCs w:val="21"/>
        </w:rPr>
      </w:pPr>
      <w:r>
        <w:rPr>
          <w:snapToGrid w:val="0"/>
          <w:kern w:val="0"/>
          <w:szCs w:val="21"/>
        </w:rPr>
        <w:t>6.2、了解矿物的分选、静磁分离器、回旋加速器、选速器和质谱仪</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本章内容支撑课程目标2。</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7 时变电磁场</w:t>
      </w:r>
      <w:r>
        <w:rPr>
          <w:rFonts w:eastAsia="黑体"/>
          <w:snapToGrid w:val="0"/>
          <w:kern w:val="0"/>
          <w:szCs w:val="21"/>
          <w:lang w:val="zh-CN"/>
        </w:rPr>
        <w:t>（ 10 学时）</w:t>
      </w:r>
    </w:p>
    <w:p>
      <w:pPr>
        <w:adjustRightInd w:val="0"/>
        <w:snapToGrid w:val="0"/>
        <w:spacing w:line="360" w:lineRule="auto"/>
        <w:ind w:firstLine="420" w:firstLineChars="200"/>
        <w:rPr>
          <w:snapToGrid w:val="0"/>
          <w:kern w:val="0"/>
          <w:szCs w:val="21"/>
        </w:rPr>
      </w:pPr>
      <w:r>
        <w:rPr>
          <w:snapToGrid w:val="0"/>
          <w:kern w:val="0"/>
          <w:szCs w:val="21"/>
        </w:rPr>
        <w:t>7.1、理解运动电动势、法拉第感应定律及麦克斯韦方程（重点）</w:t>
      </w:r>
    </w:p>
    <w:p>
      <w:pPr>
        <w:adjustRightInd w:val="0"/>
        <w:snapToGrid w:val="0"/>
        <w:spacing w:line="360" w:lineRule="auto"/>
        <w:ind w:firstLine="420" w:firstLineChars="200"/>
        <w:rPr>
          <w:snapToGrid w:val="0"/>
          <w:kern w:val="0"/>
          <w:szCs w:val="21"/>
        </w:rPr>
      </w:pPr>
      <w:r>
        <w:rPr>
          <w:snapToGrid w:val="0"/>
          <w:kern w:val="0"/>
          <w:szCs w:val="21"/>
        </w:rPr>
        <w:t>7.2、了解自感与互感、耦合线圈的电感</w:t>
      </w:r>
    </w:p>
    <w:p>
      <w:pPr>
        <w:adjustRightInd w:val="0"/>
        <w:snapToGrid w:val="0"/>
        <w:spacing w:line="360" w:lineRule="auto"/>
        <w:ind w:firstLine="420" w:firstLineChars="200"/>
        <w:rPr>
          <w:snapToGrid w:val="0"/>
          <w:kern w:val="0"/>
          <w:szCs w:val="21"/>
        </w:rPr>
      </w:pPr>
      <w:r>
        <w:rPr>
          <w:snapToGrid w:val="0"/>
          <w:kern w:val="0"/>
          <w:szCs w:val="21"/>
        </w:rPr>
        <w:t>7.3、理解边界条件、坡印亭定理、磁场中的能量（难点）</w:t>
      </w:r>
    </w:p>
    <w:p>
      <w:pPr>
        <w:adjustRightInd w:val="0"/>
        <w:snapToGrid w:val="0"/>
        <w:spacing w:line="360" w:lineRule="auto"/>
        <w:ind w:firstLine="420" w:firstLineChars="200"/>
        <w:rPr>
          <w:snapToGrid w:val="0"/>
          <w:kern w:val="0"/>
          <w:szCs w:val="21"/>
        </w:rPr>
      </w:pPr>
      <w:r>
        <w:rPr>
          <w:snapToGrid w:val="0"/>
          <w:kern w:val="0"/>
          <w:szCs w:val="21"/>
        </w:rPr>
        <w:t>7.4、理解时间简谐场、时变电磁场的应用（难点）</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本章内容支撑课程目标1、2。</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8 平面波的传播（10学时）</w:t>
      </w:r>
    </w:p>
    <w:p>
      <w:pPr>
        <w:adjustRightInd w:val="0"/>
        <w:snapToGrid w:val="0"/>
        <w:spacing w:line="360" w:lineRule="auto"/>
        <w:ind w:firstLine="420" w:firstLineChars="200"/>
        <w:rPr>
          <w:snapToGrid w:val="0"/>
          <w:kern w:val="0"/>
          <w:szCs w:val="21"/>
        </w:rPr>
      </w:pPr>
      <w:r>
        <w:rPr>
          <w:snapToGrid w:val="0"/>
          <w:kern w:val="0"/>
          <w:szCs w:val="21"/>
        </w:rPr>
        <w:t>8.1、一般波动方程</w:t>
      </w:r>
    </w:p>
    <w:p>
      <w:pPr>
        <w:adjustRightInd w:val="0"/>
        <w:snapToGrid w:val="0"/>
        <w:spacing w:line="360" w:lineRule="auto"/>
        <w:ind w:firstLine="420" w:firstLineChars="200"/>
        <w:rPr>
          <w:snapToGrid w:val="0"/>
          <w:kern w:val="0"/>
          <w:szCs w:val="21"/>
        </w:rPr>
      </w:pPr>
      <w:r>
        <w:rPr>
          <w:snapToGrid w:val="0"/>
          <w:kern w:val="0"/>
          <w:szCs w:val="21"/>
        </w:rPr>
        <w:t>8.2、自由空间中的平面波（难点）</w:t>
      </w:r>
    </w:p>
    <w:p>
      <w:pPr>
        <w:adjustRightInd w:val="0"/>
        <w:snapToGrid w:val="0"/>
        <w:spacing w:line="360" w:lineRule="auto"/>
        <w:ind w:firstLine="420" w:firstLineChars="200"/>
        <w:rPr>
          <w:snapToGrid w:val="0"/>
          <w:kern w:val="0"/>
          <w:szCs w:val="21"/>
        </w:rPr>
      </w:pPr>
      <w:r>
        <w:rPr>
          <w:snapToGrid w:val="0"/>
          <w:kern w:val="0"/>
          <w:szCs w:val="21"/>
        </w:rPr>
        <w:t>8.3、良导体中的平面波（重点）</w:t>
      </w:r>
    </w:p>
    <w:p>
      <w:pPr>
        <w:adjustRightInd w:val="0"/>
        <w:snapToGrid w:val="0"/>
        <w:spacing w:line="360" w:lineRule="auto"/>
        <w:ind w:firstLine="420" w:firstLineChars="200"/>
        <w:rPr>
          <w:snapToGrid w:val="0"/>
          <w:kern w:val="0"/>
          <w:szCs w:val="21"/>
        </w:rPr>
      </w:pPr>
      <w:r>
        <w:rPr>
          <w:snapToGrid w:val="0"/>
          <w:kern w:val="0"/>
          <w:szCs w:val="21"/>
        </w:rPr>
        <w:t>8.4、波的极化（难点）</w:t>
      </w:r>
    </w:p>
    <w:p>
      <w:pPr>
        <w:adjustRightInd w:val="0"/>
        <w:snapToGrid w:val="0"/>
        <w:spacing w:line="360" w:lineRule="auto"/>
        <w:ind w:firstLine="420" w:firstLineChars="200"/>
        <w:rPr>
          <w:snapToGrid w:val="0"/>
          <w:kern w:val="0"/>
          <w:szCs w:val="21"/>
        </w:rPr>
      </w:pPr>
      <w:r>
        <w:rPr>
          <w:snapToGrid w:val="0"/>
          <w:kern w:val="0"/>
          <w:szCs w:val="21"/>
        </w:rPr>
        <w:t>8.5、平面边界上的垂直入射均匀平面波</w:t>
      </w:r>
    </w:p>
    <w:p>
      <w:pPr>
        <w:adjustRightInd w:val="0"/>
        <w:snapToGrid w:val="0"/>
        <w:spacing w:line="360" w:lineRule="auto"/>
        <w:ind w:firstLine="420" w:firstLineChars="200"/>
        <w:rPr>
          <w:rFonts w:ascii="宋体" w:hAnsi="宋体"/>
          <w:snapToGrid w:val="0"/>
          <w:kern w:val="0"/>
          <w:szCs w:val="21"/>
        </w:rPr>
      </w:pPr>
      <w:r>
        <w:rPr>
          <w:rFonts w:ascii="宋体" w:hAnsi="宋体"/>
          <w:snapToGrid w:val="0"/>
          <w:kern w:val="0"/>
          <w:szCs w:val="21"/>
        </w:rPr>
        <w:t>本章内容支撑课程目标1、2。</w:t>
      </w:r>
    </w:p>
    <w:p>
      <w:pPr>
        <w:adjustRightInd w:val="0"/>
        <w:snapToGrid w:val="0"/>
        <w:spacing w:line="360" w:lineRule="auto"/>
        <w:ind w:firstLine="420" w:firstLineChars="200"/>
        <w:rPr>
          <w:rFonts w:eastAsia="黑体"/>
          <w:snapToGrid w:val="0"/>
          <w:kern w:val="0"/>
          <w:szCs w:val="21"/>
        </w:rPr>
      </w:pPr>
      <w:r>
        <w:rPr>
          <w:rFonts w:eastAsia="黑体"/>
          <w:snapToGrid w:val="0"/>
          <w:kern w:val="0"/>
          <w:szCs w:val="21"/>
        </w:rPr>
        <w:t>期末习题及知识体系复习（2学时）</w:t>
      </w:r>
    </w:p>
    <w:p>
      <w:pPr>
        <w:tabs>
          <w:tab w:val="left" w:pos="420"/>
        </w:tabs>
        <w:adjustRightInd w:val="0"/>
        <w:snapToGrid w:val="0"/>
        <w:spacing w:line="360" w:lineRule="auto"/>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无</w:t>
      </w:r>
    </w:p>
    <w:p>
      <w:pPr>
        <w:adjustRightInd w:val="0"/>
        <w:snapToGrid w:val="0"/>
        <w:spacing w:line="360" w:lineRule="auto"/>
        <w:ind w:firstLine="420" w:firstLineChars="200"/>
        <w:rPr>
          <w:rFonts w:cs="宋体"/>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01"/>
        <w:gridCol w:w="1845"/>
        <w:gridCol w:w="1729"/>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jc w:val="center"/>
              <w:rPr>
                <w:sz w:val="18"/>
                <w:szCs w:val="18"/>
              </w:rPr>
            </w:pPr>
            <w:r>
              <w:rPr>
                <w:rFonts w:hint="eastAsia"/>
                <w:sz w:val="18"/>
                <w:szCs w:val="18"/>
              </w:rPr>
              <w:t>讲授的知识点及内容</w:t>
            </w:r>
          </w:p>
        </w:tc>
        <w:tc>
          <w:tcPr>
            <w:tcW w:w="1110" w:type="pct"/>
            <w:vAlign w:val="center"/>
          </w:tcPr>
          <w:p>
            <w:pPr>
              <w:adjustRightInd w:val="0"/>
              <w:snapToGrid w:val="0"/>
              <w:jc w:val="center"/>
              <w:rPr>
                <w:sz w:val="18"/>
                <w:szCs w:val="18"/>
              </w:rPr>
            </w:pPr>
            <w:r>
              <w:rPr>
                <w:rFonts w:hint="eastAsia"/>
                <w:sz w:val="18"/>
                <w:szCs w:val="18"/>
              </w:rPr>
              <w:t>讲授（学时）</w:t>
            </w:r>
          </w:p>
        </w:tc>
        <w:tc>
          <w:tcPr>
            <w:tcW w:w="1040" w:type="pct"/>
            <w:vAlign w:val="center"/>
          </w:tcPr>
          <w:p>
            <w:pPr>
              <w:adjustRightInd w:val="0"/>
              <w:snapToGrid w:val="0"/>
              <w:jc w:val="center"/>
              <w:rPr>
                <w:sz w:val="18"/>
                <w:szCs w:val="18"/>
              </w:rPr>
            </w:pPr>
            <w:r>
              <w:rPr>
                <w:rFonts w:hint="eastAsia"/>
                <w:sz w:val="18"/>
                <w:szCs w:val="18"/>
              </w:rPr>
              <w:t>实验（学时）</w:t>
            </w:r>
          </w:p>
        </w:tc>
        <w:tc>
          <w:tcPr>
            <w:tcW w:w="804"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1电磁场理论概述</w:t>
            </w:r>
          </w:p>
        </w:tc>
        <w:tc>
          <w:tcPr>
            <w:tcW w:w="1110" w:type="pct"/>
            <w:vAlign w:val="center"/>
          </w:tcPr>
          <w:p>
            <w:pPr>
              <w:adjustRightInd w:val="0"/>
              <w:snapToGrid w:val="0"/>
              <w:jc w:val="center"/>
              <w:rPr>
                <w:sz w:val="18"/>
                <w:szCs w:val="18"/>
              </w:rPr>
            </w:pPr>
            <w:r>
              <w:rPr>
                <w:rFonts w:hint="eastAsia"/>
                <w:sz w:val="18"/>
                <w:szCs w:val="18"/>
              </w:rPr>
              <w:t>2</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2矢量分析</w:t>
            </w:r>
          </w:p>
        </w:tc>
        <w:tc>
          <w:tcPr>
            <w:tcW w:w="1110" w:type="pct"/>
            <w:vAlign w:val="center"/>
          </w:tcPr>
          <w:p>
            <w:pPr>
              <w:adjustRightInd w:val="0"/>
              <w:snapToGrid w:val="0"/>
              <w:jc w:val="center"/>
              <w:rPr>
                <w:sz w:val="18"/>
                <w:szCs w:val="18"/>
              </w:rPr>
            </w:pPr>
            <w:r>
              <w:rPr>
                <w:rFonts w:hint="eastAsia"/>
                <w:sz w:val="18"/>
                <w:szCs w:val="18"/>
              </w:rPr>
              <w:t>6</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3静电场</w:t>
            </w:r>
          </w:p>
        </w:tc>
        <w:tc>
          <w:tcPr>
            <w:tcW w:w="1110" w:type="pct"/>
            <w:vAlign w:val="center"/>
          </w:tcPr>
          <w:p>
            <w:pPr>
              <w:adjustRightInd w:val="0"/>
              <w:snapToGrid w:val="0"/>
              <w:jc w:val="center"/>
              <w:rPr>
                <w:sz w:val="18"/>
                <w:szCs w:val="18"/>
              </w:rPr>
            </w:pPr>
            <w:r>
              <w:rPr>
                <w:sz w:val="18"/>
                <w:szCs w:val="18"/>
              </w:rPr>
              <w:t>8</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4恒定电流</w:t>
            </w:r>
          </w:p>
        </w:tc>
        <w:tc>
          <w:tcPr>
            <w:tcW w:w="1110" w:type="pct"/>
            <w:vAlign w:val="center"/>
          </w:tcPr>
          <w:p>
            <w:pPr>
              <w:adjustRightInd w:val="0"/>
              <w:snapToGrid w:val="0"/>
              <w:jc w:val="center"/>
              <w:rPr>
                <w:sz w:val="18"/>
                <w:szCs w:val="18"/>
              </w:rPr>
            </w:pPr>
            <w:r>
              <w:rPr>
                <w:rFonts w:hint="eastAsia"/>
                <w:sz w:val="18"/>
                <w:szCs w:val="18"/>
              </w:rPr>
              <w:t>4</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5静磁场</w:t>
            </w:r>
          </w:p>
        </w:tc>
        <w:tc>
          <w:tcPr>
            <w:tcW w:w="1110" w:type="pct"/>
            <w:vAlign w:val="center"/>
          </w:tcPr>
          <w:p>
            <w:pPr>
              <w:adjustRightInd w:val="0"/>
              <w:snapToGrid w:val="0"/>
              <w:jc w:val="center"/>
              <w:rPr>
                <w:sz w:val="18"/>
                <w:szCs w:val="18"/>
              </w:rPr>
            </w:pPr>
            <w:r>
              <w:rPr>
                <w:rFonts w:hint="eastAsia"/>
                <w:sz w:val="18"/>
                <w:szCs w:val="18"/>
              </w:rPr>
              <w:t>4</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6静态场的应用</w:t>
            </w:r>
          </w:p>
        </w:tc>
        <w:tc>
          <w:tcPr>
            <w:tcW w:w="1110" w:type="pct"/>
            <w:vAlign w:val="center"/>
          </w:tcPr>
          <w:p>
            <w:pPr>
              <w:adjustRightInd w:val="0"/>
              <w:snapToGrid w:val="0"/>
              <w:jc w:val="center"/>
              <w:rPr>
                <w:sz w:val="18"/>
                <w:szCs w:val="18"/>
              </w:rPr>
            </w:pPr>
            <w:r>
              <w:rPr>
                <w:rFonts w:hint="eastAsia"/>
                <w:sz w:val="18"/>
                <w:szCs w:val="18"/>
              </w:rPr>
              <w:t>2</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7时变电磁场</w:t>
            </w:r>
          </w:p>
        </w:tc>
        <w:tc>
          <w:tcPr>
            <w:tcW w:w="1110" w:type="pct"/>
            <w:vAlign w:val="center"/>
          </w:tcPr>
          <w:p>
            <w:pPr>
              <w:adjustRightInd w:val="0"/>
              <w:snapToGrid w:val="0"/>
              <w:jc w:val="center"/>
              <w:rPr>
                <w:sz w:val="18"/>
                <w:szCs w:val="18"/>
              </w:rPr>
            </w:pPr>
            <w:r>
              <w:rPr>
                <w:rFonts w:hint="eastAsia"/>
                <w:sz w:val="18"/>
                <w:szCs w:val="18"/>
              </w:rPr>
              <w:t>10</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ind w:left="317" w:leftChars="151"/>
              <w:rPr>
                <w:sz w:val="18"/>
                <w:szCs w:val="18"/>
              </w:rPr>
            </w:pPr>
            <w:r>
              <w:rPr>
                <w:rFonts w:hint="eastAsia"/>
                <w:sz w:val="18"/>
                <w:szCs w:val="18"/>
              </w:rPr>
              <w:t>8平面波传播</w:t>
            </w:r>
          </w:p>
        </w:tc>
        <w:tc>
          <w:tcPr>
            <w:tcW w:w="1110" w:type="pct"/>
            <w:vAlign w:val="center"/>
          </w:tcPr>
          <w:p>
            <w:pPr>
              <w:adjustRightInd w:val="0"/>
              <w:snapToGrid w:val="0"/>
              <w:jc w:val="center"/>
              <w:rPr>
                <w:sz w:val="18"/>
                <w:szCs w:val="18"/>
              </w:rPr>
            </w:pPr>
            <w:r>
              <w:rPr>
                <w:rFonts w:hint="eastAsia"/>
                <w:sz w:val="18"/>
                <w:szCs w:val="18"/>
              </w:rPr>
              <w:t>1</w:t>
            </w:r>
            <w:r>
              <w:rPr>
                <w:sz w:val="18"/>
                <w:szCs w:val="18"/>
              </w:rPr>
              <w:t>2</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1</w:t>
            </w: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6" w:type="pct"/>
            <w:vAlign w:val="center"/>
          </w:tcPr>
          <w:p>
            <w:pPr>
              <w:adjustRightInd w:val="0"/>
              <w:snapToGrid w:val="0"/>
              <w:jc w:val="center"/>
              <w:rPr>
                <w:sz w:val="18"/>
                <w:szCs w:val="18"/>
              </w:rPr>
            </w:pPr>
            <w:r>
              <w:rPr>
                <w:rFonts w:hint="eastAsia"/>
                <w:sz w:val="18"/>
                <w:szCs w:val="18"/>
              </w:rPr>
              <w:t>合计</w:t>
            </w:r>
          </w:p>
        </w:tc>
        <w:tc>
          <w:tcPr>
            <w:tcW w:w="1110" w:type="pct"/>
            <w:vAlign w:val="center"/>
          </w:tcPr>
          <w:p>
            <w:pPr>
              <w:adjustRightInd w:val="0"/>
              <w:snapToGrid w:val="0"/>
              <w:jc w:val="center"/>
              <w:rPr>
                <w:sz w:val="18"/>
                <w:szCs w:val="18"/>
              </w:rPr>
            </w:pPr>
            <w:r>
              <w:rPr>
                <w:rFonts w:hint="eastAsia"/>
                <w:sz w:val="18"/>
                <w:szCs w:val="18"/>
              </w:rPr>
              <w:t>48</w:t>
            </w:r>
          </w:p>
        </w:tc>
        <w:tc>
          <w:tcPr>
            <w:tcW w:w="1040"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rFonts w:hint="eastAsia"/>
                <w:sz w:val="18"/>
                <w:szCs w:val="18"/>
              </w:rPr>
              <w:t>48</w:t>
            </w:r>
          </w:p>
        </w:tc>
      </w:tr>
    </w:tbl>
    <w:p>
      <w:pPr>
        <w:spacing w:line="360" w:lineRule="auto"/>
        <w:rPr>
          <w:b/>
          <w:szCs w:val="21"/>
        </w:rPr>
      </w:pPr>
    </w:p>
    <w:p>
      <w:pPr>
        <w:tabs>
          <w:tab w:val="left" w:pos="420"/>
        </w:tabs>
        <w:spacing w:line="360" w:lineRule="auto"/>
        <w:ind w:left="420" w:hanging="420"/>
        <w:rPr>
          <w:rFonts w:eastAsia="黑体"/>
          <w:szCs w:val="21"/>
        </w:rPr>
      </w:pPr>
      <w:r>
        <w:rPr>
          <w:rFonts w:hint="eastAsia" w:eastAsia="黑体"/>
          <w:szCs w:val="21"/>
        </w:rPr>
        <w:t>七、教材、补充教材及参考资料</w:t>
      </w:r>
    </w:p>
    <w:p>
      <w:pPr>
        <w:adjustRightInd w:val="0"/>
        <w:snapToGrid w:val="0"/>
        <w:spacing w:line="360" w:lineRule="auto"/>
        <w:ind w:firstLine="422" w:firstLineChars="200"/>
        <w:rPr>
          <w:b/>
          <w:color w:val="000000"/>
          <w:szCs w:val="21"/>
        </w:rPr>
      </w:pPr>
      <w:r>
        <w:rPr>
          <w:b/>
          <w:color w:val="000000"/>
          <w:szCs w:val="21"/>
        </w:rPr>
        <w:t>指定教材：</w:t>
      </w:r>
    </w:p>
    <w:p>
      <w:pPr>
        <w:adjustRightInd w:val="0"/>
        <w:snapToGrid w:val="0"/>
        <w:spacing w:line="360" w:lineRule="auto"/>
        <w:ind w:firstLine="420" w:firstLineChars="200"/>
        <w:rPr>
          <w:color w:val="000000"/>
          <w:szCs w:val="21"/>
        </w:rPr>
      </w:pPr>
      <w:r>
        <w:rPr>
          <w:color w:val="000000"/>
          <w:szCs w:val="21"/>
        </w:rPr>
        <w:t>《电磁场与电磁波》Bhag Singh Guru and Huseyin R. Hiziroglu著，周克定等译, 第2版，机械工业出版社，2006。</w:t>
      </w:r>
    </w:p>
    <w:p>
      <w:pPr>
        <w:adjustRightInd w:val="0"/>
        <w:snapToGrid w:val="0"/>
        <w:spacing w:line="360" w:lineRule="auto"/>
        <w:ind w:firstLine="422" w:firstLineChars="200"/>
        <w:rPr>
          <w:b/>
          <w:color w:val="000000"/>
          <w:szCs w:val="21"/>
        </w:rPr>
      </w:pPr>
      <w:r>
        <w:rPr>
          <w:b/>
          <w:color w:val="000000"/>
          <w:szCs w:val="21"/>
        </w:rPr>
        <w:t>补充教材：</w:t>
      </w:r>
    </w:p>
    <w:p>
      <w:pPr>
        <w:tabs>
          <w:tab w:val="left" w:pos="851"/>
        </w:tabs>
        <w:adjustRightInd w:val="0"/>
        <w:snapToGrid w:val="0"/>
        <w:spacing w:line="360" w:lineRule="auto"/>
        <w:ind w:firstLine="420" w:firstLineChars="200"/>
        <w:rPr>
          <w:color w:val="000000"/>
          <w:szCs w:val="21"/>
        </w:rPr>
      </w:pPr>
      <w:r>
        <w:rPr>
          <w:color w:val="000000"/>
          <w:szCs w:val="21"/>
        </w:rPr>
        <w:t>1、王家礼, 朱满座等编. 电磁场与电磁波．西安电子科技大学出版社, 2000</w:t>
      </w:r>
    </w:p>
    <w:p>
      <w:pPr>
        <w:tabs>
          <w:tab w:val="left" w:pos="851"/>
        </w:tabs>
        <w:adjustRightInd w:val="0"/>
        <w:snapToGrid w:val="0"/>
        <w:spacing w:line="360" w:lineRule="auto"/>
        <w:ind w:firstLine="420" w:firstLineChars="200"/>
        <w:rPr>
          <w:color w:val="000000"/>
          <w:szCs w:val="21"/>
        </w:rPr>
      </w:pPr>
      <w:r>
        <w:rPr>
          <w:color w:val="000000"/>
          <w:szCs w:val="21"/>
        </w:rPr>
        <w:t>2、邱景辉主编. 电磁场与电磁波．哈尔滨工业大学出版社, 2001年</w:t>
      </w:r>
    </w:p>
    <w:p>
      <w:pPr>
        <w:tabs>
          <w:tab w:val="left" w:pos="851"/>
        </w:tabs>
        <w:adjustRightInd w:val="0"/>
        <w:snapToGrid w:val="0"/>
        <w:spacing w:line="360" w:lineRule="auto"/>
        <w:ind w:firstLine="420" w:firstLineChars="200"/>
        <w:rPr>
          <w:color w:val="000000"/>
          <w:szCs w:val="21"/>
        </w:rPr>
      </w:pPr>
      <w:r>
        <w:rPr>
          <w:color w:val="000000"/>
          <w:szCs w:val="21"/>
        </w:rPr>
        <w:t>3、谢处方 , 饶克谨. 电磁场与电磁波 ( 第四版 ). 北京：高等教育出版社.2006 </w:t>
      </w:r>
    </w:p>
    <w:p>
      <w:pPr>
        <w:tabs>
          <w:tab w:val="left" w:pos="851"/>
        </w:tabs>
        <w:adjustRightInd w:val="0"/>
        <w:snapToGrid w:val="0"/>
        <w:spacing w:line="360" w:lineRule="auto"/>
        <w:ind w:firstLine="420" w:firstLineChars="200"/>
        <w:rPr>
          <w:color w:val="000000"/>
          <w:szCs w:val="21"/>
        </w:rPr>
      </w:pPr>
      <w:r>
        <w:rPr>
          <w:color w:val="000000"/>
          <w:szCs w:val="21"/>
        </w:rPr>
        <w:t>4、杨儒贵。电磁场与电磁波（第2版）北京：高等教育出版社. 2007</w:t>
      </w:r>
    </w:p>
    <w:p>
      <w:pPr>
        <w:tabs>
          <w:tab w:val="left" w:pos="851"/>
        </w:tabs>
        <w:adjustRightInd w:val="0"/>
        <w:snapToGrid w:val="0"/>
        <w:spacing w:line="360" w:lineRule="auto"/>
        <w:ind w:left="420" w:firstLine="6"/>
        <w:rPr>
          <w:b/>
          <w:color w:val="000000"/>
          <w:szCs w:val="21"/>
        </w:rPr>
      </w:pPr>
      <w:r>
        <w:rPr>
          <w:b/>
          <w:color w:val="000000"/>
          <w:szCs w:val="21"/>
        </w:rPr>
        <w:t>视频资料：</w:t>
      </w:r>
    </w:p>
    <w:p>
      <w:pPr>
        <w:tabs>
          <w:tab w:val="left" w:pos="420"/>
        </w:tabs>
        <w:adjustRightInd w:val="0"/>
        <w:snapToGrid w:val="0"/>
        <w:spacing w:line="360" w:lineRule="auto"/>
        <w:ind w:firstLine="420" w:firstLineChars="200"/>
        <w:rPr>
          <w:color w:val="000000"/>
          <w:szCs w:val="21"/>
        </w:rPr>
      </w:pPr>
      <w:r>
        <w:rPr>
          <w:color w:val="000000"/>
          <w:szCs w:val="21"/>
        </w:rPr>
        <w:t>电子科技大学电磁场与电磁波视频：</w:t>
      </w:r>
      <w:r>
        <w:fldChar w:fldCharType="begin"/>
      </w:r>
      <w:r>
        <w:instrText xml:space="preserve"> HYPERLINK "http://www.21edu8.com/university/dianzi/22843/" </w:instrText>
      </w:r>
      <w:r>
        <w:fldChar w:fldCharType="separate"/>
      </w:r>
      <w:r>
        <w:rPr>
          <w:rStyle w:val="27"/>
          <w:szCs w:val="21"/>
        </w:rPr>
        <w:t>http://www.21edu8.com/university/dianzi/22843/</w:t>
      </w:r>
      <w:r>
        <w:rPr>
          <w:rStyle w:val="27"/>
          <w:szCs w:val="21"/>
        </w:rPr>
        <w:fldChar w:fldCharType="end"/>
      </w:r>
      <w:r>
        <w:rPr>
          <w:color w:val="000000"/>
          <w:szCs w:val="21"/>
        </w:rPr>
        <w:t>；</w:t>
      </w:r>
    </w:p>
    <w:p>
      <w:pPr>
        <w:tabs>
          <w:tab w:val="left" w:pos="420"/>
        </w:tabs>
        <w:adjustRightInd w:val="0"/>
        <w:snapToGrid w:val="0"/>
        <w:spacing w:line="360" w:lineRule="auto"/>
        <w:ind w:firstLine="420" w:firstLineChars="200"/>
        <w:rPr>
          <w:color w:val="000000"/>
          <w:szCs w:val="21"/>
        </w:rPr>
      </w:pPr>
    </w:p>
    <w:p>
      <w:pPr>
        <w:tabs>
          <w:tab w:val="left" w:pos="420"/>
        </w:tabs>
        <w:spacing w:line="360" w:lineRule="auto"/>
        <w:ind w:left="420" w:hanging="420"/>
        <w:rPr>
          <w:rFonts w:eastAsia="黑体"/>
          <w:szCs w:val="21"/>
        </w:rPr>
      </w:pPr>
      <w:r>
        <w:rPr>
          <w:rFonts w:hint="eastAsia" w:eastAsia="黑体"/>
          <w:szCs w:val="21"/>
        </w:rPr>
        <w:t>八、课程目标达成的途径和措施</w:t>
      </w:r>
    </w:p>
    <w:p>
      <w:pPr>
        <w:adjustRightInd w:val="0"/>
        <w:snapToGrid w:val="0"/>
        <w:spacing w:line="360" w:lineRule="auto"/>
        <w:ind w:firstLine="420" w:firstLineChars="200"/>
        <w:rPr>
          <w:color w:val="000000"/>
          <w:szCs w:val="21"/>
        </w:rPr>
      </w:pPr>
      <w:r>
        <w:rPr>
          <w:color w:val="000000"/>
          <w:szCs w:val="21"/>
        </w:rPr>
        <w:t>1、考核目标：在考核学生对电磁场与电磁波理论的基本知识、基本定理和基本方程的基础上，重点考核学生的电磁场问题的物理内涵的理解、利用数学方程解决电磁场问题的能力以及从实际问题中抽象出具体电磁场具体过程的能力。</w:t>
      </w:r>
    </w:p>
    <w:p>
      <w:pPr>
        <w:adjustRightInd w:val="0"/>
        <w:snapToGrid w:val="0"/>
        <w:spacing w:line="360" w:lineRule="auto"/>
        <w:ind w:firstLine="420" w:firstLineChars="200"/>
        <w:rPr>
          <w:color w:val="000000"/>
          <w:szCs w:val="21"/>
        </w:rPr>
      </w:pPr>
      <w:r>
        <w:rPr>
          <w:color w:val="000000"/>
          <w:szCs w:val="21"/>
        </w:rPr>
        <w:t>2、考核方式：考试、课外分组综合实验、课内实验、作业及课堂提问。</w:t>
      </w:r>
    </w:p>
    <w:p>
      <w:pPr>
        <w:adjustRightInd w:val="0"/>
        <w:snapToGrid w:val="0"/>
        <w:spacing w:line="360" w:lineRule="auto"/>
        <w:ind w:firstLine="420" w:firstLineChars="200"/>
        <w:rPr>
          <w:color w:val="000000"/>
          <w:szCs w:val="21"/>
        </w:rPr>
      </w:pPr>
      <w:r>
        <w:rPr>
          <w:color w:val="000000"/>
          <w:szCs w:val="21"/>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595"/>
        <w:gridCol w:w="1852"/>
        <w:gridCol w:w="13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33" w:type="pct"/>
            <w:vAlign w:val="center"/>
          </w:tcPr>
          <w:p>
            <w:pPr>
              <w:widowControl/>
              <w:jc w:val="center"/>
              <w:rPr>
                <w:color w:val="000000"/>
                <w:kern w:val="0"/>
                <w:sz w:val="18"/>
                <w:szCs w:val="18"/>
              </w:rPr>
            </w:pPr>
            <w:r>
              <w:rPr>
                <w:color w:val="000000"/>
                <w:kern w:val="0"/>
                <w:sz w:val="18"/>
                <w:szCs w:val="18"/>
              </w:rPr>
              <w:t>考察环节</w:t>
            </w:r>
          </w:p>
        </w:tc>
        <w:tc>
          <w:tcPr>
            <w:tcW w:w="1561" w:type="pct"/>
            <w:shd w:val="clear" w:color="auto" w:fill="auto"/>
            <w:vAlign w:val="center"/>
          </w:tcPr>
          <w:p>
            <w:pPr>
              <w:widowControl/>
              <w:jc w:val="center"/>
              <w:rPr>
                <w:color w:val="000000"/>
                <w:kern w:val="0"/>
                <w:sz w:val="18"/>
                <w:szCs w:val="18"/>
              </w:rPr>
            </w:pPr>
            <w:r>
              <w:rPr>
                <w:color w:val="000000"/>
                <w:kern w:val="0"/>
                <w:sz w:val="18"/>
                <w:szCs w:val="18"/>
              </w:rPr>
              <w:t>课堂情况</w:t>
            </w:r>
          </w:p>
        </w:tc>
        <w:tc>
          <w:tcPr>
            <w:tcW w:w="1114" w:type="pct"/>
            <w:shd w:val="clear" w:color="auto" w:fill="auto"/>
            <w:vAlign w:val="center"/>
          </w:tcPr>
          <w:p>
            <w:pPr>
              <w:widowControl/>
              <w:jc w:val="center"/>
              <w:rPr>
                <w:color w:val="000000"/>
                <w:kern w:val="0"/>
                <w:sz w:val="18"/>
                <w:szCs w:val="18"/>
              </w:rPr>
            </w:pPr>
            <w:r>
              <w:rPr>
                <w:color w:val="000000"/>
                <w:kern w:val="0"/>
                <w:sz w:val="18"/>
                <w:szCs w:val="18"/>
              </w:rPr>
              <w:t>作业</w:t>
            </w:r>
          </w:p>
        </w:tc>
        <w:tc>
          <w:tcPr>
            <w:tcW w:w="792" w:type="pct"/>
            <w:shd w:val="clear" w:color="auto" w:fill="auto"/>
            <w:vAlign w:val="center"/>
          </w:tcPr>
          <w:p>
            <w:pPr>
              <w:widowControl/>
              <w:jc w:val="center"/>
              <w:rPr>
                <w:color w:val="000000"/>
                <w:kern w:val="0"/>
                <w:sz w:val="18"/>
                <w:szCs w:val="18"/>
              </w:rPr>
            </w:pPr>
            <w:r>
              <w:rPr>
                <w:color w:val="000000"/>
                <w:kern w:val="0"/>
                <w:sz w:val="18"/>
                <w:szCs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pct"/>
            <w:vAlign w:val="center"/>
          </w:tcPr>
          <w:p>
            <w:pPr>
              <w:widowControl/>
              <w:jc w:val="center"/>
              <w:rPr>
                <w:color w:val="000000"/>
                <w:kern w:val="0"/>
                <w:sz w:val="18"/>
                <w:szCs w:val="18"/>
              </w:rPr>
            </w:pPr>
            <w:r>
              <w:rPr>
                <w:color w:val="000000"/>
                <w:kern w:val="0"/>
                <w:sz w:val="18"/>
                <w:szCs w:val="18"/>
              </w:rPr>
              <w:t>课程目标达成的贡献率</w:t>
            </w:r>
          </w:p>
        </w:tc>
        <w:tc>
          <w:tcPr>
            <w:tcW w:w="1561" w:type="pct"/>
            <w:shd w:val="clear" w:color="auto" w:fill="auto"/>
            <w:vAlign w:val="center"/>
          </w:tcPr>
          <w:p>
            <w:pPr>
              <w:widowControl/>
              <w:jc w:val="center"/>
              <w:rPr>
                <w:color w:val="000000"/>
                <w:kern w:val="0"/>
                <w:sz w:val="18"/>
                <w:szCs w:val="18"/>
              </w:rPr>
            </w:pPr>
            <w:r>
              <w:rPr>
                <w:color w:val="000000"/>
                <w:kern w:val="0"/>
                <w:sz w:val="18"/>
                <w:szCs w:val="18"/>
              </w:rPr>
              <w:t>0.26</w:t>
            </w:r>
          </w:p>
        </w:tc>
        <w:tc>
          <w:tcPr>
            <w:tcW w:w="1114" w:type="pct"/>
            <w:shd w:val="clear" w:color="auto" w:fill="auto"/>
            <w:vAlign w:val="center"/>
          </w:tcPr>
          <w:p>
            <w:pPr>
              <w:widowControl/>
              <w:jc w:val="center"/>
              <w:rPr>
                <w:color w:val="000000"/>
                <w:kern w:val="0"/>
                <w:sz w:val="18"/>
                <w:szCs w:val="18"/>
              </w:rPr>
            </w:pPr>
            <w:r>
              <w:rPr>
                <w:color w:val="000000"/>
                <w:kern w:val="0"/>
                <w:sz w:val="18"/>
                <w:szCs w:val="18"/>
              </w:rPr>
              <w:t>0.30</w:t>
            </w:r>
          </w:p>
        </w:tc>
        <w:tc>
          <w:tcPr>
            <w:tcW w:w="792" w:type="pct"/>
            <w:shd w:val="clear" w:color="auto" w:fill="auto"/>
            <w:vAlign w:val="center"/>
          </w:tcPr>
          <w:p>
            <w:pPr>
              <w:widowControl/>
              <w:jc w:val="center"/>
              <w:rPr>
                <w:color w:val="000000"/>
                <w:kern w:val="0"/>
                <w:sz w:val="18"/>
                <w:szCs w:val="18"/>
              </w:rPr>
            </w:pPr>
            <w:r>
              <w:rPr>
                <w:color w:val="000000"/>
                <w:kern w:val="0"/>
                <w:sz w:val="18"/>
                <w:szCs w:val="18"/>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33" w:type="pct"/>
            <w:vAlign w:val="center"/>
          </w:tcPr>
          <w:p>
            <w:pPr>
              <w:widowControl/>
              <w:jc w:val="center"/>
              <w:rPr>
                <w:color w:val="000000"/>
                <w:kern w:val="0"/>
                <w:sz w:val="18"/>
                <w:szCs w:val="18"/>
              </w:rPr>
            </w:pPr>
            <w:r>
              <w:rPr>
                <w:color w:val="000000"/>
                <w:kern w:val="0"/>
                <w:sz w:val="18"/>
                <w:szCs w:val="18"/>
              </w:rPr>
              <w:t>支撑材料</w:t>
            </w:r>
          </w:p>
        </w:tc>
        <w:tc>
          <w:tcPr>
            <w:tcW w:w="1561" w:type="pct"/>
            <w:shd w:val="clear" w:color="auto" w:fill="auto"/>
            <w:vAlign w:val="center"/>
          </w:tcPr>
          <w:p>
            <w:pPr>
              <w:widowControl/>
              <w:jc w:val="center"/>
              <w:rPr>
                <w:color w:val="000000"/>
                <w:kern w:val="0"/>
                <w:sz w:val="18"/>
                <w:szCs w:val="18"/>
              </w:rPr>
            </w:pPr>
            <w:r>
              <w:rPr>
                <w:color w:val="000000"/>
                <w:kern w:val="0"/>
                <w:sz w:val="18"/>
                <w:szCs w:val="18"/>
              </w:rPr>
              <w:t>课堂评价标准，课堂提问记录或随堂考试，结合出勤率等</w:t>
            </w:r>
          </w:p>
        </w:tc>
        <w:tc>
          <w:tcPr>
            <w:tcW w:w="1114" w:type="pct"/>
            <w:shd w:val="clear" w:color="auto" w:fill="auto"/>
            <w:vAlign w:val="center"/>
          </w:tcPr>
          <w:p>
            <w:pPr>
              <w:widowControl/>
              <w:jc w:val="center"/>
              <w:rPr>
                <w:color w:val="000000"/>
                <w:kern w:val="0"/>
                <w:sz w:val="18"/>
                <w:szCs w:val="18"/>
              </w:rPr>
            </w:pPr>
            <w:r>
              <w:rPr>
                <w:color w:val="000000"/>
                <w:kern w:val="0"/>
                <w:sz w:val="18"/>
                <w:szCs w:val="18"/>
              </w:rPr>
              <w:t>作业评价标准，典型作业拍照，或电子版</w:t>
            </w:r>
          </w:p>
        </w:tc>
        <w:tc>
          <w:tcPr>
            <w:tcW w:w="792" w:type="pct"/>
            <w:shd w:val="clear" w:color="auto" w:fill="auto"/>
            <w:vAlign w:val="center"/>
          </w:tcPr>
          <w:p>
            <w:pPr>
              <w:widowControl/>
              <w:jc w:val="center"/>
              <w:rPr>
                <w:color w:val="000000"/>
                <w:kern w:val="0"/>
                <w:sz w:val="18"/>
                <w:szCs w:val="18"/>
              </w:rPr>
            </w:pPr>
            <w:r>
              <w:rPr>
                <w:color w:val="000000"/>
                <w:kern w:val="0"/>
                <w:sz w:val="18"/>
                <w:szCs w:val="18"/>
              </w:rPr>
              <w:t>试卷</w:t>
            </w:r>
          </w:p>
        </w:tc>
      </w:tr>
    </w:tbl>
    <w:p>
      <w:pPr>
        <w:tabs>
          <w:tab w:val="left" w:pos="420"/>
        </w:tabs>
        <w:adjustRightInd w:val="0"/>
        <w:snapToGrid w:val="0"/>
        <w:spacing w:line="360" w:lineRule="auto"/>
        <w:ind w:left="420" w:hanging="420"/>
        <w:rPr>
          <w:rFonts w:eastAsia="黑体"/>
          <w:color w:val="FF0000"/>
          <w:szCs w:val="24"/>
        </w:rPr>
      </w:pPr>
    </w:p>
    <w:p>
      <w:pPr>
        <w:tabs>
          <w:tab w:val="left" w:pos="420"/>
        </w:tabs>
        <w:adjustRightInd w:val="0"/>
        <w:snapToGrid w:val="0"/>
        <w:spacing w:line="360" w:lineRule="auto"/>
        <w:ind w:left="420" w:hanging="420"/>
        <w:rPr>
          <w:rFonts w:eastAsia="黑体"/>
          <w:szCs w:val="24"/>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jc w:val="center"/>
              <w:rPr>
                <w:sz w:val="18"/>
                <w:szCs w:val="18"/>
                <w:highlight w:val="yellow"/>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1、</w:t>
            </w:r>
            <w:r>
              <w:rPr>
                <w:sz w:val="18"/>
                <w:szCs w:val="18"/>
              </w:rPr>
              <w:t>矢量分析</w:t>
            </w:r>
            <w:r>
              <w:rPr>
                <w:rFonts w:hint="eastAsia"/>
                <w:sz w:val="18"/>
                <w:szCs w:val="18"/>
              </w:rPr>
              <w:t>及运算。</w:t>
            </w:r>
          </w:p>
        </w:tc>
        <w:tc>
          <w:tcPr>
            <w:tcW w:w="691" w:type="pct"/>
            <w:vAlign w:val="center"/>
          </w:tcPr>
          <w:p>
            <w:pPr>
              <w:jc w:val="center"/>
              <w:rPr>
                <w:sz w:val="18"/>
                <w:szCs w:val="18"/>
              </w:rPr>
            </w:pPr>
            <w:r>
              <w:rPr>
                <w:rFonts w:hint="eastAsia"/>
                <w:sz w:val="18"/>
                <w:szCs w:val="18"/>
              </w:rPr>
              <w:t>0.</w:t>
            </w:r>
            <w:r>
              <w:rPr>
                <w:sz w:val="18"/>
                <w:szCs w:val="18"/>
              </w:rPr>
              <w:t>10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2、静电场基本概念及规律、边界条件、</w:t>
            </w:r>
            <w:r>
              <w:rPr>
                <w:sz w:val="18"/>
                <w:szCs w:val="18"/>
              </w:rPr>
              <w:t>泊松方程和拉普拉斯方程</w:t>
            </w:r>
            <w:r>
              <w:rPr>
                <w:rFonts w:hint="eastAsia"/>
                <w:sz w:val="18"/>
                <w:szCs w:val="18"/>
              </w:rPr>
              <w:t>；</w:t>
            </w:r>
          </w:p>
        </w:tc>
        <w:tc>
          <w:tcPr>
            <w:tcW w:w="691" w:type="pct"/>
            <w:vAlign w:val="center"/>
          </w:tcPr>
          <w:p>
            <w:pPr>
              <w:jc w:val="center"/>
              <w:rPr>
                <w:sz w:val="18"/>
                <w:szCs w:val="18"/>
              </w:rPr>
            </w:pPr>
            <w:r>
              <w:rPr>
                <w:rFonts w:hint="eastAsia"/>
                <w:sz w:val="18"/>
                <w:szCs w:val="18"/>
              </w:rPr>
              <w:t>0.15</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3、恒定电流场中的基本概念及基本规律、</w:t>
            </w:r>
            <w:r>
              <w:rPr>
                <w:sz w:val="18"/>
                <w:szCs w:val="18"/>
              </w:rPr>
              <w:t>电流密度和边界条件</w:t>
            </w:r>
            <w:r>
              <w:rPr>
                <w:rFonts w:hint="eastAsia"/>
                <w:sz w:val="18"/>
                <w:szCs w:val="18"/>
              </w:rPr>
              <w:t>；</w:t>
            </w:r>
          </w:p>
        </w:tc>
        <w:tc>
          <w:tcPr>
            <w:tcW w:w="691" w:type="pct"/>
            <w:vAlign w:val="center"/>
          </w:tcPr>
          <w:p>
            <w:pPr>
              <w:jc w:val="center"/>
              <w:rPr>
                <w:sz w:val="18"/>
                <w:szCs w:val="18"/>
              </w:rPr>
            </w:pPr>
            <w:r>
              <w:rPr>
                <w:rFonts w:hint="eastAsia"/>
                <w:sz w:val="18"/>
                <w:szCs w:val="18"/>
              </w:rPr>
              <w:t>0.15</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4、静磁场基本概念及规律、磁场边界条件；</w:t>
            </w:r>
          </w:p>
        </w:tc>
        <w:tc>
          <w:tcPr>
            <w:tcW w:w="691" w:type="pct"/>
            <w:vAlign w:val="center"/>
          </w:tcPr>
          <w:p>
            <w:pPr>
              <w:jc w:val="center"/>
              <w:rPr>
                <w:sz w:val="18"/>
                <w:szCs w:val="18"/>
              </w:rPr>
            </w:pPr>
            <w:r>
              <w:rPr>
                <w:rFonts w:hint="eastAsia"/>
                <w:sz w:val="18"/>
                <w:szCs w:val="18"/>
              </w:rPr>
              <w:t>0.1</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5、</w:t>
            </w:r>
            <w:r>
              <w:rPr>
                <w:sz w:val="18"/>
                <w:szCs w:val="18"/>
              </w:rPr>
              <w:t>静态场的应用</w:t>
            </w:r>
          </w:p>
        </w:tc>
        <w:tc>
          <w:tcPr>
            <w:tcW w:w="691" w:type="pct"/>
            <w:vAlign w:val="center"/>
          </w:tcPr>
          <w:p>
            <w:pPr>
              <w:jc w:val="center"/>
              <w:rPr>
                <w:sz w:val="18"/>
                <w:szCs w:val="18"/>
              </w:rPr>
            </w:pPr>
            <w:r>
              <w:rPr>
                <w:rFonts w:hint="eastAsia"/>
                <w:sz w:val="18"/>
                <w:szCs w:val="18"/>
              </w:rPr>
              <w:t>0.1</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6、</w:t>
            </w:r>
            <w:r>
              <w:rPr>
                <w:sz w:val="18"/>
                <w:szCs w:val="18"/>
              </w:rPr>
              <w:t>法拉第感应定律</w:t>
            </w:r>
            <w:r>
              <w:rPr>
                <w:rFonts w:hint="eastAsia"/>
                <w:sz w:val="18"/>
                <w:szCs w:val="18"/>
              </w:rPr>
              <w:t>及</w:t>
            </w:r>
            <w:r>
              <w:rPr>
                <w:sz w:val="18"/>
                <w:szCs w:val="18"/>
              </w:rPr>
              <w:t>麦克斯韦方程</w:t>
            </w:r>
            <w:r>
              <w:rPr>
                <w:rFonts w:hint="eastAsia"/>
                <w:sz w:val="18"/>
                <w:szCs w:val="18"/>
              </w:rPr>
              <w:t>、</w:t>
            </w:r>
            <w:r>
              <w:rPr>
                <w:sz w:val="18"/>
                <w:szCs w:val="18"/>
              </w:rPr>
              <w:t>时间简谐场、时变电磁场的应用</w:t>
            </w:r>
            <w:r>
              <w:rPr>
                <w:rFonts w:hint="eastAsia"/>
                <w:sz w:val="18"/>
                <w:szCs w:val="18"/>
              </w:rPr>
              <w:t>；</w:t>
            </w:r>
          </w:p>
        </w:tc>
        <w:tc>
          <w:tcPr>
            <w:tcW w:w="691" w:type="pct"/>
            <w:vAlign w:val="center"/>
          </w:tcPr>
          <w:p>
            <w:pPr>
              <w:jc w:val="center"/>
              <w:rPr>
                <w:sz w:val="18"/>
                <w:szCs w:val="18"/>
              </w:rPr>
            </w:pPr>
            <w:r>
              <w:rPr>
                <w:rFonts w:hint="eastAsia"/>
                <w:sz w:val="18"/>
                <w:szCs w:val="18"/>
              </w:rPr>
              <w:t>0.2</w:t>
            </w:r>
            <w:r>
              <w:rPr>
                <w:sz w:val="18"/>
                <w:szCs w:val="18"/>
              </w:rPr>
              <w:t>0</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61" w:type="pct"/>
            <w:vAlign w:val="center"/>
          </w:tcPr>
          <w:p>
            <w:pPr>
              <w:ind w:left="174" w:leftChars="83"/>
              <w:rPr>
                <w:sz w:val="18"/>
                <w:szCs w:val="18"/>
              </w:rPr>
            </w:pPr>
            <w:r>
              <w:rPr>
                <w:rFonts w:hint="eastAsia"/>
                <w:sz w:val="18"/>
                <w:szCs w:val="18"/>
              </w:rPr>
              <w:t>7、波动方程及</w:t>
            </w:r>
            <w:r>
              <w:rPr>
                <w:sz w:val="18"/>
                <w:szCs w:val="18"/>
              </w:rPr>
              <w:t>平面波的传播</w:t>
            </w:r>
          </w:p>
        </w:tc>
        <w:tc>
          <w:tcPr>
            <w:tcW w:w="691" w:type="pct"/>
            <w:vAlign w:val="center"/>
          </w:tcPr>
          <w:p>
            <w:pPr>
              <w:jc w:val="center"/>
              <w:rPr>
                <w:sz w:val="18"/>
                <w:szCs w:val="18"/>
              </w:rPr>
            </w:pPr>
            <w:r>
              <w:rPr>
                <w:rFonts w:hint="eastAsia"/>
                <w:sz w:val="18"/>
                <w:szCs w:val="18"/>
              </w:rPr>
              <w:t>0.2</w:t>
            </w:r>
            <w:r>
              <w:rPr>
                <w:sz w:val="18"/>
                <w:szCs w:val="18"/>
              </w:rPr>
              <w:t>0</w:t>
            </w:r>
          </w:p>
        </w:tc>
        <w:tc>
          <w:tcPr>
            <w:tcW w:w="1048" w:type="pct"/>
            <w:vAlign w:val="center"/>
          </w:tcPr>
          <w:p>
            <w:pPr>
              <w:jc w:val="center"/>
              <w:rPr>
                <w:sz w:val="18"/>
                <w:szCs w:val="18"/>
              </w:rPr>
            </w:pPr>
            <w:r>
              <w:rPr>
                <w:rFonts w:hint="eastAsia"/>
                <w:sz w:val="18"/>
                <w:szCs w:val="18"/>
              </w:rPr>
              <w:t>1</w:t>
            </w:r>
            <w:r>
              <w:rPr>
                <w:sz w:val="18"/>
                <w:szCs w:val="18"/>
              </w:rPr>
              <w:t>、</w:t>
            </w:r>
            <w:r>
              <w:rPr>
                <w:rFonts w:hint="eastAsia"/>
                <w:sz w:val="18"/>
                <w:szCs w:val="18"/>
              </w:rPr>
              <w:t>2</w:t>
            </w:r>
          </w:p>
        </w:tc>
      </w:tr>
    </w:tbl>
    <w:p>
      <w:pPr>
        <w:spacing w:before="120" w:beforeLines="50" w:line="360" w:lineRule="auto"/>
        <w:ind w:firstLine="420" w:firstLineChars="200"/>
        <w:rPr>
          <w:szCs w:val="21"/>
        </w:rPr>
      </w:pPr>
      <w:r>
        <w:rPr>
          <w:rFonts w:hint="eastAsia"/>
          <w:szCs w:val="21"/>
        </w:rPr>
        <w:t>本课程不可以申请免修。</w:t>
      </w:r>
    </w:p>
    <w:p>
      <w:pPr>
        <w:spacing w:line="360" w:lineRule="auto"/>
        <w:ind w:firstLine="420" w:firstLineChars="200"/>
        <w:rPr>
          <w:szCs w:val="21"/>
        </w:rPr>
        <w:sectPr>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w:t>
      </w:r>
    </w:p>
    <w:p>
      <w:pPr>
        <w:tabs>
          <w:tab w:val="left" w:pos="420"/>
        </w:tabs>
        <w:adjustRightInd w:val="0"/>
        <w:snapToGrid w:val="0"/>
        <w:spacing w:line="360" w:lineRule="auto"/>
        <w:ind w:left="420" w:hanging="420"/>
        <w:rPr>
          <w:rFonts w:eastAsia="黑体"/>
          <w:szCs w:val="24"/>
        </w:rPr>
      </w:pPr>
    </w:p>
    <w:p>
      <w:pPr>
        <w:spacing w:line="360" w:lineRule="auto"/>
        <w:jc w:val="center"/>
      </w:pPr>
      <w:r>
        <w:rPr>
          <w:rFonts w:hint="eastAsia"/>
        </w:rPr>
        <w:t>各环节对课程目标达成评价所使用到的权重占比分配及考核权重分配</w:t>
      </w:r>
    </w:p>
    <w:tbl>
      <w:tblPr>
        <w:tblStyle w:val="22"/>
        <w:tblpPr w:leftFromText="180" w:rightFromText="180" w:vertAnchor="text" w:horzAnchor="page" w:tblpX="1316" w:tblpY="276"/>
        <w:tblOverlap w:val="never"/>
        <w:tblW w:w="5000" w:type="pct"/>
        <w:tblInd w:w="0" w:type="dxa"/>
        <w:tblLayout w:type="autofit"/>
        <w:tblCellMar>
          <w:top w:w="0" w:type="dxa"/>
          <w:left w:w="108" w:type="dxa"/>
          <w:bottom w:w="0" w:type="dxa"/>
          <w:right w:w="108" w:type="dxa"/>
        </w:tblCellMar>
      </w:tblPr>
      <w:tblGrid>
        <w:gridCol w:w="576"/>
        <w:gridCol w:w="1146"/>
        <w:gridCol w:w="1358"/>
        <w:gridCol w:w="1358"/>
        <w:gridCol w:w="1359"/>
        <w:gridCol w:w="1359"/>
        <w:gridCol w:w="1359"/>
        <w:gridCol w:w="1359"/>
        <w:gridCol w:w="1359"/>
        <w:gridCol w:w="1359"/>
        <w:gridCol w:w="1356"/>
      </w:tblGrid>
      <w:tr>
        <w:tblPrEx>
          <w:tblCellMar>
            <w:top w:w="0" w:type="dxa"/>
            <w:left w:w="108" w:type="dxa"/>
            <w:bottom w:w="0" w:type="dxa"/>
            <w:right w:w="108" w:type="dxa"/>
          </w:tblCellMar>
        </w:tblPrEx>
        <w:trPr>
          <w:trHeight w:val="1248" w:hRule="atLeast"/>
        </w:trPr>
        <w:tc>
          <w:tcPr>
            <w:tcW w:w="207" w:type="pct"/>
            <w:vMerge w:val="restart"/>
            <w:tcBorders>
              <w:top w:val="single" w:color="auto" w:sz="4" w:space="0"/>
              <w:left w:val="single" w:color="auto" w:sz="4" w:space="0"/>
              <w:right w:val="single" w:color="auto" w:sz="4" w:space="0"/>
            </w:tcBorders>
            <w:vAlign w:val="center"/>
          </w:tcPr>
          <w:p>
            <w:pPr>
              <w:widowControl/>
              <w:jc w:val="center"/>
              <w:rPr>
                <w:kern w:val="0"/>
                <w:sz w:val="18"/>
                <w:szCs w:val="18"/>
              </w:rPr>
            </w:pPr>
            <w:r>
              <w:rPr>
                <w:kern w:val="0"/>
                <w:sz w:val="18"/>
                <w:szCs w:val="18"/>
              </w:rPr>
              <w:t>课程目标</w:t>
            </w:r>
          </w:p>
        </w:tc>
        <w:tc>
          <w:tcPr>
            <w:tcW w:w="411"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460" w:type="pct"/>
            <w:gridSpan w:val="3"/>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460" w:type="pct"/>
            <w:gridSpan w:val="3"/>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61" w:type="pct"/>
            <w:gridSpan w:val="3"/>
            <w:tcBorders>
              <w:top w:val="single" w:color="auto" w:sz="4" w:space="0"/>
              <w:left w:val="nil"/>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1248" w:hRule="atLeast"/>
        </w:trPr>
        <w:tc>
          <w:tcPr>
            <w:tcW w:w="207" w:type="pct"/>
            <w:vMerge w:val="continue"/>
            <w:tcBorders>
              <w:left w:val="single" w:color="auto" w:sz="4" w:space="0"/>
              <w:bottom w:val="single" w:color="auto" w:sz="4" w:space="0"/>
              <w:right w:val="single" w:color="auto" w:sz="4" w:space="0"/>
            </w:tcBorders>
            <w:vAlign w:val="center"/>
          </w:tcPr>
          <w:p>
            <w:pPr>
              <w:widowControl/>
              <w:jc w:val="center"/>
              <w:rPr>
                <w:kern w:val="0"/>
                <w:sz w:val="18"/>
                <w:szCs w:val="18"/>
              </w:rPr>
            </w:pPr>
          </w:p>
        </w:tc>
        <w:tc>
          <w:tcPr>
            <w:tcW w:w="41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87"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87"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488"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1248" w:hRule="atLeast"/>
        </w:trPr>
        <w:tc>
          <w:tcPr>
            <w:tcW w:w="207" w:type="pct"/>
            <w:tcBorders>
              <w:top w:val="nil"/>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1</w:t>
            </w:r>
          </w:p>
        </w:tc>
        <w:tc>
          <w:tcPr>
            <w:tcW w:w="411" w:type="pct"/>
            <w:tcBorders>
              <w:top w:val="nil"/>
              <w:left w:val="nil"/>
              <w:bottom w:val="single" w:color="auto" w:sz="4" w:space="0"/>
              <w:right w:val="single" w:color="auto" w:sz="4" w:space="0"/>
            </w:tcBorders>
            <w:vAlign w:val="center"/>
          </w:tcPr>
          <w:p>
            <w:pPr>
              <w:jc w:val="center"/>
              <w:rPr>
                <w:sz w:val="18"/>
                <w:szCs w:val="18"/>
              </w:rPr>
            </w:pPr>
            <w:r>
              <w:rPr>
                <w:sz w:val="18"/>
                <w:szCs w:val="18"/>
              </w:rPr>
              <w:t>0.</w:t>
            </w:r>
            <w:r>
              <w:rPr>
                <w:rFonts w:hint="eastAsia"/>
                <w:sz w:val="18"/>
                <w:szCs w:val="18"/>
              </w:rPr>
              <w:t>7</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w:t>
            </w:r>
            <w:r>
              <w:rPr>
                <w:rFonts w:hint="eastAsia"/>
                <w:sz w:val="18"/>
                <w:szCs w:val="18"/>
              </w:rPr>
              <w:t>2</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0.3</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0.5</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0.1</w:t>
            </w:r>
            <w:r>
              <w:rPr>
                <w:rFonts w:hint="eastAsia"/>
                <w:sz w:val="18"/>
                <w:szCs w:val="18"/>
              </w:rPr>
              <w:t>4</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0.21</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0.35</w:t>
            </w:r>
          </w:p>
        </w:tc>
        <w:tc>
          <w:tcPr>
            <w:tcW w:w="487" w:type="pct"/>
            <w:tcBorders>
              <w:top w:val="nil"/>
              <w:left w:val="nil"/>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54</w:t>
            </w:r>
          </w:p>
        </w:tc>
        <w:tc>
          <w:tcPr>
            <w:tcW w:w="487" w:type="pct"/>
            <w:tcBorders>
              <w:top w:val="nil"/>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0.7</w:t>
            </w:r>
          </w:p>
        </w:tc>
        <w:tc>
          <w:tcPr>
            <w:tcW w:w="488" w:type="pct"/>
            <w:tcBorders>
              <w:top w:val="nil"/>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8</w:t>
            </w:r>
          </w:p>
        </w:tc>
      </w:tr>
      <w:tr>
        <w:tblPrEx>
          <w:tblCellMar>
            <w:top w:w="0" w:type="dxa"/>
            <w:left w:w="108" w:type="dxa"/>
            <w:bottom w:w="0" w:type="dxa"/>
            <w:right w:w="108" w:type="dxa"/>
          </w:tblCellMar>
        </w:tblPrEx>
        <w:trPr>
          <w:trHeight w:val="1248" w:hRule="atLeast"/>
        </w:trPr>
        <w:tc>
          <w:tcPr>
            <w:tcW w:w="207"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rFonts w:hint="eastAsia"/>
                <w:kern w:val="0"/>
                <w:sz w:val="18"/>
                <w:szCs w:val="18"/>
              </w:rPr>
              <w:t>2</w:t>
            </w:r>
          </w:p>
        </w:tc>
        <w:tc>
          <w:tcPr>
            <w:tcW w:w="411"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w:t>
            </w:r>
            <w:r>
              <w:rPr>
                <w:rFonts w:hint="eastAsia"/>
                <w:sz w:val="18"/>
                <w:szCs w:val="18"/>
              </w:rPr>
              <w:t>3</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0.4</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0.3</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0.3</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w:t>
            </w:r>
            <w:r>
              <w:rPr>
                <w:rFonts w:hint="eastAsia"/>
                <w:sz w:val="18"/>
                <w:szCs w:val="18"/>
              </w:rPr>
              <w:t>.</w:t>
            </w:r>
            <w:r>
              <w:rPr>
                <w:sz w:val="18"/>
                <w:szCs w:val="18"/>
              </w:rPr>
              <w:t>12</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0.09</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0.09</w:t>
            </w:r>
          </w:p>
        </w:tc>
        <w:tc>
          <w:tcPr>
            <w:tcW w:w="487" w:type="pct"/>
            <w:tcBorders>
              <w:top w:val="single" w:color="auto" w:sz="4" w:space="0"/>
              <w:left w:val="nil"/>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46</w:t>
            </w:r>
          </w:p>
        </w:tc>
        <w:tc>
          <w:tcPr>
            <w:tcW w:w="487"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3</w:t>
            </w:r>
          </w:p>
        </w:tc>
        <w:tc>
          <w:tcPr>
            <w:tcW w:w="488" w:type="pc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0.</w:t>
            </w:r>
            <w:r>
              <w:rPr>
                <w:sz w:val="18"/>
                <w:szCs w:val="18"/>
              </w:rPr>
              <w:t>2</w:t>
            </w:r>
          </w:p>
        </w:tc>
      </w:tr>
      <w:tr>
        <w:tblPrEx>
          <w:tblCellMar>
            <w:top w:w="0" w:type="dxa"/>
            <w:left w:w="108" w:type="dxa"/>
            <w:bottom w:w="0" w:type="dxa"/>
            <w:right w:w="108" w:type="dxa"/>
          </w:tblCellMar>
        </w:tblPrEx>
        <w:trPr>
          <w:trHeight w:val="906" w:hRule="atLeast"/>
        </w:trPr>
        <w:tc>
          <w:tcPr>
            <w:tcW w:w="2078" w:type="pct"/>
            <w:gridSpan w:val="5"/>
            <w:tcBorders>
              <w:top w:val="single" w:color="auto" w:sz="4" w:space="0"/>
              <w:left w:val="single" w:color="auto" w:sz="4" w:space="0"/>
              <w:bottom w:val="single" w:color="auto" w:sz="4" w:space="0"/>
              <w:right w:val="single" w:color="000000" w:sz="4" w:space="0"/>
            </w:tcBorders>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w:t>
            </w:r>
            <w:r>
              <w:rPr>
                <w:rFonts w:hint="eastAsia"/>
                <w:sz w:val="18"/>
                <w:szCs w:val="18"/>
              </w:rPr>
              <w:t>2</w:t>
            </w:r>
            <w:r>
              <w:rPr>
                <w:sz w:val="18"/>
                <w:szCs w:val="18"/>
              </w:rPr>
              <w:t>6</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0.30</w:t>
            </w:r>
          </w:p>
        </w:tc>
        <w:tc>
          <w:tcPr>
            <w:tcW w:w="487" w:type="pct"/>
            <w:tcBorders>
              <w:top w:val="nil"/>
              <w:left w:val="nil"/>
              <w:bottom w:val="single" w:color="auto" w:sz="4" w:space="0"/>
              <w:right w:val="single" w:color="auto" w:sz="4" w:space="0"/>
            </w:tcBorders>
            <w:vAlign w:val="center"/>
          </w:tcPr>
          <w:p>
            <w:pPr>
              <w:jc w:val="center"/>
              <w:rPr>
                <w:sz w:val="18"/>
                <w:szCs w:val="18"/>
              </w:rPr>
            </w:pPr>
            <w:r>
              <w:rPr>
                <w:sz w:val="18"/>
                <w:szCs w:val="18"/>
              </w:rPr>
              <w:t>0.44</w:t>
            </w:r>
          </w:p>
        </w:tc>
        <w:tc>
          <w:tcPr>
            <w:tcW w:w="1461" w:type="pct"/>
            <w:gridSpan w:val="3"/>
            <w:tcBorders>
              <w:top w:val="nil"/>
              <w:left w:val="nil"/>
              <w:bottom w:val="single" w:color="auto" w:sz="4" w:space="0"/>
              <w:right w:val="single" w:color="auto" w:sz="4" w:space="0"/>
            </w:tcBorders>
            <w:vAlign w:val="center"/>
          </w:tcPr>
          <w:p>
            <w:pPr>
              <w:jc w:val="center"/>
              <w:rPr>
                <w:sz w:val="18"/>
                <w:szCs w:val="18"/>
              </w:rPr>
            </w:pPr>
            <w:r>
              <w:rPr>
                <w:sz w:val="18"/>
                <w:szCs w:val="18"/>
              </w:rPr>
              <w:t>教师出题或布置作业时</w:t>
            </w:r>
          </w:p>
          <w:p>
            <w:pPr>
              <w:jc w:val="center"/>
              <w:rPr>
                <w:sz w:val="18"/>
                <w:szCs w:val="18"/>
              </w:rPr>
            </w:pPr>
            <w:r>
              <w:rPr>
                <w:sz w:val="18"/>
                <w:szCs w:val="18"/>
              </w:rPr>
              <w:t>要尽量做到按照以上比例布局</w:t>
            </w:r>
          </w:p>
        </w:tc>
      </w:tr>
    </w:tbl>
    <w:p>
      <w:pPr>
        <w:spacing w:line="360" w:lineRule="auto"/>
        <w:ind w:firstLine="420" w:firstLineChars="200"/>
        <w:jc w:val="center"/>
      </w:pPr>
    </w:p>
    <w:p>
      <w:pPr>
        <w:spacing w:line="360" w:lineRule="auto"/>
        <w:ind w:firstLine="420" w:firstLineChars="200"/>
        <w:jc w:val="center"/>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74"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74" DrawAspect="Content" ObjectID="_1468075874" r:id="rId338">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75"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75" DrawAspect="Content" ObjectID="_1468075875" r:id="rId339">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76"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76" DrawAspect="Content" ObjectID="_1468075876" r:id="rId340">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77"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77" DrawAspect="Content" ObjectID="_1468075877" r:id="rId341">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78"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78" DrawAspect="Content" ObjectID="_1468075878" r:id="rId342">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79"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79" DrawAspect="Content" ObjectID="_1468075879" r:id="rId343">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19" w:name="_Toc46996578"/>
      <w:bookmarkStart w:id="220" w:name="_Toc7996"/>
      <w:r>
        <w:rPr>
          <w:rFonts w:hint="eastAsia"/>
        </w:rPr>
        <w:t>《</w:t>
      </w:r>
      <w:r>
        <w:t>Z03060202-</w:t>
      </w:r>
      <w:r>
        <w:rPr>
          <w:rFonts w:hint="eastAsia"/>
        </w:rPr>
        <w:t>微</w:t>
      </w:r>
      <w:r>
        <w:t>波技术基础</w:t>
      </w:r>
      <w:r>
        <w:rPr>
          <w:rFonts w:hint="eastAsia"/>
        </w:rPr>
        <w:t>》教学大纲</w:t>
      </w:r>
      <w:bookmarkEnd w:id="219"/>
      <w:bookmarkEnd w:id="220"/>
    </w:p>
    <w:p>
      <w:pPr>
        <w:adjustRightInd w:val="0"/>
        <w:snapToGrid w:val="0"/>
        <w:spacing w:line="360" w:lineRule="auto"/>
        <w:rPr>
          <w:bCs/>
          <w:kern w:val="0"/>
          <w:szCs w:val="21"/>
        </w:rPr>
      </w:pPr>
      <w:r>
        <w:rPr>
          <w:rFonts w:hint="eastAsia" w:eastAsia="黑体"/>
          <w:szCs w:val="21"/>
        </w:rPr>
        <w:t>课程编号：</w:t>
      </w:r>
      <w:r>
        <w:rPr>
          <w:rFonts w:hint="eastAsia"/>
          <w:szCs w:val="21"/>
        </w:rPr>
        <w:t>Z</w:t>
      </w:r>
      <w:r>
        <w:rPr>
          <w:szCs w:val="21"/>
        </w:rPr>
        <w:t>03060202</w:t>
      </w:r>
    </w:p>
    <w:p>
      <w:pPr>
        <w:adjustRightInd w:val="0"/>
        <w:snapToGrid w:val="0"/>
        <w:spacing w:line="360" w:lineRule="auto"/>
        <w:rPr>
          <w:snapToGrid w:val="0"/>
          <w:kern w:val="0"/>
          <w:szCs w:val="21"/>
        </w:rPr>
      </w:pPr>
      <w:r>
        <w:rPr>
          <w:rFonts w:hint="eastAsia" w:eastAsia="黑体"/>
          <w:szCs w:val="21"/>
        </w:rPr>
        <w:t>课程名称：</w:t>
      </w:r>
      <w:r>
        <w:rPr>
          <w:szCs w:val="21"/>
        </w:rPr>
        <w:t>微波技术基础</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32</w:t>
      </w:r>
      <w:r>
        <w:rPr>
          <w:rFonts w:hint="eastAsia"/>
          <w:szCs w:val="21"/>
        </w:rPr>
        <w:t>（实验4学时）</w:t>
      </w:r>
      <w:r>
        <w:rPr>
          <w:szCs w:val="21"/>
        </w:rPr>
        <w:tab/>
      </w:r>
      <w:r>
        <w:rPr>
          <w:szCs w:val="21"/>
        </w:rPr>
        <w:tab/>
      </w:r>
      <w:r>
        <w:rPr>
          <w:szCs w:val="21"/>
        </w:rPr>
        <w:tab/>
      </w:r>
      <w:r>
        <w:rPr>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color w:val="000000"/>
        </w:rPr>
        <w:t>大学物理</w:t>
      </w:r>
      <w:r>
        <w:rPr>
          <w:rFonts w:hint="eastAsia"/>
          <w:color w:val="000000"/>
        </w:rPr>
        <w:t>、</w:t>
      </w:r>
      <w:r>
        <w:rPr>
          <w:color w:val="000000"/>
        </w:rPr>
        <w:t>电路分析基础</w:t>
      </w:r>
      <w:r>
        <w:rPr>
          <w:rFonts w:hint="eastAsia"/>
          <w:color w:val="000000"/>
        </w:rPr>
        <w:t>、</w:t>
      </w:r>
      <w:r>
        <w:rPr>
          <w:color w:val="000000"/>
        </w:rPr>
        <w:t>电磁场与电磁波</w:t>
      </w:r>
    </w:p>
    <w:p>
      <w:pPr>
        <w:adjustRightInd w:val="0"/>
        <w:snapToGrid w:val="0"/>
        <w:spacing w:line="360" w:lineRule="auto"/>
        <w:rPr>
          <w:szCs w:val="21"/>
        </w:rPr>
      </w:pPr>
      <w:r>
        <w:rPr>
          <w:rFonts w:hint="eastAsia" w:eastAsia="黑体"/>
          <w:szCs w:val="21"/>
        </w:rPr>
        <w:t>大纲撰写人：</w:t>
      </w:r>
      <w:r>
        <w:rPr>
          <w:rFonts w:hint="eastAsia"/>
          <w:szCs w:val="21"/>
        </w:rPr>
        <w:t>段俊萍、秦丽</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pStyle w:val="31"/>
        <w:numPr>
          <w:ilvl w:val="0"/>
          <w:numId w:val="31"/>
        </w:numPr>
        <w:tabs>
          <w:tab w:val="left" w:pos="420"/>
        </w:tabs>
        <w:adjustRightInd w:val="0"/>
        <w:snapToGrid w:val="0"/>
        <w:spacing w:line="360" w:lineRule="auto"/>
        <w:ind w:firstLineChars="0"/>
        <w:rPr>
          <w:rFonts w:eastAsia="黑体"/>
          <w:szCs w:val="21"/>
        </w:rPr>
      </w:pPr>
      <w:r>
        <w:rPr>
          <w:rFonts w:hint="eastAsia" w:eastAsia="黑体"/>
          <w:szCs w:val="21"/>
        </w:rPr>
        <w:t>课程在教学计划中的地位、作用</w:t>
      </w:r>
    </w:p>
    <w:p>
      <w:pPr>
        <w:adjustRightInd w:val="0"/>
        <w:snapToGrid w:val="0"/>
        <w:spacing w:line="360" w:lineRule="auto"/>
        <w:ind w:firstLine="420" w:firstLineChars="200"/>
        <w:rPr>
          <w:szCs w:val="21"/>
        </w:rPr>
      </w:pPr>
      <w:r>
        <w:rPr>
          <w:szCs w:val="21"/>
        </w:rPr>
        <w:t>本课程是电子科学与技术专业的一门专业教育基础课程，是学习和了解无线电频谱中极为重要的微波波段及其领域的重要科目。主要研究如何导引电磁波在微波传输系统中的有效传输，其特点是希望电磁波按照一定要求在微波传输系统中无辐射的传输。本课程的任务是使学生学会微波理论和技术的基础概念、物理含义和基本分析方法，培养学生分析微波元件和微波系统的基本能力。</w:t>
      </w:r>
    </w:p>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3466"/>
        <w:gridCol w:w="41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14" w:type="pct"/>
            <w:vAlign w:val="center"/>
          </w:tcPr>
          <w:p>
            <w:pPr>
              <w:spacing w:line="360" w:lineRule="auto"/>
              <w:jc w:val="center"/>
              <w:rPr>
                <w:sz w:val="18"/>
                <w:szCs w:val="18"/>
              </w:rPr>
            </w:pPr>
            <w:r>
              <w:rPr>
                <w:sz w:val="18"/>
                <w:szCs w:val="18"/>
              </w:rPr>
              <w:t>序号</w:t>
            </w:r>
          </w:p>
        </w:tc>
        <w:tc>
          <w:tcPr>
            <w:tcW w:w="2085" w:type="pct"/>
            <w:vAlign w:val="center"/>
          </w:tcPr>
          <w:p>
            <w:pPr>
              <w:spacing w:line="360" w:lineRule="auto"/>
              <w:jc w:val="center"/>
              <w:rPr>
                <w:sz w:val="18"/>
                <w:szCs w:val="18"/>
              </w:rPr>
            </w:pPr>
            <w:r>
              <w:rPr>
                <w:sz w:val="18"/>
                <w:szCs w:val="18"/>
              </w:rPr>
              <w:t>课程目标</w:t>
            </w:r>
          </w:p>
        </w:tc>
        <w:tc>
          <w:tcPr>
            <w:tcW w:w="2501"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414" w:type="pct"/>
            <w:vAlign w:val="center"/>
          </w:tcPr>
          <w:p>
            <w:pPr>
              <w:spacing w:line="360" w:lineRule="auto"/>
              <w:jc w:val="center"/>
              <w:rPr>
                <w:sz w:val="18"/>
                <w:szCs w:val="18"/>
              </w:rPr>
            </w:pPr>
            <w:r>
              <w:rPr>
                <w:rFonts w:hint="eastAsia"/>
                <w:sz w:val="18"/>
                <w:szCs w:val="18"/>
              </w:rPr>
              <w:t>1</w:t>
            </w:r>
          </w:p>
        </w:tc>
        <w:tc>
          <w:tcPr>
            <w:tcW w:w="2085" w:type="pct"/>
          </w:tcPr>
          <w:p>
            <w:pPr>
              <w:tabs>
                <w:tab w:val="left" w:pos="420"/>
              </w:tabs>
              <w:spacing w:line="360" w:lineRule="auto"/>
              <w:rPr>
                <w:color w:val="385723" w:themeColor="accent6" w:themeShade="80"/>
                <w:sz w:val="18"/>
                <w:szCs w:val="18"/>
              </w:rPr>
            </w:pPr>
            <w:r>
              <w:rPr>
                <w:sz w:val="18"/>
                <w:szCs w:val="18"/>
              </w:rPr>
              <w:t>通过本课程的学习，培养学生将相关工程问题转化为技术问题</w:t>
            </w:r>
            <w:r>
              <w:rPr>
                <w:rFonts w:hint="eastAsia"/>
                <w:sz w:val="18"/>
                <w:szCs w:val="18"/>
              </w:rPr>
              <w:t>，</w:t>
            </w:r>
            <w:r>
              <w:rPr>
                <w:sz w:val="18"/>
                <w:szCs w:val="18"/>
              </w:rPr>
              <w:t>并利用微波传输线的理论实现传输线的阻抗匹配和主模传输的基本方法。</w:t>
            </w:r>
          </w:p>
        </w:tc>
        <w:tc>
          <w:tcPr>
            <w:tcW w:w="2501" w:type="pct"/>
          </w:tcPr>
          <w:p>
            <w:pPr>
              <w:tabs>
                <w:tab w:val="left" w:pos="420"/>
              </w:tabs>
              <w:spacing w:line="360" w:lineRule="auto"/>
              <w:rPr>
                <w:sz w:val="18"/>
                <w:szCs w:val="18"/>
              </w:rPr>
            </w:pPr>
            <w:r>
              <w:rPr>
                <w:rFonts w:hint="eastAsia"/>
                <w:b/>
                <w:bCs/>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414" w:type="pct"/>
            <w:vAlign w:val="center"/>
          </w:tcPr>
          <w:p>
            <w:pPr>
              <w:spacing w:line="360" w:lineRule="auto"/>
              <w:jc w:val="center"/>
              <w:rPr>
                <w:sz w:val="18"/>
                <w:szCs w:val="18"/>
              </w:rPr>
            </w:pPr>
            <w:r>
              <w:rPr>
                <w:rFonts w:hint="eastAsia"/>
                <w:sz w:val="18"/>
                <w:szCs w:val="18"/>
              </w:rPr>
              <w:t>2</w:t>
            </w:r>
          </w:p>
        </w:tc>
        <w:tc>
          <w:tcPr>
            <w:tcW w:w="2085" w:type="pct"/>
          </w:tcPr>
          <w:p>
            <w:pPr>
              <w:tabs>
                <w:tab w:val="left" w:pos="420"/>
              </w:tabs>
              <w:spacing w:line="360" w:lineRule="auto"/>
              <w:rPr>
                <w:color w:val="385723" w:themeColor="accent6" w:themeShade="80"/>
                <w:sz w:val="18"/>
                <w:szCs w:val="18"/>
              </w:rPr>
            </w:pPr>
            <w:r>
              <w:rPr>
                <w:rFonts w:hint="eastAsia"/>
                <w:sz w:val="18"/>
                <w:szCs w:val="18"/>
              </w:rPr>
              <w:t>具备</w:t>
            </w:r>
            <w:r>
              <w:rPr>
                <w:sz w:val="18"/>
                <w:szCs w:val="18"/>
              </w:rPr>
              <w:t>查阅最新相关文献能力</w:t>
            </w:r>
            <w:r>
              <w:rPr>
                <w:rFonts w:hint="eastAsia"/>
                <w:sz w:val="18"/>
                <w:szCs w:val="18"/>
              </w:rPr>
              <w:t>，</w:t>
            </w:r>
            <w:r>
              <w:rPr>
                <w:sz w:val="18"/>
                <w:szCs w:val="18"/>
              </w:rPr>
              <w:t>能够在设计过程考虑环境因素</w:t>
            </w:r>
            <w:r>
              <w:rPr>
                <w:rFonts w:hint="eastAsia"/>
                <w:sz w:val="18"/>
                <w:szCs w:val="18"/>
              </w:rPr>
              <w:t>，</w:t>
            </w:r>
            <w:r>
              <w:rPr>
                <w:sz w:val="18"/>
                <w:szCs w:val="18"/>
              </w:rPr>
              <w:t>增强电磁环境污染的防护意识。</w:t>
            </w:r>
          </w:p>
        </w:tc>
        <w:tc>
          <w:tcPr>
            <w:tcW w:w="2501" w:type="pct"/>
          </w:tcPr>
          <w:p>
            <w:pPr>
              <w:tabs>
                <w:tab w:val="left" w:pos="420"/>
              </w:tabs>
              <w:spacing w:line="360" w:lineRule="auto"/>
              <w:rPr>
                <w:sz w:val="18"/>
                <w:szCs w:val="18"/>
              </w:rPr>
            </w:pPr>
            <w:r>
              <w:rPr>
                <w:rFonts w:hint="eastAsia"/>
                <w:b/>
                <w:bCs/>
                <w:sz w:val="18"/>
                <w:szCs w:val="18"/>
              </w:rPr>
              <w:t>指标点7-2 环保设计与环保意识：</w:t>
            </w:r>
            <w:r>
              <w:rPr>
                <w:rFonts w:hint="eastAsia"/>
                <w:sz w:val="18"/>
                <w:szCs w:val="18"/>
              </w:rPr>
              <w:t>接受过相关的环保教育及环保案例教育，了解国家可持续发展的理念，在工程设计中体现保护环境、维持社会可持续发展的意识。</w:t>
            </w:r>
          </w:p>
        </w:tc>
      </w:tr>
    </w:tbl>
    <w:p>
      <w:pPr>
        <w:tabs>
          <w:tab w:val="left" w:pos="420"/>
        </w:tabs>
        <w:adjustRightInd w:val="0"/>
        <w:snapToGrid w:val="0"/>
        <w:spacing w:line="360" w:lineRule="auto"/>
        <w:ind w:left="420" w:hanging="420"/>
        <w:rPr>
          <w:rFonts w:eastAsia="黑体"/>
          <w:szCs w:val="21"/>
        </w:rPr>
      </w:pPr>
    </w:p>
    <w:p>
      <w:pPr>
        <w:adjustRightInd w:val="0"/>
        <w:snapToGrid w:val="0"/>
        <w:spacing w:line="360" w:lineRule="auto"/>
        <w:ind w:firstLine="420" w:firstLineChars="200"/>
        <w:rPr>
          <w:szCs w:val="21"/>
        </w:rPr>
      </w:pPr>
      <w:r>
        <w:rPr>
          <w:rFonts w:hint="eastAsia"/>
          <w:szCs w:val="21"/>
        </w:rPr>
        <w:t>思政目标：</w:t>
      </w:r>
    </w:p>
    <w:p>
      <w:pPr>
        <w:adjustRightInd w:val="0"/>
        <w:snapToGrid w:val="0"/>
        <w:spacing w:line="360" w:lineRule="auto"/>
        <w:ind w:firstLine="420" w:firstLineChars="200"/>
        <w:rPr>
          <w:szCs w:val="21"/>
        </w:rPr>
      </w:pPr>
      <w:r>
        <w:rPr>
          <w:rFonts w:hint="eastAsia"/>
          <w:szCs w:val="21"/>
        </w:rPr>
        <w:t>通过工业应用上电磁波的污染问题，学生应懂得在自己的专业实践中考虑</w:t>
      </w:r>
      <w:r>
        <w:rPr>
          <w:szCs w:val="21"/>
        </w:rPr>
        <w:t>环境、法律、经济、道德、政策等因素影响，遵守职业道德规范</w:t>
      </w:r>
      <w:r>
        <w:rPr>
          <w:rFonts w:hint="eastAsia"/>
          <w:szCs w:val="21"/>
        </w:rPr>
        <w:t>，遵守法治。</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tabs>
          <w:tab w:val="left" w:pos="105"/>
        </w:tabs>
        <w:adjustRightInd w:val="0"/>
        <w:snapToGrid w:val="0"/>
        <w:spacing w:line="360" w:lineRule="auto"/>
        <w:ind w:hanging="420"/>
        <w:rPr>
          <w:szCs w:val="21"/>
        </w:rPr>
      </w:pPr>
      <w:r>
        <w:rPr>
          <w:rFonts w:eastAsia="黑体"/>
          <w:color w:val="0000FF"/>
          <w:szCs w:val="21"/>
        </w:rPr>
        <w:tab/>
      </w:r>
      <w:r>
        <w:rPr>
          <w:rFonts w:eastAsia="黑体"/>
          <w:color w:val="0000FF"/>
          <w:szCs w:val="21"/>
        </w:rPr>
        <w:t xml:space="preserve">    </w:t>
      </w:r>
      <w:r>
        <w:rPr>
          <w:szCs w:val="21"/>
        </w:rPr>
        <w:t>1、本课程要求先修</w:t>
      </w:r>
      <w:r>
        <w:rPr>
          <w:rFonts w:hint="eastAsia"/>
          <w:szCs w:val="21"/>
        </w:rPr>
        <w:t>电磁场与电磁波、</w:t>
      </w:r>
      <w:r>
        <w:rPr>
          <w:szCs w:val="21"/>
        </w:rPr>
        <w:t>电路分析基础等课程，对电磁场理论基础有初步了解。教师在讲解本门课程时，要用以“场“转“路”、“场”“路”相结合的方法讲解，重点突出基本理论、基本概念和基本分析方法的“三基本”原则。</w:t>
      </w:r>
    </w:p>
    <w:p>
      <w:pPr>
        <w:adjustRightInd w:val="0"/>
        <w:snapToGrid w:val="0"/>
        <w:spacing w:line="360" w:lineRule="auto"/>
        <w:ind w:firstLine="420" w:firstLineChars="200"/>
        <w:rPr>
          <w:szCs w:val="21"/>
        </w:rPr>
      </w:pPr>
      <w:r>
        <w:rPr>
          <w:szCs w:val="21"/>
        </w:rPr>
        <w:t>2、本课程实验环节采用微波测量线和HFSS三维电磁仿真软件的应用相结合的手段进行。要求学生提前预习和自学HFSS三维电磁仿真软件相关部分的基本使用方法，能够在给定条件下仿真出波导的S参数曲线等结果，学生能够对仿真结果做出初步分析。</w:t>
      </w:r>
    </w:p>
    <w:p>
      <w:pPr>
        <w:adjustRightInd w:val="0"/>
        <w:snapToGrid w:val="0"/>
        <w:spacing w:line="360" w:lineRule="auto"/>
        <w:ind w:firstLine="420" w:firstLineChars="200"/>
        <w:rPr>
          <w:szCs w:val="21"/>
        </w:rPr>
      </w:pPr>
      <w:r>
        <w:rPr>
          <w:rFonts w:hint="eastAsia"/>
          <w:szCs w:val="21"/>
        </w:rPr>
        <w:t>3、</w:t>
      </w:r>
      <w:r>
        <w:rPr>
          <w:lang w:val="en-GB"/>
        </w:rPr>
        <w:t>课堂采取随机提问、部分内容翻转课堂、讨论和随机抽查等方式进行</w:t>
      </w:r>
      <w:r>
        <w:rPr>
          <w:rFonts w:hint="eastAsia"/>
          <w:lang w:val="en-GB"/>
        </w:rPr>
        <w:t>。</w:t>
      </w:r>
    </w:p>
    <w:p>
      <w:pPr>
        <w:spacing w:line="360" w:lineRule="auto"/>
        <w:ind w:firstLine="420" w:firstLineChars="200"/>
        <w:rPr>
          <w:szCs w:val="21"/>
        </w:rPr>
      </w:pPr>
      <w:r>
        <w:rPr>
          <w:szCs w:val="21"/>
        </w:rPr>
        <w:t>4</w:t>
      </w:r>
      <w:r>
        <w:rPr>
          <w:rFonts w:hint="eastAsia"/>
          <w:szCs w:val="21"/>
        </w:rPr>
        <w:t>、</w:t>
      </w:r>
      <w:r>
        <w:t>深度和广度说明：</w:t>
      </w:r>
      <w:r>
        <w:rPr>
          <w:szCs w:val="21"/>
        </w:rPr>
        <w:t>本课程在教学过程中要注重三个统一性，即：传输线和波导的统一；圆波导和矩形波导的统一；网络理论对于微波技术基础的主线统一。前两个者最终统一到把网络方法和场论方法有机结合的主线统一上。重点讲解传输线特性的物理含义，传输线波动方程的理论推导，只介绍整体求解方法，不要求推导过程。</w:t>
      </w:r>
    </w:p>
    <w:p>
      <w:pPr>
        <w:spacing w:line="360" w:lineRule="auto"/>
        <w:ind w:firstLine="420" w:firstLineChars="200"/>
        <w:rPr>
          <w:szCs w:val="21"/>
        </w:rPr>
      </w:pPr>
      <w:r>
        <w:rPr>
          <w:szCs w:val="21"/>
        </w:rPr>
        <w:t>5、偏差说明：为了鼓励教师引入个人授课风格或者适应技术发展的紧迫性，本课程允许教师授课内容做适当调整，最大正偏差为5</w:t>
      </w:r>
      <w:r>
        <w:rPr>
          <w:rFonts w:hint="eastAsia"/>
          <w:szCs w:val="21"/>
        </w:rPr>
        <w:t>%，不允许负偏差。正偏差通过压缩同等内容的学时数来完成。特殊情况，最大正偏差和置换偏差累计可达到</w:t>
      </w:r>
      <w:r>
        <w:rPr>
          <w:szCs w:val="21"/>
        </w:rPr>
        <w:t>1</w:t>
      </w:r>
      <w:r>
        <w:rPr>
          <w:rFonts w:hint="eastAsia"/>
          <w:szCs w:val="21"/>
        </w:rPr>
        <w:t>0%，但在开课前要申请专业责任人批准。（正偏差指大纲知识点不变，新增知识点；负偏差是大纲知识点减少；置换偏差是指大纲中部分知识点被其它类似知识点替换）。</w:t>
      </w:r>
    </w:p>
    <w:p>
      <w:pPr>
        <w:tabs>
          <w:tab w:val="left" w:pos="420"/>
        </w:tabs>
        <w:spacing w:line="360" w:lineRule="auto"/>
        <w:ind w:left="420" w:hanging="420"/>
        <w:rPr>
          <w:rFonts w:eastAsia="黑体"/>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adjustRightInd w:val="0"/>
        <w:snapToGrid w:val="0"/>
        <w:spacing w:line="360" w:lineRule="auto"/>
        <w:ind w:firstLine="420" w:firstLineChars="200"/>
        <w:rPr>
          <w:szCs w:val="21"/>
        </w:rPr>
      </w:pPr>
      <w:r>
        <w:t>本课程重点讲授的内容包括：</w:t>
      </w:r>
      <w:r>
        <w:rPr>
          <w:szCs w:val="21"/>
        </w:rPr>
        <w:t>（1）传输线理论和圆图的应用；（2）几种主要导波系统（矩形波导、圆波导、同轴线）与微波谐振器（矩形腔、圆柱形腔、同轴线腔）的特性与相关计算方法；（3）微波网络基本理论、 S矩阵及其特性。</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为了提高学生的学习兴趣，并取得良好的教学效果，教师在知识讲解的过程中要充分利用问题引导、案例分析等多种教学方法，以进一步提高教学质量。</w:t>
      </w:r>
    </w:p>
    <w:p>
      <w:pPr>
        <w:adjustRightInd w:val="0"/>
        <w:snapToGrid w:val="0"/>
        <w:spacing w:line="360" w:lineRule="auto"/>
        <w:rPr>
          <w:rFonts w:eastAsia="黑体"/>
        </w:rPr>
      </w:pPr>
    </w:p>
    <w:p>
      <w:pPr>
        <w:adjustRightInd w:val="0"/>
        <w:snapToGrid w:val="0"/>
        <w:spacing w:line="360" w:lineRule="auto"/>
        <w:ind w:firstLine="420" w:firstLineChars="200"/>
        <w:rPr>
          <w:rFonts w:eastAsia="黑体"/>
        </w:rPr>
      </w:pPr>
      <w:r>
        <w:rPr>
          <w:rFonts w:eastAsia="黑体"/>
        </w:rPr>
        <w:t>1绪论（1学时）</w:t>
      </w:r>
    </w:p>
    <w:p>
      <w:pPr>
        <w:adjustRightInd w:val="0"/>
        <w:snapToGrid w:val="0"/>
        <w:spacing w:line="360" w:lineRule="auto"/>
        <w:ind w:firstLine="420" w:firstLineChars="200"/>
      </w:pPr>
      <w:r>
        <w:t>1.1</w:t>
      </w:r>
      <w:r>
        <w:rPr>
          <w:rFonts w:hint="eastAsia"/>
        </w:rPr>
        <w:t>、</w:t>
      </w:r>
      <w:r>
        <w:t>本课程在专业课程体系中的地位和作用介绍。</w:t>
      </w:r>
    </w:p>
    <w:p>
      <w:pPr>
        <w:adjustRightInd w:val="0"/>
        <w:snapToGrid w:val="0"/>
        <w:spacing w:line="360" w:lineRule="auto"/>
        <w:ind w:firstLine="420" w:firstLineChars="200"/>
      </w:pPr>
      <w:r>
        <w:t>1.2</w:t>
      </w:r>
      <w:r>
        <w:rPr>
          <w:rFonts w:hint="eastAsia"/>
        </w:rPr>
        <w:t>、</w:t>
      </w:r>
      <w:r>
        <w:t>课程内容、学习方法、讲授方式、考核方式介绍。</w:t>
      </w:r>
    </w:p>
    <w:p>
      <w:pPr>
        <w:adjustRightInd w:val="0"/>
        <w:snapToGrid w:val="0"/>
        <w:spacing w:line="360" w:lineRule="auto"/>
        <w:ind w:left="-141" w:leftChars="-67" w:firstLine="560" w:firstLineChars="267"/>
      </w:pPr>
      <w:r>
        <w:t>1.3</w:t>
      </w:r>
      <w:r>
        <w:rPr>
          <w:rFonts w:hint="eastAsia"/>
        </w:rPr>
        <w:t>、</w:t>
      </w:r>
      <w:r>
        <w:t>微波的概念及其特点：介绍微波在电磁波谱中的位置</w:t>
      </w:r>
      <w:r>
        <w:rPr>
          <w:rFonts w:hint="eastAsia"/>
        </w:rPr>
        <w:t>、</w:t>
      </w:r>
      <w:r>
        <w:t>微波的特点</w:t>
      </w:r>
      <w:r>
        <w:rPr>
          <w:rFonts w:hint="eastAsia"/>
        </w:rPr>
        <w:t>和</w:t>
      </w:r>
      <w:r>
        <w:rPr>
          <w:rFonts w:ascii="Arial" w:hAnsi="Arial" w:cs="Arial"/>
          <w:color w:val="191919"/>
          <w:shd w:val="clear" w:color="auto" w:fill="FFFFFF"/>
        </w:rPr>
        <w:t>微波对环境的影响</w:t>
      </w:r>
      <w:r>
        <w:t>，微波系统表现的“长线”（传输线）特点及分布参数特点等。</w:t>
      </w:r>
    </w:p>
    <w:p>
      <w:pPr>
        <w:adjustRightInd w:val="0"/>
        <w:snapToGrid w:val="0"/>
        <w:spacing w:line="360" w:lineRule="auto"/>
        <w:ind w:firstLine="420" w:firstLineChars="200"/>
      </w:pPr>
      <w:r>
        <w:t>1.4</w:t>
      </w:r>
      <w:r>
        <w:rPr>
          <w:rFonts w:hint="eastAsia"/>
        </w:rPr>
        <w:t>、</w:t>
      </w:r>
      <w:r>
        <w:t>微波技术的发展和应用：微波技术所包含的基本内容、发展现状和应用；本课程主要介绍微波在传输线中的传输问题，以“场”和“路”的理念分析微波传输线的特点，引出相关章节的问题。</w:t>
      </w:r>
    </w:p>
    <w:p>
      <w:pPr>
        <w:adjustRightInd w:val="0"/>
        <w:snapToGrid w:val="0"/>
        <w:spacing w:line="360" w:lineRule="auto"/>
        <w:ind w:firstLine="420" w:firstLineChars="200"/>
        <w:rPr>
          <w:bCs/>
        </w:rPr>
      </w:pPr>
      <w:r>
        <w:rPr>
          <w:bCs/>
        </w:rPr>
        <w:t>重点：掌握传输线分布参数的特点和理念。</w:t>
      </w:r>
    </w:p>
    <w:p>
      <w:pPr>
        <w:tabs>
          <w:tab w:val="left" w:pos="420"/>
        </w:tabs>
        <w:adjustRightInd w:val="0"/>
        <w:snapToGrid w:val="0"/>
        <w:spacing w:line="360" w:lineRule="auto"/>
        <w:ind w:left="420" w:leftChars="200"/>
        <w:rPr>
          <w:bCs/>
          <w:szCs w:val="24"/>
        </w:rPr>
      </w:pPr>
      <w:r>
        <w:rPr>
          <w:bCs/>
          <w:szCs w:val="24"/>
        </w:rPr>
        <w:t>本章内容支撑课程目标1</w:t>
      </w:r>
      <w:r>
        <w:rPr>
          <w:rFonts w:hint="eastAsia"/>
          <w:bCs/>
          <w:szCs w:val="24"/>
        </w:rPr>
        <w:t>、</w:t>
      </w:r>
      <w:r>
        <w:rPr>
          <w:bCs/>
          <w:szCs w:val="24"/>
        </w:rPr>
        <w:t>2</w:t>
      </w:r>
      <w:r>
        <w:rPr>
          <w:rFonts w:hint="eastAsia"/>
          <w:bCs/>
          <w:szCs w:val="24"/>
        </w:rPr>
        <w:t>。</w:t>
      </w:r>
    </w:p>
    <w:p>
      <w:pPr>
        <w:tabs>
          <w:tab w:val="left" w:pos="420"/>
        </w:tabs>
        <w:adjustRightInd w:val="0"/>
        <w:snapToGrid w:val="0"/>
        <w:spacing w:line="360" w:lineRule="auto"/>
        <w:ind w:left="420" w:leftChars="200"/>
        <w:rPr>
          <w:b/>
          <w:szCs w:val="24"/>
        </w:rPr>
      </w:pPr>
      <w:r>
        <w:rPr>
          <w:rFonts w:hint="eastAsia"/>
          <w:b/>
          <w:szCs w:val="24"/>
        </w:rPr>
        <w:t>思政元素：</w:t>
      </w:r>
    </w:p>
    <w:p>
      <w:pPr>
        <w:adjustRightInd w:val="0"/>
        <w:snapToGrid w:val="0"/>
        <w:spacing w:line="360" w:lineRule="auto"/>
        <w:ind w:firstLine="422" w:firstLineChars="200"/>
        <w:rPr>
          <w:b/>
          <w:szCs w:val="21"/>
        </w:rPr>
      </w:pPr>
      <w:r>
        <w:rPr>
          <w:rFonts w:hint="eastAsia"/>
          <w:b/>
          <w:szCs w:val="21"/>
        </w:rPr>
        <w:t>通过工业应用上电磁波的污染问题，学生应懂得在自己的专业实践中考虑</w:t>
      </w:r>
      <w:r>
        <w:rPr>
          <w:b/>
          <w:szCs w:val="21"/>
        </w:rPr>
        <w:t>环境、法律、经济、道德、政策等因素影响，遵守职业道德规范</w:t>
      </w:r>
      <w:r>
        <w:rPr>
          <w:rFonts w:hint="eastAsia"/>
          <w:b/>
          <w:szCs w:val="21"/>
        </w:rPr>
        <w:t>，遵守法治。</w:t>
      </w:r>
    </w:p>
    <w:p>
      <w:pPr>
        <w:tabs>
          <w:tab w:val="left" w:pos="420"/>
        </w:tabs>
        <w:adjustRightInd w:val="0"/>
        <w:snapToGrid w:val="0"/>
        <w:spacing w:line="360" w:lineRule="auto"/>
        <w:ind w:left="420" w:leftChars="200"/>
        <w:rPr>
          <w:bCs/>
          <w:szCs w:val="24"/>
        </w:rPr>
      </w:pPr>
    </w:p>
    <w:p>
      <w:pPr>
        <w:adjustRightInd w:val="0"/>
        <w:snapToGrid w:val="0"/>
        <w:spacing w:line="360" w:lineRule="auto"/>
        <w:ind w:firstLine="420" w:firstLineChars="200"/>
        <w:rPr>
          <w:rFonts w:eastAsia="黑体"/>
        </w:rPr>
      </w:pPr>
      <w:r>
        <w:rPr>
          <w:rFonts w:eastAsia="黑体"/>
        </w:rPr>
        <w:t>2传输线基本理论（9学时）</w:t>
      </w:r>
    </w:p>
    <w:p>
      <w:pPr>
        <w:adjustRightInd w:val="0"/>
        <w:snapToGrid w:val="0"/>
        <w:spacing w:line="360" w:lineRule="auto"/>
        <w:ind w:firstLine="420" w:firstLineChars="200"/>
      </w:pPr>
      <w:r>
        <w:t>2.1</w:t>
      </w:r>
      <w:r>
        <w:rPr>
          <w:rFonts w:hint="eastAsia"/>
        </w:rPr>
        <w:t>、</w:t>
      </w:r>
      <w:r>
        <w:t>传输线的基本概念和传输特性：均匀传输线的特性阻抗、输入阻抗、反射系数、驻波比等概念，</w:t>
      </w:r>
    </w:p>
    <w:p>
      <w:pPr>
        <w:adjustRightInd w:val="0"/>
        <w:snapToGrid w:val="0"/>
        <w:spacing w:line="360" w:lineRule="auto"/>
        <w:ind w:firstLine="420" w:firstLineChars="200"/>
      </w:pPr>
      <w:r>
        <w:t>2.2</w:t>
      </w:r>
      <w:r>
        <w:rPr>
          <w:rFonts w:hint="eastAsia"/>
        </w:rPr>
        <w:t>、</w:t>
      </w:r>
      <w:r>
        <w:t>史密斯圆图的使用方法和圆图的应用：阻抗圆图和导纳圆图的特点和区别。</w:t>
      </w:r>
    </w:p>
    <w:p>
      <w:pPr>
        <w:adjustRightInd w:val="0"/>
        <w:snapToGrid w:val="0"/>
        <w:spacing w:line="360" w:lineRule="auto"/>
        <w:ind w:firstLine="420" w:firstLineChars="200"/>
      </w:pPr>
      <w:r>
        <w:t>2.3</w:t>
      </w:r>
      <w:r>
        <w:rPr>
          <w:rFonts w:hint="eastAsia"/>
        </w:rPr>
        <w:t>、</w:t>
      </w:r>
      <w:r>
        <w:t>阻抗变换的基本概念和实现阻抗匹配的方法：阻抗匹配的两类实现方法，以实例讲解。</w:t>
      </w:r>
    </w:p>
    <w:p>
      <w:pPr>
        <w:adjustRightInd w:val="0"/>
        <w:snapToGrid w:val="0"/>
        <w:spacing w:line="360" w:lineRule="auto"/>
        <w:ind w:firstLine="420" w:firstLineChars="200"/>
        <w:rPr>
          <w:bCs/>
        </w:rPr>
      </w:pPr>
      <w:r>
        <w:rPr>
          <w:bCs/>
        </w:rPr>
        <w:t>重点：掌握传输线特性参数的物理含义。学会基本分析方法，可以采用用圆图求解相关问题。</w:t>
      </w:r>
    </w:p>
    <w:p>
      <w:pPr>
        <w:adjustRightInd w:val="0"/>
        <w:snapToGrid w:val="0"/>
        <w:spacing w:line="360" w:lineRule="auto"/>
        <w:ind w:firstLine="420" w:firstLineChars="200"/>
        <w:rPr>
          <w:bCs/>
        </w:rPr>
      </w:pPr>
      <w:r>
        <w:rPr>
          <w:bCs/>
        </w:rPr>
        <w:t>难点：传输线双分支匹配和三分支匹配的实现过程。</w:t>
      </w:r>
    </w:p>
    <w:p>
      <w:pPr>
        <w:tabs>
          <w:tab w:val="left" w:pos="420"/>
        </w:tabs>
        <w:adjustRightInd w:val="0"/>
        <w:snapToGrid w:val="0"/>
        <w:spacing w:line="360" w:lineRule="auto"/>
        <w:ind w:left="420" w:leftChars="200"/>
        <w:rPr>
          <w:b/>
          <w:bCs/>
          <w:szCs w:val="24"/>
        </w:rPr>
      </w:pPr>
      <w:r>
        <w:rPr>
          <w:bCs/>
          <w:szCs w:val="24"/>
        </w:rPr>
        <w:t>本章内容支撑课程目标1</w:t>
      </w:r>
      <w:r>
        <w:rPr>
          <w:rFonts w:hint="eastAsia"/>
          <w:b/>
          <w:bCs/>
          <w:szCs w:val="24"/>
        </w:rPr>
        <w:t>。</w:t>
      </w:r>
    </w:p>
    <w:p>
      <w:pPr>
        <w:adjustRightInd w:val="0"/>
        <w:snapToGrid w:val="0"/>
        <w:spacing w:line="360" w:lineRule="auto"/>
        <w:ind w:firstLine="420" w:firstLineChars="200"/>
        <w:rPr>
          <w:rFonts w:eastAsia="黑体"/>
        </w:rPr>
      </w:pPr>
      <w:r>
        <w:rPr>
          <w:rFonts w:eastAsia="黑体"/>
        </w:rPr>
        <w:t>3微波传输线（8学时）</w:t>
      </w:r>
    </w:p>
    <w:p>
      <w:pPr>
        <w:adjustRightInd w:val="0"/>
        <w:snapToGrid w:val="0"/>
        <w:spacing w:line="360" w:lineRule="auto"/>
        <w:ind w:firstLine="420" w:firstLineChars="200"/>
      </w:pPr>
      <w:r>
        <w:t>3.1</w:t>
      </w:r>
      <w:r>
        <w:rPr>
          <w:rFonts w:hint="eastAsia"/>
        </w:rPr>
        <w:t>、</w:t>
      </w:r>
      <w:r>
        <w:t>微波传输线的工作原理，结构特点，理解领会其传输特征：微波传输线的波型、传输条件、传播常数、传播速度、波导波长、截止波长、波阻抗等参数。</w:t>
      </w:r>
    </w:p>
    <w:p>
      <w:pPr>
        <w:adjustRightInd w:val="0"/>
        <w:snapToGrid w:val="0"/>
        <w:spacing w:line="360" w:lineRule="auto"/>
        <w:ind w:firstLine="420" w:firstLineChars="200"/>
      </w:pPr>
      <w:r>
        <w:t>3.2</w:t>
      </w:r>
      <w:r>
        <w:rPr>
          <w:rFonts w:hint="eastAsia"/>
        </w:rPr>
        <w:t>、</w:t>
      </w:r>
      <w:r>
        <w:t>矩形波导、圆波导、同轴线的主模传输特性和相关计算方法；弄懂矩形波导、圆波导、同轴线的截止波长、截止频率、波导波长、相速、群速、波型阻抗等传输特性参数的物理含义和计算方法。</w:t>
      </w:r>
    </w:p>
    <w:p>
      <w:pPr>
        <w:adjustRightInd w:val="0"/>
        <w:snapToGrid w:val="0"/>
        <w:spacing w:line="360" w:lineRule="auto"/>
        <w:ind w:firstLine="420" w:firstLineChars="200"/>
      </w:pPr>
      <w:r>
        <w:t>3.3</w:t>
      </w:r>
      <w:r>
        <w:rPr>
          <w:rFonts w:hint="eastAsia"/>
        </w:rPr>
        <w:t>、</w:t>
      </w:r>
      <w:r>
        <w:t>带状线和微带线的主模和基本特性：了解带状线和微带线的特性参量的物理含义、相关计算方法和尺寸选择方法。（此部分简单介绍，不做要求）</w:t>
      </w:r>
    </w:p>
    <w:p>
      <w:pPr>
        <w:adjustRightInd w:val="0"/>
        <w:snapToGrid w:val="0"/>
        <w:spacing w:line="360" w:lineRule="auto"/>
        <w:ind w:firstLine="420" w:firstLineChars="200"/>
        <w:rPr>
          <w:bCs/>
        </w:rPr>
      </w:pPr>
      <w:r>
        <w:rPr>
          <w:bCs/>
        </w:rPr>
        <w:t>重点：</w:t>
      </w:r>
      <w:r>
        <w:rPr>
          <w:rFonts w:hint="eastAsia"/>
          <w:bCs/>
        </w:rPr>
        <w:t>掌握</w:t>
      </w:r>
      <w:r>
        <w:rPr>
          <w:bCs/>
        </w:rPr>
        <w:t>导波系统（矩形波导、圆波导、同轴线）的特性与相关计算方法；</w:t>
      </w:r>
    </w:p>
    <w:p>
      <w:pPr>
        <w:adjustRightInd w:val="0"/>
        <w:snapToGrid w:val="0"/>
        <w:spacing w:line="360" w:lineRule="auto"/>
        <w:ind w:firstLine="420" w:firstLineChars="200"/>
        <w:rPr>
          <w:bCs/>
        </w:rPr>
      </w:pPr>
      <w:r>
        <w:rPr>
          <w:bCs/>
        </w:rPr>
        <w:t>难点：导波系统中传输波型理论表达式与空间场结构之间关系的理解。</w:t>
      </w:r>
    </w:p>
    <w:p>
      <w:pPr>
        <w:tabs>
          <w:tab w:val="left" w:pos="420"/>
        </w:tabs>
        <w:adjustRightInd w:val="0"/>
        <w:snapToGrid w:val="0"/>
        <w:spacing w:line="360" w:lineRule="auto"/>
        <w:ind w:left="420" w:leftChars="200"/>
        <w:rPr>
          <w:bCs/>
          <w:szCs w:val="24"/>
        </w:rPr>
      </w:pPr>
      <w:r>
        <w:rPr>
          <w:bCs/>
          <w:szCs w:val="24"/>
        </w:rPr>
        <w:t>本章内容支撑课程目标1</w:t>
      </w:r>
      <w:r>
        <w:rPr>
          <w:rFonts w:hint="eastAsia"/>
          <w:bCs/>
          <w:szCs w:val="24"/>
        </w:rPr>
        <w:t>。</w:t>
      </w:r>
    </w:p>
    <w:p>
      <w:pPr>
        <w:adjustRightInd w:val="0"/>
        <w:snapToGrid w:val="0"/>
        <w:spacing w:line="360" w:lineRule="auto"/>
        <w:ind w:firstLine="420" w:firstLineChars="200"/>
        <w:rPr>
          <w:rFonts w:eastAsia="黑体"/>
        </w:rPr>
      </w:pPr>
      <w:r>
        <w:rPr>
          <w:rFonts w:eastAsia="黑体"/>
        </w:rPr>
        <w:t>4微波网络（5学时）</w:t>
      </w:r>
    </w:p>
    <w:p>
      <w:pPr>
        <w:adjustRightInd w:val="0"/>
        <w:snapToGrid w:val="0"/>
        <w:spacing w:line="360" w:lineRule="auto"/>
        <w:ind w:firstLine="420" w:firstLineChars="200"/>
      </w:pPr>
      <w:r>
        <w:t>4.1</w:t>
      </w:r>
      <w:r>
        <w:rPr>
          <w:rFonts w:hint="eastAsia"/>
        </w:rPr>
        <w:t>、</w:t>
      </w:r>
      <w:r>
        <w:t>掌握微波网络分析的基本方法：微波网络的等效原则、归一化参量。</w:t>
      </w:r>
    </w:p>
    <w:p>
      <w:pPr>
        <w:adjustRightInd w:val="0"/>
        <w:snapToGrid w:val="0"/>
        <w:spacing w:line="360" w:lineRule="auto"/>
        <w:ind w:firstLine="420" w:firstLineChars="200"/>
      </w:pPr>
      <w:r>
        <w:t>4.2</w:t>
      </w:r>
      <w:r>
        <w:rPr>
          <w:rFonts w:hint="eastAsia"/>
        </w:rPr>
        <w:t>、</w:t>
      </w:r>
      <w:r>
        <w:t>微波网络的参量：弄懂微波网络的电路参量和波参量的物理含义和相互之间的关系，学会二端口微波网络散射参量（S矩阵）的物理含义和基本计算方法。</w:t>
      </w:r>
    </w:p>
    <w:p>
      <w:pPr>
        <w:adjustRightInd w:val="0"/>
        <w:snapToGrid w:val="0"/>
        <w:spacing w:line="360" w:lineRule="auto"/>
        <w:ind w:firstLine="420" w:firstLineChars="200"/>
      </w:pPr>
      <w:r>
        <w:t>4.3</w:t>
      </w:r>
      <w:r>
        <w:rPr>
          <w:rFonts w:hint="eastAsia"/>
        </w:rPr>
        <w:t>、</w:t>
      </w:r>
      <w:r>
        <w:t>会用基本电路单元的参量矩阵</w:t>
      </w:r>
    </w:p>
    <w:p>
      <w:pPr>
        <w:adjustRightInd w:val="0"/>
        <w:snapToGrid w:val="0"/>
        <w:spacing w:line="360" w:lineRule="auto"/>
        <w:ind w:firstLine="420" w:firstLineChars="200"/>
      </w:pPr>
      <w:r>
        <w:t>4.4</w:t>
      </w:r>
      <w:r>
        <w:rPr>
          <w:rFonts w:hint="eastAsia"/>
        </w:rPr>
        <w:t>、</w:t>
      </w:r>
      <w:r>
        <w:t>二端口微波网络的工作特性参量：弄懂二端口微波网络工作特性参量的物理含义和基本计算方法，能够区分二端口微波网络工作特性参量与电路参量、波参量之间的关系。</w:t>
      </w:r>
    </w:p>
    <w:p>
      <w:pPr>
        <w:adjustRightInd w:val="0"/>
        <w:snapToGrid w:val="0"/>
        <w:spacing w:line="360" w:lineRule="auto"/>
        <w:ind w:firstLine="420" w:firstLineChars="200"/>
        <w:rPr>
          <w:bCs/>
        </w:rPr>
      </w:pPr>
      <w:r>
        <w:rPr>
          <w:bCs/>
        </w:rPr>
        <w:t>重点：微波网络S矩阵及其特性。（用S矩阵表达简单导波系统的特性，结合本知识点，简要介绍HFSS仿真软件仿真S参数的相关内容）</w:t>
      </w:r>
    </w:p>
    <w:p>
      <w:pPr>
        <w:adjustRightInd w:val="0"/>
        <w:snapToGrid w:val="0"/>
        <w:spacing w:line="360" w:lineRule="auto"/>
        <w:ind w:firstLine="420" w:firstLineChars="200"/>
        <w:rPr>
          <w:bCs/>
        </w:rPr>
      </w:pPr>
      <w:r>
        <w:rPr>
          <w:bCs/>
        </w:rPr>
        <w:t>难点：微波网络方法和场论方法相结合的理念理解和应用。</w:t>
      </w:r>
    </w:p>
    <w:p>
      <w:pPr>
        <w:tabs>
          <w:tab w:val="left" w:pos="420"/>
        </w:tabs>
        <w:adjustRightInd w:val="0"/>
        <w:snapToGrid w:val="0"/>
        <w:spacing w:line="360" w:lineRule="auto"/>
        <w:ind w:left="420" w:leftChars="200"/>
        <w:rPr>
          <w:bCs/>
          <w:szCs w:val="24"/>
        </w:rPr>
      </w:pPr>
      <w:r>
        <w:rPr>
          <w:bCs/>
          <w:szCs w:val="24"/>
        </w:rPr>
        <w:t>本章内容支撑课程目标1</w:t>
      </w:r>
      <w:r>
        <w:rPr>
          <w:rFonts w:hint="eastAsia"/>
          <w:bCs/>
          <w:szCs w:val="24"/>
        </w:rPr>
        <w:t>。</w:t>
      </w:r>
    </w:p>
    <w:p>
      <w:pPr>
        <w:adjustRightInd w:val="0"/>
        <w:snapToGrid w:val="0"/>
        <w:spacing w:line="360" w:lineRule="auto"/>
        <w:ind w:firstLine="420" w:firstLineChars="200"/>
        <w:rPr>
          <w:rFonts w:eastAsia="黑体"/>
        </w:rPr>
      </w:pPr>
      <w:r>
        <w:rPr>
          <w:rFonts w:eastAsia="黑体"/>
        </w:rPr>
        <w:t>5微波谐振器及常用微波元件（5学时）</w:t>
      </w:r>
    </w:p>
    <w:p>
      <w:pPr>
        <w:adjustRightInd w:val="0"/>
        <w:snapToGrid w:val="0"/>
        <w:spacing w:line="360" w:lineRule="auto"/>
        <w:ind w:firstLine="420" w:firstLineChars="200"/>
      </w:pPr>
      <w:r>
        <w:t>5.1</w:t>
      </w:r>
      <w:r>
        <w:rPr>
          <w:rFonts w:hint="eastAsia"/>
        </w:rPr>
        <w:t>、</w:t>
      </w:r>
      <w:r>
        <w:t>常用微波元器件的结构特点、基本分析方法及其用途；主要包括：衰减器和移相器、阻抗变换器、定向耦合器和微波谐振器等。</w:t>
      </w:r>
    </w:p>
    <w:p>
      <w:pPr>
        <w:adjustRightInd w:val="0"/>
        <w:snapToGrid w:val="0"/>
        <w:spacing w:line="360" w:lineRule="auto"/>
        <w:ind w:firstLine="420" w:firstLineChars="200"/>
      </w:pPr>
      <w:r>
        <w:t>5.2</w:t>
      </w:r>
      <w:r>
        <w:rPr>
          <w:rFonts w:hint="eastAsia"/>
        </w:rPr>
        <w:t>、</w:t>
      </w:r>
      <w:r>
        <w:t>分析微波谐振器（矩形腔、圆柱形腔、同轴线腔）的特性与计算方法：微波谐振器的谐振特点，特别是与低频谐振回路的区别，微波谐振器的谐振频率等相关计算方法。</w:t>
      </w:r>
    </w:p>
    <w:p>
      <w:pPr>
        <w:adjustRightInd w:val="0"/>
        <w:snapToGrid w:val="0"/>
        <w:spacing w:line="360" w:lineRule="auto"/>
        <w:ind w:firstLine="420" w:firstLineChars="200"/>
      </w:pPr>
      <w:r>
        <w:rPr>
          <w:rFonts w:hint="eastAsia"/>
        </w:rPr>
        <w:t>5</w:t>
      </w:r>
      <w:r>
        <w:t>.3</w:t>
      </w:r>
      <w:r>
        <w:rPr>
          <w:rFonts w:hint="eastAsia"/>
        </w:rPr>
        <w:t>、</w:t>
      </w:r>
      <w:r>
        <w:t>设计过程考虑的因素</w:t>
      </w:r>
      <w:r>
        <w:rPr>
          <w:rFonts w:hint="eastAsia"/>
        </w:rPr>
        <w:t>，</w:t>
      </w:r>
      <w:r>
        <w:t>包括不同环境对微波性能的影响</w:t>
      </w:r>
      <w:r>
        <w:rPr>
          <w:rFonts w:hint="eastAsia"/>
        </w:rPr>
        <w:t>，微波对空间电磁环境的影响。</w:t>
      </w:r>
    </w:p>
    <w:p>
      <w:pPr>
        <w:adjustRightInd w:val="0"/>
        <w:snapToGrid w:val="0"/>
        <w:spacing w:line="360" w:lineRule="auto"/>
        <w:ind w:firstLine="420" w:firstLineChars="200"/>
        <w:rPr>
          <w:bCs/>
        </w:rPr>
      </w:pPr>
      <w:r>
        <w:rPr>
          <w:bCs/>
        </w:rPr>
        <w:t>重点：微波谐振器（矩形腔、圆柱形腔、同轴线腔）的特性与谐振频率的计算方法。</w:t>
      </w:r>
    </w:p>
    <w:p>
      <w:pPr>
        <w:tabs>
          <w:tab w:val="left" w:pos="420"/>
        </w:tabs>
        <w:adjustRightInd w:val="0"/>
        <w:snapToGrid w:val="0"/>
        <w:spacing w:line="360" w:lineRule="auto"/>
        <w:ind w:left="420" w:leftChars="200"/>
        <w:rPr>
          <w:bCs/>
          <w:szCs w:val="24"/>
        </w:rPr>
      </w:pPr>
      <w:r>
        <w:rPr>
          <w:bCs/>
          <w:szCs w:val="24"/>
        </w:rPr>
        <w:t>本章内容支撑课程目标1</w:t>
      </w:r>
      <w:r>
        <w:rPr>
          <w:rFonts w:hint="eastAsia"/>
          <w:bCs/>
          <w:szCs w:val="24"/>
        </w:rPr>
        <w:t>、</w:t>
      </w:r>
      <w:r>
        <w:rPr>
          <w:bCs/>
          <w:szCs w:val="24"/>
        </w:rPr>
        <w:t>2</w:t>
      </w:r>
      <w:r>
        <w:rPr>
          <w:rFonts w:hint="eastAsia"/>
          <w:bCs/>
          <w:szCs w:val="24"/>
        </w:rPr>
        <w:t>。</w:t>
      </w:r>
    </w:p>
    <w:p>
      <w:pPr>
        <w:adjustRightInd w:val="0"/>
        <w:snapToGrid w:val="0"/>
        <w:spacing w:line="360" w:lineRule="auto"/>
        <w:rPr>
          <w:rFonts w:eastAsia="黑体"/>
        </w:rPr>
      </w:pPr>
      <w:r>
        <w:rPr>
          <w:rFonts w:eastAsia="黑体"/>
        </w:rPr>
        <w:t>五、实验内容</w:t>
      </w:r>
    </w:p>
    <w:p>
      <w:pPr>
        <w:adjustRightInd w:val="0"/>
        <w:snapToGrid w:val="0"/>
        <w:spacing w:line="360" w:lineRule="auto"/>
        <w:ind w:firstLine="420" w:firstLineChars="200"/>
      </w:pPr>
      <w:r>
        <w:t>本课程实验包括微波测量线和HFSS三维电磁仿真软件的基本应用两部分内容。仿真实验环节主要是上机操作，要求保证上机条件，即具备常用的HFSS三维电磁仿真软件工具。目的使学生了解微波传输线的信号频率、驻波比、波导波长等参数的测量及阻抗匹配技术的基本应用；学会利用HFSS仿真软件对T型波导进行内场仿真的基本应用。</w:t>
      </w:r>
    </w:p>
    <w:p>
      <w:pPr>
        <w:adjustRightInd w:val="0"/>
        <w:snapToGrid w:val="0"/>
        <w:spacing w:line="360" w:lineRule="auto"/>
        <w:ind w:firstLine="420" w:firstLineChars="200"/>
      </w:pPr>
      <w:r>
        <w:t>要求学生提前预习和自学HFSS三维电磁仿真软件相关部分的基本使用方法，能够在给定条件下仿真出波导的S参数曲线等结果，学生能够对仿真结果做出简单分析。</w:t>
      </w:r>
    </w:p>
    <w:p>
      <w:pPr>
        <w:adjustRightInd w:val="0"/>
        <w:snapToGrid w:val="0"/>
        <w:spacing w:line="360" w:lineRule="auto"/>
        <w:ind w:firstLine="420" w:firstLineChars="200"/>
        <w:rPr>
          <w:rFonts w:eastAsia="黑体"/>
        </w:rPr>
      </w:pPr>
      <w:r>
        <w:rPr>
          <w:rFonts w:eastAsia="黑体"/>
        </w:rPr>
        <w:t>实验一  利用微波测量线实现微波频率、电压驻波比、波导波长测量及阻抗匹配技术(2学时)</w:t>
      </w:r>
    </w:p>
    <w:p>
      <w:pPr>
        <w:adjustRightInd w:val="0"/>
        <w:snapToGrid w:val="0"/>
        <w:spacing w:line="360" w:lineRule="auto"/>
        <w:ind w:firstLine="420" w:firstLineChars="200"/>
      </w:pPr>
      <w:r>
        <w:t>内容：</w:t>
      </w:r>
    </w:p>
    <w:p>
      <w:pPr>
        <w:adjustRightInd w:val="0"/>
        <w:snapToGrid w:val="0"/>
        <w:spacing w:line="360" w:lineRule="auto"/>
        <w:ind w:firstLine="420" w:firstLineChars="200"/>
      </w:pPr>
      <w:r>
        <w:t>1、利用频率计和基本微波测量线测量微波信号源的频率</w:t>
      </w:r>
      <w:r>
        <w:rPr>
          <w:rFonts w:hint="eastAsia"/>
        </w:rPr>
        <w:t>；</w:t>
      </w:r>
    </w:p>
    <w:p>
      <w:pPr>
        <w:adjustRightInd w:val="0"/>
        <w:snapToGrid w:val="0"/>
        <w:spacing w:line="360" w:lineRule="auto"/>
        <w:ind w:firstLine="420" w:firstLineChars="200"/>
      </w:pPr>
      <w:r>
        <w:t>2、利用选频放大器和基本微波测量线测量传输系统的电压驻波比</w:t>
      </w:r>
      <w:r>
        <w:rPr>
          <w:rFonts w:hint="eastAsia"/>
        </w:rPr>
        <w:t>；</w:t>
      </w:r>
    </w:p>
    <w:p>
      <w:pPr>
        <w:adjustRightInd w:val="0"/>
        <w:snapToGrid w:val="0"/>
        <w:spacing w:line="360" w:lineRule="auto"/>
        <w:ind w:firstLine="420" w:firstLineChars="200"/>
      </w:pPr>
      <w:r>
        <w:t>3、利用选频放大器和基本微波测量线测量传输系统的波导波长</w:t>
      </w:r>
      <w:r>
        <w:rPr>
          <w:rFonts w:hint="eastAsia"/>
        </w:rPr>
        <w:t>；</w:t>
      </w:r>
    </w:p>
    <w:p>
      <w:pPr>
        <w:adjustRightInd w:val="0"/>
        <w:snapToGrid w:val="0"/>
        <w:spacing w:line="360" w:lineRule="auto"/>
        <w:ind w:firstLine="420" w:firstLineChars="200"/>
      </w:pPr>
      <w:r>
        <w:t>4、利用单螺调配器和双T调配器实现微波测量线的阻抗匹配。</w:t>
      </w:r>
    </w:p>
    <w:p>
      <w:pPr>
        <w:adjustRightInd w:val="0"/>
        <w:snapToGrid w:val="0"/>
        <w:spacing w:line="360" w:lineRule="auto"/>
        <w:ind w:firstLine="420" w:firstLineChars="200"/>
      </w:pPr>
      <w:r>
        <w:t>基本要求：</w:t>
      </w:r>
    </w:p>
    <w:p>
      <w:pPr>
        <w:adjustRightInd w:val="0"/>
        <w:snapToGrid w:val="0"/>
        <w:spacing w:line="360" w:lineRule="auto"/>
        <w:ind w:firstLine="420" w:firstLineChars="200"/>
      </w:pPr>
      <w:r>
        <w:t>1、学习频率计和基本微波测量系统的组成和调整</w:t>
      </w:r>
      <w:r>
        <w:rPr>
          <w:rFonts w:hint="eastAsia"/>
        </w:rPr>
        <w:t>；</w:t>
      </w:r>
    </w:p>
    <w:p>
      <w:pPr>
        <w:adjustRightInd w:val="0"/>
        <w:snapToGrid w:val="0"/>
        <w:spacing w:line="360" w:lineRule="auto"/>
        <w:ind w:firstLine="420" w:firstLineChars="200"/>
      </w:pPr>
      <w:r>
        <w:t>2、学习微波信号频率（或波长）的测量原理和常用测量方法</w:t>
      </w:r>
      <w:r>
        <w:rPr>
          <w:rFonts w:hint="eastAsia"/>
        </w:rPr>
        <w:t>；</w:t>
      </w:r>
    </w:p>
    <w:p>
      <w:pPr>
        <w:adjustRightInd w:val="0"/>
        <w:snapToGrid w:val="0"/>
        <w:spacing w:line="360" w:lineRule="auto"/>
        <w:ind w:firstLine="420" w:firstLineChars="200"/>
      </w:pPr>
      <w:r>
        <w:t>3、学习选频放大器与基本微波测量系统的测量方法</w:t>
      </w:r>
      <w:r>
        <w:rPr>
          <w:rFonts w:hint="eastAsia"/>
        </w:rPr>
        <w:t>；</w:t>
      </w:r>
    </w:p>
    <w:p>
      <w:pPr>
        <w:adjustRightInd w:val="0"/>
        <w:snapToGrid w:val="0"/>
        <w:spacing w:line="360" w:lineRule="auto"/>
        <w:ind w:firstLine="420" w:firstLineChars="200"/>
      </w:pPr>
      <w:r>
        <w:t>4、学习电压驻波比的测量原理和测量方法</w:t>
      </w:r>
      <w:r>
        <w:rPr>
          <w:rFonts w:hint="eastAsia"/>
        </w:rPr>
        <w:t>；</w:t>
      </w:r>
    </w:p>
    <w:p>
      <w:pPr>
        <w:adjustRightInd w:val="0"/>
        <w:snapToGrid w:val="0"/>
        <w:spacing w:line="360" w:lineRule="auto"/>
        <w:ind w:firstLine="420" w:firstLineChars="200"/>
      </w:pPr>
      <w:r>
        <w:t>5、学习利用微波测量线测量波导波长的方法</w:t>
      </w:r>
      <w:r>
        <w:rPr>
          <w:rFonts w:hint="eastAsia"/>
        </w:rPr>
        <w:t>；</w:t>
      </w:r>
    </w:p>
    <w:p>
      <w:pPr>
        <w:adjustRightInd w:val="0"/>
        <w:snapToGrid w:val="0"/>
        <w:spacing w:line="360" w:lineRule="auto"/>
        <w:ind w:firstLine="420" w:firstLineChars="200"/>
      </w:pPr>
      <w:r>
        <w:t>6、学习利用单螺或短截线等类型的调配器实现阻抗匹配的方法。</w:t>
      </w:r>
    </w:p>
    <w:p>
      <w:pPr>
        <w:adjustRightInd w:val="0"/>
        <w:snapToGrid w:val="0"/>
        <w:spacing w:line="360" w:lineRule="auto"/>
        <w:ind w:firstLine="420" w:firstLineChars="200"/>
      </w:pPr>
      <w:r>
        <w:rPr>
          <w:rFonts w:cs="宋体"/>
          <w:bCs/>
          <w:snapToGrid w:val="0"/>
          <w:kern w:val="0"/>
          <w:szCs w:val="21"/>
        </w:rPr>
        <w:t>本实验支撑课程目标1</w:t>
      </w:r>
      <w:r>
        <w:rPr>
          <w:rFonts w:hint="eastAsia" w:cs="宋体"/>
          <w:bCs/>
          <w:snapToGrid w:val="0"/>
          <w:kern w:val="0"/>
          <w:szCs w:val="21"/>
        </w:rPr>
        <w:t>。</w:t>
      </w:r>
    </w:p>
    <w:p>
      <w:pPr>
        <w:adjustRightInd w:val="0"/>
        <w:snapToGrid w:val="0"/>
        <w:spacing w:line="360" w:lineRule="auto"/>
        <w:ind w:firstLine="420" w:firstLineChars="200"/>
        <w:rPr>
          <w:rFonts w:eastAsia="黑体"/>
        </w:rPr>
      </w:pPr>
      <w:r>
        <w:rPr>
          <w:rFonts w:eastAsia="黑体"/>
        </w:rPr>
        <w:t>实验二  HFSS仿真软件的基础应用(2学时)</w:t>
      </w:r>
    </w:p>
    <w:p>
      <w:pPr>
        <w:adjustRightInd w:val="0"/>
        <w:snapToGrid w:val="0"/>
        <w:spacing w:line="360" w:lineRule="auto"/>
        <w:ind w:firstLine="420" w:firstLineChars="200"/>
      </w:pPr>
      <w:r>
        <w:t>内容：</w:t>
      </w:r>
    </w:p>
    <w:p>
      <w:pPr>
        <w:pStyle w:val="31"/>
        <w:numPr>
          <w:ilvl w:val="0"/>
          <w:numId w:val="32"/>
        </w:numPr>
        <w:adjustRightInd w:val="0"/>
        <w:snapToGrid w:val="0"/>
        <w:spacing w:line="360" w:lineRule="auto"/>
        <w:ind w:firstLineChars="0"/>
      </w:pPr>
      <w:r>
        <w:t>利用HFSS仿真软件对T形波导进行内场仿真；</w:t>
      </w:r>
    </w:p>
    <w:p>
      <w:pPr>
        <w:adjustRightInd w:val="0"/>
        <w:snapToGrid w:val="0"/>
        <w:spacing w:line="360" w:lineRule="auto"/>
        <w:ind w:firstLine="420" w:firstLineChars="200"/>
      </w:pPr>
      <w:r>
        <w:t>2、根据给定条件确定S参量曲线和驻波比曲线。</w:t>
      </w:r>
    </w:p>
    <w:p>
      <w:pPr>
        <w:adjustRightInd w:val="0"/>
        <w:snapToGrid w:val="0"/>
        <w:spacing w:line="360" w:lineRule="auto"/>
        <w:ind w:firstLine="420" w:firstLineChars="200"/>
      </w:pPr>
      <w:r>
        <w:t>基本要求：</w:t>
      </w:r>
    </w:p>
    <w:p>
      <w:pPr>
        <w:adjustRightInd w:val="0"/>
        <w:snapToGrid w:val="0"/>
        <w:spacing w:line="360" w:lineRule="auto"/>
        <w:ind w:firstLine="420" w:firstLineChars="200"/>
      </w:pPr>
      <w:r>
        <w:t>1、提前自学和预习HFSS仿真软件相关部分的运行环境；</w:t>
      </w:r>
    </w:p>
    <w:p>
      <w:pPr>
        <w:adjustRightInd w:val="0"/>
        <w:snapToGrid w:val="0"/>
        <w:spacing w:line="360" w:lineRule="auto"/>
        <w:ind w:firstLine="420" w:firstLineChars="200"/>
      </w:pPr>
      <w:r>
        <w:t>2、能够用HFSS仿真软件求S参量和驻波比</w:t>
      </w:r>
      <w:r>
        <w:rPr>
          <w:rFonts w:hint="eastAsia"/>
        </w:rPr>
        <w:t>；</w:t>
      </w:r>
    </w:p>
    <w:p>
      <w:pPr>
        <w:adjustRightInd w:val="0"/>
        <w:snapToGrid w:val="0"/>
        <w:spacing w:line="360" w:lineRule="auto"/>
        <w:ind w:firstLine="420" w:firstLineChars="200"/>
      </w:pPr>
      <w:r>
        <w:rPr>
          <w:rFonts w:hint="eastAsia"/>
        </w:rPr>
        <w:t>3、能够考虑仿真设计的器件对</w:t>
      </w:r>
      <w:r>
        <w:rPr>
          <w:szCs w:val="21"/>
        </w:rPr>
        <w:t>电磁环境污染</w:t>
      </w:r>
      <w:r>
        <w:rPr>
          <w:rFonts w:hint="eastAsia"/>
          <w:szCs w:val="21"/>
        </w:rPr>
        <w:t>的影响。</w:t>
      </w:r>
    </w:p>
    <w:p>
      <w:pPr>
        <w:adjustRightInd w:val="0"/>
        <w:snapToGrid w:val="0"/>
        <w:spacing w:line="360" w:lineRule="auto"/>
        <w:ind w:firstLine="420" w:firstLineChars="200"/>
      </w:pPr>
      <w:r>
        <w:rPr>
          <w:rFonts w:cs="宋体"/>
          <w:bCs/>
          <w:snapToGrid w:val="0"/>
          <w:kern w:val="0"/>
          <w:szCs w:val="21"/>
        </w:rPr>
        <w:t>本实验支撑课程目标1、2</w:t>
      </w:r>
      <w:r>
        <w:rPr>
          <w:rFonts w:hint="eastAsia" w:cs="宋体"/>
          <w:bCs/>
          <w:snapToGrid w:val="0"/>
          <w:kern w:val="0"/>
          <w:szCs w:val="21"/>
        </w:rPr>
        <w:t>。</w:t>
      </w:r>
    </w:p>
    <w:p>
      <w:pPr>
        <w:widowControl/>
        <w:spacing w:line="360" w:lineRule="auto"/>
        <w:jc w:val="left"/>
        <w:rPr>
          <w:rFonts w:ascii="黑体" w:hAnsi="宋体" w:eastAsia="黑体" w:cs="宋体"/>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1702"/>
        <w:gridCol w:w="1588"/>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讲授的知识点及内容</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讲授（学时）</w:t>
            </w:r>
          </w:p>
        </w:tc>
        <w:tc>
          <w:tcPr>
            <w:tcW w:w="95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实验（学时）</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 绪论</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w:t>
            </w:r>
          </w:p>
        </w:tc>
        <w:tc>
          <w:tcPr>
            <w:tcW w:w="955" w:type="pct"/>
            <w:shd w:val="clear" w:color="auto" w:fill="auto"/>
            <w:vAlign w:val="center"/>
          </w:tcPr>
          <w:p>
            <w:pPr>
              <w:widowControl/>
              <w:adjustRightInd w:val="0"/>
              <w:snapToGrid w:val="0"/>
              <w:jc w:val="center"/>
              <w:rPr>
                <w:rFonts w:cs="宋体"/>
                <w:kern w:val="0"/>
                <w:sz w:val="18"/>
                <w:szCs w:val="18"/>
              </w:rPr>
            </w:pP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2传输线基本理论</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9</w:t>
            </w:r>
          </w:p>
        </w:tc>
        <w:tc>
          <w:tcPr>
            <w:tcW w:w="95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 微波传输线</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8</w:t>
            </w:r>
          </w:p>
        </w:tc>
        <w:tc>
          <w:tcPr>
            <w:tcW w:w="95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1</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4 微波网络</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c>
          <w:tcPr>
            <w:tcW w:w="95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2</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 微波谐振器及常用微波元件</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c>
          <w:tcPr>
            <w:tcW w:w="955" w:type="pct"/>
            <w:shd w:val="clear" w:color="auto" w:fill="auto"/>
            <w:vAlign w:val="center"/>
          </w:tcPr>
          <w:p>
            <w:pPr>
              <w:widowControl/>
              <w:adjustRightInd w:val="0"/>
              <w:snapToGrid w:val="0"/>
              <w:jc w:val="center"/>
              <w:rPr>
                <w:rFonts w:cs="宋体"/>
                <w:kern w:val="0"/>
                <w:sz w:val="18"/>
                <w:szCs w:val="18"/>
              </w:rPr>
            </w:pP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17"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合计</w:t>
            </w:r>
          </w:p>
        </w:tc>
        <w:tc>
          <w:tcPr>
            <w:tcW w:w="102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28</w:t>
            </w:r>
          </w:p>
        </w:tc>
        <w:tc>
          <w:tcPr>
            <w:tcW w:w="95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4</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pPr>
      <w:r>
        <w:rPr>
          <w:rFonts w:hint="eastAsia"/>
          <w:szCs w:val="21"/>
        </w:rPr>
        <w:t>1、《微波技术基础》</w:t>
      </w:r>
      <w:r>
        <w:t>（第</w:t>
      </w:r>
      <w:r>
        <w:rPr>
          <w:rFonts w:hint="eastAsia"/>
        </w:rPr>
        <w:t>2</w:t>
      </w:r>
      <w:r>
        <w:t>版），</w:t>
      </w:r>
      <w:r>
        <w:rPr>
          <w:rFonts w:hint="eastAsia"/>
        </w:rPr>
        <w:t>李秀萍主编</w:t>
      </w:r>
      <w:r>
        <w:t>，普通高等教育“十</w:t>
      </w:r>
      <w:r>
        <w:rPr>
          <w:rFonts w:hint="eastAsia"/>
        </w:rPr>
        <w:t>三</w:t>
      </w:r>
      <w:r>
        <w:t>五”规划教材，</w:t>
      </w:r>
      <w:r>
        <w:rPr>
          <w:rFonts w:hint="eastAsia"/>
        </w:rPr>
        <w:t>中国电子教育学会电子信息类高等教育优秀教材，电子工业出版社</w:t>
      </w:r>
    </w:p>
    <w:p>
      <w:pPr>
        <w:spacing w:line="360" w:lineRule="auto"/>
        <w:ind w:firstLine="420" w:firstLineChars="200"/>
      </w:pPr>
      <w:r>
        <w:rPr>
          <w:rFonts w:eastAsia="黑体"/>
        </w:rPr>
        <w:t>2、《</w:t>
      </w:r>
      <w:r>
        <w:t>微波技术基础》（第4版），闫瑞卿李英惠编，普通高等教育“十一五”国家级规划教材，北京理工大学出版社</w:t>
      </w:r>
    </w:p>
    <w:p>
      <w:pPr>
        <w:widowControl/>
        <w:adjustRightInd w:val="0"/>
        <w:snapToGrid w:val="0"/>
        <w:spacing w:line="360" w:lineRule="auto"/>
        <w:ind w:firstLine="420" w:firstLineChars="200"/>
      </w:pPr>
      <w:r>
        <w:t>3、《微波技术基本教程》，闫瑞卿编，电子信息类精品教材、北京市高等教育精品教材立项项目，电子工业出版社</w:t>
      </w:r>
    </w:p>
    <w:p>
      <w:pPr>
        <w:widowControl/>
        <w:adjustRightInd w:val="0"/>
        <w:snapToGrid w:val="0"/>
        <w:spacing w:line="360" w:lineRule="auto"/>
        <w:ind w:firstLine="420" w:firstLineChars="200"/>
      </w:pPr>
      <w:r>
        <w:t>4、《微波技术》，顾继慧编著，21世纪高等院校教材科学出版社</w:t>
      </w:r>
    </w:p>
    <w:p>
      <w:pPr>
        <w:widowControl/>
        <w:adjustRightInd w:val="0"/>
        <w:snapToGrid w:val="0"/>
        <w:spacing w:line="360" w:lineRule="auto"/>
        <w:ind w:firstLine="420" w:firstLineChars="200"/>
        <w:rPr>
          <w:lang w:val="en-GB"/>
        </w:rPr>
      </w:pPr>
      <w:r>
        <w:t>5、《电磁场与电磁波》，</w:t>
      </w:r>
      <w:r>
        <w:rPr>
          <w:lang w:val="en-GB"/>
        </w:rPr>
        <w:t>Bhag Singh Guru, Huseyin R. Hiziroglu著，周克定、张肃文，董天临、辜承林译，周克定校，</w:t>
      </w:r>
      <w:r>
        <w:t>电子工程丛书，</w:t>
      </w:r>
      <w:r>
        <w:rPr>
          <w:lang w:val="en-GB"/>
        </w:rPr>
        <w:t>机械工业出版社</w:t>
      </w:r>
    </w:p>
    <w:p>
      <w:pPr>
        <w:widowControl/>
        <w:adjustRightInd w:val="0"/>
        <w:snapToGrid w:val="0"/>
        <w:spacing w:line="360" w:lineRule="auto"/>
        <w:ind w:firstLine="420" w:firstLineChars="200"/>
      </w:pPr>
      <w:r>
        <w:rPr>
          <w:lang w:val="en-GB"/>
        </w:rPr>
        <w:t>6、</w:t>
      </w:r>
      <w:r>
        <w:t>《微波</w:t>
      </w:r>
      <w:r>
        <w:rPr>
          <w:lang w:val="en-GB"/>
        </w:rPr>
        <w:t>测量与实验教程</w:t>
      </w:r>
      <w:r>
        <w:t>》，赵春辉、杨莘元主编，哈尔滨工程大学出版社</w:t>
      </w:r>
    </w:p>
    <w:p>
      <w:pPr>
        <w:widowControl/>
        <w:adjustRightInd w:val="0"/>
        <w:snapToGrid w:val="0"/>
        <w:spacing w:line="360" w:lineRule="auto"/>
        <w:ind w:firstLine="420" w:firstLineChars="200"/>
        <w:rPr>
          <w:lang w:val="en-GB"/>
        </w:rPr>
      </w:pPr>
      <w:r>
        <w:rPr>
          <w:lang w:val="en-GB"/>
        </w:rPr>
        <w:t>7、视频资料《微波技术基础》，西安电子科技大学，资料链接地址</w:t>
      </w:r>
      <w:r>
        <w:fldChar w:fldCharType="begin"/>
      </w:r>
      <w:r>
        <w:instrText xml:space="preserve"> HYPERLINK "http://see.xidian.edu.c-n/microwave/jxlx.asp" </w:instrText>
      </w:r>
      <w:r>
        <w:fldChar w:fldCharType="separate"/>
      </w:r>
      <w:r>
        <w:rPr>
          <w:rStyle w:val="27"/>
          <w:color w:val="auto"/>
          <w:lang w:val="en-GB"/>
        </w:rPr>
        <w:t>http://see.xidian.edu.c-n/microwave/jxlx.asp</w:t>
      </w:r>
      <w:r>
        <w:rPr>
          <w:rStyle w:val="27"/>
          <w:color w:val="auto"/>
          <w:lang w:val="en-GB"/>
        </w:rPr>
        <w:fldChar w:fldCharType="end"/>
      </w:r>
    </w:p>
    <w:p>
      <w:pPr>
        <w:widowControl/>
        <w:adjustRightInd w:val="0"/>
        <w:snapToGrid w:val="0"/>
        <w:spacing w:line="360" w:lineRule="auto"/>
        <w:ind w:firstLine="420" w:firstLineChars="200"/>
        <w:rPr>
          <w:lang w:val="en-GB"/>
        </w:rPr>
      </w:pPr>
      <w:r>
        <w:rPr>
          <w:lang w:val="en-GB"/>
        </w:rPr>
        <w:t>8、《HFSS应用详解</w:t>
      </w:r>
      <w:r>
        <w:rPr>
          <w:rFonts w:hint="eastAsia"/>
          <w:lang w:val="en-GB"/>
        </w:rPr>
        <w:t>—</w:t>
      </w:r>
      <w:r>
        <w:rPr>
          <w:lang w:val="en-GB"/>
        </w:rPr>
        <w:t>电测仿真设计》，李明洋编著，人民邮电出版社</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widowControl/>
        <w:adjustRightInd w:val="0"/>
        <w:snapToGrid w:val="0"/>
        <w:spacing w:line="360" w:lineRule="auto"/>
        <w:ind w:firstLine="420" w:firstLineChars="200"/>
        <w:rPr>
          <w:lang w:val="en-GB"/>
        </w:rPr>
      </w:pPr>
      <w:r>
        <w:rPr>
          <w:lang w:val="en-GB"/>
        </w:rPr>
        <w:t>1、考核目标：在考核学生掌握微波传输线的基本概念、特性参量物理含义的基础上，重点考核学生对微波传输线特别是规则波导的基本分析方法和主要特性参量的计算和应用的掌握程度。</w:t>
      </w:r>
    </w:p>
    <w:p>
      <w:pPr>
        <w:widowControl/>
        <w:adjustRightInd w:val="0"/>
        <w:snapToGrid w:val="0"/>
        <w:spacing w:line="360" w:lineRule="auto"/>
        <w:ind w:firstLine="420" w:firstLineChars="200"/>
        <w:rPr>
          <w:lang w:val="en-GB"/>
        </w:rPr>
      </w:pPr>
      <w:r>
        <w:rPr>
          <w:lang w:val="en-GB"/>
        </w:rPr>
        <w:t>2、考核方式：综述小论文，结课答辩；实验、作业、课堂提问。</w:t>
      </w:r>
    </w:p>
    <w:p>
      <w:pPr>
        <w:widowControl/>
        <w:adjustRightInd w:val="0"/>
        <w:snapToGrid w:val="0"/>
        <w:spacing w:line="360" w:lineRule="auto"/>
        <w:ind w:firstLine="420" w:firstLineChars="200"/>
        <w:rPr>
          <w:lang w:val="en-GB"/>
        </w:rPr>
      </w:pPr>
      <w:r>
        <w:rPr>
          <w:lang w:val="en-GB"/>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199"/>
        <w:gridCol w:w="1411"/>
        <w:gridCol w:w="1411"/>
        <w:gridCol w:w="1411"/>
        <w:gridCol w:w="12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77" w:type="pct"/>
            <w:vAlign w:val="center"/>
          </w:tcPr>
          <w:p>
            <w:pPr>
              <w:widowControl/>
              <w:jc w:val="center"/>
              <w:rPr>
                <w:color w:val="000000"/>
                <w:kern w:val="0"/>
                <w:sz w:val="18"/>
                <w:szCs w:val="18"/>
              </w:rPr>
            </w:pPr>
            <w:r>
              <w:rPr>
                <w:color w:val="000000"/>
                <w:kern w:val="0"/>
                <w:sz w:val="18"/>
                <w:szCs w:val="18"/>
              </w:rPr>
              <w:t>考察环节</w:t>
            </w:r>
          </w:p>
        </w:tc>
        <w:tc>
          <w:tcPr>
            <w:tcW w:w="721" w:type="pct"/>
            <w:shd w:val="clear" w:color="auto" w:fill="auto"/>
            <w:vAlign w:val="center"/>
          </w:tcPr>
          <w:p>
            <w:pPr>
              <w:widowControl/>
              <w:jc w:val="center"/>
              <w:rPr>
                <w:color w:val="000000"/>
                <w:kern w:val="0"/>
                <w:sz w:val="18"/>
                <w:szCs w:val="18"/>
              </w:rPr>
            </w:pPr>
            <w:r>
              <w:rPr>
                <w:color w:val="000000"/>
                <w:kern w:val="0"/>
                <w:sz w:val="18"/>
                <w:szCs w:val="18"/>
              </w:rPr>
              <w:t>课堂情况</w:t>
            </w:r>
          </w:p>
        </w:tc>
        <w:tc>
          <w:tcPr>
            <w:tcW w:w="849" w:type="pct"/>
            <w:shd w:val="clear" w:color="auto" w:fill="auto"/>
            <w:vAlign w:val="center"/>
          </w:tcPr>
          <w:p>
            <w:pPr>
              <w:widowControl/>
              <w:jc w:val="center"/>
              <w:rPr>
                <w:color w:val="000000"/>
                <w:kern w:val="0"/>
                <w:sz w:val="18"/>
                <w:szCs w:val="18"/>
              </w:rPr>
            </w:pPr>
            <w:r>
              <w:rPr>
                <w:color w:val="000000"/>
                <w:kern w:val="0"/>
                <w:sz w:val="18"/>
                <w:szCs w:val="18"/>
              </w:rPr>
              <w:t>作业</w:t>
            </w:r>
          </w:p>
        </w:tc>
        <w:tc>
          <w:tcPr>
            <w:tcW w:w="849" w:type="pct"/>
            <w:shd w:val="clear" w:color="auto" w:fill="auto"/>
            <w:vAlign w:val="center"/>
          </w:tcPr>
          <w:p>
            <w:pPr>
              <w:widowControl/>
              <w:jc w:val="center"/>
              <w:rPr>
                <w:color w:val="000000"/>
                <w:kern w:val="0"/>
                <w:sz w:val="18"/>
                <w:szCs w:val="18"/>
              </w:rPr>
            </w:pPr>
            <w:r>
              <w:rPr>
                <w:color w:val="000000"/>
                <w:kern w:val="0"/>
                <w:sz w:val="18"/>
                <w:szCs w:val="18"/>
              </w:rPr>
              <w:t>实验</w:t>
            </w:r>
          </w:p>
        </w:tc>
        <w:tc>
          <w:tcPr>
            <w:tcW w:w="849" w:type="pct"/>
            <w:shd w:val="clear" w:color="auto" w:fill="auto"/>
            <w:vAlign w:val="center"/>
          </w:tcPr>
          <w:p>
            <w:pPr>
              <w:jc w:val="center"/>
              <w:rPr>
                <w:color w:val="000000"/>
                <w:kern w:val="0"/>
                <w:sz w:val="18"/>
                <w:szCs w:val="18"/>
              </w:rPr>
            </w:pPr>
            <w:r>
              <w:rPr>
                <w:color w:val="000000"/>
                <w:kern w:val="0"/>
                <w:sz w:val="18"/>
                <w:szCs w:val="18"/>
              </w:rPr>
              <w:t>综述</w:t>
            </w:r>
          </w:p>
          <w:p>
            <w:pPr>
              <w:widowControl/>
              <w:jc w:val="center"/>
              <w:rPr>
                <w:color w:val="000000"/>
                <w:kern w:val="0"/>
                <w:sz w:val="18"/>
                <w:szCs w:val="18"/>
              </w:rPr>
            </w:pPr>
            <w:r>
              <w:rPr>
                <w:color w:val="000000"/>
                <w:kern w:val="0"/>
                <w:sz w:val="18"/>
                <w:szCs w:val="18"/>
              </w:rPr>
              <w:t>小论文</w:t>
            </w:r>
          </w:p>
        </w:tc>
        <w:tc>
          <w:tcPr>
            <w:tcW w:w="755" w:type="pct"/>
            <w:shd w:val="clear" w:color="auto" w:fill="auto"/>
            <w:vAlign w:val="center"/>
          </w:tcPr>
          <w:p>
            <w:pPr>
              <w:jc w:val="center"/>
              <w:rPr>
                <w:color w:val="000000"/>
                <w:kern w:val="0"/>
                <w:sz w:val="18"/>
                <w:szCs w:val="18"/>
              </w:rPr>
            </w:pPr>
            <w:r>
              <w:rPr>
                <w:color w:val="000000"/>
                <w:kern w:val="0"/>
                <w:sz w:val="18"/>
                <w:szCs w:val="18"/>
              </w:rPr>
              <w:t>结课答辩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977" w:type="pct"/>
            <w:vAlign w:val="center"/>
          </w:tcPr>
          <w:p>
            <w:pPr>
              <w:widowControl/>
              <w:jc w:val="center"/>
              <w:rPr>
                <w:color w:val="000000"/>
                <w:kern w:val="0"/>
                <w:sz w:val="18"/>
                <w:szCs w:val="18"/>
              </w:rPr>
            </w:pPr>
            <w:r>
              <w:rPr>
                <w:color w:val="000000"/>
                <w:kern w:val="0"/>
                <w:sz w:val="18"/>
                <w:szCs w:val="18"/>
              </w:rPr>
              <w:t>课程目标达成</w:t>
            </w:r>
          </w:p>
          <w:p>
            <w:pPr>
              <w:widowControl/>
              <w:jc w:val="center"/>
              <w:rPr>
                <w:color w:val="000000"/>
                <w:kern w:val="0"/>
                <w:sz w:val="18"/>
                <w:szCs w:val="18"/>
              </w:rPr>
            </w:pPr>
            <w:r>
              <w:rPr>
                <w:color w:val="000000"/>
                <w:kern w:val="0"/>
                <w:sz w:val="18"/>
                <w:szCs w:val="18"/>
              </w:rPr>
              <w:t>的贡献率</w:t>
            </w:r>
          </w:p>
        </w:tc>
        <w:tc>
          <w:tcPr>
            <w:tcW w:w="721" w:type="pct"/>
            <w:shd w:val="clear" w:color="auto" w:fill="auto"/>
            <w:vAlign w:val="center"/>
          </w:tcPr>
          <w:p>
            <w:pPr>
              <w:jc w:val="center"/>
              <w:rPr>
                <w:color w:val="000000"/>
                <w:sz w:val="18"/>
                <w:szCs w:val="18"/>
              </w:rPr>
            </w:pPr>
            <w:r>
              <w:rPr>
                <w:sz w:val="18"/>
                <w:szCs w:val="18"/>
              </w:rPr>
              <w:t>0.18</w:t>
            </w:r>
          </w:p>
        </w:tc>
        <w:tc>
          <w:tcPr>
            <w:tcW w:w="849" w:type="pct"/>
            <w:shd w:val="clear" w:color="auto" w:fill="auto"/>
            <w:vAlign w:val="center"/>
          </w:tcPr>
          <w:p>
            <w:pPr>
              <w:jc w:val="center"/>
              <w:rPr>
                <w:color w:val="000000"/>
                <w:sz w:val="18"/>
                <w:szCs w:val="18"/>
              </w:rPr>
            </w:pPr>
            <w:r>
              <w:rPr>
                <w:sz w:val="18"/>
                <w:szCs w:val="18"/>
              </w:rPr>
              <w:t>0.09</w:t>
            </w:r>
          </w:p>
        </w:tc>
        <w:tc>
          <w:tcPr>
            <w:tcW w:w="849" w:type="pct"/>
            <w:shd w:val="clear" w:color="auto" w:fill="auto"/>
            <w:vAlign w:val="center"/>
          </w:tcPr>
          <w:p>
            <w:pPr>
              <w:jc w:val="center"/>
              <w:rPr>
                <w:color w:val="000000"/>
                <w:sz w:val="18"/>
                <w:szCs w:val="18"/>
              </w:rPr>
            </w:pPr>
            <w:r>
              <w:rPr>
                <w:sz w:val="18"/>
                <w:szCs w:val="18"/>
              </w:rPr>
              <w:t>0.09</w:t>
            </w:r>
          </w:p>
        </w:tc>
        <w:tc>
          <w:tcPr>
            <w:tcW w:w="849" w:type="pct"/>
            <w:shd w:val="clear" w:color="auto" w:fill="auto"/>
            <w:vAlign w:val="center"/>
          </w:tcPr>
          <w:p>
            <w:pPr>
              <w:jc w:val="center"/>
              <w:rPr>
                <w:color w:val="000000"/>
                <w:sz w:val="18"/>
                <w:szCs w:val="18"/>
              </w:rPr>
            </w:pPr>
            <w:r>
              <w:rPr>
                <w:sz w:val="18"/>
                <w:szCs w:val="18"/>
              </w:rPr>
              <w:t>0.23</w:t>
            </w:r>
          </w:p>
        </w:tc>
        <w:tc>
          <w:tcPr>
            <w:tcW w:w="755" w:type="pct"/>
            <w:shd w:val="clear" w:color="auto" w:fill="auto"/>
            <w:vAlign w:val="center"/>
          </w:tcPr>
          <w:p>
            <w:pPr>
              <w:jc w:val="center"/>
              <w:rPr>
                <w:color w:val="000000"/>
                <w:sz w:val="18"/>
                <w:szCs w:val="18"/>
              </w:rPr>
            </w:pPr>
            <w:r>
              <w:rPr>
                <w:sz w:val="18"/>
                <w:szCs w:val="18"/>
              </w:rPr>
              <w:t>0.41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977" w:type="pct"/>
            <w:vAlign w:val="center"/>
          </w:tcPr>
          <w:p>
            <w:pPr>
              <w:widowControl/>
              <w:jc w:val="center"/>
              <w:rPr>
                <w:color w:val="000000"/>
                <w:kern w:val="0"/>
                <w:sz w:val="18"/>
                <w:szCs w:val="18"/>
              </w:rPr>
            </w:pPr>
            <w:r>
              <w:rPr>
                <w:color w:val="000000"/>
                <w:kern w:val="0"/>
                <w:sz w:val="18"/>
                <w:szCs w:val="18"/>
              </w:rPr>
              <w:t>支撑材料</w:t>
            </w:r>
          </w:p>
        </w:tc>
        <w:tc>
          <w:tcPr>
            <w:tcW w:w="721" w:type="pct"/>
            <w:shd w:val="clear" w:color="auto" w:fill="auto"/>
            <w:vAlign w:val="center"/>
          </w:tcPr>
          <w:p>
            <w:pPr>
              <w:widowControl/>
              <w:jc w:val="center"/>
              <w:rPr>
                <w:color w:val="000000"/>
                <w:kern w:val="0"/>
                <w:sz w:val="18"/>
                <w:szCs w:val="18"/>
              </w:rPr>
            </w:pPr>
            <w:r>
              <w:rPr>
                <w:color w:val="000000"/>
                <w:kern w:val="0"/>
                <w:sz w:val="18"/>
                <w:szCs w:val="18"/>
              </w:rPr>
              <w:t>课堂评价标准，课堂提问记录或随堂小测验，结合出勤率等</w:t>
            </w:r>
          </w:p>
        </w:tc>
        <w:tc>
          <w:tcPr>
            <w:tcW w:w="849" w:type="pct"/>
            <w:shd w:val="clear" w:color="auto" w:fill="auto"/>
            <w:vAlign w:val="center"/>
          </w:tcPr>
          <w:p>
            <w:pPr>
              <w:widowControl/>
              <w:jc w:val="center"/>
              <w:rPr>
                <w:color w:val="000000"/>
                <w:kern w:val="0"/>
                <w:sz w:val="18"/>
                <w:szCs w:val="18"/>
              </w:rPr>
            </w:pPr>
            <w:r>
              <w:rPr>
                <w:color w:val="000000"/>
                <w:kern w:val="0"/>
                <w:sz w:val="18"/>
                <w:szCs w:val="18"/>
              </w:rPr>
              <w:t>作业评价标准，典型作业拍照，或电子版</w:t>
            </w:r>
          </w:p>
        </w:tc>
        <w:tc>
          <w:tcPr>
            <w:tcW w:w="849" w:type="pct"/>
            <w:shd w:val="clear" w:color="auto" w:fill="auto"/>
            <w:vAlign w:val="center"/>
          </w:tcPr>
          <w:p>
            <w:pPr>
              <w:widowControl/>
              <w:jc w:val="center"/>
              <w:rPr>
                <w:color w:val="000000"/>
                <w:kern w:val="0"/>
                <w:sz w:val="18"/>
                <w:szCs w:val="18"/>
              </w:rPr>
            </w:pPr>
            <w:r>
              <w:rPr>
                <w:color w:val="000000"/>
                <w:kern w:val="0"/>
                <w:sz w:val="18"/>
                <w:szCs w:val="18"/>
              </w:rPr>
              <w:t>课内实验评价标准，实验课堂记录，典型实验报告</w:t>
            </w:r>
          </w:p>
        </w:tc>
        <w:tc>
          <w:tcPr>
            <w:tcW w:w="849" w:type="pct"/>
            <w:shd w:val="clear" w:color="auto" w:fill="auto"/>
            <w:vAlign w:val="center"/>
          </w:tcPr>
          <w:p>
            <w:pPr>
              <w:widowControl/>
              <w:jc w:val="center"/>
              <w:rPr>
                <w:color w:val="000000"/>
                <w:kern w:val="0"/>
                <w:sz w:val="18"/>
                <w:szCs w:val="18"/>
              </w:rPr>
            </w:pPr>
            <w:r>
              <w:rPr>
                <w:color w:val="000000"/>
                <w:kern w:val="0"/>
                <w:sz w:val="18"/>
                <w:szCs w:val="18"/>
              </w:rPr>
              <w:t>综述小论文评价标准，综述小论文</w:t>
            </w:r>
          </w:p>
        </w:tc>
        <w:tc>
          <w:tcPr>
            <w:tcW w:w="755" w:type="pct"/>
            <w:shd w:val="clear" w:color="auto" w:fill="auto"/>
            <w:vAlign w:val="center"/>
          </w:tcPr>
          <w:p>
            <w:pPr>
              <w:widowControl/>
              <w:jc w:val="center"/>
              <w:rPr>
                <w:color w:val="000000"/>
                <w:kern w:val="0"/>
                <w:sz w:val="18"/>
                <w:szCs w:val="18"/>
              </w:rPr>
            </w:pPr>
            <w:r>
              <w:rPr>
                <w:color w:val="000000"/>
                <w:kern w:val="0"/>
                <w:sz w:val="18"/>
                <w:szCs w:val="18"/>
              </w:rPr>
              <w:t>答辩评价标准，答辩记录</w:t>
            </w:r>
          </w:p>
        </w:tc>
      </w:tr>
    </w:tbl>
    <w:p>
      <w:pPr>
        <w:tabs>
          <w:tab w:val="left" w:pos="420"/>
        </w:tabs>
        <w:spacing w:line="360" w:lineRule="auto"/>
        <w:ind w:left="420" w:hanging="420"/>
        <w:rPr>
          <w:rFonts w:eastAsia="黑体"/>
          <w:szCs w:val="24"/>
        </w:rPr>
      </w:pPr>
    </w:p>
    <w:p>
      <w:pPr>
        <w:tabs>
          <w:tab w:val="left" w:pos="420"/>
        </w:tabs>
        <w:adjustRightInd w:val="0"/>
        <w:snapToGrid w:val="0"/>
        <w:spacing w:line="360" w:lineRule="auto"/>
        <w:ind w:left="420" w:hanging="420"/>
        <w:rPr>
          <w:rFonts w:asciiTheme="minorEastAsia" w:hAnsiTheme="minorEastAsia" w:eastAsiaTheme="minorEastAsia"/>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57"/>
        <w:gridCol w:w="1253"/>
        <w:gridCol w:w="19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jc w:val="center"/>
              <w:rPr>
                <w:sz w:val="18"/>
                <w:szCs w:val="18"/>
              </w:rPr>
            </w:pPr>
            <w:r>
              <w:rPr>
                <w:sz w:val="18"/>
                <w:szCs w:val="18"/>
              </w:rPr>
              <w:t>知识点</w:t>
            </w:r>
          </w:p>
        </w:tc>
        <w:tc>
          <w:tcPr>
            <w:tcW w:w="754" w:type="pct"/>
            <w:vAlign w:val="center"/>
          </w:tcPr>
          <w:p>
            <w:pPr>
              <w:jc w:val="center"/>
              <w:rPr>
                <w:sz w:val="18"/>
                <w:szCs w:val="18"/>
              </w:rPr>
            </w:pPr>
            <w:r>
              <w:rPr>
                <w:sz w:val="18"/>
                <w:szCs w:val="18"/>
              </w:rPr>
              <w:t>权重</w:t>
            </w:r>
          </w:p>
        </w:tc>
        <w:tc>
          <w:tcPr>
            <w:tcW w:w="1144"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tabs>
                <w:tab w:val="left" w:pos="420"/>
              </w:tabs>
              <w:ind w:left="174" w:leftChars="83"/>
              <w:jc w:val="left"/>
              <w:rPr>
                <w:sz w:val="18"/>
                <w:szCs w:val="18"/>
              </w:rPr>
            </w:pPr>
            <w:r>
              <w:rPr>
                <w:sz w:val="18"/>
                <w:szCs w:val="18"/>
              </w:rPr>
              <w:t>1、传输线分布参数的特点及应用</w:t>
            </w:r>
          </w:p>
        </w:tc>
        <w:tc>
          <w:tcPr>
            <w:tcW w:w="754" w:type="pct"/>
            <w:vAlign w:val="center"/>
          </w:tcPr>
          <w:p>
            <w:pPr>
              <w:jc w:val="center"/>
              <w:rPr>
                <w:sz w:val="18"/>
                <w:szCs w:val="18"/>
              </w:rPr>
            </w:pPr>
            <w:r>
              <w:rPr>
                <w:sz w:val="18"/>
                <w:szCs w:val="18"/>
              </w:rPr>
              <w:t>0.10</w:t>
            </w:r>
          </w:p>
        </w:tc>
        <w:tc>
          <w:tcPr>
            <w:tcW w:w="1144" w:type="pct"/>
            <w:vAlign w:val="center"/>
          </w:tcPr>
          <w:p>
            <w:pPr>
              <w:ind w:firstLine="422"/>
              <w:jc w:val="center"/>
              <w:rPr>
                <w:sz w:val="18"/>
                <w:szCs w:val="18"/>
              </w:rPr>
            </w:pPr>
            <w:r>
              <w:rPr>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ind w:left="174" w:leftChars="83"/>
              <w:jc w:val="left"/>
              <w:rPr>
                <w:sz w:val="18"/>
                <w:szCs w:val="18"/>
              </w:rPr>
            </w:pPr>
            <w:r>
              <w:rPr>
                <w:sz w:val="18"/>
                <w:szCs w:val="18"/>
              </w:rPr>
              <w:t>2、传输线特性参数的物理含义及基本分析方法</w:t>
            </w:r>
          </w:p>
        </w:tc>
        <w:tc>
          <w:tcPr>
            <w:tcW w:w="754" w:type="pct"/>
            <w:vAlign w:val="center"/>
          </w:tcPr>
          <w:p>
            <w:pPr>
              <w:jc w:val="center"/>
              <w:rPr>
                <w:sz w:val="18"/>
                <w:szCs w:val="18"/>
              </w:rPr>
            </w:pPr>
            <w:r>
              <w:rPr>
                <w:sz w:val="18"/>
                <w:szCs w:val="18"/>
              </w:rPr>
              <w:t>0.30</w:t>
            </w:r>
          </w:p>
        </w:tc>
        <w:tc>
          <w:tcPr>
            <w:tcW w:w="1144" w:type="pct"/>
            <w:vAlign w:val="center"/>
          </w:tcPr>
          <w:p>
            <w:pPr>
              <w:ind w:firstLine="422"/>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ind w:left="174" w:leftChars="83"/>
              <w:jc w:val="left"/>
              <w:rPr>
                <w:sz w:val="18"/>
                <w:szCs w:val="18"/>
              </w:rPr>
            </w:pPr>
            <w:r>
              <w:rPr>
                <w:sz w:val="18"/>
                <w:szCs w:val="18"/>
              </w:rPr>
              <w:t>3、导波系统的特性与相关计算方法</w:t>
            </w:r>
          </w:p>
        </w:tc>
        <w:tc>
          <w:tcPr>
            <w:tcW w:w="754" w:type="pct"/>
            <w:vAlign w:val="center"/>
          </w:tcPr>
          <w:p>
            <w:pPr>
              <w:jc w:val="center"/>
              <w:rPr>
                <w:sz w:val="18"/>
                <w:szCs w:val="18"/>
              </w:rPr>
            </w:pPr>
            <w:r>
              <w:rPr>
                <w:sz w:val="18"/>
                <w:szCs w:val="18"/>
              </w:rPr>
              <w:t>0.30</w:t>
            </w:r>
          </w:p>
        </w:tc>
        <w:tc>
          <w:tcPr>
            <w:tcW w:w="1144" w:type="pct"/>
            <w:vAlign w:val="center"/>
          </w:tcPr>
          <w:p>
            <w:pPr>
              <w:ind w:firstLine="422"/>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ind w:left="174" w:leftChars="83"/>
              <w:jc w:val="left"/>
              <w:rPr>
                <w:sz w:val="18"/>
                <w:szCs w:val="18"/>
              </w:rPr>
            </w:pPr>
            <w:r>
              <w:rPr>
                <w:sz w:val="18"/>
                <w:szCs w:val="18"/>
              </w:rPr>
              <w:t>4、微波网络S矩阵及其特性</w:t>
            </w:r>
          </w:p>
        </w:tc>
        <w:tc>
          <w:tcPr>
            <w:tcW w:w="754" w:type="pct"/>
            <w:vAlign w:val="center"/>
          </w:tcPr>
          <w:p>
            <w:pPr>
              <w:jc w:val="center"/>
              <w:rPr>
                <w:sz w:val="18"/>
                <w:szCs w:val="18"/>
              </w:rPr>
            </w:pPr>
            <w:r>
              <w:rPr>
                <w:sz w:val="18"/>
                <w:szCs w:val="18"/>
              </w:rPr>
              <w:t>0.20</w:t>
            </w:r>
          </w:p>
        </w:tc>
        <w:tc>
          <w:tcPr>
            <w:tcW w:w="1144" w:type="pct"/>
            <w:vAlign w:val="center"/>
          </w:tcPr>
          <w:p>
            <w:pPr>
              <w:ind w:firstLine="422"/>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1" w:type="pct"/>
            <w:vAlign w:val="center"/>
          </w:tcPr>
          <w:p>
            <w:pPr>
              <w:ind w:left="174" w:leftChars="83"/>
              <w:jc w:val="left"/>
              <w:rPr>
                <w:sz w:val="18"/>
                <w:szCs w:val="18"/>
              </w:rPr>
            </w:pPr>
            <w:r>
              <w:rPr>
                <w:sz w:val="18"/>
                <w:szCs w:val="18"/>
              </w:rPr>
              <w:t>5、微波谐振器的特性与谐振频率的计算方法</w:t>
            </w:r>
          </w:p>
        </w:tc>
        <w:tc>
          <w:tcPr>
            <w:tcW w:w="754" w:type="pct"/>
            <w:vAlign w:val="center"/>
          </w:tcPr>
          <w:p>
            <w:pPr>
              <w:jc w:val="center"/>
              <w:rPr>
                <w:sz w:val="18"/>
                <w:szCs w:val="18"/>
              </w:rPr>
            </w:pPr>
            <w:r>
              <w:rPr>
                <w:sz w:val="18"/>
                <w:szCs w:val="18"/>
              </w:rPr>
              <w:t>0.10</w:t>
            </w:r>
          </w:p>
        </w:tc>
        <w:tc>
          <w:tcPr>
            <w:tcW w:w="1144" w:type="pct"/>
            <w:vAlign w:val="center"/>
          </w:tcPr>
          <w:p>
            <w:pPr>
              <w:ind w:firstLine="422"/>
              <w:jc w:val="center"/>
              <w:rPr>
                <w:sz w:val="18"/>
                <w:szCs w:val="18"/>
              </w:rPr>
            </w:pPr>
            <w:r>
              <w:rPr>
                <w:sz w:val="18"/>
                <w:szCs w:val="18"/>
              </w:rPr>
              <w:t>1、2</w:t>
            </w:r>
          </w:p>
        </w:tc>
      </w:tr>
    </w:tbl>
    <w:p>
      <w:pPr>
        <w:spacing w:before="120" w:beforeLines="50" w:line="360" w:lineRule="auto"/>
        <w:ind w:firstLine="840" w:firstLineChars="400"/>
        <w:rPr>
          <w:color w:val="000000"/>
          <w:sz w:val="24"/>
          <w:szCs w:val="24"/>
        </w:rPr>
      </w:pPr>
      <w:r>
        <w:rPr>
          <w:rFonts w:hint="eastAsia" w:ascii="宋体" w:hAnsi="宋体" w:cs="宋体"/>
          <w:szCs w:val="21"/>
        </w:rPr>
        <w:t>本课程不可以申请免修。</w:t>
      </w:r>
    </w:p>
    <w:p>
      <w:pPr>
        <w:widowControl/>
        <w:jc w:val="left"/>
        <w:rPr>
          <w:rFonts w:eastAsia="黑体"/>
          <w:szCs w:val="24"/>
        </w:rPr>
        <w:sectPr>
          <w:headerReference r:id="rId82" w:type="first"/>
          <w:footerReference r:id="rId85" w:type="first"/>
          <w:headerReference r:id="rId80" w:type="default"/>
          <w:footerReference r:id="rId83" w:type="default"/>
          <w:headerReference r:id="rId81" w:type="even"/>
          <w:footerReference r:id="rId84"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p>
      <w:pPr>
        <w:spacing w:line="360" w:lineRule="auto"/>
        <w:jc w:val="left"/>
      </w:pPr>
    </w:p>
    <w:tbl>
      <w:tblPr>
        <w:tblStyle w:val="22"/>
        <w:tblW w:w="5000" w:type="pct"/>
        <w:jc w:val="center"/>
        <w:tblLayout w:type="autofit"/>
        <w:tblCellMar>
          <w:top w:w="0" w:type="dxa"/>
          <w:left w:w="108" w:type="dxa"/>
          <w:bottom w:w="0" w:type="dxa"/>
          <w:right w:w="108" w:type="dxa"/>
        </w:tblCellMar>
      </w:tblPr>
      <w:tblGrid>
        <w:gridCol w:w="494"/>
        <w:gridCol w:w="829"/>
        <w:gridCol w:w="831"/>
        <w:gridCol w:w="996"/>
        <w:gridCol w:w="829"/>
        <w:gridCol w:w="831"/>
        <w:gridCol w:w="834"/>
        <w:gridCol w:w="831"/>
        <w:gridCol w:w="829"/>
        <w:gridCol w:w="831"/>
        <w:gridCol w:w="831"/>
        <w:gridCol w:w="831"/>
        <w:gridCol w:w="831"/>
        <w:gridCol w:w="831"/>
        <w:gridCol w:w="829"/>
        <w:gridCol w:w="831"/>
        <w:gridCol w:w="829"/>
      </w:tblGrid>
      <w:tr>
        <w:tblPrEx>
          <w:tblCellMar>
            <w:top w:w="0" w:type="dxa"/>
            <w:left w:w="108" w:type="dxa"/>
            <w:bottom w:w="0" w:type="dxa"/>
            <w:right w:w="108" w:type="dxa"/>
          </w:tblCellMar>
        </w:tblPrEx>
        <w:trPr>
          <w:trHeight w:val="1015" w:hRule="atLeast"/>
          <w:jc w:val="center"/>
        </w:trPr>
        <w:tc>
          <w:tcPr>
            <w:tcW w:w="1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29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548" w:type="pct"/>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489" w:type="pct"/>
            <w:gridSpan w:val="5"/>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489"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17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p>
        </w:tc>
        <w:tc>
          <w:tcPr>
            <w:tcW w:w="2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3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97" w:type="pct"/>
            <w:tcBorders>
              <w:top w:val="nil"/>
              <w:left w:val="nil"/>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实验</w:t>
            </w:r>
          </w:p>
        </w:tc>
        <w:tc>
          <w:tcPr>
            <w:tcW w:w="298" w:type="pct"/>
            <w:tcBorders>
              <w:top w:val="nil"/>
              <w:left w:val="nil"/>
              <w:bottom w:val="single" w:color="auto" w:sz="4" w:space="0"/>
              <w:right w:val="single" w:color="auto" w:sz="4" w:space="0"/>
            </w:tcBorders>
            <w:vAlign w:val="center"/>
          </w:tcPr>
          <w:p>
            <w:pPr>
              <w:adjustRightInd w:val="0"/>
              <w:jc w:val="center"/>
              <w:rPr>
                <w:rFonts w:ascii="宋体" w:hAnsi="宋体" w:cs="宋体"/>
                <w:kern w:val="0"/>
                <w:sz w:val="18"/>
                <w:szCs w:val="18"/>
              </w:rPr>
            </w:pPr>
            <w:r>
              <w:rPr>
                <w:rFonts w:ascii="宋体" w:hAnsi="宋体" w:cs="宋体"/>
                <w:kern w:val="0"/>
                <w:sz w:val="18"/>
                <w:szCs w:val="18"/>
              </w:rPr>
              <w:t>综述</w:t>
            </w:r>
          </w:p>
          <w:p>
            <w:pPr>
              <w:widowControl/>
              <w:jc w:val="center"/>
              <w:rPr>
                <w:rFonts w:ascii="宋体" w:hAnsi="宋体" w:cs="宋体"/>
                <w:kern w:val="0"/>
                <w:sz w:val="18"/>
                <w:szCs w:val="18"/>
              </w:rPr>
            </w:pPr>
            <w:r>
              <w:rPr>
                <w:rFonts w:ascii="宋体" w:hAnsi="宋体" w:cs="宋体"/>
                <w:kern w:val="0"/>
                <w:sz w:val="18"/>
                <w:szCs w:val="18"/>
              </w:rPr>
              <w:t>小论文</w:t>
            </w:r>
          </w:p>
        </w:tc>
        <w:tc>
          <w:tcPr>
            <w:tcW w:w="29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结课答辩</w:t>
            </w:r>
          </w:p>
        </w:tc>
        <w:tc>
          <w:tcPr>
            <w:tcW w:w="2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29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实验</w:t>
            </w:r>
          </w:p>
        </w:tc>
        <w:tc>
          <w:tcPr>
            <w:tcW w:w="2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综述小论文</w:t>
            </w:r>
          </w:p>
          <w:p>
            <w:pPr>
              <w:widowControl/>
              <w:jc w:val="center"/>
              <w:rPr>
                <w:rFonts w:ascii="宋体" w:hAnsi="宋体" w:cs="宋体"/>
                <w:kern w:val="0"/>
                <w:sz w:val="18"/>
                <w:szCs w:val="18"/>
              </w:rPr>
            </w:pPr>
          </w:p>
        </w:tc>
        <w:tc>
          <w:tcPr>
            <w:tcW w:w="29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结课答辩</w:t>
            </w:r>
          </w:p>
        </w:tc>
        <w:tc>
          <w:tcPr>
            <w:tcW w:w="2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2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29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实验</w:t>
            </w:r>
          </w:p>
        </w:tc>
        <w:tc>
          <w:tcPr>
            <w:tcW w:w="2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综述小论文</w:t>
            </w:r>
          </w:p>
          <w:p>
            <w:pPr>
              <w:widowControl/>
              <w:jc w:val="center"/>
              <w:rPr>
                <w:rFonts w:ascii="宋体" w:hAnsi="宋体" w:cs="宋体"/>
                <w:kern w:val="0"/>
                <w:sz w:val="18"/>
                <w:szCs w:val="18"/>
              </w:rPr>
            </w:pPr>
          </w:p>
        </w:tc>
        <w:tc>
          <w:tcPr>
            <w:tcW w:w="2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szCs w:val="18"/>
              </w:rPr>
            </w:pPr>
            <w:r>
              <w:rPr>
                <w:rFonts w:ascii="宋体" w:hAnsi="宋体" w:cs="宋体"/>
                <w:kern w:val="0"/>
                <w:sz w:val="18"/>
                <w:szCs w:val="18"/>
              </w:rPr>
              <w:t>结课答辩</w:t>
            </w:r>
          </w:p>
        </w:tc>
      </w:tr>
      <w:tr>
        <w:tblPrEx>
          <w:tblCellMar>
            <w:top w:w="0" w:type="dxa"/>
            <w:left w:w="108" w:type="dxa"/>
            <w:bottom w:w="0" w:type="dxa"/>
            <w:right w:w="108" w:type="dxa"/>
          </w:tblCellMar>
        </w:tblPrEx>
        <w:trPr>
          <w:trHeight w:val="1020" w:hRule="atLeast"/>
          <w:jc w:val="center"/>
        </w:trPr>
        <w:tc>
          <w:tcPr>
            <w:tcW w:w="177" w:type="pc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1</w:t>
            </w:r>
          </w:p>
        </w:tc>
        <w:tc>
          <w:tcPr>
            <w:tcW w:w="29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0.9</w:t>
            </w:r>
          </w:p>
        </w:tc>
        <w:tc>
          <w:tcPr>
            <w:tcW w:w="29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0.2</w:t>
            </w:r>
          </w:p>
        </w:tc>
        <w:tc>
          <w:tcPr>
            <w:tcW w:w="35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0.1</w:t>
            </w:r>
          </w:p>
        </w:tc>
        <w:tc>
          <w:tcPr>
            <w:tcW w:w="297" w:type="pct"/>
            <w:tcBorders>
              <w:top w:val="single" w:color="auto" w:sz="4" w:space="0"/>
              <w:left w:val="nil"/>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0.1</w:t>
            </w:r>
          </w:p>
        </w:tc>
        <w:tc>
          <w:tcPr>
            <w:tcW w:w="298" w:type="pct"/>
            <w:tcBorders>
              <w:top w:val="single" w:color="auto" w:sz="4" w:space="0"/>
              <w:left w:val="nil"/>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0.2</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0.4</w:t>
            </w:r>
          </w:p>
        </w:tc>
        <w:tc>
          <w:tcPr>
            <w:tcW w:w="29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0.18</w:t>
            </w:r>
          </w:p>
        </w:tc>
        <w:tc>
          <w:tcPr>
            <w:tcW w:w="297"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0.09</w:t>
            </w:r>
          </w:p>
        </w:tc>
        <w:tc>
          <w:tcPr>
            <w:tcW w:w="298"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0.09</w:t>
            </w:r>
          </w:p>
        </w:tc>
        <w:tc>
          <w:tcPr>
            <w:tcW w:w="298" w:type="pc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0.18</w:t>
            </w:r>
          </w:p>
        </w:tc>
        <w:tc>
          <w:tcPr>
            <w:tcW w:w="298" w:type="pc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0.36</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1</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1</w:t>
            </w:r>
          </w:p>
        </w:tc>
        <w:tc>
          <w:tcPr>
            <w:tcW w:w="29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1</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0.78</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0.88</w:t>
            </w:r>
          </w:p>
        </w:tc>
      </w:tr>
      <w:tr>
        <w:tblPrEx>
          <w:tblCellMar>
            <w:top w:w="0" w:type="dxa"/>
            <w:left w:w="108" w:type="dxa"/>
            <w:bottom w:w="0" w:type="dxa"/>
            <w:right w:w="108" w:type="dxa"/>
          </w:tblCellMar>
        </w:tblPrEx>
        <w:trPr>
          <w:trHeight w:val="694" w:hRule="atLeast"/>
          <w:jc w:val="center"/>
        </w:trPr>
        <w:tc>
          <w:tcPr>
            <w:tcW w:w="177" w:type="pc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2</w:t>
            </w:r>
          </w:p>
        </w:tc>
        <w:tc>
          <w:tcPr>
            <w:tcW w:w="29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0.1</w:t>
            </w:r>
          </w:p>
        </w:tc>
        <w:tc>
          <w:tcPr>
            <w:tcW w:w="298"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w:t>
            </w:r>
          </w:p>
        </w:tc>
        <w:tc>
          <w:tcPr>
            <w:tcW w:w="357"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w:t>
            </w:r>
          </w:p>
        </w:tc>
        <w:tc>
          <w:tcPr>
            <w:tcW w:w="297" w:type="pct"/>
            <w:tcBorders>
              <w:top w:val="nil"/>
              <w:left w:val="nil"/>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w:t>
            </w:r>
          </w:p>
        </w:tc>
        <w:tc>
          <w:tcPr>
            <w:tcW w:w="298" w:type="pct"/>
            <w:tcBorders>
              <w:top w:val="nil"/>
              <w:left w:val="nil"/>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0.5</w:t>
            </w:r>
          </w:p>
        </w:tc>
        <w:tc>
          <w:tcPr>
            <w:tcW w:w="298"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0.5</w:t>
            </w:r>
          </w:p>
        </w:tc>
        <w:tc>
          <w:tcPr>
            <w:tcW w:w="298"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w:t>
            </w:r>
          </w:p>
        </w:tc>
        <w:tc>
          <w:tcPr>
            <w:tcW w:w="297"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w:t>
            </w:r>
          </w:p>
        </w:tc>
        <w:tc>
          <w:tcPr>
            <w:tcW w:w="298"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w:t>
            </w:r>
          </w:p>
        </w:tc>
        <w:tc>
          <w:tcPr>
            <w:tcW w:w="298" w:type="pct"/>
            <w:tcBorders>
              <w:top w:val="nil"/>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0.05</w:t>
            </w:r>
          </w:p>
        </w:tc>
        <w:tc>
          <w:tcPr>
            <w:tcW w:w="298" w:type="pct"/>
            <w:tcBorders>
              <w:top w:val="nil"/>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0.05</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w:t>
            </w:r>
          </w:p>
        </w:tc>
        <w:tc>
          <w:tcPr>
            <w:tcW w:w="29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0.22</w:t>
            </w:r>
          </w:p>
        </w:tc>
        <w:tc>
          <w:tcPr>
            <w:tcW w:w="29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0.12</w:t>
            </w:r>
          </w:p>
        </w:tc>
      </w:tr>
      <w:tr>
        <w:tblPrEx>
          <w:tblCellMar>
            <w:top w:w="0" w:type="dxa"/>
            <w:left w:w="108" w:type="dxa"/>
            <w:bottom w:w="0" w:type="dxa"/>
            <w:right w:w="108" w:type="dxa"/>
          </w:tblCellMar>
        </w:tblPrEx>
        <w:trPr>
          <w:trHeight w:val="694" w:hRule="atLeast"/>
          <w:jc w:val="center"/>
        </w:trPr>
        <w:tc>
          <w:tcPr>
            <w:tcW w:w="2023" w:type="pct"/>
            <w:gridSpan w:val="7"/>
            <w:tcBorders>
              <w:top w:val="nil"/>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kern w:val="0"/>
                <w:sz w:val="18"/>
                <w:szCs w:val="18"/>
              </w:rPr>
              <w:t>各环节对课程目标达成的贡献率（</w:t>
            </w:r>
            <w:r>
              <w:rPr>
                <w:rFonts w:ascii="宋体" w:hAnsi="宋体"/>
                <w:bCs/>
                <w:i/>
                <w:kern w:val="0"/>
                <w:sz w:val="18"/>
                <w:szCs w:val="18"/>
              </w:rPr>
              <w:t>M</w:t>
            </w:r>
            <w:r>
              <w:rPr>
                <w:rFonts w:ascii="宋体" w:hAnsi="宋体"/>
                <w:bCs/>
                <w:i/>
                <w:kern w:val="0"/>
                <w:sz w:val="18"/>
                <w:szCs w:val="18"/>
                <w:vertAlign w:val="subscript"/>
              </w:rPr>
              <w:t>k</w:t>
            </w:r>
            <w:r>
              <w:rPr>
                <w:rFonts w:ascii="宋体" w:hAnsi="宋体"/>
                <w:bCs/>
                <w:kern w:val="0"/>
                <w:sz w:val="18"/>
                <w:szCs w:val="18"/>
              </w:rPr>
              <w:t>）</w:t>
            </w:r>
          </w:p>
        </w:tc>
        <w:tc>
          <w:tcPr>
            <w:tcW w:w="298"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0.18</w:t>
            </w:r>
          </w:p>
        </w:tc>
        <w:tc>
          <w:tcPr>
            <w:tcW w:w="297"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0.09</w:t>
            </w:r>
          </w:p>
        </w:tc>
        <w:tc>
          <w:tcPr>
            <w:tcW w:w="298"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sz w:val="18"/>
                <w:szCs w:val="18"/>
              </w:rPr>
            </w:pPr>
            <w:r>
              <w:rPr>
                <w:rFonts w:ascii="宋体" w:hAnsi="宋体"/>
                <w:bCs/>
                <w:sz w:val="18"/>
                <w:szCs w:val="18"/>
              </w:rPr>
              <w:t>0.09</w:t>
            </w:r>
          </w:p>
        </w:tc>
        <w:tc>
          <w:tcPr>
            <w:tcW w:w="298" w:type="pct"/>
            <w:tcBorders>
              <w:top w:val="nil"/>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0.23</w:t>
            </w:r>
          </w:p>
        </w:tc>
        <w:tc>
          <w:tcPr>
            <w:tcW w:w="298" w:type="pct"/>
            <w:tcBorders>
              <w:top w:val="nil"/>
              <w:left w:val="nil"/>
              <w:bottom w:val="single" w:color="auto" w:sz="4" w:space="0"/>
              <w:right w:val="single" w:color="auto" w:sz="4" w:space="0"/>
            </w:tcBorders>
            <w:shd w:val="clear" w:color="auto" w:fill="auto"/>
            <w:vAlign w:val="center"/>
          </w:tcPr>
          <w:p>
            <w:pPr>
              <w:jc w:val="center"/>
              <w:rPr>
                <w:rFonts w:ascii="宋体" w:hAnsi="宋体"/>
                <w:bCs/>
                <w:sz w:val="18"/>
                <w:szCs w:val="18"/>
              </w:rPr>
            </w:pPr>
            <w:r>
              <w:rPr>
                <w:rFonts w:ascii="宋体" w:hAnsi="宋体"/>
                <w:bCs/>
                <w:sz w:val="18"/>
                <w:szCs w:val="18"/>
              </w:rPr>
              <w:t>0.41</w:t>
            </w:r>
          </w:p>
        </w:tc>
        <w:tc>
          <w:tcPr>
            <w:tcW w:w="1489"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18"/>
                <w:szCs w:val="18"/>
              </w:rPr>
            </w:pPr>
            <w:r>
              <w:rPr>
                <w:rFonts w:ascii="宋体" w:hAnsi="宋体"/>
                <w:bCs/>
                <w:sz w:val="18"/>
                <w:szCs w:val="18"/>
              </w:rPr>
              <w:t>教师出题或布置作业时</w:t>
            </w:r>
          </w:p>
          <w:p>
            <w:pPr>
              <w:jc w:val="center"/>
              <w:rPr>
                <w:rFonts w:ascii="宋体" w:hAnsi="宋体"/>
                <w:bCs/>
                <w:sz w:val="18"/>
                <w:szCs w:val="18"/>
              </w:rPr>
            </w:pPr>
            <w:r>
              <w:rPr>
                <w:rFonts w:ascii="宋体" w:hAnsi="宋体"/>
                <w:bCs/>
                <w:sz w:val="18"/>
                <w:szCs w:val="18"/>
              </w:rPr>
              <w:t>要尽量做到按照以上比例布局</w:t>
            </w:r>
          </w:p>
        </w:tc>
      </w:tr>
    </w:tbl>
    <w:p>
      <w:pPr>
        <w:spacing w:line="360" w:lineRule="auto"/>
        <w:ind w:firstLine="1050" w:firstLineChars="500"/>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80"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80" DrawAspect="Content" ObjectID="_1468075880" r:id="rId344">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81"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81" DrawAspect="Content" ObjectID="_1468075881" r:id="rId345">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82"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82" DrawAspect="Content" ObjectID="_1468075882" r:id="rId346">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83"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83" DrawAspect="Content" ObjectID="_1468075883" r:id="rId347">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84"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84" DrawAspect="Content" ObjectID="_1468075884" r:id="rId348">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85"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85" DrawAspect="Content" ObjectID="_1468075885" r:id="rId349">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rPr>
          <w:rFonts w:ascii="Times New Roman"/>
        </w:rPr>
      </w:pPr>
      <w:bookmarkStart w:id="221" w:name="_Toc46996579"/>
      <w:bookmarkStart w:id="222" w:name="_Toc13848"/>
      <w:r>
        <w:rPr>
          <w:rFonts w:hint="eastAsia"/>
        </w:rPr>
        <w:t>《</w:t>
      </w:r>
      <w:r>
        <w:t>Z03060204-</w:t>
      </w:r>
      <w:r>
        <w:rPr>
          <w:rFonts w:hint="eastAsia"/>
        </w:rPr>
        <w:t>激光原理与技术》教学大纲</w:t>
      </w:r>
      <w:bookmarkEnd w:id="221"/>
      <w:bookmarkEnd w:id="222"/>
    </w:p>
    <w:p>
      <w:pPr>
        <w:adjustRightInd w:val="0"/>
        <w:snapToGrid w:val="0"/>
        <w:spacing w:line="360" w:lineRule="auto"/>
        <w:rPr>
          <w:bCs/>
          <w:kern w:val="0"/>
        </w:rPr>
      </w:pPr>
      <w:r>
        <w:rPr>
          <w:rFonts w:hint="eastAsia" w:eastAsia="黑体"/>
          <w:szCs w:val="21"/>
        </w:rPr>
        <w:t>课程编号：</w:t>
      </w:r>
      <w:r>
        <w:rPr>
          <w:rFonts w:hint="eastAsia"/>
          <w:bCs/>
          <w:kern w:val="0"/>
        </w:rPr>
        <w:t>Z</w:t>
      </w:r>
      <w:r>
        <w:rPr>
          <w:bCs/>
          <w:kern w:val="0"/>
        </w:rPr>
        <w:t>03060204</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激光原理与技术</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32 (</w:t>
      </w:r>
      <w:r>
        <w:rPr>
          <w:rFonts w:hint="eastAsia"/>
          <w:szCs w:val="21"/>
        </w:rPr>
        <w:t>实验</w:t>
      </w:r>
      <w:r>
        <w:rPr>
          <w:szCs w:val="21"/>
        </w:rPr>
        <w:t>6</w:t>
      </w:r>
      <w:r>
        <w:rPr>
          <w:rFonts w:hint="eastAsia"/>
          <w:szCs w:val="21"/>
        </w:rPr>
        <w:t>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ascii="宋体" w:hAnsi="宋体" w:cs="Arial"/>
          <w:color w:val="000000"/>
          <w:szCs w:val="21"/>
        </w:rPr>
        <w:t>高等数学、大学物理、光电子技术基础、固体物理</w:t>
      </w:r>
    </w:p>
    <w:p>
      <w:pPr>
        <w:adjustRightInd w:val="0"/>
        <w:snapToGrid w:val="0"/>
        <w:spacing w:line="360" w:lineRule="auto"/>
        <w:rPr>
          <w:szCs w:val="21"/>
        </w:rPr>
      </w:pPr>
      <w:r>
        <w:rPr>
          <w:rFonts w:hint="eastAsia" w:eastAsia="黑体"/>
          <w:szCs w:val="21"/>
        </w:rPr>
        <w:t>大纲撰写人：</w:t>
      </w:r>
      <w:r>
        <w:rPr>
          <w:rFonts w:hint="eastAsia"/>
          <w:szCs w:val="21"/>
        </w:rPr>
        <w:t>黄堃</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pStyle w:val="31"/>
        <w:numPr>
          <w:ilvl w:val="0"/>
          <w:numId w:val="31"/>
        </w:numPr>
        <w:tabs>
          <w:tab w:val="left" w:pos="420"/>
        </w:tabs>
        <w:adjustRightInd w:val="0"/>
        <w:snapToGrid w:val="0"/>
        <w:spacing w:line="360" w:lineRule="auto"/>
        <w:ind w:firstLineChars="0"/>
        <w:rPr>
          <w:rFonts w:eastAsia="黑体"/>
          <w:szCs w:val="21"/>
        </w:rPr>
      </w:pPr>
      <w:r>
        <w:rPr>
          <w:rFonts w:hint="eastAsia" w:eastAsia="黑体"/>
          <w:szCs w:val="21"/>
        </w:rPr>
        <w:t>课程在教学计划中的地位、作用</w:t>
      </w:r>
    </w:p>
    <w:p>
      <w:pPr>
        <w:spacing w:line="360" w:lineRule="auto"/>
        <w:ind w:firstLine="420" w:firstLineChars="200"/>
        <w:rPr>
          <w:rFonts w:ascii="宋体" w:hAnsi="宋体" w:cs="Arial"/>
          <w:color w:val="000000"/>
          <w:szCs w:val="21"/>
        </w:rPr>
      </w:pPr>
      <w:r>
        <w:rPr>
          <w:rFonts w:hint="eastAsia" w:ascii="宋体" w:hAnsi="宋体" w:cs="Arial"/>
          <w:color w:val="000000"/>
          <w:szCs w:val="21"/>
        </w:rPr>
        <w:t>《激光原理与技术》是一门理论性很强的专业基础课，是本专业</w:t>
      </w:r>
      <w:r>
        <w:rPr>
          <w:rFonts w:ascii="宋体" w:hAnsi="宋体" w:cs="Arial"/>
          <w:color w:val="000000"/>
          <w:szCs w:val="21"/>
        </w:rPr>
        <w:t>光电子技术及应用方向</w:t>
      </w:r>
      <w:r>
        <w:rPr>
          <w:rFonts w:hint="eastAsia" w:ascii="宋体" w:hAnsi="宋体" w:cs="Arial"/>
          <w:color w:val="000000"/>
          <w:szCs w:val="21"/>
        </w:rPr>
        <w:t>方向的重要基础课程。课程</w:t>
      </w:r>
      <w:r>
        <w:rPr>
          <w:rFonts w:hint="eastAsia" w:ascii="宋体" w:hAnsi="宋体"/>
          <w:color w:val="000000"/>
          <w:szCs w:val="21"/>
        </w:rPr>
        <w:t>主要讲授激光器的基本原理和技术，</w:t>
      </w:r>
      <w:r>
        <w:rPr>
          <w:rFonts w:hint="eastAsia" w:ascii="宋体" w:hAnsi="宋体" w:cs="Arial"/>
          <w:color w:val="000000"/>
          <w:szCs w:val="21"/>
        </w:rPr>
        <w:t>培养学生分析解决激光物理问题的能力，特别强调物理概念的深入理解以及激光输出特性与激光器的参数之间的关系</w:t>
      </w:r>
      <w:r>
        <w:rPr>
          <w:rFonts w:hint="eastAsia" w:ascii="宋体" w:hAnsi="宋体"/>
          <w:color w:val="000000"/>
          <w:szCs w:val="21"/>
        </w:rPr>
        <w:t>。</w:t>
      </w:r>
      <w:r>
        <w:rPr>
          <w:rFonts w:hint="eastAsia" w:ascii="宋体" w:hAnsi="宋体" w:cs="Arial"/>
          <w:color w:val="000000"/>
          <w:szCs w:val="21"/>
        </w:rPr>
        <w:t>通过该课程的学习，可以为学生们以后从事激光技术、光通讯以及信息处理、红外探测、生物医疗诊断、材料加工、环境检测等方面的相关工程研究打下基础。</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3218"/>
        <w:gridCol w:w="44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1936"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697" w:type="pct"/>
            <w:vAlign w:val="center"/>
          </w:tcPr>
          <w:p>
            <w:pPr>
              <w:adjustRightInd w:val="0"/>
              <w:snapToGrid w:val="0"/>
              <w:spacing w:line="360" w:lineRule="auto"/>
              <w:jc w:val="center"/>
              <w:rPr>
                <w:rFonts w:ascii="宋体" w:hAnsi="宋体"/>
                <w:sz w:val="18"/>
                <w:szCs w:val="18"/>
              </w:rPr>
            </w:pPr>
            <w:r>
              <w:rPr>
                <w:rFonts w:ascii="宋体" w:hAnsi="宋体"/>
                <w:color w:val="000000" w:themeColor="text1"/>
                <w:sz w:val="18"/>
                <w:szCs w:val="18"/>
                <w14:textFill>
                  <w14:solidFill>
                    <w14:schemeClr w14:val="tx1"/>
                  </w14:solidFill>
                </w14:textFill>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1936" w:type="pct"/>
          </w:tcPr>
          <w:p>
            <w:pPr>
              <w:adjustRightInd w:val="0"/>
              <w:snapToGrid w:val="0"/>
              <w:spacing w:line="360" w:lineRule="auto"/>
              <w:rPr>
                <w:rFonts w:ascii="宋体" w:hAnsi="宋体"/>
                <w:color w:val="000000"/>
                <w:sz w:val="18"/>
                <w:szCs w:val="18"/>
              </w:rPr>
            </w:pPr>
            <w:r>
              <w:rPr>
                <w:rFonts w:hint="eastAsia" w:ascii="宋体" w:hAnsi="宋体"/>
                <w:color w:val="000000"/>
                <w:sz w:val="18"/>
                <w:szCs w:val="18"/>
              </w:rPr>
              <w:t>培养学生熟悉激光器的产生原理、分析理论，以及各种激光的工程应用。</w:t>
            </w:r>
          </w:p>
        </w:tc>
        <w:tc>
          <w:tcPr>
            <w:tcW w:w="2697" w:type="pct"/>
          </w:tcPr>
          <w:p>
            <w:pPr>
              <w:adjustRightInd w:val="0"/>
              <w:snapToGrid w:val="0"/>
              <w:spacing w:line="360" w:lineRule="auto"/>
              <w:rPr>
                <w:rFonts w:ascii="宋体" w:hAnsi="宋体"/>
                <w:sz w:val="18"/>
                <w:szCs w:val="18"/>
              </w:rPr>
            </w:pPr>
            <w:r>
              <w:rPr>
                <w:rFonts w:hint="eastAsia" w:ascii="宋体" w:hAnsi="宋体"/>
                <w:b/>
                <w:bCs/>
                <w:sz w:val="18"/>
                <w:szCs w:val="18"/>
              </w:rPr>
              <w:t>指标点1-1 知识体系</w:t>
            </w:r>
            <w:r>
              <w:rPr>
                <w:rFonts w:hint="eastAsia" w:ascii="宋体" w:hAnsi="宋体"/>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1936" w:type="pct"/>
          </w:tcPr>
          <w:p>
            <w:pPr>
              <w:adjustRightInd w:val="0"/>
              <w:snapToGrid w:val="0"/>
              <w:spacing w:line="360" w:lineRule="auto"/>
              <w:rPr>
                <w:rFonts w:ascii="宋体" w:hAnsi="宋体"/>
                <w:sz w:val="18"/>
                <w:szCs w:val="18"/>
                <w:highlight w:val="yellow"/>
              </w:rPr>
            </w:pPr>
            <w:r>
              <w:rPr>
                <w:rFonts w:hint="eastAsia" w:ascii="宋体" w:hAnsi="宋体"/>
                <w:color w:val="000000"/>
                <w:sz w:val="18"/>
                <w:szCs w:val="18"/>
              </w:rPr>
              <w:t>培养学生掌握各类型激光器应用分析与调试技术。</w:t>
            </w:r>
            <w:r>
              <w:rPr>
                <w:rFonts w:ascii="宋体" w:hAnsi="宋体"/>
                <w:sz w:val="18"/>
                <w:szCs w:val="18"/>
              </w:rPr>
              <w:drawing>
                <wp:anchor distT="0" distB="0" distL="114300" distR="114300" simplePos="0" relativeHeight="251693056" behindDoc="0" locked="0" layoutInCell="1" allowOverlap="1">
                  <wp:simplePos x="0" y="0"/>
                  <wp:positionH relativeFrom="character">
                    <wp:posOffset>2153920</wp:posOffset>
                  </wp:positionH>
                  <wp:positionV relativeFrom="line">
                    <wp:posOffset>626745</wp:posOffset>
                  </wp:positionV>
                  <wp:extent cx="19050" cy="1905"/>
                  <wp:effectExtent l="19050" t="19050" r="19050" b="17145"/>
                  <wp:wrapNone/>
                  <wp:docPr id="212" name="图片 212"/>
                  <wp:cNvGraphicFramePr/>
                  <a:graphic xmlns:a="http://schemas.openxmlformats.org/drawingml/2006/main">
                    <a:graphicData uri="http://schemas.openxmlformats.org/drawingml/2006/picture">
                      <pic:pic xmlns:pic="http://schemas.openxmlformats.org/drawingml/2006/picture">
                        <pic:nvPicPr>
                          <pic:cNvPr id="212" name="图片 212"/>
                          <pic:cNvPicPr preferRelativeResize="0">
                            <a:picLocks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0" y="0"/>
                            <a:ext cx="19050" cy="1905"/>
                          </a:xfrm>
                          <a:prstGeom prst="rect">
                            <a:avLst/>
                          </a:prstGeom>
                          <a:solidFill>
                            <a:srgbClr val="FFFFFF"/>
                          </a:solidFill>
                          <a:ln w="9525">
                            <a:solidFill>
                              <a:srgbClr val="000000"/>
                            </a:solidFill>
                            <a:round/>
                          </a:ln>
                        </pic:spPr>
                      </pic:pic>
                    </a:graphicData>
                  </a:graphic>
                </wp:anchor>
              </w:drawing>
            </w:r>
          </w:p>
        </w:tc>
        <w:tc>
          <w:tcPr>
            <w:tcW w:w="2697" w:type="pct"/>
          </w:tcPr>
          <w:p>
            <w:pPr>
              <w:adjustRightInd w:val="0"/>
              <w:snapToGrid w:val="0"/>
              <w:spacing w:line="360" w:lineRule="auto"/>
              <w:rPr>
                <w:rFonts w:ascii="宋体" w:hAnsi="宋体"/>
                <w:sz w:val="18"/>
                <w:szCs w:val="18"/>
              </w:rPr>
            </w:pPr>
            <w:r>
              <w:rPr>
                <w:rFonts w:hint="eastAsia" w:ascii="宋体" w:hAnsi="宋体"/>
                <w:b/>
                <w:bCs/>
                <w:sz w:val="18"/>
                <w:szCs w:val="18"/>
              </w:rPr>
              <w:t>指标点1-2 知识运用能力</w:t>
            </w:r>
            <w:r>
              <w:rPr>
                <w:rFonts w:hint="eastAsia" w:ascii="宋体" w:hAnsi="宋体"/>
                <w:sz w:val="18"/>
                <w:szCs w:val="18"/>
              </w:rPr>
              <w:t>：</w:t>
            </w:r>
            <w:r>
              <w:rPr>
                <w:rFonts w:hint="eastAsia" w:ascii="宋体" w:hAnsi="宋体"/>
                <w:kern w:val="0"/>
                <w:sz w:val="18"/>
                <w:szCs w:val="18"/>
              </w:rPr>
              <w:t>能将基础知识恰当地运用到电子科学与技术专业</w:t>
            </w:r>
            <w:r>
              <w:rPr>
                <w:rFonts w:hint="eastAsia" w:ascii="宋体" w:hAnsi="宋体"/>
                <w:sz w:val="18"/>
                <w:szCs w:val="18"/>
              </w:rPr>
              <w:t>电路系统、物联网及现场总线等</w:t>
            </w:r>
            <w:r>
              <w:rPr>
                <w:rFonts w:hint="eastAsia" w:ascii="宋体" w:hAnsi="宋体"/>
                <w:kern w:val="0"/>
                <w:sz w:val="18"/>
                <w:szCs w:val="18"/>
              </w:rPr>
              <w:t>复杂工程问题的解决中。</w:t>
            </w:r>
          </w:p>
        </w:tc>
      </w:tr>
    </w:tbl>
    <w:p>
      <w:pPr>
        <w:spacing w:line="360" w:lineRule="auto"/>
        <w:rPr>
          <w:szCs w:val="21"/>
        </w:rPr>
      </w:pPr>
    </w:p>
    <w:p>
      <w:pPr>
        <w:spacing w:line="360" w:lineRule="auto"/>
        <w:ind w:firstLine="420" w:firstLineChars="200"/>
        <w:rPr>
          <w:szCs w:val="21"/>
        </w:rPr>
      </w:pPr>
      <w:r>
        <w:rPr>
          <w:rFonts w:hint="eastAsia"/>
          <w:szCs w:val="21"/>
        </w:rPr>
        <w:t>思政目标：激光技术是光电子领域的重要技术。通过了解国内外该技术的发展现状和差距，激发学生重视技术进步与创新，为国民经济发展和国家进步贡献力量的意识。</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1、本课程在教学中应把重点放在讲解激光的基本理论和基本方法上，同时也注意到内容的广泛性及理论与实际的结合，运用启发式教学方法，使学生从抽象的概念中走出来，达到深入理解。</w:t>
      </w:r>
    </w:p>
    <w:p>
      <w:pPr>
        <w:spacing w:line="360" w:lineRule="auto"/>
        <w:ind w:firstLine="420" w:firstLineChars="200"/>
        <w:rPr>
          <w:szCs w:val="21"/>
        </w:rPr>
      </w:pPr>
      <w:r>
        <w:rPr>
          <w:rFonts w:hint="eastAsia"/>
          <w:szCs w:val="21"/>
        </w:rPr>
        <w:t>2、老师讲授内容的编排上注意理论本身的系统性、完整性及各章节间的关系，特别注意物理现象的描述，引入了一系列相互关联的基本概念，如受激吸收，自发辐射，受激辐射，稳定谐振腔理论，高斯光束参数及其变化规律，增益系数及其饱和效应等，有助于学生对激光物理基本理论及处理方法的掌握。</w:t>
      </w:r>
    </w:p>
    <w:p>
      <w:pPr>
        <w:spacing w:line="360" w:lineRule="auto"/>
        <w:ind w:firstLine="420" w:firstLineChars="200"/>
        <w:rPr>
          <w:szCs w:val="21"/>
        </w:rPr>
      </w:pPr>
      <w:r>
        <w:rPr>
          <w:rFonts w:hint="eastAsia"/>
          <w:szCs w:val="21"/>
        </w:rPr>
        <w:t>3、该课程理论性强，需要推导的公式多，在讲授中适当引入理论推导，帮助学生理解知识的来龙去脉，但重点要求学生从物理意义上对相关知识进行理解和掌握。</w:t>
      </w:r>
    </w:p>
    <w:p>
      <w:pPr>
        <w:spacing w:line="360" w:lineRule="auto"/>
        <w:ind w:firstLine="420" w:firstLineChars="200"/>
        <w:rPr>
          <w:szCs w:val="21"/>
        </w:rPr>
      </w:pPr>
      <w:r>
        <w:rPr>
          <w:rFonts w:hint="eastAsia"/>
          <w:szCs w:val="21"/>
        </w:rPr>
        <w:t>4、学生应根据教师的课堂提问及课后作业，查阅相关资料文献，拓宽思路解决问题，真正的理解激光理论知识。</w:t>
      </w:r>
    </w:p>
    <w:p>
      <w:pPr>
        <w:spacing w:line="360" w:lineRule="auto"/>
        <w:ind w:firstLine="420" w:firstLineChars="200"/>
        <w:rPr>
          <w:szCs w:val="21"/>
        </w:rPr>
      </w:pPr>
      <w:r>
        <w:rPr>
          <w:rFonts w:hint="eastAsia"/>
          <w:szCs w:val="21"/>
        </w:rPr>
        <w:t>5、深度和广度说明：激光的基本原理、开放式光腔与高斯光束、电磁场和物质的相互作用、激光器的振荡特性，这些内容是学生必须掌握的基本知识。了解稳定式和非稳定式开放光腔与其输出激光模式的关系，工作物质加宽机制与激光振荡模式及输出特性的关系。稳定谐振腔理论，高斯光束参数变化，规律激光器振荡特性是本课程的难点。</w:t>
      </w:r>
    </w:p>
    <w:p>
      <w:pPr>
        <w:spacing w:line="360" w:lineRule="auto"/>
        <w:ind w:firstLine="420" w:firstLineChars="200"/>
        <w:rPr>
          <w:szCs w:val="21"/>
        </w:rPr>
      </w:pPr>
      <w:r>
        <w:rPr>
          <w:szCs w:val="21"/>
        </w:rPr>
        <w:t>6</w:t>
      </w:r>
      <w:r>
        <w:rPr>
          <w:rFonts w:hint="eastAsia"/>
          <w:szCs w:val="21"/>
        </w:rPr>
        <w:t>、</w:t>
      </w:r>
      <w:r>
        <w:rPr>
          <w:szCs w:val="21"/>
        </w:rPr>
        <w:t>偏差说明：为了鼓励教师引入个人授课风格或者适应技术发展的紧迫性，本课程允许教师授课内容做适当调整，最大正偏差为</w:t>
      </w:r>
      <w:r>
        <w:rPr>
          <w:rFonts w:hint="eastAsia"/>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rFonts w:hint="eastAsia"/>
          <w:szCs w:val="21"/>
        </w:rPr>
        <w:t>本课程重点讲授的内容包括：激光器的工作原理、增益介质的特性、光学谐振腔的设计、激光器的输出性能。改善可控制激光输出特性的典型激光技术如放大、选模、稳频、调Q、锁模等的基本原理、方法和种类。</w:t>
      </w:r>
    </w:p>
    <w:p>
      <w:pPr>
        <w:spacing w:line="360" w:lineRule="auto"/>
        <w:ind w:firstLine="420" w:firstLineChars="200"/>
        <w:rPr>
          <w:rFonts w:ascii="黑体" w:hAnsi="黑体" w:eastAsia="黑体"/>
          <w:szCs w:val="21"/>
        </w:rPr>
      </w:pPr>
      <w:r>
        <w:rPr>
          <w:szCs w:val="21"/>
        </w:rPr>
        <w:t>本课程在教学方法上，充分利用各种媒体教学手段，采取课堂教学、多媒体课件、分组实验方式有机结合，提高教学效率。</w:t>
      </w:r>
    </w:p>
    <w:p>
      <w:pPr>
        <w:spacing w:line="360" w:lineRule="auto"/>
        <w:ind w:firstLine="420" w:firstLineChars="200"/>
        <w:rPr>
          <w:szCs w:val="21"/>
        </w:rPr>
      </w:pPr>
      <w:r>
        <w:rPr>
          <w:rFonts w:hint="eastAsia"/>
          <w:szCs w:val="21"/>
        </w:rPr>
        <w:t>激光原理与技术注重基础理论知识的学习与技术的应用，因此教师需将基础理论知识与技术的应用进行有机的结合讲授。</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为了提高学生的学习兴趣，并取得良好的教学效果，教师在知识讲解的过程中要充分利用问题引导、应用实例分析等多种教学方法，以进一步提高教学质量。</w:t>
      </w:r>
    </w:p>
    <w:p>
      <w:pPr>
        <w:widowControl/>
        <w:adjustRightInd w:val="0"/>
        <w:snapToGrid w:val="0"/>
        <w:spacing w:line="360" w:lineRule="auto"/>
        <w:ind w:left="426"/>
        <w:rPr>
          <w:rFonts w:eastAsia="黑体"/>
          <w:snapToGrid w:val="0"/>
          <w:color w:val="000000"/>
          <w:kern w:val="0"/>
          <w:szCs w:val="21"/>
        </w:rPr>
      </w:pPr>
      <w:r>
        <w:rPr>
          <w:rFonts w:eastAsia="黑体"/>
          <w:snapToGrid w:val="0"/>
          <w:color w:val="000000"/>
          <w:kern w:val="0"/>
          <w:szCs w:val="21"/>
        </w:rPr>
        <w:t>1 绪言</w:t>
      </w:r>
      <w:r>
        <w:rPr>
          <w:rFonts w:eastAsia="黑体"/>
          <w:color w:val="000000"/>
          <w:kern w:val="0"/>
          <w:szCs w:val="21"/>
          <w:lang w:val="zh-CN"/>
        </w:rPr>
        <w:t>（2学时）</w:t>
      </w:r>
    </w:p>
    <w:p>
      <w:pPr>
        <w:widowControl/>
        <w:adjustRightInd w:val="0"/>
        <w:snapToGrid w:val="0"/>
        <w:spacing w:line="360" w:lineRule="auto"/>
        <w:ind w:left="426"/>
        <w:rPr>
          <w:snapToGrid w:val="0"/>
          <w:color w:val="000000"/>
          <w:kern w:val="0"/>
          <w:szCs w:val="21"/>
        </w:rPr>
      </w:pPr>
      <w:r>
        <w:rPr>
          <w:snapToGrid w:val="0"/>
          <w:color w:val="000000"/>
          <w:kern w:val="0"/>
          <w:szCs w:val="21"/>
        </w:rPr>
        <w:t>1.1</w:t>
      </w:r>
      <w:r>
        <w:rPr>
          <w:rFonts w:hint="eastAsia"/>
          <w:snapToGrid w:val="0"/>
          <w:color w:val="000000"/>
          <w:kern w:val="0"/>
          <w:szCs w:val="21"/>
        </w:rPr>
        <w:t>、</w:t>
      </w:r>
      <w:r>
        <w:rPr>
          <w:snapToGrid w:val="0"/>
          <w:color w:val="000000"/>
          <w:kern w:val="0"/>
          <w:szCs w:val="21"/>
        </w:rPr>
        <w:t>激光器的发展史</w:t>
      </w:r>
      <w:r>
        <w:rPr>
          <w:snapToGrid w:val="0"/>
          <w:color w:val="000000"/>
          <w:kern w:val="0"/>
          <w:szCs w:val="21"/>
        </w:rPr>
        <w:tab/>
      </w:r>
    </w:p>
    <w:p>
      <w:pPr>
        <w:widowControl/>
        <w:adjustRightInd w:val="0"/>
        <w:snapToGrid w:val="0"/>
        <w:spacing w:line="360" w:lineRule="auto"/>
        <w:ind w:left="426"/>
        <w:rPr>
          <w:snapToGrid w:val="0"/>
          <w:color w:val="000000"/>
          <w:kern w:val="0"/>
          <w:szCs w:val="21"/>
        </w:rPr>
      </w:pPr>
      <w:r>
        <w:rPr>
          <w:snapToGrid w:val="0"/>
          <w:color w:val="000000"/>
          <w:kern w:val="0"/>
          <w:szCs w:val="21"/>
        </w:rPr>
        <w:t>1.2</w:t>
      </w:r>
      <w:r>
        <w:rPr>
          <w:rFonts w:hint="eastAsia"/>
          <w:snapToGrid w:val="0"/>
          <w:color w:val="000000"/>
          <w:kern w:val="0"/>
          <w:szCs w:val="21"/>
        </w:rPr>
        <w:t>、</w:t>
      </w:r>
      <w:r>
        <w:rPr>
          <w:snapToGrid w:val="0"/>
          <w:color w:val="000000"/>
          <w:kern w:val="0"/>
          <w:szCs w:val="21"/>
        </w:rPr>
        <w:t>激光的广泛应用</w:t>
      </w:r>
    </w:p>
    <w:p>
      <w:pPr>
        <w:widowControl/>
        <w:adjustRightInd w:val="0"/>
        <w:snapToGrid w:val="0"/>
        <w:spacing w:line="360" w:lineRule="auto"/>
        <w:ind w:left="426"/>
        <w:rPr>
          <w:rFonts w:eastAsia="黑体"/>
          <w:snapToGrid w:val="0"/>
          <w:color w:val="000000"/>
          <w:kern w:val="0"/>
          <w:szCs w:val="21"/>
        </w:rPr>
      </w:pPr>
      <w:r>
        <w:rPr>
          <w:color w:val="000000"/>
          <w:szCs w:val="21"/>
        </w:rPr>
        <w:t>本章内容支撑课程目标1、2。</w:t>
      </w:r>
      <w:r>
        <w:rPr>
          <w:rFonts w:eastAsia="黑体"/>
          <w:snapToGrid w:val="0"/>
          <w:color w:val="000000"/>
          <w:kern w:val="0"/>
          <w:szCs w:val="21"/>
        </w:rPr>
        <w:tab/>
      </w:r>
    </w:p>
    <w:p>
      <w:pPr>
        <w:spacing w:line="360" w:lineRule="auto"/>
        <w:ind w:firstLine="422" w:firstLineChars="200"/>
        <w:rPr>
          <w:b/>
          <w:bCs/>
          <w:szCs w:val="21"/>
        </w:rPr>
      </w:pPr>
      <w:r>
        <w:rPr>
          <w:rFonts w:hint="eastAsia"/>
          <w:b/>
          <w:bCs/>
          <w:szCs w:val="21"/>
        </w:rPr>
        <w:t>思政元素：激光技术是光电子领域的重要技术。通过了解国内外该技术的发展现状和差距，激发学生重视技术进步与创新，为国民经济发展和国家进步贡献力量的意识。</w:t>
      </w:r>
    </w:p>
    <w:p>
      <w:pPr>
        <w:widowControl/>
        <w:adjustRightInd w:val="0"/>
        <w:snapToGrid w:val="0"/>
        <w:spacing w:line="360" w:lineRule="auto"/>
        <w:ind w:left="426"/>
        <w:rPr>
          <w:rFonts w:eastAsia="黑体"/>
          <w:snapToGrid w:val="0"/>
          <w:color w:val="000000"/>
          <w:kern w:val="0"/>
          <w:szCs w:val="21"/>
        </w:rPr>
      </w:pPr>
    </w:p>
    <w:p>
      <w:pPr>
        <w:widowControl/>
        <w:adjustRightInd w:val="0"/>
        <w:snapToGrid w:val="0"/>
        <w:spacing w:line="360" w:lineRule="auto"/>
        <w:ind w:left="426"/>
        <w:rPr>
          <w:rFonts w:eastAsia="黑体"/>
          <w:snapToGrid w:val="0"/>
          <w:color w:val="000000"/>
          <w:kern w:val="0"/>
          <w:szCs w:val="21"/>
        </w:rPr>
      </w:pPr>
      <w:r>
        <w:rPr>
          <w:rFonts w:eastAsia="黑体"/>
          <w:snapToGrid w:val="0"/>
          <w:color w:val="000000"/>
          <w:kern w:val="0"/>
          <w:szCs w:val="21"/>
        </w:rPr>
        <w:t>2 激光的基本原理</w:t>
      </w:r>
      <w:r>
        <w:rPr>
          <w:rFonts w:eastAsia="黑体"/>
          <w:color w:val="000000"/>
          <w:kern w:val="0"/>
          <w:szCs w:val="21"/>
          <w:lang w:val="zh-CN"/>
        </w:rPr>
        <w:t>（4学时）</w:t>
      </w:r>
    </w:p>
    <w:p>
      <w:pPr>
        <w:widowControl/>
        <w:adjustRightInd w:val="0"/>
        <w:snapToGrid w:val="0"/>
        <w:spacing w:line="360" w:lineRule="auto"/>
        <w:ind w:left="426"/>
        <w:rPr>
          <w:snapToGrid w:val="0"/>
          <w:color w:val="000000"/>
          <w:kern w:val="0"/>
          <w:szCs w:val="21"/>
        </w:rPr>
      </w:pPr>
      <w:r>
        <w:rPr>
          <w:snapToGrid w:val="0"/>
          <w:color w:val="000000"/>
          <w:kern w:val="0"/>
          <w:szCs w:val="21"/>
        </w:rPr>
        <w:t>2.1</w:t>
      </w:r>
      <w:r>
        <w:rPr>
          <w:rFonts w:hint="eastAsia"/>
          <w:snapToGrid w:val="0"/>
          <w:color w:val="000000"/>
          <w:kern w:val="0"/>
          <w:szCs w:val="21"/>
        </w:rPr>
        <w:t>、</w:t>
      </w:r>
      <w:r>
        <w:rPr>
          <w:snapToGrid w:val="0"/>
          <w:color w:val="000000"/>
          <w:kern w:val="0"/>
          <w:szCs w:val="21"/>
        </w:rPr>
        <w:t>相干性的光子，理解激光模式、相格、光子相干性、光子简并度</w:t>
      </w:r>
      <w:r>
        <w:rPr>
          <w:snapToGrid w:val="0"/>
          <w:color w:val="000000"/>
          <w:kern w:val="0"/>
          <w:szCs w:val="21"/>
        </w:rPr>
        <w:tab/>
      </w:r>
    </w:p>
    <w:p>
      <w:pPr>
        <w:widowControl/>
        <w:adjustRightInd w:val="0"/>
        <w:snapToGrid w:val="0"/>
        <w:spacing w:line="360" w:lineRule="auto"/>
        <w:ind w:left="426"/>
        <w:rPr>
          <w:bCs/>
          <w:snapToGrid w:val="0"/>
          <w:color w:val="000000"/>
          <w:kern w:val="0"/>
          <w:szCs w:val="21"/>
        </w:rPr>
      </w:pPr>
      <w:r>
        <w:rPr>
          <w:snapToGrid w:val="0"/>
          <w:color w:val="000000"/>
          <w:kern w:val="0"/>
          <w:szCs w:val="21"/>
        </w:rPr>
        <w:t>2.2</w:t>
      </w:r>
      <w:r>
        <w:rPr>
          <w:rFonts w:hint="eastAsia"/>
          <w:snapToGrid w:val="0"/>
          <w:color w:val="000000"/>
          <w:kern w:val="0"/>
          <w:szCs w:val="21"/>
        </w:rPr>
        <w:t>、</w:t>
      </w:r>
      <w:r>
        <w:rPr>
          <w:snapToGrid w:val="0"/>
          <w:color w:val="000000"/>
          <w:kern w:val="0"/>
          <w:szCs w:val="21"/>
        </w:rPr>
        <w:t>黑体辐射，以及自发辐射跃迁、受激吸收跃迁和受激辐射跃迁</w:t>
      </w:r>
      <w:r>
        <w:rPr>
          <w:bCs/>
          <w:snapToGrid w:val="0"/>
          <w:color w:val="000000"/>
          <w:kern w:val="0"/>
          <w:szCs w:val="21"/>
        </w:rPr>
        <w:t>（重点）</w:t>
      </w:r>
    </w:p>
    <w:p>
      <w:pPr>
        <w:widowControl/>
        <w:adjustRightInd w:val="0"/>
        <w:snapToGrid w:val="0"/>
        <w:spacing w:line="360" w:lineRule="auto"/>
        <w:ind w:left="426"/>
        <w:rPr>
          <w:bCs/>
          <w:snapToGrid w:val="0"/>
          <w:color w:val="000000"/>
          <w:kern w:val="0"/>
          <w:szCs w:val="21"/>
        </w:rPr>
      </w:pPr>
      <w:r>
        <w:rPr>
          <w:snapToGrid w:val="0"/>
          <w:color w:val="000000"/>
          <w:kern w:val="0"/>
          <w:szCs w:val="21"/>
        </w:rPr>
        <w:t>2.3</w:t>
      </w:r>
      <w:r>
        <w:rPr>
          <w:rFonts w:hint="eastAsia"/>
          <w:snapToGrid w:val="0"/>
          <w:color w:val="000000"/>
          <w:kern w:val="0"/>
          <w:szCs w:val="21"/>
        </w:rPr>
        <w:t>、</w:t>
      </w:r>
      <w:r>
        <w:rPr>
          <w:snapToGrid w:val="0"/>
          <w:color w:val="000000"/>
          <w:kern w:val="0"/>
          <w:szCs w:val="21"/>
        </w:rPr>
        <w:t>光的受激辐射放大概念、自激振荡条件；激光产生的基本原理、激光器的组成及激光的特性</w:t>
      </w:r>
      <w:r>
        <w:rPr>
          <w:bCs/>
          <w:snapToGrid w:val="0"/>
          <w:color w:val="000000"/>
          <w:kern w:val="0"/>
          <w:szCs w:val="21"/>
        </w:rPr>
        <w:t>（重点）</w:t>
      </w:r>
    </w:p>
    <w:p>
      <w:pPr>
        <w:widowControl/>
        <w:adjustRightInd w:val="0"/>
        <w:snapToGrid w:val="0"/>
        <w:spacing w:line="360" w:lineRule="auto"/>
        <w:ind w:left="426"/>
        <w:rPr>
          <w:rFonts w:eastAsia="黑体"/>
          <w:snapToGrid w:val="0"/>
          <w:color w:val="000000"/>
          <w:kern w:val="0"/>
          <w:szCs w:val="21"/>
        </w:rPr>
      </w:pPr>
      <w:r>
        <w:rPr>
          <w:bCs/>
          <w:snapToGrid w:val="0"/>
          <w:color w:val="000000"/>
          <w:kern w:val="0"/>
          <w:szCs w:val="21"/>
        </w:rPr>
        <w:t>本章内容支撑课程目标1。</w:t>
      </w:r>
      <w:r>
        <w:rPr>
          <w:rFonts w:eastAsia="黑体"/>
          <w:bCs/>
          <w:snapToGrid w:val="0"/>
          <w:color w:val="000000"/>
          <w:kern w:val="0"/>
          <w:szCs w:val="21"/>
        </w:rPr>
        <w:br w:type="textWrapping"/>
      </w:r>
      <w:r>
        <w:rPr>
          <w:rFonts w:eastAsia="黑体"/>
          <w:snapToGrid w:val="0"/>
          <w:color w:val="000000"/>
          <w:kern w:val="0"/>
          <w:szCs w:val="21"/>
        </w:rPr>
        <w:t>3 开放式光腔与高斯光束</w:t>
      </w:r>
      <w:r>
        <w:rPr>
          <w:rFonts w:eastAsia="黑体"/>
          <w:color w:val="000000"/>
          <w:kern w:val="0"/>
          <w:szCs w:val="21"/>
          <w:lang w:val="zh-CN"/>
        </w:rPr>
        <w:t>（12学时）</w:t>
      </w:r>
    </w:p>
    <w:p>
      <w:pPr>
        <w:widowControl/>
        <w:adjustRightInd w:val="0"/>
        <w:snapToGrid w:val="0"/>
        <w:spacing w:line="360" w:lineRule="auto"/>
        <w:ind w:left="426"/>
        <w:rPr>
          <w:bCs/>
          <w:snapToGrid w:val="0"/>
          <w:color w:val="000000"/>
          <w:kern w:val="0"/>
          <w:szCs w:val="21"/>
        </w:rPr>
      </w:pPr>
      <w:r>
        <w:rPr>
          <w:snapToGrid w:val="0"/>
          <w:color w:val="000000"/>
          <w:kern w:val="0"/>
          <w:szCs w:val="21"/>
        </w:rPr>
        <w:t>3.1</w:t>
      </w:r>
      <w:r>
        <w:rPr>
          <w:rFonts w:hint="eastAsia"/>
          <w:snapToGrid w:val="0"/>
          <w:color w:val="000000"/>
          <w:kern w:val="0"/>
          <w:szCs w:val="21"/>
        </w:rPr>
        <w:t>、</w:t>
      </w:r>
      <w:r>
        <w:rPr>
          <w:snapToGrid w:val="0"/>
          <w:color w:val="000000"/>
          <w:kern w:val="0"/>
          <w:szCs w:val="21"/>
        </w:rPr>
        <w:t>光腔理论的一般问题；纵模的概念，光腔的损耗，无源谐振腔的Q值；共轴球面腔的稳定性条件</w:t>
      </w:r>
      <w:r>
        <w:rPr>
          <w:snapToGrid w:val="0"/>
          <w:color w:val="000000"/>
          <w:kern w:val="0"/>
          <w:szCs w:val="21"/>
        </w:rPr>
        <w:tab/>
      </w:r>
      <w:r>
        <w:rPr>
          <w:bCs/>
          <w:snapToGrid w:val="0"/>
          <w:color w:val="000000"/>
          <w:kern w:val="0"/>
          <w:szCs w:val="21"/>
        </w:rPr>
        <w:t>（重点）</w:t>
      </w:r>
    </w:p>
    <w:p>
      <w:pPr>
        <w:widowControl/>
        <w:adjustRightInd w:val="0"/>
        <w:snapToGrid w:val="0"/>
        <w:spacing w:line="360" w:lineRule="auto"/>
        <w:ind w:left="426"/>
        <w:rPr>
          <w:bCs/>
          <w:snapToGrid w:val="0"/>
          <w:color w:val="000000"/>
          <w:kern w:val="0"/>
          <w:szCs w:val="21"/>
        </w:rPr>
      </w:pPr>
      <w:r>
        <w:rPr>
          <w:snapToGrid w:val="0"/>
          <w:color w:val="000000"/>
          <w:kern w:val="0"/>
          <w:szCs w:val="21"/>
        </w:rPr>
        <w:t>3.2</w:t>
      </w:r>
      <w:r>
        <w:rPr>
          <w:rFonts w:hint="eastAsia"/>
          <w:snapToGrid w:val="0"/>
          <w:color w:val="000000"/>
          <w:kern w:val="0"/>
          <w:szCs w:val="21"/>
        </w:rPr>
        <w:t>、</w:t>
      </w:r>
      <w:r>
        <w:rPr>
          <w:snapToGrid w:val="0"/>
          <w:color w:val="000000"/>
          <w:kern w:val="0"/>
          <w:szCs w:val="21"/>
        </w:rPr>
        <w:t>方形镜、圆形共焦腔的自再现模，方形镜、圆形镜共焦腔的行波场特征；一般稳定球面腔的模式特征</w:t>
      </w:r>
      <w:r>
        <w:rPr>
          <w:snapToGrid w:val="0"/>
          <w:color w:val="000000"/>
          <w:kern w:val="0"/>
          <w:szCs w:val="21"/>
        </w:rPr>
        <w:tab/>
      </w:r>
      <w:r>
        <w:rPr>
          <w:bCs/>
          <w:snapToGrid w:val="0"/>
          <w:color w:val="000000"/>
          <w:kern w:val="0"/>
          <w:szCs w:val="21"/>
        </w:rPr>
        <w:t>（重点）</w:t>
      </w:r>
    </w:p>
    <w:p>
      <w:pPr>
        <w:widowControl/>
        <w:adjustRightInd w:val="0"/>
        <w:snapToGrid w:val="0"/>
        <w:spacing w:line="360" w:lineRule="auto"/>
        <w:ind w:left="426"/>
        <w:rPr>
          <w:bCs/>
          <w:snapToGrid w:val="0"/>
          <w:color w:val="000000"/>
          <w:kern w:val="0"/>
          <w:szCs w:val="21"/>
        </w:rPr>
      </w:pPr>
      <w:r>
        <w:rPr>
          <w:snapToGrid w:val="0"/>
          <w:color w:val="000000"/>
          <w:kern w:val="0"/>
          <w:szCs w:val="21"/>
        </w:rPr>
        <w:t>3.3</w:t>
      </w:r>
      <w:r>
        <w:rPr>
          <w:rFonts w:hint="eastAsia"/>
          <w:snapToGrid w:val="0"/>
          <w:color w:val="000000"/>
          <w:kern w:val="0"/>
          <w:szCs w:val="21"/>
        </w:rPr>
        <w:t>、</w:t>
      </w:r>
      <w:r>
        <w:rPr>
          <w:snapToGrid w:val="0"/>
          <w:color w:val="000000"/>
          <w:kern w:val="0"/>
          <w:szCs w:val="21"/>
        </w:rPr>
        <w:t>高斯光束的基本性质及特征参数，高斯光束Q参数的变换规律</w:t>
      </w:r>
      <w:r>
        <w:rPr>
          <w:snapToGrid w:val="0"/>
          <w:color w:val="000000"/>
          <w:kern w:val="0"/>
          <w:szCs w:val="21"/>
        </w:rPr>
        <w:tab/>
      </w:r>
      <w:r>
        <w:rPr>
          <w:bCs/>
          <w:snapToGrid w:val="0"/>
          <w:color w:val="000000"/>
          <w:kern w:val="0"/>
          <w:szCs w:val="21"/>
        </w:rPr>
        <w:t>（重点）</w:t>
      </w:r>
    </w:p>
    <w:p>
      <w:pPr>
        <w:widowControl/>
        <w:adjustRightInd w:val="0"/>
        <w:snapToGrid w:val="0"/>
        <w:spacing w:line="360" w:lineRule="auto"/>
        <w:ind w:left="426"/>
        <w:rPr>
          <w:snapToGrid w:val="0"/>
          <w:color w:val="000000"/>
          <w:kern w:val="0"/>
          <w:szCs w:val="21"/>
        </w:rPr>
      </w:pPr>
      <w:r>
        <w:rPr>
          <w:snapToGrid w:val="0"/>
          <w:color w:val="000000"/>
          <w:kern w:val="0"/>
          <w:szCs w:val="21"/>
        </w:rPr>
        <w:t>3.4</w:t>
      </w:r>
      <w:r>
        <w:rPr>
          <w:rFonts w:hint="eastAsia"/>
          <w:snapToGrid w:val="0"/>
          <w:color w:val="000000"/>
          <w:kern w:val="0"/>
          <w:szCs w:val="21"/>
        </w:rPr>
        <w:t>、</w:t>
      </w:r>
      <w:r>
        <w:rPr>
          <w:snapToGrid w:val="0"/>
          <w:color w:val="000000"/>
          <w:kern w:val="0"/>
          <w:szCs w:val="21"/>
        </w:rPr>
        <w:t>高斯光束的聚焦和准直；高斯光束的自再现变换与稳定球面腔的等价；光束衍射倍率因子M2</w:t>
      </w:r>
      <w:r>
        <w:rPr>
          <w:snapToGrid w:val="0"/>
          <w:color w:val="000000"/>
          <w:kern w:val="0"/>
          <w:szCs w:val="21"/>
        </w:rPr>
        <w:tab/>
      </w:r>
    </w:p>
    <w:p>
      <w:pPr>
        <w:widowControl/>
        <w:adjustRightInd w:val="0"/>
        <w:snapToGrid w:val="0"/>
        <w:spacing w:line="360" w:lineRule="auto"/>
        <w:ind w:left="426"/>
        <w:rPr>
          <w:snapToGrid w:val="0"/>
          <w:color w:val="000000"/>
          <w:kern w:val="0"/>
          <w:szCs w:val="21"/>
        </w:rPr>
      </w:pPr>
      <w:r>
        <w:rPr>
          <w:color w:val="000000"/>
          <w:szCs w:val="21"/>
        </w:rPr>
        <w:t>本章内容支撑课程目标1、2。</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4 光场与物质的相互作用</w:t>
      </w:r>
      <w:r>
        <w:rPr>
          <w:rFonts w:eastAsia="黑体"/>
          <w:color w:val="000000"/>
          <w:kern w:val="0"/>
          <w:szCs w:val="21"/>
          <w:lang w:val="zh-CN"/>
        </w:rPr>
        <w:t>（4学时）</w:t>
      </w:r>
    </w:p>
    <w:p>
      <w:pPr>
        <w:widowControl/>
        <w:adjustRightInd w:val="0"/>
        <w:snapToGrid w:val="0"/>
        <w:spacing w:line="360" w:lineRule="auto"/>
        <w:ind w:left="426"/>
        <w:jc w:val="left"/>
        <w:rPr>
          <w:bCs/>
          <w:snapToGrid w:val="0"/>
          <w:color w:val="000000"/>
          <w:kern w:val="0"/>
          <w:szCs w:val="21"/>
        </w:rPr>
      </w:pPr>
      <w:r>
        <w:rPr>
          <w:snapToGrid w:val="0"/>
          <w:color w:val="000000"/>
          <w:kern w:val="0"/>
          <w:szCs w:val="21"/>
        </w:rPr>
        <w:t>4.1</w:t>
      </w:r>
      <w:r>
        <w:rPr>
          <w:rFonts w:hint="eastAsia"/>
          <w:snapToGrid w:val="0"/>
          <w:color w:val="000000"/>
          <w:kern w:val="0"/>
          <w:szCs w:val="21"/>
        </w:rPr>
        <w:t>、</w:t>
      </w:r>
      <w:r>
        <w:rPr>
          <w:snapToGrid w:val="0"/>
          <w:color w:val="000000"/>
          <w:kern w:val="0"/>
          <w:szCs w:val="21"/>
        </w:rPr>
        <w:t>光和物质相互作用的经典理论；谱线加宽</w:t>
      </w:r>
      <w:r>
        <w:drawing>
          <wp:anchor distT="0" distB="0" distL="114300" distR="114300" simplePos="0" relativeHeight="251697152" behindDoc="0" locked="0" layoutInCell="1" allowOverlap="1">
            <wp:simplePos x="0" y="0"/>
            <wp:positionH relativeFrom="character">
              <wp:posOffset>382905</wp:posOffset>
            </wp:positionH>
            <wp:positionV relativeFrom="line">
              <wp:posOffset>1275080</wp:posOffset>
            </wp:positionV>
            <wp:extent cx="74295" cy="72390"/>
            <wp:effectExtent l="19050" t="19050" r="20955" b="22860"/>
            <wp:wrapNone/>
            <wp:docPr id="211" name="图片 211"/>
            <wp:cNvGraphicFramePr/>
            <a:graphic xmlns:a="http://schemas.openxmlformats.org/drawingml/2006/main">
              <a:graphicData uri="http://schemas.openxmlformats.org/drawingml/2006/picture">
                <pic:pic xmlns:pic="http://schemas.openxmlformats.org/drawingml/2006/picture">
                  <pic:nvPicPr>
                    <pic:cNvPr id="211" name="图片 211"/>
                    <pic:cNvPicPr preferRelativeResize="0">
                      <a:picLocks noChangeArrowheads="1"/>
                    </pic:cNvPicPr>
                  </pic:nvPicPr>
                  <pic:blipFill>
                    <a:blip r:embed="rId351">
                      <a:extLst>
                        <a:ext uri="{28A0092B-C50C-407E-A947-70E740481C1C}">
                          <a14:useLocalDpi xmlns:a14="http://schemas.microsoft.com/office/drawing/2010/main" val="0"/>
                        </a:ext>
                      </a:extLst>
                    </a:blip>
                    <a:srcRect/>
                    <a:stretch>
                      <a:fillRect/>
                    </a:stretch>
                  </pic:blipFill>
                  <pic:spPr>
                    <a:xfrm>
                      <a:off x="0" y="0"/>
                      <a:ext cx="74295" cy="72390"/>
                    </a:xfrm>
                    <a:prstGeom prst="rect">
                      <a:avLst/>
                    </a:prstGeom>
                    <a:solidFill>
                      <a:srgbClr val="FFFFFF"/>
                    </a:solidFill>
                    <a:ln w="9525">
                      <a:solidFill>
                        <a:srgbClr val="000000"/>
                      </a:solidFill>
                      <a:round/>
                    </a:ln>
                  </pic:spPr>
                </pic:pic>
              </a:graphicData>
            </a:graphic>
          </wp:anchor>
        </w:drawing>
      </w:r>
      <w:r>
        <w:rPr>
          <w:snapToGrid w:val="0"/>
          <w:color w:val="000000"/>
          <w:kern w:val="0"/>
          <w:szCs w:val="21"/>
        </w:rPr>
        <w:t>和线型函数；</w:t>
      </w:r>
      <w:r>
        <w:fldChar w:fldCharType="begin"/>
      </w:r>
      <w:r>
        <w:instrText xml:space="preserve"> HYPERLINK "javascript:%20ExpandAndView(31);" </w:instrText>
      </w:r>
      <w:r>
        <w:fldChar w:fldCharType="separate"/>
      </w:r>
      <w:r>
        <w:rPr>
          <w:rStyle w:val="27"/>
          <w:snapToGrid w:val="0"/>
          <w:color w:val="000000"/>
          <w:kern w:val="0"/>
          <w:szCs w:val="21"/>
        </w:rPr>
        <w:t>均匀加宽、非均匀加宽</w:t>
      </w:r>
      <w:r>
        <w:rPr>
          <w:rStyle w:val="27"/>
          <w:snapToGrid w:val="0"/>
          <w:color w:val="000000"/>
          <w:kern w:val="0"/>
          <w:szCs w:val="21"/>
        </w:rPr>
        <w:fldChar w:fldCharType="end"/>
      </w:r>
      <w:r>
        <w:rPr>
          <w:snapToGrid w:val="0"/>
          <w:color w:val="000000"/>
          <w:kern w:val="0"/>
          <w:szCs w:val="21"/>
        </w:rPr>
        <w:t>产生的物理机制</w:t>
      </w:r>
      <w:r>
        <w:rPr>
          <w:bCs/>
          <w:snapToGrid w:val="0"/>
          <w:color w:val="000000"/>
          <w:kern w:val="0"/>
          <w:szCs w:val="21"/>
        </w:rPr>
        <w:t>（重点）</w:t>
      </w:r>
      <w:r>
        <w:drawing>
          <wp:anchor distT="0" distB="0" distL="114300" distR="114300" simplePos="0" relativeHeight="251696128" behindDoc="0" locked="0" layoutInCell="1" allowOverlap="1">
            <wp:simplePos x="0" y="0"/>
            <wp:positionH relativeFrom="character">
              <wp:posOffset>4932680</wp:posOffset>
            </wp:positionH>
            <wp:positionV relativeFrom="line">
              <wp:posOffset>379730</wp:posOffset>
            </wp:positionV>
            <wp:extent cx="8255" cy="44450"/>
            <wp:effectExtent l="19050" t="19050" r="10795" b="12700"/>
            <wp:wrapNone/>
            <wp:docPr id="210" name="图片 210"/>
            <wp:cNvGraphicFramePr/>
            <a:graphic xmlns:a="http://schemas.openxmlformats.org/drawingml/2006/main">
              <a:graphicData uri="http://schemas.openxmlformats.org/drawingml/2006/picture">
                <pic:pic xmlns:pic="http://schemas.openxmlformats.org/drawingml/2006/picture">
                  <pic:nvPicPr>
                    <pic:cNvPr id="210" name="图片 210"/>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a:xfrm>
                      <a:off x="0" y="0"/>
                      <a:ext cx="8255" cy="44450"/>
                    </a:xfrm>
                    <a:prstGeom prst="rect">
                      <a:avLst/>
                    </a:prstGeom>
                    <a:solidFill>
                      <a:srgbClr val="FFFFFF"/>
                    </a:solidFill>
                    <a:ln w="9525">
                      <a:solidFill>
                        <a:srgbClr val="000000"/>
                      </a:solidFill>
                      <a:round/>
                    </a:ln>
                  </pic:spPr>
                </pic:pic>
              </a:graphicData>
            </a:graphic>
          </wp:anchor>
        </w:drawing>
      </w:r>
      <w:r>
        <w:drawing>
          <wp:anchor distT="0" distB="0" distL="114300" distR="114300" simplePos="0" relativeHeight="251695104" behindDoc="0" locked="0" layoutInCell="1" allowOverlap="1">
            <wp:simplePos x="0" y="0"/>
            <wp:positionH relativeFrom="character">
              <wp:posOffset>4810760</wp:posOffset>
            </wp:positionH>
            <wp:positionV relativeFrom="line">
              <wp:posOffset>384175</wp:posOffset>
            </wp:positionV>
            <wp:extent cx="9525" cy="35560"/>
            <wp:effectExtent l="19050" t="19050" r="28575" b="21590"/>
            <wp:wrapNone/>
            <wp:docPr id="209" name="图片 209"/>
            <wp:cNvGraphicFramePr/>
            <a:graphic xmlns:a="http://schemas.openxmlformats.org/drawingml/2006/main">
              <a:graphicData uri="http://schemas.openxmlformats.org/drawingml/2006/picture">
                <pic:pic xmlns:pic="http://schemas.openxmlformats.org/drawingml/2006/picture">
                  <pic:nvPicPr>
                    <pic:cNvPr id="209" name="图片 209"/>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a:xfrm>
                      <a:off x="0" y="0"/>
                      <a:ext cx="9525" cy="35560"/>
                    </a:xfrm>
                    <a:prstGeom prst="rect">
                      <a:avLst/>
                    </a:prstGeom>
                    <a:solidFill>
                      <a:srgbClr val="FFFFFF"/>
                    </a:solidFill>
                    <a:ln w="9525">
                      <a:solidFill>
                        <a:srgbClr val="000000"/>
                      </a:solidFill>
                      <a:round/>
                    </a:ln>
                  </pic:spPr>
                </pic:pic>
              </a:graphicData>
            </a:graphic>
          </wp:anchor>
        </w:drawing>
      </w:r>
      <w:r>
        <w:drawing>
          <wp:anchor distT="0" distB="0" distL="114300" distR="114300" simplePos="0" relativeHeight="251694080" behindDoc="0" locked="0" layoutInCell="1" allowOverlap="1">
            <wp:simplePos x="0" y="0"/>
            <wp:positionH relativeFrom="character">
              <wp:posOffset>4725670</wp:posOffset>
            </wp:positionH>
            <wp:positionV relativeFrom="line">
              <wp:posOffset>426085</wp:posOffset>
            </wp:positionV>
            <wp:extent cx="8890" cy="36195"/>
            <wp:effectExtent l="19050" t="19050" r="10160" b="20955"/>
            <wp:wrapNone/>
            <wp:docPr id="208" name="图片 208"/>
            <wp:cNvGraphicFramePr/>
            <a:graphic xmlns:a="http://schemas.openxmlformats.org/drawingml/2006/main">
              <a:graphicData uri="http://schemas.openxmlformats.org/drawingml/2006/picture">
                <pic:pic xmlns:pic="http://schemas.openxmlformats.org/drawingml/2006/picture">
                  <pic:nvPicPr>
                    <pic:cNvPr id="208" name="图片 208"/>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a:xfrm>
                      <a:off x="0" y="0"/>
                      <a:ext cx="8890" cy="36195"/>
                    </a:xfrm>
                    <a:prstGeom prst="rect">
                      <a:avLst/>
                    </a:prstGeom>
                    <a:solidFill>
                      <a:srgbClr val="FFFFFF"/>
                    </a:solidFill>
                    <a:ln w="9525">
                      <a:solidFill>
                        <a:srgbClr val="000000"/>
                      </a:solidFill>
                      <a:round/>
                    </a:ln>
                  </pic:spPr>
                </pic:pic>
              </a:graphicData>
            </a:graphic>
          </wp:anchor>
        </w:drawing>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4.2</w:t>
      </w:r>
      <w:r>
        <w:rPr>
          <w:rFonts w:hint="eastAsia"/>
          <w:snapToGrid w:val="0"/>
          <w:color w:val="000000"/>
          <w:kern w:val="0"/>
          <w:szCs w:val="21"/>
        </w:rPr>
        <w:t>、</w:t>
      </w:r>
      <w:r>
        <w:rPr>
          <w:snapToGrid w:val="0"/>
          <w:color w:val="000000"/>
          <w:kern w:val="0"/>
          <w:szCs w:val="21"/>
        </w:rPr>
        <w:t>受激辐射概率；典型激光器速率方程</w:t>
      </w:r>
      <w:r>
        <w:rPr>
          <w:snapToGrid w:val="0"/>
          <w:color w:val="000000"/>
          <w:kern w:val="0"/>
          <w:szCs w:val="21"/>
        </w:rPr>
        <w:tab/>
      </w:r>
    </w:p>
    <w:p>
      <w:pPr>
        <w:widowControl/>
        <w:adjustRightInd w:val="0"/>
        <w:snapToGrid w:val="0"/>
        <w:spacing w:line="360" w:lineRule="auto"/>
        <w:ind w:left="426"/>
        <w:jc w:val="left"/>
        <w:rPr>
          <w:snapToGrid w:val="0"/>
          <w:color w:val="000000"/>
          <w:kern w:val="0"/>
          <w:szCs w:val="21"/>
        </w:rPr>
      </w:pPr>
      <w:r>
        <w:rPr>
          <w:color w:val="000000"/>
          <w:szCs w:val="21"/>
        </w:rPr>
        <w:t>本章内容支撑课程目标1、2。</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5 激光器的输出特性</w:t>
      </w:r>
      <w:r>
        <w:rPr>
          <w:rFonts w:eastAsia="黑体"/>
          <w:color w:val="000000"/>
          <w:kern w:val="0"/>
          <w:szCs w:val="21"/>
          <w:lang w:val="zh-CN"/>
        </w:rPr>
        <w:t>（2学时）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5.1</w:t>
      </w:r>
      <w:r>
        <w:rPr>
          <w:rFonts w:hint="eastAsia"/>
          <w:snapToGrid w:val="0"/>
          <w:color w:val="000000"/>
          <w:kern w:val="0"/>
          <w:szCs w:val="21"/>
        </w:rPr>
        <w:t>、</w:t>
      </w:r>
      <w:r>
        <w:rPr>
          <w:snapToGrid w:val="0"/>
          <w:color w:val="000000"/>
          <w:kern w:val="0"/>
          <w:szCs w:val="21"/>
        </w:rPr>
        <w:t>均匀加宽工作物质的反转集居数饱和和均匀加宽工作物质的增益饱和</w:t>
      </w:r>
      <w:r>
        <w:rPr>
          <w:snapToGrid w:val="0"/>
          <w:color w:val="000000"/>
          <w:kern w:val="0"/>
          <w:szCs w:val="21"/>
        </w:rPr>
        <w:tab/>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5.2</w:t>
      </w:r>
      <w:r>
        <w:rPr>
          <w:rFonts w:hint="eastAsia"/>
          <w:snapToGrid w:val="0"/>
          <w:color w:val="000000"/>
          <w:kern w:val="0"/>
          <w:szCs w:val="21"/>
        </w:rPr>
        <w:t>、</w:t>
      </w:r>
      <w:r>
        <w:rPr>
          <w:snapToGrid w:val="0"/>
          <w:color w:val="000000"/>
          <w:kern w:val="0"/>
          <w:szCs w:val="21"/>
        </w:rPr>
        <w:t>非均匀加宽工作物质的增益饱和，烧孔效应，兰姆凹陷的形成</w:t>
      </w:r>
    </w:p>
    <w:p>
      <w:pPr>
        <w:widowControl/>
        <w:adjustRightInd w:val="0"/>
        <w:snapToGrid w:val="0"/>
        <w:spacing w:line="360" w:lineRule="auto"/>
        <w:ind w:left="426"/>
        <w:jc w:val="left"/>
        <w:rPr>
          <w:bCs/>
          <w:snapToGrid w:val="0"/>
          <w:color w:val="000000"/>
          <w:kern w:val="0"/>
          <w:szCs w:val="21"/>
        </w:rPr>
      </w:pPr>
      <w:r>
        <w:rPr>
          <w:snapToGrid w:val="0"/>
          <w:color w:val="000000"/>
          <w:kern w:val="0"/>
          <w:szCs w:val="21"/>
        </w:rPr>
        <w:t>5.3</w:t>
      </w:r>
      <w:r>
        <w:rPr>
          <w:rFonts w:hint="eastAsia"/>
          <w:snapToGrid w:val="0"/>
          <w:color w:val="000000"/>
          <w:kern w:val="0"/>
          <w:szCs w:val="21"/>
        </w:rPr>
        <w:t>、</w:t>
      </w:r>
      <w:r>
        <w:rPr>
          <w:snapToGrid w:val="0"/>
          <w:color w:val="000000"/>
          <w:kern w:val="0"/>
          <w:szCs w:val="21"/>
        </w:rPr>
        <w:t>激光器的阈值条件、振荡条件，模式竞争；脉冲激光器中的弛豫振荡</w:t>
      </w:r>
      <w:r>
        <w:rPr>
          <w:bCs/>
          <w:snapToGrid w:val="0"/>
          <w:color w:val="000000"/>
          <w:kern w:val="0"/>
          <w:szCs w:val="21"/>
        </w:rPr>
        <w:t>（重点）</w:t>
      </w:r>
    </w:p>
    <w:p>
      <w:pPr>
        <w:widowControl/>
        <w:adjustRightInd w:val="0"/>
        <w:snapToGrid w:val="0"/>
        <w:spacing w:line="360" w:lineRule="auto"/>
        <w:ind w:left="426"/>
        <w:jc w:val="left"/>
        <w:rPr>
          <w:bCs/>
          <w:snapToGrid w:val="0"/>
          <w:color w:val="000000"/>
          <w:kern w:val="0"/>
          <w:szCs w:val="21"/>
        </w:rPr>
      </w:pPr>
      <w:r>
        <w:rPr>
          <w:bCs/>
          <w:snapToGrid w:val="0"/>
          <w:color w:val="000000"/>
          <w:kern w:val="0"/>
          <w:szCs w:val="21"/>
        </w:rPr>
        <w:t>本章内容支撑课程目标1。</w:t>
      </w:r>
    </w:p>
    <w:p>
      <w:pPr>
        <w:widowControl/>
        <w:adjustRightInd w:val="0"/>
        <w:snapToGrid w:val="0"/>
        <w:spacing w:line="360" w:lineRule="auto"/>
        <w:ind w:left="426"/>
        <w:jc w:val="left"/>
        <w:rPr>
          <w:rFonts w:eastAsia="黑体"/>
          <w:snapToGrid w:val="0"/>
          <w:color w:val="000000"/>
          <w:kern w:val="0"/>
          <w:szCs w:val="21"/>
        </w:rPr>
      </w:pPr>
      <w:r>
        <w:rPr>
          <w:rFonts w:eastAsia="黑体"/>
          <w:snapToGrid w:val="0"/>
          <w:color w:val="000000"/>
          <w:kern w:val="0"/>
          <w:szCs w:val="21"/>
        </w:rPr>
        <w:t>6 激光的基本技术</w:t>
      </w:r>
      <w:r>
        <w:rPr>
          <w:rFonts w:eastAsia="黑体"/>
          <w:color w:val="000000"/>
          <w:kern w:val="0"/>
          <w:szCs w:val="21"/>
          <w:lang w:val="zh-CN"/>
        </w:rPr>
        <w:t>（2学时）</w:t>
      </w:r>
    </w:p>
    <w:p>
      <w:pPr>
        <w:widowControl/>
        <w:adjustRightInd w:val="0"/>
        <w:snapToGrid w:val="0"/>
        <w:spacing w:line="360" w:lineRule="auto"/>
        <w:ind w:left="426"/>
        <w:jc w:val="left"/>
        <w:rPr>
          <w:snapToGrid w:val="0"/>
          <w:color w:val="000000"/>
          <w:kern w:val="0"/>
          <w:szCs w:val="21"/>
        </w:rPr>
      </w:pPr>
      <w:r>
        <w:rPr>
          <w:snapToGrid w:val="0"/>
          <w:color w:val="000000"/>
          <w:kern w:val="0"/>
          <w:szCs w:val="21"/>
        </w:rPr>
        <w:t>6.1</w:t>
      </w:r>
      <w:r>
        <w:rPr>
          <w:rFonts w:hint="eastAsia"/>
          <w:snapToGrid w:val="0"/>
          <w:color w:val="000000"/>
          <w:kern w:val="0"/>
          <w:szCs w:val="21"/>
        </w:rPr>
        <w:t>、</w:t>
      </w:r>
      <w:r>
        <w:rPr>
          <w:snapToGrid w:val="0"/>
          <w:color w:val="000000"/>
          <w:kern w:val="0"/>
          <w:szCs w:val="21"/>
        </w:rPr>
        <w:t>激光器单纵模、单横模输出的选取方法；影响激光器频率稳定的因素，稳频的方法。</w:t>
      </w:r>
    </w:p>
    <w:p>
      <w:pPr>
        <w:widowControl/>
        <w:adjustRightInd w:val="0"/>
        <w:snapToGrid w:val="0"/>
        <w:spacing w:line="360" w:lineRule="auto"/>
        <w:ind w:left="426"/>
        <w:jc w:val="left"/>
        <w:rPr>
          <w:bCs/>
          <w:snapToGrid w:val="0"/>
          <w:color w:val="000000"/>
          <w:kern w:val="0"/>
          <w:szCs w:val="21"/>
        </w:rPr>
      </w:pPr>
      <w:r>
        <w:rPr>
          <w:snapToGrid w:val="0"/>
          <w:color w:val="000000"/>
          <w:kern w:val="0"/>
          <w:szCs w:val="21"/>
        </w:rPr>
        <w:t>6.2</w:t>
      </w:r>
      <w:r>
        <w:rPr>
          <w:rFonts w:hint="eastAsia"/>
          <w:snapToGrid w:val="0"/>
          <w:color w:val="000000"/>
          <w:kern w:val="0"/>
          <w:szCs w:val="21"/>
        </w:rPr>
        <w:t>、</w:t>
      </w:r>
      <w:r>
        <w:rPr>
          <w:snapToGrid w:val="0"/>
          <w:color w:val="000000"/>
          <w:kern w:val="0"/>
          <w:szCs w:val="21"/>
        </w:rPr>
        <w:t>激光调Q的原理，电光调Q，声光调Q。</w:t>
      </w:r>
      <w:r>
        <w:rPr>
          <w:bCs/>
          <w:snapToGrid w:val="0"/>
          <w:color w:val="000000"/>
          <w:kern w:val="0"/>
          <w:szCs w:val="21"/>
        </w:rPr>
        <w:t>（重点）</w:t>
      </w:r>
    </w:p>
    <w:p>
      <w:pPr>
        <w:adjustRightInd w:val="0"/>
        <w:snapToGrid w:val="0"/>
        <w:spacing w:line="360" w:lineRule="auto"/>
        <w:ind w:firstLine="420" w:firstLineChars="200"/>
        <w:rPr>
          <w:bCs/>
          <w:snapToGrid w:val="0"/>
          <w:color w:val="000000"/>
          <w:kern w:val="0"/>
          <w:szCs w:val="21"/>
        </w:rPr>
      </w:pPr>
      <w:bookmarkStart w:id="223" w:name="_Hlk36757161"/>
      <w:r>
        <w:rPr>
          <w:color w:val="000000"/>
          <w:szCs w:val="21"/>
        </w:rPr>
        <w:t>本章内容支撑课程目标1</w:t>
      </w:r>
      <w:bookmarkEnd w:id="223"/>
      <w:r>
        <w:rPr>
          <w:color w:val="000000"/>
          <w:szCs w:val="21"/>
        </w:rPr>
        <w:t>。</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widowControl/>
        <w:adjustRightInd w:val="0"/>
        <w:snapToGrid w:val="0"/>
        <w:spacing w:line="360" w:lineRule="auto"/>
        <w:ind w:left="424" w:leftChars="202"/>
        <w:jc w:val="left"/>
        <w:rPr>
          <w:rFonts w:ascii="黑体" w:hAnsi="宋体" w:eastAsia="黑体" w:cs="宋体"/>
          <w:snapToGrid w:val="0"/>
          <w:color w:val="000000"/>
          <w:kern w:val="0"/>
          <w:szCs w:val="21"/>
        </w:rPr>
      </w:pPr>
      <w:r>
        <w:rPr>
          <w:rFonts w:hint="eastAsia" w:ascii="黑体" w:hAnsi="宋体" w:eastAsia="黑体" w:cs="宋体"/>
          <w:snapToGrid w:val="0"/>
          <w:color w:val="000000"/>
          <w:kern w:val="0"/>
          <w:szCs w:val="21"/>
        </w:rPr>
        <w:t>实验一：半导体激光器实验（3学时）</w:t>
      </w:r>
    </w:p>
    <w:p>
      <w:pPr>
        <w:widowControl/>
        <w:adjustRightInd w:val="0"/>
        <w:snapToGrid w:val="0"/>
        <w:spacing w:line="360" w:lineRule="auto"/>
        <w:ind w:left="424" w:leftChars="202"/>
        <w:jc w:val="left"/>
        <w:rPr>
          <w:rFonts w:ascii="宋体" w:hAnsi="宋体" w:cs="宋体"/>
          <w:color w:val="000000"/>
          <w:kern w:val="0"/>
          <w:szCs w:val="21"/>
        </w:rPr>
      </w:pPr>
      <w:r>
        <w:rPr>
          <w:rFonts w:hint="eastAsia" w:ascii="宋体" w:hAnsi="宋体" w:cs="宋体"/>
          <w:color w:val="000000"/>
          <w:kern w:val="0"/>
          <w:szCs w:val="21"/>
        </w:rPr>
        <w:t>内容：测量L</w:t>
      </w:r>
      <w:r>
        <w:rPr>
          <w:rFonts w:ascii="宋体" w:hAnsi="宋体" w:cs="宋体"/>
          <w:color w:val="000000"/>
          <w:kern w:val="0"/>
          <w:szCs w:val="21"/>
        </w:rPr>
        <w:t>D</w:t>
      </w:r>
      <w:r>
        <w:rPr>
          <w:rFonts w:hint="eastAsia" w:ascii="宋体" w:hAnsi="宋体" w:cs="宋体"/>
          <w:color w:val="000000"/>
          <w:kern w:val="0"/>
          <w:szCs w:val="21"/>
        </w:rPr>
        <w:t>的I</w:t>
      </w:r>
      <w:r>
        <w:rPr>
          <w:rFonts w:ascii="宋体" w:hAnsi="宋体" w:cs="宋体"/>
          <w:color w:val="000000"/>
          <w:kern w:val="0"/>
          <w:szCs w:val="21"/>
        </w:rPr>
        <w:t>-V-P</w:t>
      </w:r>
      <w:r>
        <w:rPr>
          <w:rFonts w:hint="eastAsia" w:ascii="宋体" w:hAnsi="宋体" w:cs="宋体"/>
          <w:color w:val="000000"/>
          <w:kern w:val="0"/>
          <w:szCs w:val="21"/>
        </w:rPr>
        <w:t>曲线、光谱、发散角/散射角以及半导体激光器的激光偏振态</w:t>
      </w:r>
    </w:p>
    <w:p>
      <w:pPr>
        <w:adjustRightInd w:val="0"/>
        <w:snapToGrid w:val="0"/>
        <w:spacing w:line="360" w:lineRule="auto"/>
        <w:ind w:left="424" w:leftChars="202"/>
        <w:rPr>
          <w:rFonts w:ascii="宋体" w:hAnsi="宋体" w:cs="宋体"/>
          <w:color w:val="000000"/>
          <w:kern w:val="0"/>
          <w:szCs w:val="21"/>
        </w:rPr>
      </w:pPr>
      <w:r>
        <w:rPr>
          <w:rFonts w:hint="eastAsia" w:ascii="宋体" w:hAnsi="宋体" w:cs="宋体"/>
          <w:color w:val="000000"/>
          <w:kern w:val="0"/>
          <w:szCs w:val="21"/>
        </w:rPr>
        <w:t>基本要求：</w:t>
      </w:r>
    </w:p>
    <w:p>
      <w:pPr>
        <w:pStyle w:val="31"/>
        <w:widowControl/>
        <w:numPr>
          <w:ilvl w:val="0"/>
          <w:numId w:val="33"/>
        </w:numPr>
        <w:adjustRightInd w:val="0"/>
        <w:snapToGrid w:val="0"/>
        <w:spacing w:line="360" w:lineRule="auto"/>
        <w:ind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了解半导体激光器的基本原理。</w:t>
      </w:r>
    </w:p>
    <w:p>
      <w:pPr>
        <w:pStyle w:val="31"/>
        <w:widowControl/>
        <w:adjustRightInd w:val="0"/>
        <w:snapToGrid w:val="0"/>
        <w:spacing w:line="360" w:lineRule="auto"/>
        <w:ind w:left="786" w:firstLine="0"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支撑课程目标</w:t>
      </w:r>
      <w:r>
        <w:rPr>
          <w:rFonts w:ascii="宋体" w:hAnsi="宋体" w:cs="宋体"/>
          <w:snapToGrid w:val="0"/>
          <w:color w:val="000000"/>
          <w:kern w:val="0"/>
          <w:szCs w:val="21"/>
        </w:rPr>
        <w:t>1</w:t>
      </w:r>
      <w:r>
        <w:rPr>
          <w:rFonts w:hint="eastAsia" w:ascii="宋体" w:hAnsi="宋体" w:cs="宋体"/>
          <w:snapToGrid w:val="0"/>
          <w:color w:val="000000"/>
          <w:kern w:val="0"/>
          <w:szCs w:val="21"/>
        </w:rPr>
        <w:t>。</w:t>
      </w:r>
    </w:p>
    <w:p>
      <w:pPr>
        <w:pStyle w:val="31"/>
        <w:widowControl/>
        <w:numPr>
          <w:ilvl w:val="0"/>
          <w:numId w:val="33"/>
        </w:numPr>
        <w:adjustRightInd w:val="0"/>
        <w:snapToGrid w:val="0"/>
        <w:spacing w:line="360" w:lineRule="auto"/>
        <w:ind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掌握测量</w:t>
      </w:r>
      <w:r>
        <w:rPr>
          <w:rFonts w:hint="eastAsia" w:ascii="宋体" w:hAnsi="宋体" w:cs="宋体"/>
          <w:color w:val="000000"/>
          <w:kern w:val="0"/>
          <w:szCs w:val="21"/>
        </w:rPr>
        <w:t>L</w:t>
      </w:r>
      <w:r>
        <w:rPr>
          <w:rFonts w:ascii="宋体" w:hAnsi="宋体" w:cs="宋体"/>
          <w:color w:val="000000"/>
          <w:kern w:val="0"/>
          <w:szCs w:val="21"/>
        </w:rPr>
        <w:t>D</w:t>
      </w:r>
      <w:r>
        <w:rPr>
          <w:rFonts w:hint="eastAsia" w:ascii="宋体" w:hAnsi="宋体" w:cs="宋体"/>
          <w:color w:val="000000"/>
          <w:kern w:val="0"/>
          <w:szCs w:val="21"/>
        </w:rPr>
        <w:t>的I</w:t>
      </w:r>
      <w:r>
        <w:rPr>
          <w:rFonts w:ascii="宋体" w:hAnsi="宋体" w:cs="宋体"/>
          <w:color w:val="000000"/>
          <w:kern w:val="0"/>
          <w:szCs w:val="21"/>
        </w:rPr>
        <w:t>-V-P</w:t>
      </w:r>
      <w:r>
        <w:rPr>
          <w:rFonts w:hint="eastAsia" w:ascii="宋体" w:hAnsi="宋体" w:cs="宋体"/>
          <w:color w:val="000000"/>
          <w:kern w:val="0"/>
          <w:szCs w:val="21"/>
        </w:rPr>
        <w:t>曲线、光谱、发散角/散射角</w:t>
      </w:r>
      <w:r>
        <w:rPr>
          <w:rFonts w:hint="eastAsia" w:ascii="宋体" w:hAnsi="宋体" w:cs="宋体"/>
          <w:snapToGrid w:val="0"/>
          <w:color w:val="000000"/>
          <w:kern w:val="0"/>
          <w:szCs w:val="21"/>
        </w:rPr>
        <w:t>的方法。</w:t>
      </w:r>
    </w:p>
    <w:p>
      <w:pPr>
        <w:pStyle w:val="31"/>
        <w:widowControl/>
        <w:adjustRightInd w:val="0"/>
        <w:snapToGrid w:val="0"/>
        <w:spacing w:line="360" w:lineRule="auto"/>
        <w:ind w:left="786" w:firstLine="0"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支撑课程目标2。</w:t>
      </w:r>
    </w:p>
    <w:p>
      <w:pPr>
        <w:widowControl/>
        <w:adjustRightInd w:val="0"/>
        <w:snapToGrid w:val="0"/>
        <w:spacing w:line="360" w:lineRule="auto"/>
        <w:ind w:left="426"/>
        <w:jc w:val="left"/>
        <w:rPr>
          <w:rFonts w:ascii="宋体" w:hAnsi="宋体" w:cs="宋体"/>
          <w:snapToGrid w:val="0"/>
          <w:color w:val="000000"/>
          <w:kern w:val="0"/>
          <w:szCs w:val="21"/>
        </w:rPr>
      </w:pPr>
      <w:r>
        <w:rPr>
          <w:rFonts w:hint="eastAsia" w:ascii="宋体" w:hAnsi="宋体" w:cs="宋体"/>
          <w:snapToGrid w:val="0"/>
          <w:color w:val="000000"/>
          <w:kern w:val="0"/>
          <w:szCs w:val="21"/>
        </w:rPr>
        <w:t>3、掌握测量半导体激光器的激光偏振态</w:t>
      </w:r>
    </w:p>
    <w:p>
      <w:pPr>
        <w:widowControl/>
        <w:adjustRightInd w:val="0"/>
        <w:snapToGrid w:val="0"/>
        <w:spacing w:line="360" w:lineRule="auto"/>
        <w:ind w:left="426" w:firstLine="420" w:firstLineChars="200"/>
        <w:jc w:val="left"/>
        <w:rPr>
          <w:rFonts w:ascii="宋体" w:hAnsi="宋体" w:cs="宋体"/>
          <w:snapToGrid w:val="0"/>
          <w:color w:val="000000"/>
          <w:kern w:val="0"/>
          <w:szCs w:val="21"/>
        </w:rPr>
      </w:pPr>
      <w:bookmarkStart w:id="224" w:name="_Hlk36757392"/>
      <w:bookmarkStart w:id="225" w:name="_Hlk36757462"/>
      <w:r>
        <w:rPr>
          <w:rFonts w:hint="eastAsia"/>
          <w:color w:val="000000"/>
          <w:szCs w:val="21"/>
        </w:rPr>
        <w:t>支撑课程目标</w:t>
      </w:r>
      <w:bookmarkEnd w:id="224"/>
      <w:r>
        <w:rPr>
          <w:rFonts w:hint="eastAsia"/>
          <w:color w:val="000000"/>
          <w:szCs w:val="21"/>
        </w:rPr>
        <w:t>2。</w:t>
      </w:r>
    </w:p>
    <w:bookmarkEnd w:id="225"/>
    <w:p>
      <w:pPr>
        <w:widowControl/>
        <w:adjustRightInd w:val="0"/>
        <w:snapToGrid w:val="0"/>
        <w:spacing w:line="360" w:lineRule="auto"/>
        <w:ind w:left="424" w:leftChars="202"/>
        <w:jc w:val="left"/>
        <w:rPr>
          <w:rFonts w:ascii="黑体" w:hAnsi="宋体" w:eastAsia="黑体" w:cs="宋体"/>
          <w:snapToGrid w:val="0"/>
          <w:color w:val="000000"/>
          <w:kern w:val="0"/>
          <w:szCs w:val="21"/>
        </w:rPr>
      </w:pPr>
      <w:r>
        <w:rPr>
          <w:rFonts w:hint="eastAsia" w:ascii="黑体" w:hAnsi="宋体" w:eastAsia="黑体" w:cs="宋体"/>
          <w:snapToGrid w:val="0"/>
          <w:color w:val="000000"/>
          <w:kern w:val="0"/>
          <w:szCs w:val="21"/>
        </w:rPr>
        <w:t>实验二：He-Ne激光器实验（3学时）</w:t>
      </w:r>
    </w:p>
    <w:p>
      <w:pPr>
        <w:widowControl/>
        <w:adjustRightInd w:val="0"/>
        <w:snapToGrid w:val="0"/>
        <w:spacing w:line="360" w:lineRule="auto"/>
        <w:ind w:left="424" w:leftChars="202"/>
        <w:jc w:val="left"/>
        <w:rPr>
          <w:rFonts w:ascii="宋体" w:hAnsi="宋体" w:cs="宋体"/>
          <w:color w:val="000000"/>
          <w:kern w:val="0"/>
          <w:szCs w:val="21"/>
        </w:rPr>
      </w:pPr>
      <w:r>
        <w:rPr>
          <w:rFonts w:hint="eastAsia" w:ascii="宋体" w:hAnsi="宋体" w:cs="宋体"/>
          <w:color w:val="000000"/>
          <w:kern w:val="0"/>
          <w:szCs w:val="21"/>
        </w:rPr>
        <w:t>内容：测量激光器谐振腔变化调整与输出功率、对其纵模和横模模式进行分析以及对其偏振态进行验证，观察其高斯光束横模变换和高斯束腰变换。</w:t>
      </w:r>
    </w:p>
    <w:p>
      <w:pPr>
        <w:adjustRightInd w:val="0"/>
        <w:snapToGrid w:val="0"/>
        <w:spacing w:line="360" w:lineRule="auto"/>
        <w:ind w:left="424" w:leftChars="202"/>
        <w:rPr>
          <w:rFonts w:ascii="宋体" w:hAnsi="宋体" w:cs="宋体"/>
          <w:color w:val="000000"/>
          <w:kern w:val="0"/>
          <w:szCs w:val="21"/>
        </w:rPr>
      </w:pPr>
      <w:r>
        <w:rPr>
          <w:rFonts w:hint="eastAsia" w:ascii="宋体" w:hAnsi="宋体" w:cs="宋体"/>
          <w:color w:val="000000"/>
          <w:kern w:val="0"/>
          <w:szCs w:val="21"/>
        </w:rPr>
        <w:t>基本要求：</w:t>
      </w:r>
    </w:p>
    <w:p>
      <w:pPr>
        <w:pStyle w:val="31"/>
        <w:widowControl/>
        <w:numPr>
          <w:ilvl w:val="0"/>
          <w:numId w:val="34"/>
        </w:numPr>
        <w:adjustRightInd w:val="0"/>
        <w:snapToGrid w:val="0"/>
        <w:spacing w:line="360" w:lineRule="auto"/>
        <w:ind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了解He-Ne激光器的工作原理</w:t>
      </w:r>
    </w:p>
    <w:p>
      <w:pPr>
        <w:pStyle w:val="31"/>
        <w:widowControl/>
        <w:adjustRightInd w:val="0"/>
        <w:snapToGrid w:val="0"/>
        <w:spacing w:line="360" w:lineRule="auto"/>
        <w:ind w:left="786" w:firstLine="0" w:firstLineChars="0"/>
        <w:jc w:val="left"/>
        <w:rPr>
          <w:rFonts w:ascii="宋体" w:hAnsi="宋体" w:cs="宋体"/>
          <w:snapToGrid w:val="0"/>
          <w:color w:val="000000"/>
          <w:kern w:val="0"/>
          <w:szCs w:val="21"/>
        </w:rPr>
      </w:pPr>
      <w:r>
        <w:rPr>
          <w:rFonts w:hint="eastAsia" w:ascii="宋体" w:hAnsi="宋体" w:cs="宋体"/>
          <w:snapToGrid w:val="0"/>
          <w:color w:val="000000"/>
          <w:kern w:val="0"/>
          <w:szCs w:val="21"/>
        </w:rPr>
        <w:t>支撑课程目标</w:t>
      </w:r>
      <w:r>
        <w:rPr>
          <w:rFonts w:ascii="宋体" w:hAnsi="宋体" w:cs="宋体"/>
          <w:snapToGrid w:val="0"/>
          <w:color w:val="000000"/>
          <w:kern w:val="0"/>
          <w:szCs w:val="21"/>
        </w:rPr>
        <w:t>1</w:t>
      </w:r>
      <w:r>
        <w:rPr>
          <w:rFonts w:hint="eastAsia" w:ascii="宋体" w:hAnsi="宋体" w:cs="宋体"/>
          <w:snapToGrid w:val="0"/>
          <w:color w:val="000000"/>
          <w:kern w:val="0"/>
          <w:szCs w:val="21"/>
        </w:rPr>
        <w:t>。</w:t>
      </w:r>
    </w:p>
    <w:p>
      <w:pPr>
        <w:pStyle w:val="31"/>
        <w:widowControl/>
        <w:numPr>
          <w:ilvl w:val="0"/>
          <w:numId w:val="34"/>
        </w:numPr>
        <w:adjustRightInd w:val="0"/>
        <w:snapToGrid w:val="0"/>
        <w:spacing w:line="360" w:lineRule="auto"/>
        <w:ind w:firstLineChars="0"/>
        <w:jc w:val="left"/>
        <w:rPr>
          <w:rFonts w:ascii="宋体" w:hAnsi="宋体" w:cs="宋体"/>
          <w:color w:val="000000"/>
          <w:kern w:val="0"/>
          <w:szCs w:val="21"/>
        </w:rPr>
      </w:pPr>
      <w:r>
        <w:rPr>
          <w:rFonts w:hint="eastAsia" w:ascii="宋体" w:hAnsi="宋体" w:cs="宋体"/>
          <w:color w:val="000000"/>
          <w:kern w:val="0"/>
          <w:szCs w:val="21"/>
        </w:rPr>
        <w:t>量激光器谐振腔变化调整与输出功率、对其纵模和横模模式进行分析以及对其偏</w:t>
      </w:r>
      <w:r>
        <w:drawing>
          <wp:anchor distT="0" distB="0" distL="114300" distR="114300" simplePos="0" relativeHeight="251699200" behindDoc="0" locked="0" layoutInCell="1" allowOverlap="1">
            <wp:simplePos x="0" y="0"/>
            <wp:positionH relativeFrom="character">
              <wp:posOffset>561340</wp:posOffset>
            </wp:positionH>
            <wp:positionV relativeFrom="line">
              <wp:posOffset>219710</wp:posOffset>
            </wp:positionV>
            <wp:extent cx="1905" cy="17780"/>
            <wp:effectExtent l="19050" t="19050" r="17145" b="20320"/>
            <wp:wrapNone/>
            <wp:docPr id="207" name="图片 207"/>
            <wp:cNvGraphicFramePr/>
            <a:graphic xmlns:a="http://schemas.openxmlformats.org/drawingml/2006/main">
              <a:graphicData uri="http://schemas.openxmlformats.org/drawingml/2006/picture">
                <pic:pic xmlns:pic="http://schemas.openxmlformats.org/drawingml/2006/picture">
                  <pic:nvPicPr>
                    <pic:cNvPr id="207" name="图片 207"/>
                    <pic:cNvPicPr preferRelativeResize="0">
                      <a:picLocks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1905" cy="17780"/>
                    </a:xfrm>
                    <a:prstGeom prst="rect">
                      <a:avLst/>
                    </a:prstGeom>
                    <a:solidFill>
                      <a:srgbClr val="FFFFFF"/>
                    </a:solidFill>
                    <a:ln w="9525">
                      <a:solidFill>
                        <a:srgbClr val="000000"/>
                      </a:solidFill>
                      <a:round/>
                    </a:ln>
                  </pic:spPr>
                </pic:pic>
              </a:graphicData>
            </a:graphic>
          </wp:anchor>
        </w:drawing>
      </w:r>
      <w:r>
        <w:drawing>
          <wp:anchor distT="0" distB="0" distL="114300" distR="114300" simplePos="0" relativeHeight="251698176" behindDoc="0" locked="0" layoutInCell="1" allowOverlap="1">
            <wp:simplePos x="0" y="0"/>
            <wp:positionH relativeFrom="character">
              <wp:posOffset>154305</wp:posOffset>
            </wp:positionH>
            <wp:positionV relativeFrom="line">
              <wp:posOffset>-42545</wp:posOffset>
            </wp:positionV>
            <wp:extent cx="33655" cy="20320"/>
            <wp:effectExtent l="19050" t="19050" r="23495" b="17780"/>
            <wp:wrapNone/>
            <wp:docPr id="206" name="图片 206"/>
            <wp:cNvGraphicFramePr/>
            <a:graphic xmlns:a="http://schemas.openxmlformats.org/drawingml/2006/main">
              <a:graphicData uri="http://schemas.openxmlformats.org/drawingml/2006/picture">
                <pic:pic xmlns:pic="http://schemas.openxmlformats.org/drawingml/2006/picture">
                  <pic:nvPicPr>
                    <pic:cNvPr id="206" name="图片 206"/>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0" y="0"/>
                      <a:ext cx="33655" cy="20320"/>
                    </a:xfrm>
                    <a:prstGeom prst="rect">
                      <a:avLst/>
                    </a:prstGeom>
                    <a:solidFill>
                      <a:srgbClr val="FFFFFF"/>
                    </a:solidFill>
                    <a:ln w="9525">
                      <a:solidFill>
                        <a:srgbClr val="000000"/>
                      </a:solidFill>
                      <a:round/>
                    </a:ln>
                  </pic:spPr>
                </pic:pic>
              </a:graphicData>
            </a:graphic>
          </wp:anchor>
        </w:drawing>
      </w:r>
      <w:r>
        <w:rPr>
          <w:rFonts w:hint="eastAsia" w:ascii="宋体" w:hAnsi="宋体" w:cs="宋体"/>
          <w:color w:val="000000"/>
          <w:kern w:val="0"/>
          <w:szCs w:val="21"/>
        </w:rPr>
        <w:t>振态进行验证。</w:t>
      </w:r>
    </w:p>
    <w:p>
      <w:pPr>
        <w:pStyle w:val="31"/>
        <w:widowControl/>
        <w:adjustRightInd w:val="0"/>
        <w:snapToGrid w:val="0"/>
        <w:spacing w:line="360" w:lineRule="auto"/>
        <w:ind w:left="786" w:firstLine="0" w:firstLineChars="0"/>
        <w:jc w:val="left"/>
        <w:rPr>
          <w:rFonts w:ascii="宋体" w:hAnsi="宋体" w:cs="宋体"/>
          <w:snapToGrid w:val="0"/>
          <w:color w:val="000000"/>
          <w:kern w:val="0"/>
          <w:szCs w:val="21"/>
        </w:rPr>
      </w:pPr>
      <w:bookmarkStart w:id="226" w:name="_Hlk36757542"/>
      <w:r>
        <w:rPr>
          <w:rFonts w:hint="eastAsia" w:ascii="宋体" w:hAnsi="宋体" w:cs="宋体"/>
          <w:snapToGrid w:val="0"/>
          <w:color w:val="000000"/>
          <w:kern w:val="0"/>
          <w:szCs w:val="21"/>
        </w:rPr>
        <w:t>支撑课程目标2。</w:t>
      </w:r>
    </w:p>
    <w:bookmarkEnd w:id="226"/>
    <w:p>
      <w:pPr>
        <w:widowControl/>
        <w:adjustRightInd w:val="0"/>
        <w:snapToGrid w:val="0"/>
        <w:spacing w:line="360" w:lineRule="auto"/>
        <w:ind w:left="426"/>
        <w:jc w:val="left"/>
        <w:rPr>
          <w:rFonts w:ascii="宋体" w:hAnsi="宋体" w:cs="宋体"/>
          <w:snapToGrid w:val="0"/>
          <w:color w:val="000000"/>
          <w:kern w:val="0"/>
          <w:szCs w:val="21"/>
        </w:rPr>
      </w:pPr>
      <w:r>
        <w:rPr>
          <w:rFonts w:hint="eastAsia" w:ascii="宋体" w:hAnsi="宋体" w:cs="宋体"/>
          <w:snapToGrid w:val="0"/>
          <w:color w:val="000000"/>
          <w:kern w:val="0"/>
          <w:szCs w:val="21"/>
        </w:rPr>
        <w:t>3、</w:t>
      </w:r>
      <w:r>
        <w:rPr>
          <w:rFonts w:hint="eastAsia" w:ascii="宋体" w:hAnsi="宋体" w:cs="宋体"/>
          <w:color w:val="000000"/>
          <w:kern w:val="0"/>
          <w:szCs w:val="21"/>
        </w:rPr>
        <w:t>测量其高斯光束横模变换和高斯束腰变换。</w:t>
      </w:r>
    </w:p>
    <w:p>
      <w:pPr>
        <w:widowControl/>
        <w:tabs>
          <w:tab w:val="left" w:pos="720"/>
        </w:tabs>
        <w:adjustRightInd w:val="0"/>
        <w:snapToGrid w:val="0"/>
        <w:spacing w:line="360" w:lineRule="auto"/>
        <w:ind w:firstLine="840" w:firstLineChars="400"/>
        <w:jc w:val="left"/>
        <w:rPr>
          <w:rFonts w:cs="宋体"/>
          <w:kern w:val="0"/>
          <w:szCs w:val="21"/>
        </w:rPr>
      </w:pPr>
      <w:r>
        <w:rPr>
          <w:rFonts w:hint="eastAsia" w:cs="宋体"/>
          <w:kern w:val="0"/>
          <w:szCs w:val="21"/>
        </w:rPr>
        <w:t>支撑课程目标2。</w:t>
      </w:r>
    </w:p>
    <w:p>
      <w:pPr>
        <w:widowControl/>
        <w:tabs>
          <w:tab w:val="left" w:pos="720"/>
        </w:tabs>
        <w:adjustRightInd w:val="0"/>
        <w:snapToGrid w:val="0"/>
        <w:spacing w:line="360" w:lineRule="auto"/>
        <w:ind w:firstLine="420" w:firstLineChars="200"/>
        <w:jc w:val="left"/>
        <w:rPr>
          <w:rFonts w:cs="宋体"/>
          <w:kern w:val="0"/>
          <w:szCs w:val="21"/>
        </w:rPr>
      </w:pPr>
      <w:r>
        <w:rPr>
          <w:rFonts w:hint="eastAsia" w:cs="宋体"/>
          <w:kern w:val="0"/>
          <w:szCs w:val="21"/>
        </w:rPr>
        <w:t>以上实验为分组实验，1个学时用来提出实验要求并进行讲解，然后要求学生</w:t>
      </w:r>
      <w:r>
        <w:rPr>
          <w:rFonts w:cs="宋体"/>
          <w:kern w:val="0"/>
          <w:szCs w:val="21"/>
        </w:rPr>
        <w:t>3-5</w:t>
      </w:r>
      <w:r>
        <w:rPr>
          <w:rFonts w:hint="eastAsia" w:cs="宋体"/>
          <w:kern w:val="0"/>
          <w:szCs w:val="21"/>
        </w:rPr>
        <w:t>人一组，分工明确，利用实验预约时间，协同完成实验的搭建调试，以及数据的测试，并撰写规范实验报告。</w:t>
      </w:r>
    </w:p>
    <w:p>
      <w:pPr>
        <w:widowControl/>
        <w:tabs>
          <w:tab w:val="left" w:pos="720"/>
        </w:tabs>
        <w:adjustRightInd w:val="0"/>
        <w:snapToGrid w:val="0"/>
        <w:spacing w:line="360" w:lineRule="auto"/>
        <w:ind w:firstLine="420" w:firstLineChars="200"/>
        <w:jc w:val="left"/>
        <w:rPr>
          <w:rFonts w:cs="宋体"/>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07"/>
        <w:gridCol w:w="1659"/>
        <w:gridCol w:w="1785"/>
        <w:gridCol w:w="14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vAlign w:val="center"/>
          </w:tcPr>
          <w:p>
            <w:pPr>
              <w:adjustRightInd w:val="0"/>
              <w:jc w:val="center"/>
              <w:rPr>
                <w:sz w:val="18"/>
                <w:szCs w:val="18"/>
              </w:rPr>
            </w:pPr>
            <w:r>
              <w:rPr>
                <w:rFonts w:hint="eastAsia"/>
                <w:sz w:val="18"/>
                <w:szCs w:val="18"/>
              </w:rPr>
              <w:t>讲授的知识点及内容</w:t>
            </w:r>
          </w:p>
        </w:tc>
        <w:tc>
          <w:tcPr>
            <w:tcW w:w="998" w:type="pct"/>
            <w:vAlign w:val="center"/>
          </w:tcPr>
          <w:p>
            <w:pPr>
              <w:adjustRightInd w:val="0"/>
              <w:jc w:val="center"/>
              <w:rPr>
                <w:sz w:val="18"/>
                <w:szCs w:val="18"/>
              </w:rPr>
            </w:pPr>
            <w:r>
              <w:rPr>
                <w:rFonts w:hint="eastAsia"/>
                <w:sz w:val="18"/>
                <w:szCs w:val="18"/>
              </w:rPr>
              <w:t>讲授（学时）</w:t>
            </w:r>
          </w:p>
        </w:tc>
        <w:tc>
          <w:tcPr>
            <w:tcW w:w="1074" w:type="pct"/>
            <w:vAlign w:val="center"/>
          </w:tcPr>
          <w:p>
            <w:pPr>
              <w:adjustRightInd w:val="0"/>
              <w:jc w:val="center"/>
              <w:rPr>
                <w:sz w:val="18"/>
                <w:szCs w:val="18"/>
              </w:rPr>
            </w:pPr>
            <w:r>
              <w:rPr>
                <w:rFonts w:hint="eastAsia"/>
                <w:sz w:val="18"/>
                <w:szCs w:val="18"/>
              </w:rPr>
              <w:t>实验（学时）</w:t>
            </w:r>
          </w:p>
        </w:tc>
        <w:tc>
          <w:tcPr>
            <w:tcW w:w="879" w:type="pct"/>
            <w:vAlign w:val="center"/>
          </w:tcPr>
          <w:p>
            <w:pPr>
              <w:adjustRightIn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adjustRightInd w:val="0"/>
              <w:jc w:val="center"/>
              <w:rPr>
                <w:sz w:val="18"/>
                <w:szCs w:val="18"/>
              </w:rPr>
            </w:pPr>
            <w:r>
              <w:rPr>
                <w:rFonts w:hint="eastAsia" w:hAnsi="宋体"/>
                <w:sz w:val="18"/>
                <w:szCs w:val="18"/>
              </w:rPr>
              <w:t>绪言</w:t>
            </w:r>
          </w:p>
        </w:tc>
        <w:tc>
          <w:tcPr>
            <w:tcW w:w="998" w:type="pct"/>
          </w:tcPr>
          <w:p>
            <w:pPr>
              <w:adjustRightInd w:val="0"/>
              <w:jc w:val="center"/>
              <w:rPr>
                <w:sz w:val="18"/>
                <w:szCs w:val="18"/>
              </w:rPr>
            </w:pPr>
            <w:r>
              <w:rPr>
                <w:rFonts w:hint="eastAsia"/>
                <w:sz w:val="18"/>
                <w:szCs w:val="18"/>
              </w:rPr>
              <w:t>2</w:t>
            </w:r>
          </w:p>
        </w:tc>
        <w:tc>
          <w:tcPr>
            <w:tcW w:w="1074" w:type="pct"/>
          </w:tcPr>
          <w:p>
            <w:pPr>
              <w:adjustRightInd w:val="0"/>
              <w:jc w:val="center"/>
              <w:rPr>
                <w:sz w:val="18"/>
                <w:szCs w:val="18"/>
              </w:rPr>
            </w:pPr>
          </w:p>
        </w:tc>
        <w:tc>
          <w:tcPr>
            <w:tcW w:w="879" w:type="pct"/>
          </w:tcPr>
          <w:p>
            <w:pPr>
              <w:adjustRightIn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tabs>
                <w:tab w:val="left" w:pos="4643"/>
              </w:tabs>
              <w:adjustRightInd w:val="0"/>
              <w:jc w:val="center"/>
              <w:rPr>
                <w:sz w:val="18"/>
                <w:szCs w:val="18"/>
              </w:rPr>
            </w:pPr>
            <w:r>
              <w:rPr>
                <w:rFonts w:hint="eastAsia" w:hAnsi="宋体"/>
                <w:sz w:val="18"/>
                <w:szCs w:val="18"/>
              </w:rPr>
              <w:t>第一章激光的基本原理</w:t>
            </w:r>
          </w:p>
        </w:tc>
        <w:tc>
          <w:tcPr>
            <w:tcW w:w="998" w:type="pct"/>
          </w:tcPr>
          <w:p>
            <w:pPr>
              <w:adjustRightInd w:val="0"/>
              <w:jc w:val="center"/>
              <w:rPr>
                <w:sz w:val="18"/>
                <w:szCs w:val="18"/>
              </w:rPr>
            </w:pPr>
            <w:r>
              <w:rPr>
                <w:rFonts w:hint="eastAsia"/>
                <w:sz w:val="18"/>
                <w:szCs w:val="18"/>
              </w:rPr>
              <w:t>4</w:t>
            </w:r>
          </w:p>
        </w:tc>
        <w:tc>
          <w:tcPr>
            <w:tcW w:w="1074" w:type="pct"/>
          </w:tcPr>
          <w:p>
            <w:pPr>
              <w:adjustRightInd w:val="0"/>
              <w:jc w:val="center"/>
              <w:rPr>
                <w:sz w:val="18"/>
                <w:szCs w:val="18"/>
              </w:rPr>
            </w:pPr>
          </w:p>
        </w:tc>
        <w:tc>
          <w:tcPr>
            <w:tcW w:w="879" w:type="pct"/>
          </w:tcPr>
          <w:p>
            <w:pPr>
              <w:adjustRightInd w:val="0"/>
              <w:jc w:val="center"/>
              <w:rPr>
                <w:sz w:val="18"/>
                <w:szCs w:val="18"/>
              </w:rPr>
            </w:pPr>
            <w:r>
              <w:rPr>
                <w:rFonts w:hint="eastAsia"/>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adjustRightInd w:val="0"/>
              <w:jc w:val="center"/>
              <w:rPr>
                <w:sz w:val="18"/>
                <w:szCs w:val="18"/>
              </w:rPr>
            </w:pPr>
            <w:r>
              <w:rPr>
                <w:rFonts w:hint="eastAsia" w:hAnsi="宋体"/>
                <w:sz w:val="18"/>
                <w:szCs w:val="18"/>
              </w:rPr>
              <w:t>第二章开放式光腔与高斯光束</w:t>
            </w:r>
          </w:p>
        </w:tc>
        <w:tc>
          <w:tcPr>
            <w:tcW w:w="998" w:type="pct"/>
          </w:tcPr>
          <w:p>
            <w:pPr>
              <w:adjustRightInd w:val="0"/>
              <w:jc w:val="center"/>
              <w:rPr>
                <w:sz w:val="18"/>
                <w:szCs w:val="18"/>
              </w:rPr>
            </w:pPr>
            <w:r>
              <w:rPr>
                <w:rFonts w:hint="eastAsia"/>
                <w:sz w:val="18"/>
                <w:szCs w:val="18"/>
              </w:rPr>
              <w:t>1</w:t>
            </w:r>
            <w:r>
              <w:rPr>
                <w:sz w:val="18"/>
                <w:szCs w:val="18"/>
              </w:rPr>
              <w:t>2</w:t>
            </w:r>
          </w:p>
        </w:tc>
        <w:tc>
          <w:tcPr>
            <w:tcW w:w="1074" w:type="pct"/>
          </w:tcPr>
          <w:p>
            <w:pPr>
              <w:adjustRightInd w:val="0"/>
              <w:jc w:val="center"/>
              <w:rPr>
                <w:sz w:val="18"/>
                <w:szCs w:val="18"/>
              </w:rPr>
            </w:pPr>
            <w:r>
              <w:rPr>
                <w:rFonts w:hint="eastAsia"/>
                <w:sz w:val="18"/>
                <w:szCs w:val="18"/>
              </w:rPr>
              <w:t>3</w:t>
            </w:r>
          </w:p>
        </w:tc>
        <w:tc>
          <w:tcPr>
            <w:tcW w:w="879" w:type="pct"/>
          </w:tcPr>
          <w:p>
            <w:pPr>
              <w:adjustRightInd w:val="0"/>
              <w:jc w:val="center"/>
              <w:rPr>
                <w:sz w:val="18"/>
                <w:szCs w:val="18"/>
              </w:rPr>
            </w:pPr>
            <w:r>
              <w:rPr>
                <w:rFonts w:hint="eastAsia"/>
                <w:sz w:val="18"/>
                <w:szCs w:val="18"/>
              </w:rPr>
              <w:t>1</w:t>
            </w:r>
            <w:r>
              <w:rPr>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tabs>
                <w:tab w:val="left" w:pos="4643"/>
              </w:tabs>
              <w:adjustRightInd w:val="0"/>
              <w:jc w:val="center"/>
              <w:rPr>
                <w:sz w:val="18"/>
                <w:szCs w:val="18"/>
              </w:rPr>
            </w:pPr>
            <w:r>
              <w:rPr>
                <w:rFonts w:hint="eastAsia" w:hAnsi="宋体"/>
                <w:sz w:val="18"/>
                <w:szCs w:val="18"/>
              </w:rPr>
              <w:t>第三章光场与物质的相互作用</w:t>
            </w:r>
          </w:p>
        </w:tc>
        <w:tc>
          <w:tcPr>
            <w:tcW w:w="998" w:type="pct"/>
          </w:tcPr>
          <w:p>
            <w:pPr>
              <w:adjustRightInd w:val="0"/>
              <w:jc w:val="center"/>
              <w:rPr>
                <w:sz w:val="18"/>
                <w:szCs w:val="18"/>
              </w:rPr>
            </w:pPr>
            <w:r>
              <w:rPr>
                <w:sz w:val="18"/>
                <w:szCs w:val="18"/>
              </w:rPr>
              <w:t xml:space="preserve">   4</w:t>
            </w:r>
          </w:p>
        </w:tc>
        <w:tc>
          <w:tcPr>
            <w:tcW w:w="1074" w:type="pct"/>
          </w:tcPr>
          <w:p>
            <w:pPr>
              <w:adjustRightInd w:val="0"/>
              <w:jc w:val="center"/>
              <w:rPr>
                <w:sz w:val="18"/>
                <w:szCs w:val="18"/>
              </w:rPr>
            </w:pPr>
            <w:r>
              <w:rPr>
                <w:rFonts w:hint="eastAsia"/>
                <w:sz w:val="18"/>
                <w:szCs w:val="18"/>
              </w:rPr>
              <w:t>3</w:t>
            </w:r>
          </w:p>
        </w:tc>
        <w:tc>
          <w:tcPr>
            <w:tcW w:w="879" w:type="pct"/>
          </w:tcPr>
          <w:p>
            <w:pPr>
              <w:adjustRightInd w:val="0"/>
              <w:jc w:val="center"/>
              <w:rPr>
                <w:sz w:val="18"/>
                <w:szCs w:val="18"/>
              </w:rPr>
            </w:pPr>
            <w:r>
              <w:rPr>
                <w:rFonts w:hint="eastAsia"/>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adjustRightInd w:val="0"/>
              <w:jc w:val="center"/>
              <w:rPr>
                <w:sz w:val="18"/>
                <w:szCs w:val="18"/>
              </w:rPr>
            </w:pPr>
            <w:r>
              <w:rPr>
                <w:rFonts w:hint="eastAsia" w:hAnsi="宋体"/>
                <w:sz w:val="18"/>
                <w:szCs w:val="18"/>
              </w:rPr>
              <w:t>第四章激光器的输出特性</w:t>
            </w:r>
          </w:p>
        </w:tc>
        <w:tc>
          <w:tcPr>
            <w:tcW w:w="998" w:type="pct"/>
          </w:tcPr>
          <w:p>
            <w:pPr>
              <w:adjustRightInd w:val="0"/>
              <w:jc w:val="center"/>
              <w:rPr>
                <w:sz w:val="18"/>
                <w:szCs w:val="18"/>
              </w:rPr>
            </w:pPr>
            <w:r>
              <w:rPr>
                <w:rFonts w:hint="eastAsia"/>
                <w:sz w:val="18"/>
                <w:szCs w:val="18"/>
              </w:rPr>
              <w:t>2</w:t>
            </w:r>
          </w:p>
        </w:tc>
        <w:tc>
          <w:tcPr>
            <w:tcW w:w="1074" w:type="pct"/>
          </w:tcPr>
          <w:p>
            <w:pPr>
              <w:adjustRightInd w:val="0"/>
              <w:jc w:val="center"/>
              <w:rPr>
                <w:sz w:val="18"/>
                <w:szCs w:val="18"/>
              </w:rPr>
            </w:pPr>
          </w:p>
        </w:tc>
        <w:tc>
          <w:tcPr>
            <w:tcW w:w="879" w:type="pct"/>
          </w:tcPr>
          <w:p>
            <w:pPr>
              <w:adjustRightIn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tcPr>
          <w:p>
            <w:pPr>
              <w:adjustRightInd w:val="0"/>
              <w:jc w:val="center"/>
              <w:rPr>
                <w:sz w:val="18"/>
                <w:szCs w:val="18"/>
              </w:rPr>
            </w:pPr>
            <w:r>
              <w:rPr>
                <w:rFonts w:hint="eastAsia" w:hAnsi="宋体"/>
                <w:sz w:val="18"/>
                <w:szCs w:val="18"/>
              </w:rPr>
              <w:t>第五章激光的基本技术</w:t>
            </w:r>
          </w:p>
        </w:tc>
        <w:tc>
          <w:tcPr>
            <w:tcW w:w="998" w:type="pct"/>
          </w:tcPr>
          <w:p>
            <w:pPr>
              <w:adjustRightInd w:val="0"/>
              <w:jc w:val="center"/>
              <w:rPr>
                <w:sz w:val="18"/>
                <w:szCs w:val="18"/>
              </w:rPr>
            </w:pPr>
            <w:r>
              <w:rPr>
                <w:rFonts w:hint="eastAsia"/>
                <w:sz w:val="18"/>
                <w:szCs w:val="18"/>
              </w:rPr>
              <w:t>2</w:t>
            </w:r>
          </w:p>
        </w:tc>
        <w:tc>
          <w:tcPr>
            <w:tcW w:w="1074" w:type="pct"/>
          </w:tcPr>
          <w:p>
            <w:pPr>
              <w:adjustRightInd w:val="0"/>
              <w:jc w:val="center"/>
              <w:rPr>
                <w:sz w:val="18"/>
                <w:szCs w:val="18"/>
              </w:rPr>
            </w:pPr>
          </w:p>
        </w:tc>
        <w:tc>
          <w:tcPr>
            <w:tcW w:w="879" w:type="pct"/>
          </w:tcPr>
          <w:p>
            <w:pPr>
              <w:adjustRightInd w:val="0"/>
              <w:jc w:val="center"/>
              <w:rPr>
                <w:sz w:val="18"/>
                <w:szCs w:val="18"/>
              </w:rPr>
            </w:pP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49" w:type="pct"/>
            <w:vAlign w:val="center"/>
          </w:tcPr>
          <w:p>
            <w:pPr>
              <w:widowControl/>
              <w:adjustRightInd w:val="0"/>
              <w:jc w:val="center"/>
              <w:rPr>
                <w:rFonts w:cs="宋体"/>
                <w:kern w:val="0"/>
                <w:sz w:val="18"/>
                <w:szCs w:val="18"/>
              </w:rPr>
            </w:pPr>
            <w:r>
              <w:rPr>
                <w:rFonts w:hint="eastAsia" w:cs="宋体"/>
                <w:kern w:val="0"/>
                <w:sz w:val="18"/>
                <w:szCs w:val="18"/>
              </w:rPr>
              <w:t>合计</w:t>
            </w:r>
          </w:p>
        </w:tc>
        <w:tc>
          <w:tcPr>
            <w:tcW w:w="998" w:type="pct"/>
            <w:vAlign w:val="center"/>
          </w:tcPr>
          <w:p>
            <w:pPr>
              <w:widowControl/>
              <w:adjustRightInd w:val="0"/>
              <w:jc w:val="center"/>
              <w:rPr>
                <w:rFonts w:cs="宋体"/>
                <w:kern w:val="0"/>
                <w:sz w:val="18"/>
                <w:szCs w:val="18"/>
              </w:rPr>
            </w:pPr>
            <w:r>
              <w:rPr>
                <w:rFonts w:hint="eastAsia" w:cs="宋体"/>
                <w:kern w:val="0"/>
                <w:sz w:val="18"/>
                <w:szCs w:val="18"/>
              </w:rPr>
              <w:t>2</w:t>
            </w:r>
            <w:r>
              <w:rPr>
                <w:rFonts w:cs="宋体"/>
                <w:kern w:val="0"/>
                <w:sz w:val="18"/>
                <w:szCs w:val="18"/>
              </w:rPr>
              <w:t>6</w:t>
            </w:r>
          </w:p>
        </w:tc>
        <w:tc>
          <w:tcPr>
            <w:tcW w:w="1074" w:type="pct"/>
            <w:vAlign w:val="center"/>
          </w:tcPr>
          <w:p>
            <w:pPr>
              <w:widowControl/>
              <w:adjustRightInd w:val="0"/>
              <w:jc w:val="center"/>
              <w:rPr>
                <w:rFonts w:cs="宋体"/>
                <w:kern w:val="0"/>
                <w:sz w:val="18"/>
                <w:szCs w:val="18"/>
              </w:rPr>
            </w:pPr>
            <w:r>
              <w:rPr>
                <w:rFonts w:hint="eastAsia" w:cs="宋体"/>
                <w:kern w:val="0"/>
                <w:sz w:val="18"/>
                <w:szCs w:val="18"/>
              </w:rPr>
              <w:t>6</w:t>
            </w:r>
          </w:p>
        </w:tc>
        <w:tc>
          <w:tcPr>
            <w:tcW w:w="879" w:type="pct"/>
            <w:vAlign w:val="center"/>
          </w:tcPr>
          <w:p>
            <w:pPr>
              <w:widowControl/>
              <w:adjustRightInd w:val="0"/>
              <w:jc w:val="center"/>
              <w:rPr>
                <w:rFonts w:cs="宋体"/>
                <w:kern w:val="0"/>
                <w:sz w:val="18"/>
                <w:szCs w:val="18"/>
              </w:rPr>
            </w:pPr>
            <w:r>
              <w:rPr>
                <w:rFonts w:hint="eastAsia" w:cs="宋体"/>
                <w:kern w:val="0"/>
                <w:sz w:val="18"/>
                <w:szCs w:val="18"/>
              </w:rPr>
              <w:t>3</w:t>
            </w:r>
            <w:r>
              <w:rPr>
                <w:rFonts w:cs="宋体"/>
                <w:kern w:val="0"/>
                <w:sz w:val="18"/>
                <w:szCs w:val="18"/>
              </w:rPr>
              <w:t>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color w:val="000000"/>
          <w:szCs w:val="21"/>
        </w:rPr>
      </w:pPr>
      <w:r>
        <w:rPr>
          <w:color w:val="000000"/>
          <w:szCs w:val="21"/>
        </w:rPr>
        <w:t>1</w:t>
      </w:r>
      <w:r>
        <w:rPr>
          <w:rFonts w:hint="eastAsia"/>
          <w:color w:val="000000"/>
          <w:szCs w:val="21"/>
        </w:rPr>
        <w:t>、周炳琨等主编，《激光原理》，国防工业出版社，</w:t>
      </w:r>
      <w:r>
        <w:rPr>
          <w:color w:val="000000"/>
          <w:szCs w:val="21"/>
        </w:rPr>
        <w:t>2009</w:t>
      </w:r>
      <w:r>
        <w:rPr>
          <w:rFonts w:hint="eastAsia"/>
          <w:color w:val="000000"/>
          <w:szCs w:val="21"/>
        </w:rPr>
        <w:t>年（第六版）</w:t>
      </w:r>
    </w:p>
    <w:p>
      <w:pPr>
        <w:spacing w:line="360" w:lineRule="auto"/>
        <w:ind w:firstLine="420" w:firstLineChars="200"/>
        <w:rPr>
          <w:color w:val="000000"/>
          <w:szCs w:val="21"/>
        </w:rPr>
      </w:pPr>
      <w:r>
        <w:rPr>
          <w:color w:val="000000"/>
          <w:szCs w:val="21"/>
        </w:rPr>
        <w:t>2</w:t>
      </w:r>
      <w:r>
        <w:rPr>
          <w:rFonts w:hint="eastAsia"/>
          <w:color w:val="000000"/>
          <w:szCs w:val="21"/>
        </w:rPr>
        <w:t>、高以智，《激光原理学习指导》，国防工业出版社，</w:t>
      </w:r>
      <w:r>
        <w:rPr>
          <w:color w:val="000000"/>
          <w:szCs w:val="21"/>
        </w:rPr>
        <w:t>2007</w:t>
      </w:r>
      <w:r>
        <w:rPr>
          <w:rFonts w:hint="eastAsia"/>
          <w:color w:val="000000"/>
          <w:szCs w:val="21"/>
        </w:rPr>
        <w:t>年</w:t>
      </w:r>
    </w:p>
    <w:p>
      <w:pPr>
        <w:spacing w:line="360" w:lineRule="auto"/>
        <w:ind w:firstLine="420" w:firstLineChars="200"/>
        <w:rPr>
          <w:color w:val="000000"/>
          <w:szCs w:val="21"/>
        </w:rPr>
      </w:pPr>
      <w:r>
        <w:rPr>
          <w:color w:val="000000"/>
          <w:szCs w:val="21"/>
        </w:rPr>
        <w:t>3</w:t>
      </w:r>
      <w:r>
        <w:rPr>
          <w:rFonts w:hint="eastAsia"/>
          <w:color w:val="000000"/>
          <w:szCs w:val="21"/>
        </w:rPr>
        <w:t>、陈家壁、彭润玲主编，《激光原理及应用》电子工业出版社，</w:t>
      </w:r>
      <w:r>
        <w:rPr>
          <w:color w:val="000000"/>
          <w:szCs w:val="21"/>
        </w:rPr>
        <w:t>2010</w:t>
      </w:r>
      <w:r>
        <w:rPr>
          <w:rFonts w:hint="eastAsia"/>
          <w:color w:val="000000"/>
          <w:szCs w:val="21"/>
        </w:rPr>
        <w:t>年（第</w:t>
      </w:r>
      <w:r>
        <w:rPr>
          <w:color w:val="000000"/>
          <w:szCs w:val="21"/>
        </w:rPr>
        <w:t>2</w:t>
      </w:r>
      <w:r>
        <w:rPr>
          <w:rFonts w:hint="eastAsia"/>
          <w:color w:val="000000"/>
          <w:szCs w:val="21"/>
        </w:rPr>
        <w:t>版）</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color w:val="000000"/>
          <w:szCs w:val="21"/>
        </w:rPr>
      </w:pPr>
      <w:r>
        <w:rPr>
          <w:rFonts w:hint="eastAsia" w:eastAsia="黑体"/>
          <w:color w:val="000000"/>
          <w:szCs w:val="21"/>
        </w:rPr>
        <w:t>八、课程目标达成的途径和措施</w:t>
      </w:r>
    </w:p>
    <w:p>
      <w:pPr>
        <w:spacing w:line="360" w:lineRule="auto"/>
        <w:ind w:firstLine="420" w:firstLineChars="200"/>
        <w:rPr>
          <w:color w:val="000000"/>
          <w:szCs w:val="21"/>
        </w:rPr>
      </w:pPr>
      <w:r>
        <w:rPr>
          <w:color w:val="000000"/>
          <w:szCs w:val="21"/>
        </w:rPr>
        <w:t>1</w:t>
      </w:r>
      <w:r>
        <w:rPr>
          <w:rFonts w:hint="eastAsia"/>
          <w:color w:val="000000"/>
          <w:szCs w:val="21"/>
        </w:rPr>
        <w:t>、考核目标：考核学生对激光的基本知识、基本原理和基本方法的掌握程度。</w:t>
      </w:r>
    </w:p>
    <w:p>
      <w:pPr>
        <w:spacing w:line="360" w:lineRule="auto"/>
        <w:ind w:firstLine="420" w:firstLineChars="200"/>
        <w:rPr>
          <w:color w:val="000000"/>
          <w:szCs w:val="21"/>
        </w:rPr>
      </w:pPr>
      <w:r>
        <w:rPr>
          <w:color w:val="000000"/>
          <w:szCs w:val="21"/>
        </w:rPr>
        <w:t>2</w:t>
      </w:r>
      <w:r>
        <w:rPr>
          <w:rFonts w:hint="eastAsia"/>
          <w:color w:val="000000"/>
          <w:szCs w:val="21"/>
        </w:rPr>
        <w:t>、考核方式：课堂情况、作业、实验、期末考试。</w:t>
      </w:r>
    </w:p>
    <w:p>
      <w:pPr>
        <w:spacing w:line="360" w:lineRule="auto"/>
        <w:ind w:firstLine="420" w:firstLineChars="200"/>
        <w:rPr>
          <w:color w:val="000000"/>
          <w:szCs w:val="22"/>
        </w:rPr>
      </w:pPr>
      <w:r>
        <w:rPr>
          <w:color w:val="000000"/>
          <w:szCs w:val="21"/>
        </w:rPr>
        <w:t>3</w:t>
      </w:r>
      <w:r>
        <w:rPr>
          <w:rFonts w:hint="eastAsia"/>
          <w:color w:val="000000"/>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777"/>
        <w:gridCol w:w="1782"/>
        <w:gridCol w:w="1541"/>
        <w:gridCol w:w="1701"/>
        <w:gridCol w:w="1511"/>
      </w:tblGrid>
      <w:tr>
        <w:tblPrEx>
          <w:tblCellMar>
            <w:top w:w="0" w:type="dxa"/>
            <w:left w:w="108" w:type="dxa"/>
            <w:bottom w:w="0" w:type="dxa"/>
            <w:right w:w="108" w:type="dxa"/>
          </w:tblCellMar>
        </w:tblPrEx>
        <w:trPr>
          <w:trHeight w:val="691" w:hRule="atLeast"/>
          <w:jc w:val="center"/>
        </w:trPr>
        <w:tc>
          <w:tcPr>
            <w:tcW w:w="106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考察环节</w:t>
            </w:r>
          </w:p>
        </w:tc>
        <w:tc>
          <w:tcPr>
            <w:tcW w:w="107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课堂情况</w:t>
            </w:r>
          </w:p>
        </w:tc>
        <w:tc>
          <w:tcPr>
            <w:tcW w:w="92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作业</w:t>
            </w:r>
          </w:p>
        </w:tc>
        <w:tc>
          <w:tcPr>
            <w:tcW w:w="102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实验</w:t>
            </w:r>
          </w:p>
        </w:tc>
        <w:tc>
          <w:tcPr>
            <w:tcW w:w="909" w:type="pct"/>
            <w:tcBorders>
              <w:top w:val="single" w:color="auto" w:sz="4" w:space="0"/>
              <w:left w:val="single" w:color="auto" w:sz="4" w:space="0"/>
              <w:bottom w:val="single" w:color="auto" w:sz="4" w:space="0"/>
              <w:right w:val="nil"/>
            </w:tcBorders>
            <w:vAlign w:val="center"/>
          </w:tcPr>
          <w:p>
            <w:pPr>
              <w:widowControl/>
              <w:jc w:val="center"/>
              <w:rPr>
                <w:rFonts w:ascii="宋体" w:hAnsi="宋体" w:cs="宋体"/>
                <w:kern w:val="0"/>
                <w:sz w:val="18"/>
              </w:rPr>
            </w:pPr>
            <w:r>
              <w:rPr>
                <w:rFonts w:hint="eastAsia" w:ascii="宋体" w:hAnsi="宋体" w:cs="宋体"/>
                <w:kern w:val="0"/>
                <w:sz w:val="18"/>
              </w:rPr>
              <w:t>期末考试</w:t>
            </w:r>
          </w:p>
        </w:tc>
      </w:tr>
      <w:tr>
        <w:tblPrEx>
          <w:tblCellMar>
            <w:top w:w="0" w:type="dxa"/>
            <w:left w:w="108" w:type="dxa"/>
            <w:bottom w:w="0" w:type="dxa"/>
            <w:right w:w="108" w:type="dxa"/>
          </w:tblCellMar>
        </w:tblPrEx>
        <w:trPr>
          <w:trHeight w:val="132" w:hRule="atLeast"/>
          <w:jc w:val="center"/>
        </w:trPr>
        <w:tc>
          <w:tcPr>
            <w:tcW w:w="106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课程目标达成</w:t>
            </w:r>
          </w:p>
          <w:p>
            <w:pPr>
              <w:widowControl/>
              <w:jc w:val="center"/>
              <w:rPr>
                <w:rFonts w:ascii="宋体" w:hAnsi="宋体" w:cs="宋体"/>
                <w:kern w:val="0"/>
                <w:sz w:val="18"/>
              </w:rPr>
            </w:pPr>
            <w:r>
              <w:rPr>
                <w:rFonts w:hint="eastAsia" w:ascii="宋体" w:hAnsi="宋体" w:cs="宋体"/>
                <w:kern w:val="0"/>
                <w:sz w:val="18"/>
              </w:rPr>
              <w:t>的贡献率</w:t>
            </w:r>
          </w:p>
        </w:tc>
        <w:tc>
          <w:tcPr>
            <w:tcW w:w="107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0.</w:t>
            </w:r>
            <w:r>
              <w:rPr>
                <w:rFonts w:ascii="宋体" w:hAnsi="宋体" w:cs="宋体"/>
                <w:kern w:val="0"/>
                <w:sz w:val="18"/>
              </w:rPr>
              <w:t>08</w:t>
            </w:r>
          </w:p>
        </w:tc>
        <w:tc>
          <w:tcPr>
            <w:tcW w:w="92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0.</w:t>
            </w:r>
            <w:r>
              <w:rPr>
                <w:rFonts w:ascii="宋体" w:hAnsi="宋体" w:cs="宋体"/>
                <w:kern w:val="0"/>
                <w:sz w:val="18"/>
              </w:rPr>
              <w:t>08</w:t>
            </w:r>
          </w:p>
        </w:tc>
        <w:tc>
          <w:tcPr>
            <w:tcW w:w="102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0.</w:t>
            </w:r>
            <w:r>
              <w:rPr>
                <w:rFonts w:ascii="宋体" w:hAnsi="宋体" w:cs="宋体"/>
                <w:kern w:val="0"/>
                <w:sz w:val="18"/>
              </w:rPr>
              <w:t>36</w:t>
            </w:r>
          </w:p>
        </w:tc>
        <w:tc>
          <w:tcPr>
            <w:tcW w:w="909" w:type="pct"/>
            <w:tcBorders>
              <w:top w:val="single" w:color="auto" w:sz="4" w:space="0"/>
              <w:left w:val="single" w:color="auto" w:sz="4" w:space="0"/>
              <w:bottom w:val="single" w:color="auto" w:sz="4" w:space="0"/>
              <w:right w:val="nil"/>
            </w:tcBorders>
            <w:vAlign w:val="center"/>
          </w:tcPr>
          <w:p>
            <w:pPr>
              <w:widowControl/>
              <w:jc w:val="center"/>
              <w:rPr>
                <w:rFonts w:ascii="宋体" w:hAnsi="宋体" w:cs="宋体"/>
                <w:kern w:val="0"/>
                <w:sz w:val="18"/>
              </w:rPr>
            </w:pPr>
            <w:r>
              <w:rPr>
                <w:rFonts w:hint="eastAsia" w:ascii="宋体" w:hAnsi="宋体" w:cs="宋体"/>
                <w:kern w:val="0"/>
                <w:sz w:val="18"/>
              </w:rPr>
              <w:t>0.</w:t>
            </w:r>
            <w:r>
              <w:rPr>
                <w:rFonts w:ascii="宋体" w:hAnsi="宋体" w:cs="宋体"/>
                <w:kern w:val="0"/>
                <w:sz w:val="18"/>
              </w:rPr>
              <w:t>48</w:t>
            </w:r>
          </w:p>
        </w:tc>
      </w:tr>
      <w:tr>
        <w:tblPrEx>
          <w:tblCellMar>
            <w:top w:w="0" w:type="dxa"/>
            <w:left w:w="108" w:type="dxa"/>
            <w:bottom w:w="0" w:type="dxa"/>
            <w:right w:w="108" w:type="dxa"/>
          </w:tblCellMar>
        </w:tblPrEx>
        <w:trPr>
          <w:trHeight w:val="366" w:hRule="atLeast"/>
          <w:jc w:val="center"/>
        </w:trPr>
        <w:tc>
          <w:tcPr>
            <w:tcW w:w="106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支撑材料</w:t>
            </w:r>
          </w:p>
        </w:tc>
        <w:tc>
          <w:tcPr>
            <w:tcW w:w="107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bookmarkStart w:id="227" w:name="_Hlk11747264"/>
            <w:r>
              <w:rPr>
                <w:rFonts w:hint="eastAsia" w:ascii="宋体" w:hAnsi="宋体" w:cs="宋体"/>
                <w:kern w:val="0"/>
                <w:sz w:val="18"/>
              </w:rPr>
              <w:t>课堂评价标准，课堂提问记录或随堂考试，结合出勤率</w:t>
            </w:r>
            <w:bookmarkEnd w:id="227"/>
            <w:r>
              <w:rPr>
                <w:rFonts w:hint="eastAsia" w:ascii="宋体" w:hAnsi="宋体" w:cs="宋体"/>
                <w:kern w:val="0"/>
                <w:sz w:val="18"/>
              </w:rPr>
              <w:t>等</w:t>
            </w:r>
          </w:p>
        </w:tc>
        <w:tc>
          <w:tcPr>
            <w:tcW w:w="92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作业评价标准，典型作业拍照，或电子版</w:t>
            </w:r>
          </w:p>
        </w:tc>
        <w:tc>
          <w:tcPr>
            <w:tcW w:w="102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18"/>
              </w:rPr>
            </w:pPr>
            <w:r>
              <w:rPr>
                <w:rFonts w:hint="eastAsia" w:ascii="宋体" w:hAnsi="宋体" w:cs="宋体"/>
                <w:kern w:val="0"/>
                <w:sz w:val="18"/>
              </w:rPr>
              <w:t>实验评价标准，实验课堂记录记录，典型实验报告</w:t>
            </w:r>
          </w:p>
        </w:tc>
        <w:tc>
          <w:tcPr>
            <w:tcW w:w="909" w:type="pct"/>
            <w:tcBorders>
              <w:top w:val="single" w:color="auto" w:sz="4" w:space="0"/>
              <w:left w:val="single" w:color="auto" w:sz="4" w:space="0"/>
              <w:bottom w:val="single" w:color="auto" w:sz="4" w:space="0"/>
              <w:right w:val="nil"/>
            </w:tcBorders>
            <w:vAlign w:val="center"/>
          </w:tcPr>
          <w:p>
            <w:pPr>
              <w:widowControl/>
              <w:jc w:val="center"/>
              <w:rPr>
                <w:rFonts w:ascii="宋体" w:hAnsi="宋体" w:cs="宋体"/>
                <w:kern w:val="0"/>
                <w:sz w:val="18"/>
              </w:rPr>
            </w:pPr>
            <w:r>
              <w:rPr>
                <w:rFonts w:hint="eastAsia" w:ascii="宋体" w:hAnsi="宋体" w:cs="宋体"/>
                <w:kern w:val="0"/>
                <w:sz w:val="18"/>
              </w:rPr>
              <w:t>试题评分标准，试卷，</w:t>
            </w:r>
          </w:p>
        </w:tc>
      </w:tr>
    </w:tbl>
    <w:p>
      <w:pPr>
        <w:widowControl/>
        <w:spacing w:line="360" w:lineRule="auto"/>
        <w:jc w:val="left"/>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1、激光的基本原理。</w:t>
            </w:r>
          </w:p>
        </w:tc>
        <w:tc>
          <w:tcPr>
            <w:tcW w:w="691" w:type="pct"/>
            <w:vAlign w:val="center"/>
          </w:tcPr>
          <w:p>
            <w:pPr>
              <w:jc w:val="center"/>
              <w:rPr>
                <w:sz w:val="18"/>
                <w:szCs w:val="18"/>
              </w:rPr>
            </w:pPr>
            <w:r>
              <w:rPr>
                <w:rFonts w:hint="eastAsia"/>
                <w:sz w:val="18"/>
                <w:szCs w:val="18"/>
              </w:rPr>
              <w:t>0.</w:t>
            </w:r>
            <w:r>
              <w:rPr>
                <w:sz w:val="18"/>
                <w:szCs w:val="18"/>
              </w:rPr>
              <w:t>125</w:t>
            </w:r>
          </w:p>
        </w:tc>
        <w:tc>
          <w:tcPr>
            <w:tcW w:w="1048" w:type="pct"/>
            <w:vAlign w:val="center"/>
          </w:tcPr>
          <w:p>
            <w:pPr>
              <w:ind w:firstLine="422"/>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2、腔理论与共轴球面腔稳定性条件</w:t>
            </w:r>
          </w:p>
        </w:tc>
        <w:tc>
          <w:tcPr>
            <w:tcW w:w="691" w:type="pct"/>
            <w:vAlign w:val="center"/>
          </w:tcPr>
          <w:p>
            <w:pPr>
              <w:jc w:val="center"/>
              <w:rPr>
                <w:sz w:val="18"/>
                <w:szCs w:val="18"/>
              </w:rPr>
            </w:pPr>
            <w:r>
              <w:rPr>
                <w:rFonts w:hint="eastAsia"/>
                <w:sz w:val="18"/>
                <w:szCs w:val="18"/>
              </w:rPr>
              <w:t>0.</w:t>
            </w:r>
            <w:r>
              <w:rPr>
                <w:sz w:val="18"/>
                <w:szCs w:val="18"/>
              </w:rPr>
              <w:t>1875</w:t>
            </w:r>
          </w:p>
        </w:tc>
        <w:tc>
          <w:tcPr>
            <w:tcW w:w="1048" w:type="pct"/>
            <w:vAlign w:val="center"/>
          </w:tcPr>
          <w:p>
            <w:pPr>
              <w:ind w:firstLine="422"/>
              <w:jc w:val="center"/>
              <w:rPr>
                <w:sz w:val="18"/>
                <w:szCs w:val="18"/>
              </w:rPr>
            </w:pPr>
            <w:r>
              <w:rPr>
                <w:sz w:val="18"/>
                <w:szCs w:val="18"/>
              </w:rPr>
              <w:t>1</w:t>
            </w:r>
            <w:r>
              <w:rPr>
                <w:rFonts w:hint="eastAsia"/>
                <w:sz w:val="18"/>
                <w:szCs w:val="18"/>
              </w:rPr>
              <w:t>、</w:t>
            </w: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3、高斯光束</w:t>
            </w:r>
          </w:p>
        </w:tc>
        <w:tc>
          <w:tcPr>
            <w:tcW w:w="691" w:type="pct"/>
            <w:vAlign w:val="center"/>
          </w:tcPr>
          <w:p>
            <w:pPr>
              <w:jc w:val="center"/>
              <w:rPr>
                <w:sz w:val="18"/>
                <w:szCs w:val="18"/>
              </w:rPr>
            </w:pPr>
            <w:r>
              <w:rPr>
                <w:rFonts w:hint="eastAsia"/>
                <w:sz w:val="18"/>
                <w:szCs w:val="18"/>
              </w:rPr>
              <w:t>0.</w:t>
            </w:r>
            <w:r>
              <w:rPr>
                <w:sz w:val="18"/>
                <w:szCs w:val="18"/>
              </w:rPr>
              <w:t>1875</w:t>
            </w:r>
          </w:p>
        </w:tc>
        <w:tc>
          <w:tcPr>
            <w:tcW w:w="1048" w:type="pct"/>
            <w:vAlign w:val="center"/>
          </w:tcPr>
          <w:p>
            <w:pPr>
              <w:ind w:firstLine="422"/>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4、光与物质相互作用及谱线加宽原理</w:t>
            </w:r>
          </w:p>
        </w:tc>
        <w:tc>
          <w:tcPr>
            <w:tcW w:w="691" w:type="pct"/>
            <w:vAlign w:val="center"/>
          </w:tcPr>
          <w:p>
            <w:pPr>
              <w:jc w:val="center"/>
              <w:rPr>
                <w:sz w:val="18"/>
                <w:szCs w:val="18"/>
              </w:rPr>
            </w:pPr>
            <w:r>
              <w:rPr>
                <w:rFonts w:hint="eastAsia"/>
                <w:sz w:val="18"/>
                <w:szCs w:val="18"/>
              </w:rPr>
              <w:t>0.</w:t>
            </w:r>
            <w:r>
              <w:rPr>
                <w:sz w:val="18"/>
                <w:szCs w:val="18"/>
              </w:rPr>
              <w:t>125</w:t>
            </w:r>
          </w:p>
        </w:tc>
        <w:tc>
          <w:tcPr>
            <w:tcW w:w="1048" w:type="pct"/>
            <w:vAlign w:val="center"/>
          </w:tcPr>
          <w:p>
            <w:pPr>
              <w:ind w:firstLine="422"/>
              <w:jc w:val="center"/>
              <w:rPr>
                <w:sz w:val="18"/>
                <w:szCs w:val="18"/>
              </w:rPr>
            </w:pPr>
            <w:r>
              <w:rPr>
                <w:rFonts w:hint="eastAsia"/>
                <w:sz w:val="18"/>
                <w:szCs w:val="18"/>
              </w:rPr>
              <w:t>1、</w:t>
            </w:r>
            <w:r>
              <w:rPr>
                <w:sz w:val="18"/>
                <w:szCs w:val="18"/>
              </w:rPr>
              <w:drawing>
                <wp:anchor distT="0" distB="0" distL="114300" distR="114300" simplePos="0" relativeHeight="251700224" behindDoc="0" locked="0" layoutInCell="1" allowOverlap="1">
                  <wp:simplePos x="0" y="0"/>
                  <wp:positionH relativeFrom="character">
                    <wp:posOffset>907415</wp:posOffset>
                  </wp:positionH>
                  <wp:positionV relativeFrom="line">
                    <wp:posOffset>187325</wp:posOffset>
                  </wp:positionV>
                  <wp:extent cx="52705" cy="38735"/>
                  <wp:effectExtent l="19050" t="19050" r="23495" b="18415"/>
                  <wp:wrapNone/>
                  <wp:docPr id="205" name="图片 205"/>
                  <wp:cNvGraphicFramePr/>
                  <a:graphic xmlns:a="http://schemas.openxmlformats.org/drawingml/2006/main">
                    <a:graphicData uri="http://schemas.openxmlformats.org/drawingml/2006/picture">
                      <pic:pic xmlns:pic="http://schemas.openxmlformats.org/drawingml/2006/picture">
                        <pic:nvPicPr>
                          <pic:cNvPr id="205" name="图片 205"/>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0" y="0"/>
                            <a:ext cx="52705" cy="38735"/>
                          </a:xfrm>
                          <a:prstGeom prst="rect">
                            <a:avLst/>
                          </a:prstGeom>
                          <a:solidFill>
                            <a:srgbClr val="FFFFFF"/>
                          </a:solidFill>
                          <a:ln w="9525">
                            <a:solidFill>
                              <a:srgbClr val="000000"/>
                            </a:solidFill>
                            <a:round/>
                          </a:ln>
                        </pic:spPr>
                      </pic:pic>
                    </a:graphicData>
                  </a:graphic>
                </wp:anchor>
              </w:drawing>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sz w:val="18"/>
                <w:szCs w:val="18"/>
              </w:rPr>
              <w:t>5</w:t>
            </w:r>
            <w:r>
              <w:rPr>
                <w:rFonts w:hint="eastAsia"/>
                <w:sz w:val="18"/>
                <w:szCs w:val="18"/>
              </w:rPr>
              <w:t>、激光输出特性</w:t>
            </w:r>
          </w:p>
        </w:tc>
        <w:tc>
          <w:tcPr>
            <w:tcW w:w="691" w:type="pct"/>
            <w:vAlign w:val="center"/>
          </w:tcPr>
          <w:p>
            <w:pPr>
              <w:jc w:val="center"/>
              <w:rPr>
                <w:sz w:val="18"/>
                <w:szCs w:val="18"/>
              </w:rPr>
            </w:pPr>
            <w:r>
              <w:rPr>
                <w:rFonts w:hint="eastAsia"/>
                <w:sz w:val="18"/>
                <w:szCs w:val="18"/>
              </w:rPr>
              <w:t>0.</w:t>
            </w:r>
            <w:r>
              <w:rPr>
                <w:sz w:val="18"/>
                <w:szCs w:val="18"/>
              </w:rPr>
              <w:t>0625</w:t>
            </w:r>
          </w:p>
        </w:tc>
        <w:tc>
          <w:tcPr>
            <w:tcW w:w="1048" w:type="pct"/>
            <w:vAlign w:val="center"/>
          </w:tcPr>
          <w:p>
            <w:pPr>
              <w:ind w:firstLine="422"/>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6、激光选模与调Q技术</w:t>
            </w:r>
          </w:p>
        </w:tc>
        <w:tc>
          <w:tcPr>
            <w:tcW w:w="691" w:type="pct"/>
            <w:vAlign w:val="center"/>
          </w:tcPr>
          <w:p>
            <w:pPr>
              <w:jc w:val="center"/>
              <w:rPr>
                <w:sz w:val="18"/>
                <w:szCs w:val="18"/>
              </w:rPr>
            </w:pPr>
            <w:r>
              <w:rPr>
                <w:rFonts w:hint="eastAsia"/>
                <w:sz w:val="18"/>
                <w:szCs w:val="18"/>
              </w:rPr>
              <w:t>0.</w:t>
            </w:r>
            <w:r>
              <w:rPr>
                <w:sz w:val="18"/>
                <w:szCs w:val="18"/>
              </w:rPr>
              <w:t>0625</w:t>
            </w:r>
          </w:p>
        </w:tc>
        <w:tc>
          <w:tcPr>
            <w:tcW w:w="1048" w:type="pct"/>
            <w:vAlign w:val="center"/>
          </w:tcPr>
          <w:p>
            <w:pPr>
              <w:ind w:firstLine="422"/>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7、激光发展与应用</w:t>
            </w:r>
          </w:p>
        </w:tc>
        <w:tc>
          <w:tcPr>
            <w:tcW w:w="691" w:type="pct"/>
            <w:vAlign w:val="center"/>
          </w:tcPr>
          <w:p>
            <w:pPr>
              <w:jc w:val="center"/>
              <w:rPr>
                <w:sz w:val="18"/>
                <w:szCs w:val="18"/>
              </w:rPr>
            </w:pPr>
            <w:r>
              <w:rPr>
                <w:rFonts w:hint="eastAsia"/>
                <w:sz w:val="18"/>
                <w:szCs w:val="18"/>
              </w:rPr>
              <w:t>0</w:t>
            </w:r>
            <w:r>
              <w:rPr>
                <w:sz w:val="18"/>
                <w:szCs w:val="18"/>
              </w:rPr>
              <w:t>.0625</w:t>
            </w:r>
          </w:p>
        </w:tc>
        <w:tc>
          <w:tcPr>
            <w:tcW w:w="1048" w:type="pct"/>
            <w:vAlign w:val="center"/>
          </w:tcPr>
          <w:p>
            <w:pPr>
              <w:ind w:firstLine="422"/>
              <w:jc w:val="center"/>
              <w:rPr>
                <w:sz w:val="18"/>
                <w:szCs w:val="18"/>
              </w:rPr>
            </w:pPr>
            <w:r>
              <w:rPr>
                <w:rFonts w:hint="eastAsia"/>
                <w:sz w:val="18"/>
                <w:szCs w:val="18"/>
              </w:rPr>
              <w:t>1、</w:t>
            </w:r>
            <w:r>
              <w:rPr>
                <w:sz w:val="18"/>
                <w:szCs w:val="18"/>
              </w:rPr>
              <w:t>2</w:t>
            </w:r>
          </w:p>
        </w:tc>
      </w:tr>
    </w:tbl>
    <w:p>
      <w:pPr>
        <w:spacing w:before="120" w:beforeLines="50" w:line="360" w:lineRule="auto"/>
        <w:ind w:firstLine="420" w:firstLineChars="200"/>
        <w:rPr>
          <w:color w:val="000000"/>
          <w:sz w:val="24"/>
          <w:szCs w:val="24"/>
        </w:rPr>
        <w:sectPr>
          <w:headerReference r:id="rId88" w:type="first"/>
          <w:footerReference r:id="rId91" w:type="first"/>
          <w:headerReference r:id="rId86" w:type="default"/>
          <w:footerReference r:id="rId89" w:type="default"/>
          <w:headerReference r:id="rId87" w:type="even"/>
          <w:footerReference r:id="rId90" w:type="even"/>
          <w:pgSz w:w="11906" w:h="16838"/>
          <w:pgMar w:top="1440" w:right="1797" w:bottom="1440" w:left="1797" w:header="851" w:footer="992" w:gutter="0"/>
          <w:cols w:space="425" w:num="1"/>
          <w:docGrid w:linePitch="312" w:charSpace="0"/>
        </w:sect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rPr>
          <w:color w:val="FF0000"/>
        </w:rP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649"/>
        <w:gridCol w:w="820"/>
        <w:gridCol w:w="985"/>
        <w:gridCol w:w="985"/>
        <w:gridCol w:w="1149"/>
        <w:gridCol w:w="1152"/>
        <w:gridCol w:w="1149"/>
        <w:gridCol w:w="985"/>
        <w:gridCol w:w="985"/>
        <w:gridCol w:w="1149"/>
        <w:gridCol w:w="985"/>
        <w:gridCol w:w="985"/>
        <w:gridCol w:w="985"/>
        <w:gridCol w:w="985"/>
      </w:tblGrid>
      <w:tr>
        <w:tblPrEx>
          <w:tblCellMar>
            <w:top w:w="0" w:type="dxa"/>
            <w:left w:w="108" w:type="dxa"/>
            <w:bottom w:w="0" w:type="dxa"/>
            <w:right w:w="108" w:type="dxa"/>
          </w:tblCellMar>
        </w:tblPrEx>
        <w:trPr>
          <w:trHeight w:val="1015" w:hRule="atLeast"/>
          <w:jc w:val="center"/>
        </w:trPr>
        <w:tc>
          <w:tcPr>
            <w:tcW w:w="23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课程目标</w:t>
            </w:r>
          </w:p>
        </w:tc>
        <w:tc>
          <w:tcPr>
            <w:tcW w:w="29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530" w:type="pct"/>
            <w:gridSpan w:val="4"/>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30" w:type="pct"/>
            <w:gridSpan w:val="4"/>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13" w:type="pct"/>
            <w:gridSpan w:val="4"/>
            <w:tcBorders>
              <w:top w:val="single" w:color="auto" w:sz="4" w:space="0"/>
              <w:left w:val="nil"/>
              <w:bottom w:val="single" w:color="auto" w:sz="4" w:space="0"/>
              <w:right w:val="single" w:color="auto" w:sz="4" w:space="0"/>
            </w:tcBorders>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3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29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i/>
                <w:kern w:val="0"/>
                <w:sz w:val="18"/>
                <w:szCs w:val="18"/>
              </w:rPr>
            </w:pP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实验</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实验</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作业</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实验</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期末考试</w:t>
            </w:r>
          </w:p>
        </w:tc>
      </w:tr>
      <w:tr>
        <w:tblPrEx>
          <w:tblCellMar>
            <w:top w:w="0" w:type="dxa"/>
            <w:left w:w="108" w:type="dxa"/>
            <w:bottom w:w="0" w:type="dxa"/>
            <w:right w:w="108" w:type="dxa"/>
          </w:tblCellMar>
        </w:tblPrEx>
        <w:trPr>
          <w:trHeight w:val="708" w:hRule="atLeast"/>
          <w:jc w:val="center"/>
        </w:trPr>
        <w:tc>
          <w:tcPr>
            <w:tcW w:w="233" w:type="pct"/>
            <w:tcBorders>
              <w:top w:val="nil"/>
              <w:left w:val="single" w:color="auto" w:sz="4" w:space="0"/>
              <w:bottom w:val="single" w:color="auto" w:sz="4" w:space="0"/>
              <w:right w:val="single" w:color="auto" w:sz="4" w:space="0"/>
            </w:tcBorders>
            <w:vAlign w:val="center"/>
          </w:tcPr>
          <w:p>
            <w:pPr>
              <w:widowControl/>
              <w:adjustRightInd w:val="0"/>
              <w:jc w:val="left"/>
              <w:rPr>
                <w:kern w:val="0"/>
                <w:sz w:val="18"/>
                <w:szCs w:val="18"/>
              </w:rPr>
            </w:pPr>
            <w:r>
              <w:rPr>
                <w:sz w:val="18"/>
                <w:szCs w:val="18"/>
              </w:rPr>
              <w:t>1</w:t>
            </w:r>
          </w:p>
        </w:tc>
        <w:tc>
          <w:tcPr>
            <w:tcW w:w="294"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0.8</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0.1</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0.1</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0.2</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0.6</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0.08</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0.08</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xml:space="preserve">0.16 </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xml:space="preserve">0.48 </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1</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1</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sz w:val="18"/>
                <w:szCs w:val="18"/>
              </w:rPr>
              <w:drawing>
                <wp:anchor distT="0" distB="0" distL="114300" distR="114300" simplePos="0" relativeHeight="251701248" behindDoc="0" locked="0" layoutInCell="1" allowOverlap="1">
                  <wp:simplePos x="0" y="0"/>
                  <wp:positionH relativeFrom="character">
                    <wp:posOffset>76200</wp:posOffset>
                  </wp:positionH>
                  <wp:positionV relativeFrom="line">
                    <wp:posOffset>548005</wp:posOffset>
                  </wp:positionV>
                  <wp:extent cx="47625" cy="31115"/>
                  <wp:effectExtent l="19050" t="19050" r="28575" b="26035"/>
                  <wp:wrapNone/>
                  <wp:docPr id="204" name="图片 204"/>
                  <wp:cNvGraphicFramePr/>
                  <a:graphic xmlns:a="http://schemas.openxmlformats.org/drawingml/2006/main">
                    <a:graphicData uri="http://schemas.openxmlformats.org/drawingml/2006/picture">
                      <pic:pic xmlns:pic="http://schemas.openxmlformats.org/drawingml/2006/picture">
                        <pic:nvPicPr>
                          <pic:cNvPr id="204" name="图片 204"/>
                          <pic:cNvPicPr preferRelativeResize="0">
                            <a:picLocks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0" y="0"/>
                            <a:ext cx="47625" cy="31115"/>
                          </a:xfrm>
                          <a:prstGeom prst="rect">
                            <a:avLst/>
                          </a:prstGeom>
                          <a:solidFill>
                            <a:srgbClr val="FFFFFF"/>
                          </a:solidFill>
                          <a:ln w="9525">
                            <a:solidFill>
                              <a:srgbClr val="000000"/>
                            </a:solidFill>
                            <a:round/>
                          </a:ln>
                        </pic:spPr>
                      </pic:pic>
                    </a:graphicData>
                  </a:graphic>
                </wp:anchor>
              </w:drawing>
            </w:r>
            <w:r>
              <w:rPr>
                <w:kern w:val="0"/>
                <w:sz w:val="18"/>
                <w:szCs w:val="18"/>
              </w:rPr>
              <w:t>0.44</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1</w:t>
            </w:r>
          </w:p>
        </w:tc>
      </w:tr>
      <w:tr>
        <w:tblPrEx>
          <w:tblCellMar>
            <w:top w:w="0" w:type="dxa"/>
            <w:left w:w="108" w:type="dxa"/>
            <w:bottom w:w="0" w:type="dxa"/>
            <w:right w:w="108" w:type="dxa"/>
          </w:tblCellMar>
        </w:tblPrEx>
        <w:trPr>
          <w:trHeight w:val="694" w:hRule="atLeast"/>
          <w:jc w:val="center"/>
        </w:trPr>
        <w:tc>
          <w:tcPr>
            <w:tcW w:w="233" w:type="pct"/>
            <w:tcBorders>
              <w:top w:val="nil"/>
              <w:left w:val="single" w:color="auto" w:sz="4" w:space="0"/>
              <w:bottom w:val="single" w:color="auto" w:sz="4" w:space="0"/>
              <w:right w:val="single" w:color="auto" w:sz="4" w:space="0"/>
            </w:tcBorders>
            <w:vAlign w:val="center"/>
          </w:tcPr>
          <w:p>
            <w:pPr>
              <w:widowControl/>
              <w:jc w:val="left"/>
              <w:rPr>
                <w:kern w:val="0"/>
                <w:sz w:val="18"/>
                <w:szCs w:val="18"/>
              </w:rPr>
            </w:pPr>
            <w:r>
              <w:rPr>
                <w:kern w:val="0"/>
                <w:sz w:val="18"/>
                <w:szCs w:val="18"/>
              </w:rPr>
              <w:t>2</w:t>
            </w:r>
          </w:p>
        </w:tc>
        <w:tc>
          <w:tcPr>
            <w:tcW w:w="294"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0.2</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　</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1</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　</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0.2</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xml:space="preserve">0 </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0</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0</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0.56</w:t>
            </w:r>
          </w:p>
        </w:tc>
        <w:tc>
          <w:tcPr>
            <w:tcW w:w="353" w:type="pct"/>
            <w:tcBorders>
              <w:top w:val="nil"/>
              <w:left w:val="nil"/>
              <w:bottom w:val="single" w:color="auto" w:sz="4" w:space="0"/>
              <w:right w:val="single" w:color="auto" w:sz="4" w:space="0"/>
            </w:tcBorders>
          </w:tcPr>
          <w:p>
            <w:pPr>
              <w:widowControl/>
              <w:jc w:val="center"/>
              <w:rPr>
                <w:kern w:val="0"/>
                <w:sz w:val="18"/>
                <w:szCs w:val="18"/>
              </w:rPr>
            </w:pPr>
            <w:r>
              <w:rPr>
                <w:kern w:val="0"/>
                <w:sz w:val="18"/>
                <w:szCs w:val="18"/>
              </w:rPr>
              <w:t>0</w:t>
            </w:r>
          </w:p>
        </w:tc>
      </w:tr>
      <w:tr>
        <w:tblPrEx>
          <w:tblCellMar>
            <w:top w:w="0" w:type="dxa"/>
            <w:left w:w="108" w:type="dxa"/>
            <w:bottom w:w="0" w:type="dxa"/>
            <w:right w:w="108" w:type="dxa"/>
          </w:tblCellMar>
        </w:tblPrEx>
        <w:trPr>
          <w:trHeight w:val="537" w:hRule="atLeast"/>
          <w:jc w:val="center"/>
        </w:trPr>
        <w:tc>
          <w:tcPr>
            <w:tcW w:w="2058" w:type="pct"/>
            <w:gridSpan w:val="6"/>
            <w:tcBorders>
              <w:top w:val="single" w:color="auto" w:sz="4" w:space="0"/>
              <w:left w:val="single" w:color="auto" w:sz="4" w:space="0"/>
              <w:bottom w:val="single" w:color="auto" w:sz="4" w:space="0"/>
              <w:right w:val="single" w:color="000000" w:sz="4" w:space="0"/>
            </w:tcBorders>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0.08</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0.08</w:t>
            </w:r>
          </w:p>
        </w:tc>
        <w:tc>
          <w:tcPr>
            <w:tcW w:w="353"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0.36</w:t>
            </w:r>
          </w:p>
        </w:tc>
        <w:tc>
          <w:tcPr>
            <w:tcW w:w="412" w:type="pct"/>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xml:space="preserve">0.48 </w:t>
            </w:r>
          </w:p>
        </w:tc>
        <w:tc>
          <w:tcPr>
            <w:tcW w:w="1413" w:type="pct"/>
            <w:gridSpan w:val="4"/>
            <w:tcBorders>
              <w:top w:val="nil"/>
              <w:left w:val="nil"/>
              <w:bottom w:val="single" w:color="auto" w:sz="4" w:space="0"/>
              <w:right w:val="single" w:color="auto" w:sz="4" w:space="0"/>
            </w:tcBorders>
          </w:tcPr>
          <w:p>
            <w:pPr>
              <w:jc w:val="center"/>
              <w:rPr>
                <w:sz w:val="18"/>
                <w:szCs w:val="18"/>
              </w:rPr>
            </w:pPr>
            <w:r>
              <w:rPr>
                <w:sz w:val="18"/>
                <w:szCs w:val="18"/>
              </w:rPr>
              <w:t>教师出题或布置作业时</w:t>
            </w:r>
          </w:p>
          <w:p>
            <w:pPr>
              <w:widowControl/>
              <w:jc w:val="center"/>
              <w:rPr>
                <w:kern w:val="0"/>
                <w:sz w:val="18"/>
                <w:szCs w:val="18"/>
              </w:rPr>
            </w:pPr>
            <w:r>
              <w:rPr>
                <w:sz w:val="18"/>
                <w:szCs w:val="18"/>
              </w:rPr>
              <w:t>要尽量做到按照以上比例布局</w:t>
            </w:r>
          </w:p>
        </w:tc>
      </w:tr>
    </w:tbl>
    <w:p>
      <w:pPr>
        <w:spacing w:line="360" w:lineRule="auto"/>
        <w:ind w:firstLine="420" w:firstLineChars="200"/>
        <w:jc w:val="center"/>
      </w:pPr>
    </w:p>
    <w:p>
      <w:pPr>
        <w:spacing w:line="360" w:lineRule="auto"/>
        <w:rPr>
          <w:color w:val="FF0000"/>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86"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86" DrawAspect="Content" ObjectID="_1468075886" r:id="rId359">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87"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87" DrawAspect="Content" ObjectID="_1468075887" r:id="rId360">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88"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88" DrawAspect="Content" ObjectID="_1468075888" r:id="rId361">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89"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89" DrawAspect="Content" ObjectID="_1468075889" r:id="rId362">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90"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90" DrawAspect="Content" ObjectID="_1468075890" r:id="rId363">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91"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91" DrawAspect="Content" ObjectID="_1468075891" r:id="rId364">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br w:type="page"/>
      </w:r>
    </w:p>
    <w:p>
      <w:pPr>
        <w:pStyle w:val="20"/>
        <w:spacing w:before="240" w:after="360"/>
      </w:pPr>
      <w:bookmarkStart w:id="228" w:name="_Toc17562"/>
      <w:bookmarkStart w:id="229" w:name="_Toc46996580"/>
      <w:r>
        <w:rPr>
          <w:rFonts w:hint="eastAsia"/>
        </w:rPr>
        <w:t>《</w:t>
      </w:r>
      <w:r>
        <w:t>Z03060207-电子系统集成</w:t>
      </w:r>
      <w:r>
        <w:rPr>
          <w:rFonts w:hint="eastAsia"/>
        </w:rPr>
        <w:t>》教学大纲</w:t>
      </w:r>
      <w:bookmarkEnd w:id="228"/>
      <w:bookmarkEnd w:id="229"/>
    </w:p>
    <w:p>
      <w:pPr>
        <w:adjustRightInd w:val="0"/>
        <w:snapToGrid w:val="0"/>
        <w:spacing w:line="360" w:lineRule="auto"/>
        <w:rPr>
          <w:bCs/>
          <w:kern w:val="0"/>
        </w:rPr>
      </w:pPr>
      <w:r>
        <w:rPr>
          <w:rFonts w:eastAsia="黑体"/>
          <w:szCs w:val="21"/>
        </w:rPr>
        <w:t>课程编号：</w:t>
      </w:r>
      <w:r>
        <w:rPr>
          <w:bCs/>
          <w:kern w:val="0"/>
        </w:rPr>
        <w:t>Z03060207</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电子系统集成</w:t>
      </w:r>
      <w:r>
        <w:rPr>
          <w:szCs w:val="21"/>
        </w:rPr>
        <w:tab/>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rFonts w:hint="eastAsia"/>
          <w:szCs w:val="21"/>
        </w:rPr>
        <w:t>32</w:t>
      </w:r>
      <w:r>
        <w:rPr>
          <w:szCs w:val="21"/>
        </w:rPr>
        <w:t xml:space="preserve"> (</w:t>
      </w:r>
      <w:r>
        <w:rPr>
          <w:rFonts w:hint="eastAsia"/>
          <w:szCs w:val="21"/>
        </w:rPr>
        <w:t>实验8学时</w:t>
      </w:r>
      <w:r>
        <w:rPr>
          <w:szCs w:val="21"/>
        </w:rPr>
        <w:t>)</w:t>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ascii="宋体" w:hAnsi="宋体"/>
        </w:rPr>
        <w:t>电子科学与技术专业</w:t>
      </w:r>
    </w:p>
    <w:p>
      <w:pPr>
        <w:adjustRightInd w:val="0"/>
        <w:snapToGrid w:val="0"/>
        <w:spacing w:line="360" w:lineRule="auto"/>
        <w:rPr>
          <w:rFonts w:ascii="宋体" w:hAnsi="宋体"/>
        </w:rPr>
      </w:pPr>
      <w:r>
        <w:rPr>
          <w:rFonts w:hint="eastAsia" w:eastAsia="黑体"/>
          <w:szCs w:val="21"/>
        </w:rPr>
        <w:t>先修课程：</w:t>
      </w:r>
      <w:r>
        <w:rPr>
          <w:rFonts w:hint="eastAsia"/>
          <w:szCs w:val="21"/>
        </w:rPr>
        <w:t>微机原理及接口技术、电路分析基础、模拟电子技术、数字电子技术、单片机系统设计、可编程逻辑器件应用</w:t>
      </w:r>
    </w:p>
    <w:p>
      <w:pPr>
        <w:adjustRightInd w:val="0"/>
        <w:snapToGrid w:val="0"/>
        <w:spacing w:line="360" w:lineRule="auto"/>
        <w:rPr>
          <w:szCs w:val="21"/>
        </w:rPr>
      </w:pPr>
      <w:r>
        <w:rPr>
          <w:rFonts w:hint="eastAsia" w:eastAsia="黑体"/>
          <w:szCs w:val="21"/>
        </w:rPr>
        <w:t>大纲撰写人：</w:t>
      </w:r>
      <w:r>
        <w:rPr>
          <w:rFonts w:hint="eastAsia" w:ascii="宋体" w:hAnsi="宋体"/>
        </w:rPr>
        <w:t>焦新泉</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pStyle w:val="31"/>
        <w:numPr>
          <w:ilvl w:val="0"/>
          <w:numId w:val="31"/>
        </w:numPr>
        <w:tabs>
          <w:tab w:val="left" w:pos="420"/>
        </w:tabs>
        <w:adjustRightInd w:val="0"/>
        <w:snapToGrid w:val="0"/>
        <w:spacing w:line="360" w:lineRule="auto"/>
        <w:ind w:firstLineChars="0"/>
        <w:rPr>
          <w:rFonts w:eastAsia="黑体"/>
          <w:szCs w:val="21"/>
        </w:rPr>
      </w:pPr>
      <w:r>
        <w:rPr>
          <w:rFonts w:hint="eastAsia" w:eastAsia="黑体"/>
          <w:szCs w:val="21"/>
        </w:rPr>
        <w:t>课程在教学计划中的地位、作用</w:t>
      </w:r>
    </w:p>
    <w:p>
      <w:pPr>
        <w:spacing w:line="360" w:lineRule="auto"/>
        <w:ind w:firstLine="420" w:firstLineChars="200"/>
        <w:jc w:val="left"/>
      </w:pPr>
      <w:r>
        <w:rPr>
          <w:rFonts w:hint="eastAsia"/>
        </w:rPr>
        <w:t>本课程为系统设计类的专业教育课程，是电子电路系统的工程实践课程。该课程主要以系统案例分析为基础，让学生系统学习实际工程设计的基础过程，培养学生的系统观念，真正掌握系统设计技术，是联系基本理论与工程知识的桥梁，对后续学生《电子系统综合实践》课程和毕业设计起着承上启下的作用。</w:t>
      </w:r>
    </w:p>
    <w:p>
      <w:pPr>
        <w:spacing w:line="360" w:lineRule="auto"/>
        <w:ind w:firstLine="420" w:firstLineChars="200"/>
        <w:jc w:val="left"/>
      </w:pPr>
    </w:p>
    <w:p>
      <w:pPr>
        <w:tabs>
          <w:tab w:val="left" w:pos="420"/>
        </w:tabs>
        <w:adjustRightInd w:val="0"/>
        <w:snapToGrid w:val="0"/>
        <w:spacing w:line="360" w:lineRule="auto"/>
        <w:rPr>
          <w:rFonts w:eastAsia="黑体"/>
          <w:szCs w:val="21"/>
        </w:rPr>
      </w:pPr>
      <w:r>
        <w:rPr>
          <w:rFonts w:eastAsia="黑体"/>
          <w:szCs w:val="21"/>
        </w:rPr>
        <w:t>二、</w:t>
      </w:r>
      <w:r>
        <w:rPr>
          <w:rFonts w:hint="eastAsia" w:eastAsia="黑体"/>
          <w:szCs w:val="21"/>
        </w:rPr>
        <w:t>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345" w:type="pct"/>
          </w:tcPr>
          <w:p>
            <w:pPr>
              <w:spacing w:line="360" w:lineRule="auto"/>
              <w:rPr>
                <w:sz w:val="18"/>
                <w:szCs w:val="18"/>
                <w:highlight w:val="yellow"/>
              </w:rPr>
            </w:pPr>
            <w:r>
              <w:rPr>
                <w:rFonts w:hint="eastAsia"/>
                <w:sz w:val="18"/>
                <w:szCs w:val="18"/>
              </w:rPr>
              <w:t>通过分析能够将电子系统中的复杂工程问题转化为技术问题，从“系统”角度采用“从上而下”设计方法和步骤针对具体问题提出解决思路和解决方案。</w:t>
            </w:r>
          </w:p>
        </w:tc>
        <w:tc>
          <w:tcPr>
            <w:tcW w:w="2288" w:type="pct"/>
          </w:tcPr>
          <w:p>
            <w:pPr>
              <w:spacing w:line="360" w:lineRule="auto"/>
              <w:rPr>
                <w:sz w:val="18"/>
                <w:szCs w:val="18"/>
              </w:rPr>
            </w:pPr>
            <w:r>
              <w:rPr>
                <w:rFonts w:hint="eastAsia"/>
                <w:b/>
                <w:sz w:val="18"/>
                <w:szCs w:val="18"/>
              </w:rPr>
              <w:t>指标点3-1 按需设计：</w:t>
            </w:r>
            <w:r>
              <w:rPr>
                <w:rFonts w:hint="eastAsia"/>
                <w:sz w:val="18"/>
                <w:szCs w:val="18"/>
              </w:rPr>
              <w:t>能够根据用户特定需求设计复杂工程问题的解决方案，设计相关的电路系统及工艺流程，并能够针对方案进行优化选择。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345" w:type="pct"/>
          </w:tcPr>
          <w:p>
            <w:pPr>
              <w:spacing w:line="360" w:lineRule="auto"/>
              <w:rPr>
                <w:sz w:val="18"/>
                <w:szCs w:val="18"/>
              </w:rPr>
            </w:pPr>
            <w:r>
              <w:rPr>
                <w:rFonts w:hint="eastAsia"/>
                <w:sz w:val="18"/>
                <w:szCs w:val="18"/>
              </w:rPr>
              <w:t>能够针对电子系统的解决方案进行技术性分解，同时要兼顾系统安全性及环境适应性分析，能够从社会、健康、法律及文化角度考虑电子系统具体应用领域和安装部署设计。</w:t>
            </w:r>
          </w:p>
        </w:tc>
        <w:tc>
          <w:tcPr>
            <w:tcW w:w="2288" w:type="pct"/>
          </w:tcPr>
          <w:p>
            <w:pPr>
              <w:spacing w:line="360" w:lineRule="auto"/>
              <w:rPr>
                <w:b/>
                <w:sz w:val="18"/>
                <w:szCs w:val="18"/>
              </w:rPr>
            </w:pPr>
            <w:r>
              <w:rPr>
                <w:rFonts w:hint="eastAsia"/>
                <w:b/>
                <w:sz w:val="18"/>
                <w:szCs w:val="18"/>
              </w:rPr>
              <w:t>指标点3-2 非技术因素：</w:t>
            </w:r>
            <w:r>
              <w:rPr>
                <w:rFonts w:hint="eastAsia"/>
                <w:sz w:val="18"/>
                <w:szCs w:val="18"/>
              </w:rPr>
              <w:t>设计方案的过程中，能够考虑并分析社会、健康、安全、法律、文化以及环境等因素的影响。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3</w:t>
            </w:r>
          </w:p>
        </w:tc>
        <w:tc>
          <w:tcPr>
            <w:tcW w:w="2345" w:type="pct"/>
          </w:tcPr>
          <w:p>
            <w:pPr>
              <w:spacing w:line="360" w:lineRule="auto"/>
              <w:rPr>
                <w:sz w:val="18"/>
                <w:szCs w:val="18"/>
                <w:highlight w:val="yellow"/>
              </w:rPr>
            </w:pPr>
            <w:r>
              <w:rPr>
                <w:rFonts w:hint="eastAsia"/>
                <w:sz w:val="18"/>
                <w:szCs w:val="18"/>
              </w:rPr>
              <w:t>能够根据需求确定解决方案并进行优化，并设计具体的电路、结构、外观和工艺流程，积极参加国内外各种电子类设计竞赛和创新活动，通过各种实际案例分析在专业设计细节中体现创新意识。</w:t>
            </w:r>
          </w:p>
        </w:tc>
        <w:tc>
          <w:tcPr>
            <w:tcW w:w="2288" w:type="pct"/>
          </w:tcPr>
          <w:p>
            <w:pPr>
              <w:spacing w:line="360" w:lineRule="auto"/>
              <w:rPr>
                <w:sz w:val="18"/>
                <w:szCs w:val="18"/>
              </w:rPr>
            </w:pPr>
            <w:r>
              <w:rPr>
                <w:rFonts w:hint="eastAsia"/>
                <w:b/>
                <w:sz w:val="18"/>
                <w:szCs w:val="18"/>
              </w:rPr>
              <w:t>指标点3-3 创新意识：</w:t>
            </w:r>
            <w:r>
              <w:rPr>
                <w:rFonts w:hint="eastAsia"/>
                <w:sz w:val="18"/>
                <w:szCs w:val="18"/>
              </w:rPr>
              <w:t>积极参与各类创新活动，在专业设计过程中能够体现创新意识。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4</w:t>
            </w:r>
          </w:p>
        </w:tc>
        <w:tc>
          <w:tcPr>
            <w:tcW w:w="2345" w:type="pct"/>
          </w:tcPr>
          <w:p>
            <w:pPr>
              <w:spacing w:line="360" w:lineRule="auto"/>
              <w:rPr>
                <w:sz w:val="18"/>
                <w:szCs w:val="18"/>
                <w:highlight w:val="yellow"/>
              </w:rPr>
            </w:pPr>
            <w:r>
              <w:rPr>
                <w:rFonts w:hint="eastAsia"/>
                <w:sz w:val="18"/>
                <w:szCs w:val="18"/>
              </w:rPr>
              <w:t>能够具备一定的专业技术研究能力，实时掌握主流电子器件和模块的发展趋势，能够有意识地采用“系统集成”的科学方法完成复杂工程问题研究和分析，结合经典案例对设计方法和步骤进行总结，从而具备简单系统的设计和开发能力。</w:t>
            </w:r>
          </w:p>
        </w:tc>
        <w:tc>
          <w:tcPr>
            <w:tcW w:w="2288" w:type="pct"/>
          </w:tcPr>
          <w:p>
            <w:pPr>
              <w:spacing w:line="360" w:lineRule="auto"/>
              <w:rPr>
                <w:sz w:val="18"/>
                <w:szCs w:val="18"/>
              </w:rPr>
            </w:pPr>
            <w:r>
              <w:rPr>
                <w:rFonts w:hint="eastAsia"/>
                <w:b/>
                <w:sz w:val="18"/>
                <w:szCs w:val="18"/>
              </w:rPr>
              <w:t>指标点4-1 领域现状认知能力：</w:t>
            </w:r>
            <w:r>
              <w:rPr>
                <w:rFonts w:hint="eastAsia"/>
                <w:sz w:val="18"/>
                <w:szCs w:val="18"/>
              </w:rPr>
              <w:t>了解电子科学与技术专业领域背景及经典案例，能够针对复杂工程问题提出研究思路和分析方法，并有意识地将实验结果用于指导解决方案的改善和优化。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5</w:t>
            </w:r>
          </w:p>
        </w:tc>
        <w:tc>
          <w:tcPr>
            <w:tcW w:w="2345" w:type="pct"/>
          </w:tcPr>
          <w:p>
            <w:pPr>
              <w:spacing w:line="360" w:lineRule="auto"/>
              <w:rPr>
                <w:sz w:val="18"/>
                <w:szCs w:val="18"/>
                <w:highlight w:val="yellow"/>
              </w:rPr>
            </w:pPr>
            <w:r>
              <w:rPr>
                <w:rFonts w:hint="eastAsia"/>
                <w:sz w:val="18"/>
                <w:szCs w:val="18"/>
              </w:rPr>
              <w:t>能够通过实验平台正确采集和整理实验数据及相关信息，具备</w:t>
            </w:r>
            <w:r>
              <w:rPr>
                <w:sz w:val="18"/>
                <w:szCs w:val="18"/>
              </w:rPr>
              <w:t>对</w:t>
            </w:r>
            <w:r>
              <w:rPr>
                <w:rFonts w:hint="eastAsia"/>
                <w:sz w:val="18"/>
                <w:szCs w:val="18"/>
              </w:rPr>
              <w:t>实验结果进行数据处理与事后分析的能力，通过误差分析、信息综合等方法获得有效结论，能够对实验方案和平台进行优化。</w:t>
            </w:r>
          </w:p>
        </w:tc>
        <w:tc>
          <w:tcPr>
            <w:tcW w:w="2288" w:type="pct"/>
          </w:tcPr>
          <w:p>
            <w:pPr>
              <w:spacing w:line="360" w:lineRule="auto"/>
              <w:rPr>
                <w:sz w:val="18"/>
                <w:szCs w:val="18"/>
              </w:rPr>
            </w:pPr>
            <w:r>
              <w:rPr>
                <w:rFonts w:hint="eastAsia"/>
                <w:b/>
                <w:sz w:val="18"/>
                <w:szCs w:val="18"/>
              </w:rPr>
              <w:t>指标点4-3 实验结果分析：</w:t>
            </w:r>
            <w:r>
              <w:rPr>
                <w:rFonts w:hint="eastAsia"/>
                <w:sz w:val="18"/>
                <w:szCs w:val="18"/>
              </w:rPr>
              <w:t>能正确采集、整理、综合实验数据及相关信息，对多因素实验结果进行关联处理，得到有效结论，提出优化方案。</w:t>
            </w: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通过对比国内外各类不同的电子系统集成技术的优势与差距，激发学生</w:t>
      </w:r>
      <w:r>
        <w:rPr>
          <w:szCs w:val="21"/>
        </w:rPr>
        <w:t>重视技术进步与创新，为国民经济发展服务，为人民追求美好生活贡献</w:t>
      </w:r>
      <w:r>
        <w:rPr>
          <w:rFonts w:hint="eastAsia"/>
          <w:szCs w:val="21"/>
        </w:rPr>
        <w:t>力量</w:t>
      </w:r>
      <w:r>
        <w:rPr>
          <w:szCs w:val="21"/>
        </w:rPr>
        <w:t>；</w:t>
      </w:r>
    </w:p>
    <w:p>
      <w:pPr>
        <w:spacing w:line="360" w:lineRule="auto"/>
        <w:ind w:firstLine="420" w:firstLineChars="200"/>
        <w:rPr>
          <w:szCs w:val="21"/>
        </w:rPr>
      </w:pPr>
      <w:r>
        <w:rPr>
          <w:rFonts w:hint="eastAsia"/>
          <w:szCs w:val="21"/>
        </w:rPr>
        <w:t>通过案例教学，学生能够在系统实现方案中</w:t>
      </w:r>
      <w:r>
        <w:rPr>
          <w:szCs w:val="21"/>
        </w:rPr>
        <w:t>尊重社会、环境、法律、经济、道德、政策、文化等因素影响，</w:t>
      </w:r>
      <w:r>
        <w:rPr>
          <w:rFonts w:hint="eastAsia"/>
          <w:szCs w:val="21"/>
        </w:rPr>
        <w:t>具有法律意识</w:t>
      </w:r>
      <w:r>
        <w:rPr>
          <w:szCs w:val="21"/>
        </w:rPr>
        <w:t>，遵守职业道德规范</w:t>
      </w:r>
      <w:r>
        <w:rPr>
          <w:rFonts w:hint="eastAsia"/>
          <w:szCs w:val="21"/>
        </w:rPr>
        <w:t>。</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1、本课程为专业教育课，要求先修</w:t>
      </w:r>
      <w:r>
        <w:rPr>
          <w:rFonts w:hint="eastAsia" w:ascii="宋体" w:hAnsi="宋体"/>
        </w:rPr>
        <w:t>微机原理及接口技术、电路分析基础、模拟电子技术、数字电子技术、单片机系统设计、可编程逻辑器件应用</w:t>
      </w:r>
      <w:r>
        <w:rPr>
          <w:rFonts w:hint="eastAsia"/>
          <w:szCs w:val="21"/>
        </w:rPr>
        <w:t>。通过本课程的学习，培养学生的系统观念和设计能力，提高学生工程设计经验，锻炼学生对具体工程问题的探究能力。</w:t>
      </w:r>
    </w:p>
    <w:p>
      <w:pPr>
        <w:spacing w:line="360" w:lineRule="auto"/>
        <w:ind w:firstLine="420" w:firstLineChars="200"/>
        <w:rPr>
          <w:szCs w:val="21"/>
        </w:rPr>
      </w:pPr>
      <w:r>
        <w:rPr>
          <w:rFonts w:hint="eastAsia"/>
          <w:szCs w:val="21"/>
        </w:rPr>
        <w:t>2、在教学过程中应注重学生的系统观念，将学生从只关注理论学习转移到具体系统的设计方面。课堂讲授环节重点放在设计方法和具体案例分析，后续通过实验环节强化学生的设计能力和工程实践经验。</w:t>
      </w:r>
    </w:p>
    <w:p>
      <w:pPr>
        <w:spacing w:line="360" w:lineRule="auto"/>
        <w:ind w:firstLine="420" w:firstLineChars="200"/>
        <w:rPr>
          <w:szCs w:val="21"/>
        </w:rPr>
      </w:pPr>
      <w:r>
        <w:rPr>
          <w:rFonts w:hint="eastAsia"/>
          <w:szCs w:val="21"/>
        </w:rPr>
        <w:t>3、教师结合常用的经典电路实例，并贯彻电路中的实际工程问题，重点培养学生针对具体工程问题灵活运用理论知识和系统设计的能力。</w:t>
      </w:r>
    </w:p>
    <w:p>
      <w:pPr>
        <w:spacing w:line="360" w:lineRule="auto"/>
        <w:ind w:firstLine="420" w:firstLineChars="200"/>
        <w:rPr>
          <w:szCs w:val="21"/>
        </w:rPr>
      </w:pPr>
      <w:r>
        <w:rPr>
          <w:rFonts w:hint="eastAsia"/>
          <w:szCs w:val="21"/>
        </w:rPr>
        <w:t>4、培养学生运用EDA软件来设计具体电路，</w:t>
      </w:r>
      <w:r>
        <w:rPr>
          <w:rFonts w:hint="eastAsia" w:ascii="宋体" w:hAnsi="宋体"/>
          <w:szCs w:val="21"/>
        </w:rPr>
        <w:t>掌握电子电路自动化设计技巧</w:t>
      </w:r>
      <w:r>
        <w:rPr>
          <w:rFonts w:hint="eastAsia"/>
          <w:szCs w:val="21"/>
        </w:rPr>
        <w:t>。</w:t>
      </w:r>
    </w:p>
    <w:p>
      <w:pPr>
        <w:spacing w:line="360" w:lineRule="auto"/>
        <w:ind w:firstLine="420" w:firstLineChars="200"/>
        <w:rPr>
          <w:szCs w:val="21"/>
        </w:rPr>
      </w:pPr>
      <w:r>
        <w:rPr>
          <w:rFonts w:hint="eastAsia"/>
          <w:szCs w:val="21"/>
        </w:rPr>
        <w:t>5、本课程是一门工程性很强的课程。要求学生把所学的电路相关理论知识与工程实践联系起来，并能举一反三，授课环节在CAI教室进行，</w:t>
      </w:r>
      <w:r>
        <w:rPr>
          <w:rFonts w:hint="eastAsia" w:ascii="宋体" w:hAnsi="宋体"/>
          <w:szCs w:val="21"/>
        </w:rPr>
        <w:t>授课完毕后进行实验</w:t>
      </w:r>
      <w:r>
        <w:rPr>
          <w:rFonts w:hint="eastAsia"/>
          <w:szCs w:val="21"/>
        </w:rPr>
        <w:t>。</w:t>
      </w:r>
    </w:p>
    <w:p>
      <w:pPr>
        <w:spacing w:line="360" w:lineRule="auto"/>
        <w:ind w:firstLine="420" w:firstLineChars="200"/>
        <w:rPr>
          <w:color w:val="FF0000"/>
          <w:szCs w:val="21"/>
        </w:rPr>
      </w:pPr>
      <w:r>
        <w:rPr>
          <w:rFonts w:hint="eastAsia"/>
          <w:szCs w:val="21"/>
        </w:rPr>
        <w:t>6、深度和广度说明：对电子系统设计方法和步骤只做简单介绍，对线性电源设计、模拟系统设计、单片机系统设计等要点做深入讲解，对电子系统中的工程问题介绍要覆盖全面。线性电源的设计和</w:t>
      </w:r>
      <w:r>
        <w:rPr>
          <w:rFonts w:hint="eastAsia" w:ascii="宋体" w:hAnsi="宋体"/>
        </w:rPr>
        <w:t>电子系统的电磁兼容设计是重点。</w:t>
      </w:r>
    </w:p>
    <w:p>
      <w:pPr>
        <w:spacing w:line="360" w:lineRule="auto"/>
        <w:ind w:firstLine="420" w:firstLineChars="200"/>
      </w:pPr>
      <w:r>
        <w:rPr>
          <w:szCs w:val="21"/>
        </w:rPr>
        <w:t>7、偏差说明：为</w:t>
      </w:r>
      <w:r>
        <w:t>了鼓励教师引入个人授课风格或者适应技术发展的紧迫性，本课程允许教师授课内容做适当调整，最大正偏差为</w:t>
      </w:r>
      <w:r>
        <w:rPr>
          <w:rFonts w:hint="eastAsia"/>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widowControl/>
        <w:spacing w:line="360" w:lineRule="auto"/>
        <w:ind w:firstLine="420" w:firstLineChars="200"/>
        <w:jc w:val="left"/>
      </w:pPr>
      <w:r>
        <w:rPr>
          <w:rFonts w:hint="eastAsia"/>
          <w:szCs w:val="21"/>
        </w:rPr>
        <w:t>本课程重点讲授的内容包括：</w:t>
      </w:r>
      <w:r>
        <w:rPr>
          <w:rFonts w:hint="eastAsia"/>
        </w:rPr>
        <w:t>系统概述、电子系统的一般设计方法及步骤、线性电源的设计、模拟系统设计、C8051单片机原理及设计、电子系统的工程问题等。</w:t>
      </w:r>
    </w:p>
    <w:p>
      <w:pPr>
        <w:spacing w:line="360" w:lineRule="auto"/>
        <w:ind w:firstLine="420" w:firstLineChars="200"/>
        <w:rPr>
          <w:szCs w:val="21"/>
        </w:rPr>
      </w:pPr>
      <w:r>
        <w:rPr>
          <w:szCs w:val="21"/>
        </w:rPr>
        <w:t>本课程在教学方法上，充分利用各种媒体教学手段，采取课堂教学、多媒体课件、案例分析</w:t>
      </w:r>
      <w:r>
        <w:rPr>
          <w:rFonts w:hint="eastAsia"/>
          <w:szCs w:val="21"/>
        </w:rPr>
        <w:t>、实物</w:t>
      </w:r>
      <w:r>
        <w:rPr>
          <w:szCs w:val="21"/>
        </w:rPr>
        <w:t>演示、分组实验方式有机结合，提高教学效率</w:t>
      </w:r>
      <w:r>
        <w:rPr>
          <w:rFonts w:hint="eastAsia"/>
          <w:szCs w:val="21"/>
        </w:rPr>
        <w:t>，</w:t>
      </w:r>
      <w:r>
        <w:rPr>
          <w:rFonts w:hint="eastAsia"/>
        </w:rPr>
        <w:t>培养学生的系统观念，真正掌握系统设计技术</w:t>
      </w:r>
      <w:r>
        <w:rPr>
          <w:szCs w:val="21"/>
        </w:rPr>
        <w:t>。</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为了提高学生的学习兴趣，并取得良好的教学效果，教师在知识讲解的过程中要充分利用问题引导、案例分析等多种教学方法，以进一步提高教学质量。</w:t>
      </w:r>
    </w:p>
    <w:p>
      <w:pPr>
        <w:widowControl/>
        <w:spacing w:line="360" w:lineRule="auto"/>
        <w:ind w:left="426"/>
        <w:jc w:val="left"/>
        <w:rPr>
          <w:rFonts w:ascii="黑体" w:hAnsi="宋体" w:eastAsia="黑体" w:cs="宋体"/>
          <w:snapToGrid w:val="0"/>
          <w:kern w:val="0"/>
          <w:szCs w:val="21"/>
        </w:rPr>
      </w:pPr>
      <w:r>
        <w:rPr>
          <w:rFonts w:eastAsia="黑体"/>
          <w:snapToGrid w:val="0"/>
          <w:kern w:val="0"/>
          <w:szCs w:val="21"/>
        </w:rPr>
        <w:t>1</w:t>
      </w:r>
      <w:r>
        <w:rPr>
          <w:rFonts w:hint="eastAsia" w:ascii="黑体" w:hAnsi="宋体" w:eastAsia="黑体" w:cs="宋体"/>
          <w:snapToGrid w:val="0"/>
          <w:kern w:val="0"/>
          <w:szCs w:val="21"/>
        </w:rPr>
        <w:t>电子</w:t>
      </w:r>
      <w:r>
        <w:rPr>
          <w:rFonts w:ascii="黑体" w:hAnsi="宋体" w:eastAsia="黑体" w:cs="宋体"/>
          <w:snapToGrid w:val="0"/>
          <w:kern w:val="0"/>
          <w:szCs w:val="21"/>
        </w:rPr>
        <w:t>系统</w:t>
      </w:r>
      <w:r>
        <w:rPr>
          <w:rFonts w:hint="eastAsia" w:ascii="黑体" w:hAnsi="宋体" w:eastAsia="黑体" w:cs="宋体"/>
          <w:snapToGrid w:val="0"/>
          <w:kern w:val="0"/>
          <w:szCs w:val="21"/>
        </w:rPr>
        <w:t>设计</w:t>
      </w:r>
      <w:r>
        <w:rPr>
          <w:rFonts w:ascii="黑体" w:hAnsi="宋体" w:eastAsia="黑体" w:cs="宋体"/>
          <w:snapToGrid w:val="0"/>
          <w:kern w:val="0"/>
          <w:szCs w:val="21"/>
        </w:rPr>
        <w:t>导论</w:t>
      </w:r>
      <w:r>
        <w:rPr>
          <w:rFonts w:hint="eastAsia" w:ascii="黑体" w:hAnsi="宋体" w:eastAsia="黑体" w:cs="宋体"/>
          <w:snapToGrid w:val="0"/>
          <w:kern w:val="0"/>
          <w:szCs w:val="21"/>
        </w:rPr>
        <w:t>（1</w:t>
      </w:r>
      <w:r>
        <w:rPr>
          <w:rFonts w:ascii="黑体" w:hAnsi="宋体" w:eastAsia="黑体" w:cs="宋体"/>
          <w:snapToGrid w:val="0"/>
          <w:kern w:val="0"/>
          <w:szCs w:val="21"/>
        </w:rPr>
        <w:t xml:space="preserve">学时） </w:t>
      </w:r>
    </w:p>
    <w:p>
      <w:pPr>
        <w:widowControl/>
        <w:spacing w:line="360" w:lineRule="auto"/>
        <w:ind w:left="426"/>
        <w:jc w:val="left"/>
        <w:rPr>
          <w:rFonts w:eastAsia="黑体"/>
          <w:snapToGrid w:val="0"/>
          <w:kern w:val="0"/>
          <w:szCs w:val="21"/>
        </w:rPr>
      </w:pPr>
      <w:r>
        <w:rPr>
          <w:snapToGrid w:val="0"/>
          <w:kern w:val="0"/>
          <w:szCs w:val="21"/>
        </w:rPr>
        <w:t>1.1</w:t>
      </w:r>
      <w:r>
        <w:rPr>
          <w:rFonts w:hint="eastAsia"/>
          <w:snapToGrid w:val="0"/>
          <w:kern w:val="0"/>
          <w:szCs w:val="21"/>
        </w:rPr>
        <w:t>、</w:t>
      </w:r>
      <w:r>
        <w:t>电子系统组成及概述；</w:t>
      </w:r>
    </w:p>
    <w:p>
      <w:pPr>
        <w:widowControl/>
        <w:spacing w:line="360" w:lineRule="auto"/>
        <w:ind w:left="426"/>
        <w:jc w:val="left"/>
      </w:pPr>
      <w:r>
        <w:t>1</w:t>
      </w:r>
      <w:r>
        <w:rPr>
          <w:snapToGrid w:val="0"/>
          <w:kern w:val="0"/>
          <w:szCs w:val="21"/>
        </w:rPr>
        <w:t>.2</w:t>
      </w:r>
      <w:r>
        <w:rPr>
          <w:rFonts w:hint="eastAsia"/>
          <w:snapToGrid w:val="0"/>
          <w:kern w:val="0"/>
          <w:szCs w:val="21"/>
        </w:rPr>
        <w:t>、</w:t>
      </w:r>
      <w:r>
        <w:t>电子系统的一般设计方法及步骤介绍。</w:t>
      </w:r>
    </w:p>
    <w:p>
      <w:pPr>
        <w:widowControl/>
        <w:adjustRightInd w:val="0"/>
        <w:snapToGrid w:val="0"/>
        <w:spacing w:line="360" w:lineRule="auto"/>
        <w:ind w:left="426"/>
        <w:jc w:val="left"/>
        <w:rPr>
          <w:snapToGrid w:val="0"/>
          <w:kern w:val="0"/>
          <w:szCs w:val="21"/>
        </w:rPr>
      </w:pPr>
      <w:r>
        <w:rPr>
          <w:bCs/>
          <w:snapToGrid w:val="0"/>
          <w:kern w:val="0"/>
          <w:szCs w:val="21"/>
        </w:rPr>
        <w:t>本章内容支撑课程目标1。</w:t>
      </w:r>
    </w:p>
    <w:p>
      <w:pPr>
        <w:widowControl/>
        <w:adjustRightInd w:val="0"/>
        <w:snapToGrid w:val="0"/>
        <w:spacing w:line="360" w:lineRule="auto"/>
        <w:ind w:firstLine="422" w:firstLineChars="200"/>
        <w:jc w:val="left"/>
        <w:rPr>
          <w:b/>
          <w:bCs/>
          <w:snapToGrid w:val="0"/>
          <w:kern w:val="0"/>
          <w:szCs w:val="21"/>
        </w:rPr>
      </w:pPr>
      <w:r>
        <w:rPr>
          <w:rFonts w:hint="eastAsia"/>
          <w:b/>
          <w:bCs/>
          <w:snapToGrid w:val="0"/>
          <w:kern w:val="0"/>
          <w:szCs w:val="21"/>
        </w:rPr>
        <w:t>思政元素：</w:t>
      </w:r>
      <w:r>
        <w:rPr>
          <w:b/>
          <w:bCs/>
          <w:snapToGrid w:val="0"/>
          <w:kern w:val="0"/>
          <w:szCs w:val="21"/>
        </w:rPr>
        <w:t>通过对比分析国内外发展现状、市场调研，激发学生的使命感和责任感。通过阐述相关应用需求和背景，提高学生学习的积极性和主动性。</w:t>
      </w:r>
    </w:p>
    <w:p>
      <w:pPr>
        <w:widowControl/>
        <w:spacing w:line="360" w:lineRule="auto"/>
        <w:ind w:firstLine="420" w:firstLineChars="200"/>
        <w:jc w:val="left"/>
        <w:rPr>
          <w:rFonts w:eastAsia="黑体"/>
          <w:snapToGrid w:val="0"/>
          <w:kern w:val="0"/>
          <w:szCs w:val="21"/>
        </w:rPr>
      </w:pPr>
      <w:r>
        <w:rPr>
          <w:rFonts w:eastAsia="黑体"/>
          <w:snapToGrid w:val="0"/>
          <w:kern w:val="0"/>
          <w:szCs w:val="21"/>
        </w:rPr>
        <w:t>2  线性电源设计（2学时）</w:t>
      </w:r>
    </w:p>
    <w:p>
      <w:pPr>
        <w:widowControl/>
        <w:spacing w:line="360" w:lineRule="auto"/>
        <w:ind w:left="426"/>
        <w:jc w:val="left"/>
        <w:rPr>
          <w:rFonts w:eastAsia="黑体"/>
          <w:snapToGrid w:val="0"/>
          <w:kern w:val="0"/>
          <w:szCs w:val="21"/>
        </w:rPr>
      </w:pPr>
      <w:r>
        <w:rPr>
          <w:snapToGrid w:val="0"/>
          <w:kern w:val="0"/>
          <w:szCs w:val="21"/>
        </w:rPr>
        <w:t>2.1</w:t>
      </w:r>
      <w:r>
        <w:rPr>
          <w:rFonts w:hint="eastAsia"/>
          <w:snapToGrid w:val="0"/>
          <w:kern w:val="0"/>
          <w:szCs w:val="21"/>
        </w:rPr>
        <w:t>、</w:t>
      </w:r>
      <w:r>
        <w:t>能够阐述电源类型，线性电源的组成；</w:t>
      </w:r>
    </w:p>
    <w:p>
      <w:pPr>
        <w:widowControl/>
        <w:spacing w:line="360" w:lineRule="auto"/>
        <w:ind w:left="426"/>
        <w:jc w:val="left"/>
      </w:pPr>
      <w:r>
        <w:t>2.2</w:t>
      </w:r>
      <w:r>
        <w:rPr>
          <w:rFonts w:hint="eastAsia"/>
        </w:rPr>
        <w:t>、</w:t>
      </w:r>
      <w:r>
        <w:t>线性电源的设计方法、指标、参数计算及选择。（难点、重点）</w:t>
      </w:r>
    </w:p>
    <w:p>
      <w:pPr>
        <w:widowControl/>
        <w:adjustRightInd w:val="0"/>
        <w:snapToGrid w:val="0"/>
        <w:spacing w:line="360" w:lineRule="auto"/>
        <w:ind w:left="426"/>
        <w:jc w:val="left"/>
        <w:rPr>
          <w:snapToGrid w:val="0"/>
          <w:kern w:val="0"/>
          <w:szCs w:val="21"/>
        </w:rPr>
      </w:pPr>
      <w:r>
        <w:rPr>
          <w:bCs/>
          <w:snapToGrid w:val="0"/>
          <w:kern w:val="0"/>
          <w:szCs w:val="21"/>
        </w:rPr>
        <w:t>本章内容支撑课程目标1</w:t>
      </w:r>
      <w:r>
        <w:rPr>
          <w:bCs/>
          <w:snapToGrid w:val="0"/>
          <w:color w:val="FF0000"/>
          <w:kern w:val="0"/>
          <w:szCs w:val="21"/>
        </w:rPr>
        <w:t>。</w:t>
      </w:r>
    </w:p>
    <w:p>
      <w:pPr>
        <w:widowControl/>
        <w:spacing w:line="360" w:lineRule="auto"/>
        <w:ind w:firstLine="420" w:firstLineChars="200"/>
        <w:jc w:val="left"/>
        <w:rPr>
          <w:rFonts w:eastAsia="黑体"/>
          <w:snapToGrid w:val="0"/>
          <w:kern w:val="0"/>
          <w:szCs w:val="21"/>
        </w:rPr>
      </w:pPr>
      <w:r>
        <w:rPr>
          <w:rFonts w:eastAsia="黑体"/>
          <w:snapToGrid w:val="0"/>
          <w:kern w:val="0"/>
          <w:szCs w:val="21"/>
        </w:rPr>
        <w:t xml:space="preserve">3  </w:t>
      </w:r>
      <w:r>
        <w:rPr>
          <w:rFonts w:eastAsia="黑体"/>
        </w:rPr>
        <w:t>模拟电子系统的分析和设计</w:t>
      </w:r>
      <w:r>
        <w:rPr>
          <w:rFonts w:eastAsia="黑体"/>
          <w:snapToGrid w:val="0"/>
          <w:kern w:val="0"/>
          <w:szCs w:val="21"/>
        </w:rPr>
        <w:t>（10学时）</w:t>
      </w:r>
    </w:p>
    <w:p>
      <w:pPr>
        <w:widowControl/>
        <w:spacing w:line="360" w:lineRule="auto"/>
        <w:ind w:left="426"/>
        <w:jc w:val="left"/>
        <w:rPr>
          <w:rFonts w:eastAsia="黑体"/>
          <w:snapToGrid w:val="0"/>
          <w:kern w:val="0"/>
          <w:szCs w:val="21"/>
        </w:rPr>
      </w:pPr>
      <w:r>
        <w:rPr>
          <w:snapToGrid w:val="0"/>
          <w:kern w:val="0"/>
          <w:szCs w:val="21"/>
        </w:rPr>
        <w:t>3.1</w:t>
      </w:r>
      <w:r>
        <w:rPr>
          <w:rFonts w:hint="eastAsia"/>
          <w:snapToGrid w:val="0"/>
          <w:kern w:val="0"/>
          <w:szCs w:val="21"/>
        </w:rPr>
        <w:t>、</w:t>
      </w:r>
      <w:r>
        <w:rPr>
          <w:snapToGrid w:val="0"/>
          <w:kern w:val="0"/>
          <w:szCs w:val="21"/>
        </w:rPr>
        <w:t>模拟电路和数字电路的组成和特点；</w:t>
      </w:r>
    </w:p>
    <w:p>
      <w:pPr>
        <w:widowControl/>
        <w:spacing w:line="360" w:lineRule="auto"/>
        <w:ind w:left="426"/>
        <w:jc w:val="left"/>
        <w:rPr>
          <w:rFonts w:eastAsia="黑体"/>
          <w:snapToGrid w:val="0"/>
          <w:kern w:val="0"/>
          <w:szCs w:val="21"/>
        </w:rPr>
      </w:pPr>
      <w:r>
        <w:rPr>
          <w:snapToGrid w:val="0"/>
          <w:kern w:val="0"/>
          <w:szCs w:val="21"/>
        </w:rPr>
        <w:t>3.2</w:t>
      </w:r>
      <w:r>
        <w:rPr>
          <w:rFonts w:hint="eastAsia"/>
          <w:snapToGrid w:val="0"/>
          <w:kern w:val="0"/>
          <w:szCs w:val="21"/>
        </w:rPr>
        <w:t>、</w:t>
      </w:r>
      <w:r>
        <w:rPr>
          <w:snapToGrid w:val="0"/>
          <w:kern w:val="0"/>
          <w:szCs w:val="21"/>
        </w:rPr>
        <w:t>熟练掌握</w:t>
      </w:r>
      <w:r>
        <w:t>运算放大器的关键动态指标和应用电路分析；（重点）</w:t>
      </w:r>
    </w:p>
    <w:p>
      <w:pPr>
        <w:widowControl/>
        <w:spacing w:line="360" w:lineRule="auto"/>
        <w:ind w:left="426"/>
        <w:jc w:val="left"/>
        <w:rPr>
          <w:rFonts w:eastAsia="黑体"/>
          <w:snapToGrid w:val="0"/>
          <w:kern w:val="0"/>
          <w:szCs w:val="21"/>
        </w:rPr>
      </w:pPr>
      <w:r>
        <w:rPr>
          <w:snapToGrid w:val="0"/>
          <w:kern w:val="0"/>
          <w:szCs w:val="21"/>
        </w:rPr>
        <w:t>3.</w:t>
      </w:r>
      <w:r>
        <w:t>3</w:t>
      </w:r>
      <w:r>
        <w:rPr>
          <w:rFonts w:hint="eastAsia"/>
        </w:rPr>
        <w:t>、</w:t>
      </w:r>
      <w:r>
        <w:t>熟悉DAC的各种静、动态参数指标，能够熟练设计分析DAC和多路选择器；（难点）</w:t>
      </w:r>
    </w:p>
    <w:p>
      <w:pPr>
        <w:widowControl/>
        <w:spacing w:line="360" w:lineRule="auto"/>
        <w:ind w:left="426"/>
        <w:jc w:val="left"/>
        <w:rPr>
          <w:rFonts w:eastAsia="黑体"/>
          <w:snapToGrid w:val="0"/>
          <w:kern w:val="0"/>
          <w:szCs w:val="21"/>
        </w:rPr>
      </w:pPr>
      <w:r>
        <w:rPr>
          <w:snapToGrid w:val="0"/>
          <w:kern w:val="0"/>
          <w:szCs w:val="21"/>
        </w:rPr>
        <w:t>3.</w:t>
      </w:r>
      <w:r>
        <w:t>4</w:t>
      </w:r>
      <w:r>
        <w:rPr>
          <w:rFonts w:hint="eastAsia"/>
        </w:rPr>
        <w:t>、</w:t>
      </w:r>
      <w:r>
        <w:t>不同速度ADC的基本原理和设计分析；（重点）</w:t>
      </w:r>
    </w:p>
    <w:p>
      <w:pPr>
        <w:widowControl/>
        <w:spacing w:line="360" w:lineRule="auto"/>
        <w:ind w:left="426"/>
        <w:jc w:val="left"/>
        <w:rPr>
          <w:rFonts w:eastAsia="黑体"/>
          <w:snapToGrid w:val="0"/>
          <w:kern w:val="0"/>
          <w:szCs w:val="21"/>
        </w:rPr>
      </w:pPr>
      <w:r>
        <w:rPr>
          <w:snapToGrid w:val="0"/>
          <w:kern w:val="0"/>
          <w:szCs w:val="21"/>
        </w:rPr>
        <w:t>3.</w:t>
      </w:r>
      <w:r>
        <w:t>5</w:t>
      </w:r>
      <w:r>
        <w:rPr>
          <w:rFonts w:hint="eastAsia"/>
        </w:rPr>
        <w:t>、</w:t>
      </w:r>
      <w:r>
        <w:t>理解模拟电路的一般设计注意事项；</w:t>
      </w:r>
    </w:p>
    <w:p>
      <w:pPr>
        <w:widowControl/>
        <w:adjustRightInd w:val="0"/>
        <w:snapToGrid w:val="0"/>
        <w:spacing w:line="360" w:lineRule="auto"/>
        <w:ind w:left="426"/>
        <w:jc w:val="left"/>
        <w:rPr>
          <w:snapToGrid w:val="0"/>
          <w:kern w:val="0"/>
          <w:szCs w:val="21"/>
        </w:rPr>
      </w:pPr>
      <w:r>
        <w:rPr>
          <w:bCs/>
          <w:snapToGrid w:val="0"/>
          <w:kern w:val="0"/>
          <w:szCs w:val="21"/>
        </w:rPr>
        <w:t>本章内容支撑课程目标1、4。</w:t>
      </w:r>
    </w:p>
    <w:p>
      <w:pPr>
        <w:widowControl/>
        <w:adjustRightInd w:val="0"/>
        <w:snapToGrid w:val="0"/>
        <w:spacing w:line="360" w:lineRule="auto"/>
        <w:ind w:firstLine="420" w:firstLineChars="200"/>
        <w:jc w:val="left"/>
        <w:rPr>
          <w:snapToGrid w:val="0"/>
          <w:kern w:val="0"/>
          <w:szCs w:val="21"/>
        </w:rPr>
      </w:pPr>
      <w:r>
        <w:rPr>
          <w:snapToGrid w:val="0"/>
          <w:kern w:val="0"/>
          <w:szCs w:val="21"/>
        </w:rPr>
        <w:t>结合本知识点，向学生归纳介绍课程目标1所表达的思想，并在以后的教学进程中反复强调提升理念。</w:t>
      </w:r>
    </w:p>
    <w:p>
      <w:pPr>
        <w:widowControl/>
        <w:spacing w:line="360" w:lineRule="auto"/>
        <w:ind w:firstLine="420" w:firstLineChars="200"/>
        <w:jc w:val="left"/>
        <w:rPr>
          <w:rFonts w:eastAsia="黑体"/>
          <w:snapToGrid w:val="0"/>
          <w:kern w:val="0"/>
          <w:szCs w:val="21"/>
        </w:rPr>
      </w:pPr>
      <w:r>
        <w:rPr>
          <w:rFonts w:eastAsia="黑体"/>
          <w:snapToGrid w:val="0"/>
          <w:kern w:val="0"/>
          <w:szCs w:val="21"/>
        </w:rPr>
        <w:t>4  C8051单片机应用系统设计（6学时）</w:t>
      </w:r>
    </w:p>
    <w:p>
      <w:pPr>
        <w:widowControl/>
        <w:spacing w:line="360" w:lineRule="auto"/>
        <w:ind w:left="426"/>
        <w:jc w:val="left"/>
        <w:rPr>
          <w:rFonts w:eastAsia="黑体"/>
          <w:snapToGrid w:val="0"/>
          <w:kern w:val="0"/>
          <w:szCs w:val="21"/>
        </w:rPr>
      </w:pPr>
      <w:r>
        <w:rPr>
          <w:snapToGrid w:val="0"/>
          <w:kern w:val="0"/>
          <w:szCs w:val="21"/>
        </w:rPr>
        <w:t>4.1</w:t>
      </w:r>
      <w:r>
        <w:rPr>
          <w:rFonts w:hint="eastAsia"/>
          <w:snapToGrid w:val="0"/>
          <w:kern w:val="0"/>
          <w:szCs w:val="21"/>
        </w:rPr>
        <w:t>、</w:t>
      </w:r>
      <w:r>
        <w:rPr>
          <w:snapToGrid w:val="0"/>
          <w:kern w:val="0"/>
          <w:szCs w:val="21"/>
        </w:rPr>
        <w:t>单片机应用系统组成、设计思想及开发过程；</w:t>
      </w:r>
    </w:p>
    <w:p>
      <w:pPr>
        <w:widowControl/>
        <w:spacing w:line="360" w:lineRule="auto"/>
        <w:ind w:left="426"/>
        <w:jc w:val="left"/>
        <w:rPr>
          <w:rFonts w:eastAsia="黑体"/>
          <w:snapToGrid w:val="0"/>
          <w:kern w:val="0"/>
          <w:szCs w:val="21"/>
        </w:rPr>
      </w:pPr>
      <w:r>
        <w:rPr>
          <w:snapToGrid w:val="0"/>
          <w:kern w:val="0"/>
          <w:szCs w:val="21"/>
        </w:rPr>
        <w:t>4.2</w:t>
      </w:r>
      <w:r>
        <w:rPr>
          <w:rFonts w:hint="eastAsia"/>
          <w:snapToGrid w:val="0"/>
          <w:kern w:val="0"/>
          <w:szCs w:val="21"/>
        </w:rPr>
        <w:t>、</w:t>
      </w:r>
      <w:r>
        <w:rPr>
          <w:snapToGrid w:val="0"/>
          <w:kern w:val="0"/>
          <w:szCs w:val="21"/>
        </w:rPr>
        <w:t xml:space="preserve"> C8051F020的结构、特点和存储器组织；</w:t>
      </w:r>
    </w:p>
    <w:p>
      <w:pPr>
        <w:widowControl/>
        <w:spacing w:line="360" w:lineRule="auto"/>
        <w:ind w:left="426"/>
        <w:jc w:val="left"/>
        <w:rPr>
          <w:rFonts w:eastAsia="黑体"/>
          <w:snapToGrid w:val="0"/>
          <w:kern w:val="0"/>
          <w:szCs w:val="21"/>
        </w:rPr>
      </w:pPr>
      <w:r>
        <w:rPr>
          <w:snapToGrid w:val="0"/>
          <w:kern w:val="0"/>
          <w:szCs w:val="21"/>
        </w:rPr>
        <w:t>4.3</w:t>
      </w:r>
      <w:r>
        <w:rPr>
          <w:rFonts w:hint="eastAsia"/>
          <w:snapToGrid w:val="0"/>
          <w:kern w:val="0"/>
          <w:szCs w:val="21"/>
        </w:rPr>
        <w:t>、</w:t>
      </w:r>
      <w:r>
        <w:rPr>
          <w:snapToGrid w:val="0"/>
          <w:kern w:val="0"/>
          <w:szCs w:val="21"/>
        </w:rPr>
        <w:t>能够熟练配置C8051F020的交叉开关和GPIO；（</w:t>
      </w:r>
      <w:r>
        <w:t>难点</w:t>
      </w:r>
      <w:r>
        <w:rPr>
          <w:snapToGrid w:val="0"/>
          <w:kern w:val="0"/>
          <w:szCs w:val="21"/>
        </w:rPr>
        <w:t>）</w:t>
      </w:r>
    </w:p>
    <w:p>
      <w:pPr>
        <w:widowControl/>
        <w:spacing w:line="360" w:lineRule="auto"/>
        <w:ind w:left="426"/>
        <w:jc w:val="left"/>
        <w:rPr>
          <w:rFonts w:eastAsia="黑体"/>
          <w:snapToGrid w:val="0"/>
          <w:kern w:val="0"/>
          <w:szCs w:val="21"/>
        </w:rPr>
      </w:pPr>
      <w:r>
        <w:rPr>
          <w:snapToGrid w:val="0"/>
          <w:kern w:val="0"/>
          <w:szCs w:val="21"/>
        </w:rPr>
        <w:t>4.4</w:t>
      </w:r>
      <w:r>
        <w:rPr>
          <w:rFonts w:hint="eastAsia"/>
          <w:snapToGrid w:val="0"/>
          <w:kern w:val="0"/>
          <w:szCs w:val="21"/>
        </w:rPr>
        <w:t>、</w:t>
      </w:r>
      <w:r>
        <w:rPr>
          <w:snapToGrid w:val="0"/>
          <w:kern w:val="0"/>
          <w:szCs w:val="21"/>
        </w:rPr>
        <w:t>能够掌握C8051F020的ADC和DAC工作原理；（</w:t>
      </w:r>
      <w:r>
        <w:t>重点</w:t>
      </w:r>
      <w:r>
        <w:rPr>
          <w:snapToGrid w:val="0"/>
          <w:kern w:val="0"/>
          <w:szCs w:val="21"/>
        </w:rPr>
        <w:t>）</w:t>
      </w:r>
    </w:p>
    <w:p>
      <w:pPr>
        <w:widowControl/>
        <w:spacing w:line="360" w:lineRule="auto"/>
        <w:ind w:left="426"/>
        <w:jc w:val="left"/>
        <w:rPr>
          <w:rFonts w:ascii="宋体" w:hAnsi="宋体" w:cs="宋体"/>
          <w:snapToGrid w:val="0"/>
          <w:kern w:val="0"/>
          <w:szCs w:val="21"/>
        </w:rPr>
      </w:pPr>
      <w:r>
        <w:rPr>
          <w:snapToGrid w:val="0"/>
          <w:kern w:val="0"/>
          <w:szCs w:val="21"/>
        </w:rPr>
        <w:t>4.5</w:t>
      </w:r>
      <w:r>
        <w:rPr>
          <w:rFonts w:hint="eastAsia"/>
          <w:snapToGrid w:val="0"/>
          <w:kern w:val="0"/>
          <w:szCs w:val="21"/>
        </w:rPr>
        <w:t>、</w:t>
      </w:r>
      <w:r>
        <w:rPr>
          <w:snapToGrid w:val="0"/>
          <w:kern w:val="0"/>
          <w:szCs w:val="21"/>
        </w:rPr>
        <w:t>单片机一般设计原则和注意事项</w:t>
      </w:r>
      <w:r>
        <w:rPr>
          <w:rFonts w:hint="eastAsia" w:ascii="宋体" w:hAnsi="宋体" w:cs="宋体"/>
          <w:snapToGrid w:val="0"/>
          <w:kern w:val="0"/>
          <w:szCs w:val="21"/>
        </w:rPr>
        <w:t>。</w:t>
      </w:r>
    </w:p>
    <w:p>
      <w:pPr>
        <w:widowControl/>
        <w:adjustRightInd w:val="0"/>
        <w:snapToGrid w:val="0"/>
        <w:spacing w:line="360" w:lineRule="auto"/>
        <w:ind w:left="426"/>
        <w:jc w:val="left"/>
        <w:rPr>
          <w:snapToGrid w:val="0"/>
          <w:kern w:val="0"/>
          <w:szCs w:val="21"/>
        </w:rPr>
      </w:pPr>
      <w:r>
        <w:rPr>
          <w:bCs/>
          <w:snapToGrid w:val="0"/>
          <w:kern w:val="0"/>
          <w:szCs w:val="21"/>
        </w:rPr>
        <w:t>本章内容支撑课程目标1、4。</w:t>
      </w:r>
    </w:p>
    <w:p>
      <w:pPr>
        <w:widowControl/>
        <w:spacing w:line="360" w:lineRule="auto"/>
        <w:ind w:left="426"/>
        <w:jc w:val="left"/>
        <w:rPr>
          <w:rFonts w:eastAsia="黑体"/>
          <w:snapToGrid w:val="0"/>
          <w:kern w:val="0"/>
          <w:szCs w:val="21"/>
        </w:rPr>
      </w:pPr>
      <w:r>
        <w:rPr>
          <w:rFonts w:eastAsia="黑体"/>
          <w:snapToGrid w:val="0"/>
          <w:kern w:val="0"/>
          <w:szCs w:val="21"/>
        </w:rPr>
        <w:t xml:space="preserve">5 </w:t>
      </w:r>
      <w:r>
        <w:rPr>
          <w:rFonts w:eastAsia="黑体"/>
        </w:rPr>
        <w:t>电子系统的工程问题</w:t>
      </w:r>
      <w:r>
        <w:rPr>
          <w:rFonts w:eastAsia="黑体"/>
          <w:snapToGrid w:val="0"/>
          <w:kern w:val="0"/>
          <w:szCs w:val="21"/>
        </w:rPr>
        <w:t>（5学时）</w:t>
      </w:r>
    </w:p>
    <w:p>
      <w:pPr>
        <w:widowControl/>
        <w:spacing w:line="360" w:lineRule="auto"/>
        <w:ind w:left="426"/>
        <w:jc w:val="left"/>
        <w:rPr>
          <w:rFonts w:eastAsia="黑体"/>
          <w:snapToGrid w:val="0"/>
          <w:kern w:val="0"/>
          <w:szCs w:val="21"/>
        </w:rPr>
      </w:pPr>
      <w:r>
        <w:rPr>
          <w:snapToGrid w:val="0"/>
          <w:kern w:val="0"/>
          <w:szCs w:val="21"/>
        </w:rPr>
        <w:t>5.1</w:t>
      </w:r>
      <w:r>
        <w:rPr>
          <w:rFonts w:hint="eastAsia"/>
          <w:snapToGrid w:val="0"/>
          <w:kern w:val="0"/>
          <w:szCs w:val="21"/>
        </w:rPr>
        <w:t>、</w:t>
      </w:r>
      <w:r>
        <w:rPr>
          <w:snapToGrid w:val="0"/>
          <w:kern w:val="0"/>
          <w:szCs w:val="21"/>
        </w:rPr>
        <w:t>能够熟练</w:t>
      </w:r>
      <w:r>
        <w:t>掌握电子系统的电磁兼容设计；（重点、难点）</w:t>
      </w:r>
    </w:p>
    <w:p>
      <w:pPr>
        <w:widowControl/>
        <w:spacing w:line="360" w:lineRule="auto"/>
        <w:ind w:left="426"/>
        <w:jc w:val="left"/>
        <w:rPr>
          <w:rFonts w:eastAsia="黑体"/>
          <w:snapToGrid w:val="0"/>
          <w:kern w:val="0"/>
          <w:szCs w:val="21"/>
        </w:rPr>
      </w:pPr>
      <w:r>
        <w:rPr>
          <w:snapToGrid w:val="0"/>
          <w:kern w:val="0"/>
          <w:szCs w:val="21"/>
        </w:rPr>
        <w:t>5.2</w:t>
      </w:r>
      <w:r>
        <w:rPr>
          <w:rFonts w:hint="eastAsia"/>
          <w:snapToGrid w:val="0"/>
          <w:kern w:val="0"/>
          <w:szCs w:val="21"/>
        </w:rPr>
        <w:t>、</w:t>
      </w:r>
      <w:r>
        <w:t>电子设备的热设计问题及解决方案；</w:t>
      </w:r>
    </w:p>
    <w:p>
      <w:pPr>
        <w:widowControl/>
        <w:spacing w:line="360" w:lineRule="auto"/>
        <w:ind w:left="426"/>
        <w:jc w:val="left"/>
        <w:rPr>
          <w:rFonts w:eastAsia="黑体"/>
          <w:snapToGrid w:val="0"/>
          <w:kern w:val="0"/>
          <w:szCs w:val="21"/>
        </w:rPr>
      </w:pPr>
      <w:r>
        <w:rPr>
          <w:snapToGrid w:val="0"/>
          <w:kern w:val="0"/>
          <w:szCs w:val="21"/>
        </w:rPr>
        <w:t>5.3</w:t>
      </w:r>
      <w:r>
        <w:rPr>
          <w:rFonts w:hint="eastAsia"/>
          <w:snapToGrid w:val="0"/>
          <w:kern w:val="0"/>
          <w:szCs w:val="21"/>
        </w:rPr>
        <w:t>、</w:t>
      </w:r>
      <w:r>
        <w:t>可靠性定义、可靠性预计和可靠性设计原则；</w:t>
      </w:r>
    </w:p>
    <w:p>
      <w:pPr>
        <w:widowControl/>
        <w:spacing w:line="360" w:lineRule="auto"/>
        <w:ind w:left="426"/>
        <w:jc w:val="left"/>
        <w:rPr>
          <w:rFonts w:eastAsia="黑体"/>
          <w:snapToGrid w:val="0"/>
          <w:kern w:val="0"/>
          <w:szCs w:val="21"/>
        </w:rPr>
      </w:pPr>
      <w:r>
        <w:rPr>
          <w:snapToGrid w:val="0"/>
          <w:kern w:val="0"/>
          <w:szCs w:val="21"/>
        </w:rPr>
        <w:t>5.4</w:t>
      </w:r>
      <w:r>
        <w:rPr>
          <w:rFonts w:hint="eastAsia"/>
          <w:snapToGrid w:val="0"/>
          <w:kern w:val="0"/>
          <w:szCs w:val="21"/>
        </w:rPr>
        <w:t>、</w:t>
      </w:r>
      <w:r>
        <w:rPr>
          <w:snapToGrid w:val="0"/>
          <w:kern w:val="0"/>
          <w:szCs w:val="21"/>
        </w:rPr>
        <w:t>印制电路板的设计、装配；</w:t>
      </w:r>
    </w:p>
    <w:p>
      <w:pPr>
        <w:widowControl/>
        <w:spacing w:line="360" w:lineRule="auto"/>
        <w:ind w:left="426"/>
        <w:jc w:val="left"/>
        <w:rPr>
          <w:snapToGrid w:val="0"/>
          <w:kern w:val="0"/>
          <w:szCs w:val="21"/>
        </w:rPr>
      </w:pPr>
      <w:r>
        <w:rPr>
          <w:snapToGrid w:val="0"/>
          <w:kern w:val="0"/>
          <w:szCs w:val="21"/>
        </w:rPr>
        <w:t>5.5</w:t>
      </w:r>
      <w:r>
        <w:rPr>
          <w:rFonts w:hint="eastAsia"/>
          <w:snapToGrid w:val="0"/>
          <w:kern w:val="0"/>
          <w:szCs w:val="21"/>
        </w:rPr>
        <w:t>、</w:t>
      </w:r>
      <w:r>
        <w:rPr>
          <w:snapToGrid w:val="0"/>
          <w:kern w:val="0"/>
          <w:szCs w:val="21"/>
        </w:rPr>
        <w:t>能够掌握系统的一般调试过程和步骤，了解设计文档分类及撰写原则。</w:t>
      </w:r>
    </w:p>
    <w:p>
      <w:pPr>
        <w:widowControl/>
        <w:spacing w:line="360" w:lineRule="auto"/>
        <w:ind w:left="426"/>
        <w:jc w:val="left"/>
        <w:rPr>
          <w:snapToGrid w:val="0"/>
          <w:kern w:val="0"/>
          <w:szCs w:val="21"/>
        </w:rPr>
      </w:pPr>
      <w:r>
        <w:rPr>
          <w:rFonts w:hint="eastAsia"/>
          <w:snapToGrid w:val="0"/>
          <w:kern w:val="0"/>
          <w:szCs w:val="21"/>
        </w:rPr>
        <w:t>5.6、电子系统集成时的其它因素。</w:t>
      </w:r>
    </w:p>
    <w:p>
      <w:pPr>
        <w:widowControl/>
        <w:adjustRightInd w:val="0"/>
        <w:snapToGrid w:val="0"/>
        <w:spacing w:line="360" w:lineRule="auto"/>
        <w:ind w:left="426"/>
        <w:jc w:val="left"/>
        <w:rPr>
          <w:bCs/>
          <w:snapToGrid w:val="0"/>
          <w:kern w:val="0"/>
          <w:szCs w:val="21"/>
        </w:rPr>
      </w:pPr>
      <w:r>
        <w:rPr>
          <w:bCs/>
          <w:snapToGrid w:val="0"/>
          <w:kern w:val="0"/>
          <w:szCs w:val="21"/>
        </w:rPr>
        <w:t>本章内容支撑课程目标2、3、5。</w:t>
      </w:r>
    </w:p>
    <w:p>
      <w:pPr>
        <w:widowControl/>
        <w:adjustRightInd w:val="0"/>
        <w:snapToGrid w:val="0"/>
        <w:spacing w:line="360" w:lineRule="auto"/>
        <w:ind w:left="426"/>
        <w:jc w:val="left"/>
        <w:rPr>
          <w:b/>
          <w:snapToGrid w:val="0"/>
          <w:kern w:val="0"/>
          <w:szCs w:val="21"/>
        </w:rPr>
      </w:pPr>
      <w:r>
        <w:rPr>
          <w:rFonts w:hint="eastAsia"/>
          <w:b/>
          <w:snapToGrid w:val="0"/>
          <w:kern w:val="0"/>
          <w:szCs w:val="21"/>
        </w:rPr>
        <w:t>思政元素：在系统实现方案中要考虑多方面的因素，尊重社会、环境、法律、经济、道德、政策、文化等因素影响，具有法律意识，遵守职业道德规范。</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eastAsia="黑体"/>
          <w:szCs w:val="24"/>
        </w:rPr>
        <w:t>五、实验内容</w:t>
      </w:r>
    </w:p>
    <w:p>
      <w:pPr>
        <w:spacing w:line="360" w:lineRule="auto"/>
        <w:ind w:firstLine="424"/>
        <w:rPr>
          <w:kern w:val="0"/>
          <w:szCs w:val="21"/>
        </w:rPr>
      </w:pPr>
      <w:r>
        <w:rPr>
          <w:kern w:val="0"/>
          <w:szCs w:val="21"/>
        </w:rPr>
        <w:t>实验环节主要是上机实践操作，要求保证上机条件，具备常用的EDA绘图软件工具，要求学生了解1种常见EDA绘图软件的使用方法，根据具体问题提出解决方案，撰写设计报告，完成设计过程。</w:t>
      </w:r>
    </w:p>
    <w:p>
      <w:pPr>
        <w:spacing w:line="360" w:lineRule="auto"/>
        <w:ind w:firstLine="420" w:firstLineChars="200"/>
        <w:rPr>
          <w:rFonts w:eastAsia="黑体"/>
          <w:snapToGrid w:val="0"/>
          <w:kern w:val="0"/>
          <w:szCs w:val="21"/>
        </w:rPr>
      </w:pPr>
      <w:r>
        <w:rPr>
          <w:rFonts w:eastAsia="黑体"/>
          <w:snapToGrid w:val="0"/>
          <w:kern w:val="0"/>
          <w:szCs w:val="21"/>
        </w:rPr>
        <w:t>实验一利用C8051F020单片机实现8路信源输出及反馈采样（8学时）</w:t>
      </w:r>
    </w:p>
    <w:p>
      <w:pPr>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基本要求：</w:t>
      </w:r>
    </w:p>
    <w:p>
      <w:pPr>
        <w:spacing w:line="360" w:lineRule="auto"/>
        <w:ind w:firstLine="420"/>
        <w:rPr>
          <w:rFonts w:ascii="宋体" w:hAnsi="宋体" w:cs="宋体"/>
          <w:snapToGrid w:val="0"/>
          <w:kern w:val="0"/>
          <w:szCs w:val="21"/>
        </w:rPr>
      </w:pPr>
      <w:r>
        <w:rPr>
          <w:rFonts w:hint="eastAsia" w:ascii="宋体" w:hAnsi="宋体" w:cs="宋体"/>
          <w:snapToGrid w:val="0"/>
          <w:kern w:val="0"/>
          <w:szCs w:val="21"/>
        </w:rPr>
        <w:t>1、根据任务要求，完成开发解决方案，并撰写详细的方案设计报告；</w:t>
      </w:r>
    </w:p>
    <w:p>
      <w:pPr>
        <w:spacing w:line="360" w:lineRule="auto"/>
        <w:ind w:firstLine="420"/>
        <w:rPr>
          <w:rFonts w:ascii="宋体" w:hAnsi="宋体" w:cs="宋体"/>
          <w:kern w:val="0"/>
          <w:szCs w:val="21"/>
        </w:rPr>
      </w:pPr>
      <w:r>
        <w:rPr>
          <w:rFonts w:hint="eastAsia" w:ascii="宋体" w:hAnsi="宋体" w:cs="宋体"/>
          <w:snapToGrid w:val="0"/>
          <w:kern w:val="0"/>
          <w:szCs w:val="21"/>
        </w:rPr>
        <w:t>2、学会利用</w:t>
      </w:r>
      <w:r>
        <w:rPr>
          <w:rFonts w:hint="eastAsia" w:ascii="宋体" w:hAnsi="宋体" w:cs="宋体"/>
          <w:kern w:val="0"/>
          <w:szCs w:val="21"/>
        </w:rPr>
        <w:t>EDA绘图软件设计相关电路；</w:t>
      </w:r>
    </w:p>
    <w:p>
      <w:pPr>
        <w:spacing w:line="360" w:lineRule="auto"/>
        <w:ind w:firstLine="420"/>
        <w:rPr>
          <w:snapToGrid w:val="0"/>
          <w:kern w:val="0"/>
          <w:szCs w:val="21"/>
        </w:rPr>
      </w:pPr>
      <w:r>
        <w:rPr>
          <w:snapToGrid w:val="0"/>
          <w:kern w:val="0"/>
          <w:szCs w:val="21"/>
        </w:rPr>
        <w:t>3、利用C语言或汇编语言编写单片机程序代码；</w:t>
      </w:r>
    </w:p>
    <w:p>
      <w:pPr>
        <w:spacing w:line="360" w:lineRule="auto"/>
        <w:ind w:firstLine="420"/>
        <w:rPr>
          <w:snapToGrid w:val="0"/>
          <w:kern w:val="0"/>
          <w:szCs w:val="21"/>
        </w:rPr>
      </w:pPr>
      <w:r>
        <w:rPr>
          <w:snapToGrid w:val="0"/>
          <w:kern w:val="0"/>
          <w:szCs w:val="21"/>
        </w:rPr>
        <w:t>4、每4人为一小组，分工完成不同的部分；</w:t>
      </w:r>
    </w:p>
    <w:p>
      <w:pPr>
        <w:spacing w:line="360" w:lineRule="auto"/>
        <w:ind w:left="420" w:leftChars="200" w:firstLine="5"/>
        <w:rPr>
          <w:snapToGrid w:val="0"/>
          <w:kern w:val="0"/>
          <w:szCs w:val="21"/>
        </w:rPr>
      </w:pPr>
      <w:r>
        <w:rPr>
          <w:snapToGrid w:val="0"/>
          <w:kern w:val="0"/>
          <w:szCs w:val="21"/>
        </w:rPr>
        <w:t>5、验收要求：每人根据自身工作撰写一份报告，每组提交原理图、PCB图和单片机程序代码（C语言or汇编语言）；</w:t>
      </w:r>
    </w:p>
    <w:p>
      <w:pPr>
        <w:spacing w:line="360" w:lineRule="auto"/>
        <w:ind w:left="420" w:leftChars="200" w:firstLine="5"/>
        <w:rPr>
          <w:snapToGrid w:val="0"/>
          <w:kern w:val="0"/>
          <w:szCs w:val="21"/>
        </w:rPr>
      </w:pPr>
      <w:r>
        <w:rPr>
          <w:snapToGrid w:val="0"/>
          <w:kern w:val="0"/>
          <w:szCs w:val="21"/>
        </w:rPr>
        <w:t>6、在分组实验中要注重培养学生的协同精神、包容意识和创新精神等。</w:t>
      </w:r>
    </w:p>
    <w:p>
      <w:pPr>
        <w:widowControl/>
        <w:adjustRightInd w:val="0"/>
        <w:snapToGrid w:val="0"/>
        <w:spacing w:line="360" w:lineRule="auto"/>
        <w:ind w:left="426"/>
        <w:jc w:val="left"/>
        <w:rPr>
          <w:snapToGrid w:val="0"/>
          <w:kern w:val="0"/>
          <w:szCs w:val="21"/>
        </w:rPr>
      </w:pPr>
      <w:r>
        <w:rPr>
          <w:bCs/>
          <w:snapToGrid w:val="0"/>
          <w:kern w:val="0"/>
          <w:szCs w:val="21"/>
        </w:rPr>
        <w:t>本实验内容支撑课程目标1、3、5。</w:t>
      </w:r>
    </w:p>
    <w:p>
      <w:pPr>
        <w:spacing w:line="360" w:lineRule="auto"/>
        <w:ind w:firstLine="420" w:firstLineChars="200"/>
        <w:rPr>
          <w:snapToGrid w:val="0"/>
          <w:kern w:val="0"/>
          <w:szCs w:val="21"/>
        </w:rPr>
      </w:pPr>
      <w:r>
        <w:rPr>
          <w:snapToGrid w:val="0"/>
          <w:kern w:val="0"/>
          <w:szCs w:val="21"/>
        </w:rPr>
        <w:t>实验内容：</w:t>
      </w:r>
    </w:p>
    <w:p>
      <w:pPr>
        <w:spacing w:line="360" w:lineRule="auto"/>
        <w:ind w:firstLine="424"/>
        <w:rPr>
          <w:rFonts w:ascii="宋体" w:hAnsi="宋体" w:cs="宋体"/>
          <w:snapToGrid w:val="0"/>
          <w:kern w:val="0"/>
          <w:szCs w:val="21"/>
        </w:rPr>
      </w:pPr>
      <w:r>
        <w:rPr>
          <w:snapToGrid w:val="0"/>
          <w:kern w:val="0"/>
          <w:szCs w:val="21"/>
        </w:rPr>
        <w:t>利用C8051F020单片机将波形量化数据放置于内部ROM，通过内部D/A产生信号以及I/O端口控制多路模拟开关，同时生成16路信号源，注意信号源调理电路中采保部分的选值，并给出理论计算结果。反馈回采部分采用单</w:t>
      </w:r>
      <w:r>
        <w:rPr>
          <w:rFonts w:hint="eastAsia" w:ascii="宋体" w:hAnsi="宋体" w:cs="宋体"/>
          <w:snapToGrid w:val="0"/>
          <w:kern w:val="0"/>
          <w:szCs w:val="21"/>
        </w:rPr>
        <w:t>片机的12位高精度A/D转换器，按通道顺序进行循环采样，采样频率自定义，电源部分采用线性电源设计方案。</w:t>
      </w:r>
    </w:p>
    <w:p>
      <w:pPr>
        <w:spacing w:line="360" w:lineRule="auto"/>
        <w:ind w:firstLine="424"/>
        <w:rPr>
          <w:rFonts w:ascii="宋体" w:hAnsi="宋体" w:cs="宋体"/>
          <w:snapToGrid w:val="0"/>
          <w:kern w:val="0"/>
          <w:szCs w:val="21"/>
        </w:rPr>
      </w:pPr>
      <w:r>
        <w:rPr>
          <w:rFonts w:hint="eastAsia" w:ascii="宋体" w:hAnsi="宋体" w:cs="宋体"/>
          <w:snapToGrid w:val="0"/>
          <w:kern w:val="0"/>
          <w:szCs w:val="21"/>
        </w:rPr>
        <w:t>本实验为分组实验</w:t>
      </w:r>
      <w:r>
        <w:rPr>
          <w:rFonts w:hint="eastAsia" w:ascii="宋体" w:hAnsi="宋体" w:cs="宋体"/>
          <w:kern w:val="0"/>
          <w:szCs w:val="21"/>
        </w:rPr>
        <w:t>，共8个学时</w:t>
      </w:r>
      <w:r>
        <w:rPr>
          <w:rFonts w:hint="eastAsia" w:ascii="宋体" w:hAnsi="宋体" w:cs="宋体"/>
          <w:snapToGrid w:val="0"/>
          <w:kern w:val="0"/>
          <w:szCs w:val="21"/>
        </w:rPr>
        <w:t>，1个学时用来提出实验要求并进行讲解，后7个学时为实验过程，</w:t>
      </w:r>
      <w:r>
        <w:rPr>
          <w:rFonts w:hint="eastAsia" w:ascii="宋体" w:hAnsi="宋体" w:cs="宋体"/>
          <w:kern w:val="0"/>
          <w:szCs w:val="21"/>
        </w:rPr>
        <w:t>必要时，学生可适当利用课外时间</w:t>
      </w:r>
      <w:r>
        <w:rPr>
          <w:rFonts w:hint="eastAsia" w:ascii="宋体" w:hAnsi="宋体" w:cs="宋体"/>
          <w:snapToGrid w:val="0"/>
          <w:kern w:val="0"/>
          <w:szCs w:val="21"/>
        </w:rPr>
        <w:t>。要求学生4人为一组，</w:t>
      </w:r>
      <w:r>
        <w:rPr>
          <w:rFonts w:hint="eastAsia" w:cs="宋体"/>
          <w:kern w:val="0"/>
          <w:szCs w:val="21"/>
        </w:rPr>
        <w:t>分工明确，协同完成实验的设计、仿真和验证，需要学生自己设计出验证方法。课后教师要检查并向学生提出问题，测试其正确性，完成验收，最后每位学生独立提交规范的实验报告，每个小组</w:t>
      </w:r>
      <w:r>
        <w:rPr>
          <w:rFonts w:hint="eastAsia" w:ascii="宋体" w:hAnsi="宋体" w:cs="宋体"/>
          <w:snapToGrid w:val="0"/>
          <w:kern w:val="0"/>
          <w:szCs w:val="21"/>
        </w:rPr>
        <w:t>提交一份原理图、PCB图和单片机程序代码（C语言or汇编语言）；</w:t>
      </w:r>
    </w:p>
    <w:p>
      <w:pPr>
        <w:spacing w:line="360" w:lineRule="auto"/>
        <w:ind w:left="420" w:leftChars="200" w:firstLine="424"/>
        <w:rPr>
          <w:rFonts w:cs="宋体"/>
          <w:color w:val="00B050"/>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21"/>
        <w:gridCol w:w="1920"/>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adjustRightInd w:val="0"/>
              <w:snapToGrid w:val="0"/>
              <w:jc w:val="center"/>
              <w:rPr>
                <w:rFonts w:ascii="宋体" w:hAnsi="宋体"/>
                <w:sz w:val="18"/>
                <w:szCs w:val="18"/>
              </w:rPr>
            </w:pPr>
            <w:r>
              <w:rPr>
                <w:rFonts w:hint="eastAsia" w:ascii="宋体" w:hAnsi="宋体"/>
                <w:sz w:val="18"/>
                <w:szCs w:val="18"/>
              </w:rPr>
              <w:t>讲授的知识点及内容</w:t>
            </w:r>
          </w:p>
        </w:tc>
        <w:tc>
          <w:tcPr>
            <w:tcW w:w="1155" w:type="pct"/>
            <w:vAlign w:val="center"/>
          </w:tcPr>
          <w:p>
            <w:pPr>
              <w:adjustRightInd w:val="0"/>
              <w:snapToGrid w:val="0"/>
              <w:jc w:val="center"/>
              <w:rPr>
                <w:rFonts w:ascii="宋体" w:hAnsi="宋体"/>
                <w:sz w:val="18"/>
                <w:szCs w:val="18"/>
              </w:rPr>
            </w:pPr>
            <w:r>
              <w:rPr>
                <w:rFonts w:hint="eastAsia" w:ascii="宋体" w:hAnsi="宋体"/>
                <w:sz w:val="18"/>
                <w:szCs w:val="18"/>
              </w:rPr>
              <w:t>讲授（学时）</w:t>
            </w:r>
          </w:p>
        </w:tc>
        <w:tc>
          <w:tcPr>
            <w:tcW w:w="983" w:type="pct"/>
            <w:vAlign w:val="center"/>
          </w:tcPr>
          <w:p>
            <w:pPr>
              <w:adjustRightInd w:val="0"/>
              <w:snapToGrid w:val="0"/>
              <w:jc w:val="center"/>
              <w:rPr>
                <w:rFonts w:ascii="宋体" w:hAnsi="宋体"/>
                <w:sz w:val="18"/>
                <w:szCs w:val="18"/>
              </w:rPr>
            </w:pPr>
            <w:r>
              <w:rPr>
                <w:rFonts w:hint="eastAsia" w:ascii="宋体" w:hAnsi="宋体"/>
                <w:sz w:val="18"/>
                <w:szCs w:val="18"/>
              </w:rPr>
              <w:t>实验（学时）</w:t>
            </w:r>
          </w:p>
        </w:tc>
        <w:tc>
          <w:tcPr>
            <w:tcW w:w="804" w:type="pct"/>
            <w:vAlign w:val="center"/>
          </w:tcPr>
          <w:p>
            <w:pPr>
              <w:adjustRightInd w:val="0"/>
              <w:snapToGrid w:val="0"/>
              <w:jc w:val="center"/>
              <w:rPr>
                <w:rFonts w:ascii="宋体" w:hAnsi="宋体"/>
                <w:sz w:val="18"/>
                <w:szCs w:val="18"/>
              </w:rPr>
            </w:pPr>
            <w:r>
              <w:rPr>
                <w:rFonts w:hint="eastAsia" w:ascii="宋体" w:hAnsi="宋体"/>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1 电子系统设计导论</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1</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2 线性电源设计</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2</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3 模拟电子系统的分析和设计</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10</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4 单片机应用系统设计</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6</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5 电子系统的工程问题</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5</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ind w:left="174" w:leftChars="83"/>
              <w:jc w:val="left"/>
              <w:rPr>
                <w:rFonts w:ascii="宋体" w:hAnsi="宋体"/>
                <w:kern w:val="0"/>
                <w:sz w:val="18"/>
                <w:szCs w:val="18"/>
              </w:rPr>
            </w:pPr>
            <w:r>
              <w:rPr>
                <w:rFonts w:ascii="宋体" w:hAnsi="宋体"/>
                <w:kern w:val="0"/>
                <w:sz w:val="18"/>
                <w:szCs w:val="18"/>
              </w:rPr>
              <w:t>6 实验</w:t>
            </w:r>
          </w:p>
        </w:tc>
        <w:tc>
          <w:tcPr>
            <w:tcW w:w="1155"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0</w:t>
            </w:r>
          </w:p>
        </w:tc>
        <w:tc>
          <w:tcPr>
            <w:tcW w:w="983"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8</w:t>
            </w:r>
          </w:p>
        </w:tc>
        <w:tc>
          <w:tcPr>
            <w:tcW w:w="804" w:type="pct"/>
            <w:vAlign w:val="center"/>
          </w:tcPr>
          <w:p>
            <w:pPr>
              <w:widowControl/>
              <w:adjustRightInd w:val="0"/>
              <w:snapToGrid w:val="0"/>
              <w:jc w:val="center"/>
              <w:rPr>
                <w:rFonts w:ascii="宋体" w:hAnsi="宋体"/>
                <w:kern w:val="0"/>
                <w:sz w:val="18"/>
                <w:szCs w:val="18"/>
              </w:rPr>
            </w:pPr>
            <w:r>
              <w:rPr>
                <w:rFonts w:ascii="宋体" w:hAnsi="宋体"/>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058"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合计</w:t>
            </w:r>
          </w:p>
        </w:tc>
        <w:tc>
          <w:tcPr>
            <w:tcW w:w="1155"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24</w:t>
            </w:r>
          </w:p>
        </w:tc>
        <w:tc>
          <w:tcPr>
            <w:tcW w:w="983"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8</w:t>
            </w:r>
          </w:p>
        </w:tc>
        <w:tc>
          <w:tcPr>
            <w:tcW w:w="804"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32</w:t>
            </w:r>
          </w:p>
        </w:tc>
      </w:tr>
    </w:tbl>
    <w:p>
      <w:pPr>
        <w:spacing w:line="360" w:lineRule="auto"/>
        <w:rPr>
          <w:b/>
          <w:sz w:val="24"/>
          <w:szCs w:val="24"/>
        </w:rPr>
      </w:pPr>
    </w:p>
    <w:p>
      <w:pPr>
        <w:pStyle w:val="31"/>
        <w:numPr>
          <w:ilvl w:val="0"/>
          <w:numId w:val="35"/>
        </w:numPr>
        <w:tabs>
          <w:tab w:val="left" w:pos="420"/>
        </w:tabs>
        <w:spacing w:line="360" w:lineRule="auto"/>
        <w:ind w:firstLineChars="0"/>
        <w:rPr>
          <w:rFonts w:eastAsia="黑体"/>
          <w:szCs w:val="24"/>
        </w:rPr>
      </w:pPr>
      <w:r>
        <w:rPr>
          <w:rFonts w:hint="eastAsia" w:eastAsia="黑体"/>
          <w:szCs w:val="24"/>
        </w:rPr>
        <w:t>教材、补充教材及参考资料</w:t>
      </w:r>
    </w:p>
    <w:p>
      <w:pPr>
        <w:pStyle w:val="31"/>
        <w:numPr>
          <w:ilvl w:val="0"/>
          <w:numId w:val="36"/>
        </w:numPr>
        <w:adjustRightInd w:val="0"/>
        <w:snapToGrid w:val="0"/>
        <w:spacing w:line="360" w:lineRule="auto"/>
        <w:ind w:firstLineChars="0"/>
      </w:pPr>
      <w:r>
        <w:rPr>
          <w:rFonts w:hint="eastAsia"/>
        </w:rPr>
        <w:t>余小平</w:t>
      </w:r>
      <w:r>
        <w:t xml:space="preserve">. </w:t>
      </w:r>
      <w:r>
        <w:rPr>
          <w:rFonts w:hint="eastAsia"/>
        </w:rPr>
        <w:t>电子系统设计</w:t>
      </w:r>
      <w:r>
        <w:t>. 北京：</w:t>
      </w:r>
      <w:r>
        <w:fldChar w:fldCharType="begin"/>
      </w:r>
      <w:r>
        <w:instrText xml:space="preserve"> HYPERLINK "http://baike.baidu.com/view/155939.htm" \t "_blank" </w:instrText>
      </w:r>
      <w:r>
        <w:fldChar w:fldCharType="separate"/>
      </w:r>
      <w:r>
        <w:t>北京航空航天大学出版社</w:t>
      </w:r>
      <w:r>
        <w:fldChar w:fldCharType="end"/>
      </w:r>
      <w:r>
        <w:t xml:space="preserve">. 2007年. </w:t>
      </w:r>
    </w:p>
    <w:p>
      <w:pPr>
        <w:pStyle w:val="31"/>
        <w:numPr>
          <w:ilvl w:val="0"/>
          <w:numId w:val="36"/>
        </w:numPr>
        <w:adjustRightInd w:val="0"/>
        <w:snapToGrid w:val="0"/>
        <w:spacing w:line="360" w:lineRule="auto"/>
        <w:ind w:left="0" w:firstLine="417" w:firstLineChars="0"/>
      </w:pPr>
      <w:r>
        <w:fldChar w:fldCharType="begin"/>
      </w:r>
      <w:r>
        <w:instrText xml:space="preserve"> HYPERLINK "http://baike.baidu.com/view/69204.htm" \t "_blank" </w:instrText>
      </w:r>
      <w:r>
        <w:fldChar w:fldCharType="separate"/>
      </w:r>
      <w:r>
        <w:t>杨刚</w:t>
      </w:r>
      <w:r>
        <w:fldChar w:fldCharType="end"/>
      </w:r>
      <w:r>
        <w:t xml:space="preserve">. </w:t>
      </w:r>
      <w:r>
        <w:rPr>
          <w:rFonts w:hint="eastAsia"/>
        </w:rPr>
        <w:t>电子系统设计与实践</w:t>
      </w:r>
      <w:r>
        <w:t>. 北京：电子工业出版社. 200</w:t>
      </w:r>
      <w:r>
        <w:rPr>
          <w:rFonts w:hint="eastAsia"/>
        </w:rPr>
        <w:t>9</w:t>
      </w:r>
      <w:r>
        <w:t>年</w:t>
      </w:r>
      <w:r>
        <w:rPr>
          <w:rFonts w:hint="eastAsia"/>
        </w:rPr>
        <w:t>.</w:t>
      </w:r>
    </w:p>
    <w:p>
      <w:pPr>
        <w:pStyle w:val="31"/>
        <w:numPr>
          <w:ilvl w:val="0"/>
          <w:numId w:val="36"/>
        </w:numPr>
        <w:adjustRightInd w:val="0"/>
        <w:snapToGrid w:val="0"/>
        <w:spacing w:line="360" w:lineRule="auto"/>
        <w:ind w:firstLineChars="0"/>
      </w:pPr>
      <w:r>
        <w:t>李玉山</w:t>
      </w:r>
      <w:r>
        <w:rPr>
          <w:rFonts w:hint="eastAsia"/>
        </w:rPr>
        <w:t>等</w:t>
      </w:r>
      <w:r>
        <w:t xml:space="preserve">. </w:t>
      </w:r>
      <w:r>
        <w:rPr>
          <w:rFonts w:hint="eastAsia"/>
        </w:rPr>
        <w:t>电子系统集成设计技术</w:t>
      </w:r>
      <w:r>
        <w:t>. 北京：电子工业出版社. 200</w:t>
      </w:r>
      <w:r>
        <w:rPr>
          <w:rFonts w:hint="eastAsia"/>
        </w:rPr>
        <w:t>2</w:t>
      </w:r>
      <w:r>
        <w:t>年</w:t>
      </w:r>
      <w:r>
        <w:rPr>
          <w:rFonts w:hint="eastAsia"/>
        </w:rPr>
        <w:t>.</w:t>
      </w:r>
    </w:p>
    <w:p>
      <w:pPr>
        <w:pStyle w:val="31"/>
        <w:numPr>
          <w:ilvl w:val="0"/>
          <w:numId w:val="36"/>
        </w:numPr>
        <w:adjustRightInd w:val="0"/>
        <w:snapToGrid w:val="0"/>
        <w:spacing w:line="360" w:lineRule="auto"/>
        <w:ind w:left="0" w:firstLine="417" w:firstLineChars="0"/>
      </w:pPr>
      <w:r>
        <w:t xml:space="preserve">李玉山. 电子系统集成设计导论. </w:t>
      </w:r>
      <w:r>
        <w:rPr>
          <w:rFonts w:hint="eastAsia"/>
        </w:rPr>
        <w:t>西安</w:t>
      </w:r>
      <w:r>
        <w:t>：</w:t>
      </w:r>
      <w:r>
        <w:fldChar w:fldCharType="begin"/>
      </w:r>
      <w:r>
        <w:instrText xml:space="preserve"> HYPERLINK "http://baike.baidu.com/view/162562.htm" \t "_blank" </w:instrText>
      </w:r>
      <w:r>
        <w:fldChar w:fldCharType="separate"/>
      </w:r>
      <w:r>
        <w:t>西安电子科技大学出版社</w:t>
      </w:r>
      <w:r>
        <w:fldChar w:fldCharType="end"/>
      </w:r>
      <w:r>
        <w:t>. 200</w:t>
      </w:r>
      <w:r>
        <w:rPr>
          <w:rFonts w:hint="eastAsia"/>
        </w:rPr>
        <w:t>8</w:t>
      </w:r>
      <w:r>
        <w:t xml:space="preserve">年. </w:t>
      </w:r>
    </w:p>
    <w:p>
      <w:pPr>
        <w:numPr>
          <w:ilvl w:val="0"/>
          <w:numId w:val="36"/>
        </w:numPr>
        <w:adjustRightInd w:val="0"/>
        <w:snapToGrid w:val="0"/>
        <w:spacing w:line="360" w:lineRule="auto"/>
      </w:pPr>
      <w:r>
        <w:rPr>
          <w:rFonts w:hint="eastAsia"/>
        </w:rPr>
        <w:t>网上资源：武汉理工大学，《电子系统设计与测试》视频教程，</w:t>
      </w:r>
      <w:r>
        <w:rPr>
          <w:u w:val="single"/>
        </w:rPr>
        <w:t>http://www.iqiyi.com/w_19rscbmni9.html</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、考核目标：考核学生对电子系统的基本理论知识、原理及方法基础上，重点考核学生对电子系统设计和分析的综合应用能力。</w:t>
      </w:r>
    </w:p>
    <w:p>
      <w:pPr>
        <w:spacing w:line="360" w:lineRule="auto"/>
        <w:ind w:firstLine="420" w:firstLineChars="200"/>
        <w:rPr>
          <w:szCs w:val="21"/>
        </w:rPr>
      </w:pPr>
      <w:r>
        <w:rPr>
          <w:szCs w:val="21"/>
        </w:rPr>
        <w:t>2</w:t>
      </w:r>
      <w:r>
        <w:rPr>
          <w:rFonts w:hint="eastAsia"/>
          <w:szCs w:val="21"/>
        </w:rPr>
        <w:t>、考核方式：期末考试、分组实验、作业及课堂提问。</w:t>
      </w:r>
    </w:p>
    <w:p>
      <w:pPr>
        <w:spacing w:line="360" w:lineRule="auto"/>
        <w:ind w:firstLine="420" w:firstLineChars="200"/>
        <w:rPr>
          <w:szCs w:val="21"/>
        </w:rPr>
      </w:pPr>
      <w:r>
        <w:rPr>
          <w:szCs w:val="21"/>
        </w:rPr>
        <w:t>3、</w:t>
      </w:r>
      <w:r>
        <w:rPr>
          <w:rFonts w:hint="eastAsia"/>
          <w:szCs w:val="21"/>
        </w:rPr>
        <w:t>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1663"/>
        <w:gridCol w:w="1663"/>
        <w:gridCol w:w="1662"/>
        <w:gridCol w:w="1662"/>
        <w:gridCol w:w="1662"/>
      </w:tblGrid>
      <w:tr>
        <w:tblPrEx>
          <w:tblCellMar>
            <w:top w:w="0" w:type="dxa"/>
            <w:left w:w="108" w:type="dxa"/>
            <w:bottom w:w="0" w:type="dxa"/>
            <w:right w:w="108" w:type="dxa"/>
          </w:tblCellMar>
        </w:tblPrEx>
        <w:trPr>
          <w:trHeight w:val="691"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考察环节</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课堂情况</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作业</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分组实验</w:t>
            </w:r>
          </w:p>
        </w:tc>
        <w:tc>
          <w:tcPr>
            <w:tcW w:w="1000" w:type="pct"/>
            <w:tcBorders>
              <w:top w:val="single" w:color="auto" w:sz="4" w:space="0"/>
              <w:left w:val="single" w:color="auto" w:sz="4" w:space="0"/>
              <w:bottom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期末考试</w:t>
            </w:r>
          </w:p>
        </w:tc>
      </w:tr>
      <w:tr>
        <w:tblPrEx>
          <w:tblCellMar>
            <w:top w:w="0" w:type="dxa"/>
            <w:left w:w="108" w:type="dxa"/>
            <w:bottom w:w="0" w:type="dxa"/>
            <w:right w:w="108" w:type="dxa"/>
          </w:tblCellMar>
        </w:tblPrEx>
        <w:trPr>
          <w:trHeight w:val="656"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课程目标达成</w:t>
            </w:r>
          </w:p>
          <w:p>
            <w:pPr>
              <w:widowControl/>
              <w:jc w:val="center"/>
              <w:rPr>
                <w:color w:val="000000"/>
                <w:kern w:val="0"/>
                <w:sz w:val="18"/>
                <w:szCs w:val="18"/>
              </w:rPr>
            </w:pPr>
            <w:r>
              <w:rPr>
                <w:color w:val="000000"/>
                <w:kern w:val="0"/>
                <w:sz w:val="18"/>
                <w:szCs w:val="18"/>
              </w:rPr>
              <w:t>的贡献率</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0.15</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0.10</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0.25</w:t>
            </w:r>
          </w:p>
        </w:tc>
        <w:tc>
          <w:tcPr>
            <w:tcW w:w="1000" w:type="pct"/>
            <w:tcBorders>
              <w:top w:val="single" w:color="auto" w:sz="4" w:space="0"/>
              <w:left w:val="single" w:color="auto" w:sz="4" w:space="0"/>
              <w:bottom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0.50</w:t>
            </w:r>
          </w:p>
        </w:tc>
      </w:tr>
      <w:tr>
        <w:tblPrEx>
          <w:tblCellMar>
            <w:top w:w="0" w:type="dxa"/>
            <w:left w:w="108" w:type="dxa"/>
            <w:bottom w:w="0" w:type="dxa"/>
            <w:right w:w="108" w:type="dxa"/>
          </w:tblCellMar>
        </w:tblPrEx>
        <w:trPr>
          <w:trHeight w:val="1153" w:hRule="atLeast"/>
          <w:jc w:val="center"/>
        </w:trPr>
        <w:tc>
          <w:tcPr>
            <w:tcW w:w="1000"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支撑材料</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课堂评价标准，课堂提问记录或随堂考试，结合出勤率等</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作业评价标准，典型作业拍照，或电子版</w:t>
            </w:r>
          </w:p>
        </w:tc>
        <w:tc>
          <w:tcPr>
            <w:tcW w:w="10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分组实验评价标准，实验课堂记录记录，典型实验报告、</w:t>
            </w:r>
            <w:r>
              <w:rPr>
                <w:kern w:val="0"/>
                <w:sz w:val="18"/>
                <w:szCs w:val="18"/>
              </w:rPr>
              <w:t>验收记录</w:t>
            </w:r>
          </w:p>
        </w:tc>
        <w:tc>
          <w:tcPr>
            <w:tcW w:w="1000" w:type="pct"/>
            <w:tcBorders>
              <w:top w:val="single" w:color="auto" w:sz="4" w:space="0"/>
              <w:left w:val="single" w:color="auto" w:sz="4" w:space="0"/>
              <w:bottom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试题评分标准，试卷，</w:t>
            </w:r>
          </w:p>
        </w:tc>
      </w:tr>
    </w:tbl>
    <w:p>
      <w:pPr>
        <w:spacing w:line="360" w:lineRule="auto"/>
        <w:rPr>
          <w:color w:val="0000FF"/>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5"/>
        <w:gridCol w:w="1277"/>
        <w:gridCol w:w="17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155" w:type="pct"/>
            <w:vAlign w:val="center"/>
          </w:tcPr>
          <w:p>
            <w:pPr>
              <w:jc w:val="center"/>
              <w:rPr>
                <w:sz w:val="18"/>
                <w:szCs w:val="18"/>
              </w:rPr>
            </w:pPr>
            <w:r>
              <w:rPr>
                <w:sz w:val="18"/>
                <w:szCs w:val="18"/>
              </w:rPr>
              <w:t>知识点</w:t>
            </w:r>
          </w:p>
        </w:tc>
        <w:tc>
          <w:tcPr>
            <w:tcW w:w="768" w:type="pct"/>
            <w:vAlign w:val="center"/>
          </w:tcPr>
          <w:p>
            <w:pPr>
              <w:jc w:val="center"/>
              <w:rPr>
                <w:sz w:val="18"/>
                <w:szCs w:val="18"/>
              </w:rPr>
            </w:pPr>
            <w:r>
              <w:rPr>
                <w:sz w:val="18"/>
                <w:szCs w:val="18"/>
              </w:rPr>
              <w:t>权重</w:t>
            </w:r>
          </w:p>
        </w:tc>
        <w:tc>
          <w:tcPr>
            <w:tcW w:w="1077"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1 电子系统组成、设计方法及步骤</w:t>
            </w:r>
          </w:p>
        </w:tc>
        <w:tc>
          <w:tcPr>
            <w:tcW w:w="768" w:type="pct"/>
            <w:vAlign w:val="center"/>
          </w:tcPr>
          <w:p>
            <w:pPr>
              <w:adjustRightInd w:val="0"/>
              <w:snapToGrid w:val="0"/>
              <w:jc w:val="center"/>
              <w:rPr>
                <w:sz w:val="18"/>
                <w:szCs w:val="18"/>
              </w:rPr>
            </w:pPr>
            <w:r>
              <w:rPr>
                <w:sz w:val="18"/>
                <w:szCs w:val="18"/>
              </w:rPr>
              <w:t>0.05</w:t>
            </w:r>
          </w:p>
        </w:tc>
        <w:tc>
          <w:tcPr>
            <w:tcW w:w="1077" w:type="pct"/>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2 线性电源设计方法、指标、参数技术及选用原则</w:t>
            </w:r>
          </w:p>
        </w:tc>
        <w:tc>
          <w:tcPr>
            <w:tcW w:w="768" w:type="pct"/>
            <w:vAlign w:val="center"/>
          </w:tcPr>
          <w:p>
            <w:pPr>
              <w:adjustRightInd w:val="0"/>
              <w:snapToGrid w:val="0"/>
              <w:jc w:val="center"/>
              <w:rPr>
                <w:sz w:val="18"/>
                <w:szCs w:val="18"/>
              </w:rPr>
            </w:pPr>
            <w:r>
              <w:rPr>
                <w:sz w:val="18"/>
                <w:szCs w:val="18"/>
              </w:rPr>
              <w:t>0.1</w:t>
            </w:r>
          </w:p>
        </w:tc>
        <w:tc>
          <w:tcPr>
            <w:tcW w:w="1077" w:type="pct"/>
            <w:vAlign w:val="center"/>
          </w:tcPr>
          <w:p>
            <w:pPr>
              <w:adjustRightInd w:val="0"/>
              <w:snapToGrid w:val="0"/>
              <w:jc w:val="center"/>
              <w:rPr>
                <w:sz w:val="18"/>
                <w:szCs w:val="18"/>
              </w:rPr>
            </w:pPr>
            <w:r>
              <w:rPr>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3 运算放大器的动态指标、应用电路分析；DAC和ADC的各种静动态参数指标、设计原则和典型应用电路分析</w:t>
            </w:r>
          </w:p>
        </w:tc>
        <w:tc>
          <w:tcPr>
            <w:tcW w:w="768" w:type="pct"/>
            <w:vAlign w:val="center"/>
          </w:tcPr>
          <w:p>
            <w:pPr>
              <w:adjustRightInd w:val="0"/>
              <w:snapToGrid w:val="0"/>
              <w:jc w:val="center"/>
              <w:rPr>
                <w:sz w:val="18"/>
                <w:szCs w:val="18"/>
              </w:rPr>
            </w:pPr>
            <w:r>
              <w:rPr>
                <w:sz w:val="18"/>
                <w:szCs w:val="18"/>
              </w:rPr>
              <w:t>0.2</w:t>
            </w:r>
          </w:p>
        </w:tc>
        <w:tc>
          <w:tcPr>
            <w:tcW w:w="1077" w:type="pct"/>
            <w:vAlign w:val="center"/>
          </w:tcPr>
          <w:p>
            <w:pPr>
              <w:adjustRightInd w:val="0"/>
              <w:snapToGrid w:val="0"/>
              <w:jc w:val="center"/>
              <w:rPr>
                <w:sz w:val="18"/>
                <w:szCs w:val="18"/>
              </w:rPr>
            </w:pPr>
            <w:r>
              <w:rPr>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 xml:space="preserve">4 </w:t>
            </w:r>
            <w:r>
              <w:rPr>
                <w:snapToGrid w:val="0"/>
                <w:kern w:val="0"/>
                <w:sz w:val="18"/>
                <w:szCs w:val="18"/>
              </w:rPr>
              <w:t>C8051F020的结构、特点、存储器组织、交叉开关配置、内部ADC、振荡器等，典型案例分析</w:t>
            </w:r>
          </w:p>
        </w:tc>
        <w:tc>
          <w:tcPr>
            <w:tcW w:w="768" w:type="pct"/>
            <w:vAlign w:val="center"/>
          </w:tcPr>
          <w:p>
            <w:pPr>
              <w:adjustRightInd w:val="0"/>
              <w:snapToGrid w:val="0"/>
              <w:jc w:val="center"/>
              <w:rPr>
                <w:sz w:val="18"/>
                <w:szCs w:val="18"/>
              </w:rPr>
            </w:pPr>
            <w:r>
              <w:rPr>
                <w:sz w:val="18"/>
                <w:szCs w:val="18"/>
              </w:rPr>
              <w:t>0.25</w:t>
            </w:r>
          </w:p>
        </w:tc>
        <w:tc>
          <w:tcPr>
            <w:tcW w:w="1077" w:type="pct"/>
            <w:vAlign w:val="center"/>
          </w:tcPr>
          <w:p>
            <w:pPr>
              <w:adjustRightInd w:val="0"/>
              <w:snapToGrid w:val="0"/>
              <w:jc w:val="center"/>
              <w:rPr>
                <w:sz w:val="18"/>
                <w:szCs w:val="18"/>
              </w:rPr>
            </w:pPr>
            <w:r>
              <w:rPr>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5 电子系统的电磁兼容性设计、热设计、可靠性设计、印制电路板装配、调试等</w:t>
            </w:r>
          </w:p>
        </w:tc>
        <w:tc>
          <w:tcPr>
            <w:tcW w:w="768" w:type="pct"/>
            <w:vAlign w:val="center"/>
          </w:tcPr>
          <w:p>
            <w:pPr>
              <w:adjustRightInd w:val="0"/>
              <w:snapToGrid w:val="0"/>
              <w:jc w:val="center"/>
              <w:rPr>
                <w:sz w:val="18"/>
                <w:szCs w:val="18"/>
              </w:rPr>
            </w:pPr>
            <w:r>
              <w:rPr>
                <w:sz w:val="18"/>
                <w:szCs w:val="18"/>
              </w:rPr>
              <w:t>0.25</w:t>
            </w:r>
          </w:p>
        </w:tc>
        <w:tc>
          <w:tcPr>
            <w:tcW w:w="1077" w:type="pct"/>
            <w:vAlign w:val="center"/>
          </w:tcPr>
          <w:p>
            <w:pPr>
              <w:adjustRightInd w:val="0"/>
              <w:snapToGrid w:val="0"/>
              <w:jc w:val="center"/>
              <w:rPr>
                <w:sz w:val="18"/>
                <w:szCs w:val="18"/>
              </w:rPr>
            </w:pPr>
            <w:r>
              <w:rPr>
                <w:sz w:val="18"/>
                <w:szCs w:val="18"/>
              </w:rPr>
              <w:t>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155" w:type="pct"/>
            <w:vAlign w:val="center"/>
          </w:tcPr>
          <w:p>
            <w:pPr>
              <w:widowControl/>
              <w:adjustRightInd w:val="0"/>
              <w:snapToGrid w:val="0"/>
              <w:ind w:left="210" w:leftChars="100"/>
              <w:jc w:val="left"/>
              <w:rPr>
                <w:kern w:val="0"/>
                <w:sz w:val="18"/>
                <w:szCs w:val="18"/>
              </w:rPr>
            </w:pPr>
            <w:r>
              <w:rPr>
                <w:kern w:val="0"/>
                <w:sz w:val="18"/>
                <w:szCs w:val="18"/>
              </w:rPr>
              <w:t>6 实验</w:t>
            </w:r>
          </w:p>
        </w:tc>
        <w:tc>
          <w:tcPr>
            <w:tcW w:w="768" w:type="pct"/>
            <w:vAlign w:val="center"/>
          </w:tcPr>
          <w:p>
            <w:pPr>
              <w:adjustRightInd w:val="0"/>
              <w:snapToGrid w:val="0"/>
              <w:jc w:val="center"/>
              <w:rPr>
                <w:sz w:val="18"/>
                <w:szCs w:val="18"/>
              </w:rPr>
            </w:pPr>
            <w:r>
              <w:rPr>
                <w:sz w:val="18"/>
                <w:szCs w:val="18"/>
              </w:rPr>
              <w:t>0.15</w:t>
            </w:r>
          </w:p>
        </w:tc>
        <w:tc>
          <w:tcPr>
            <w:tcW w:w="1077" w:type="pct"/>
            <w:vAlign w:val="center"/>
          </w:tcPr>
          <w:p>
            <w:pPr>
              <w:adjustRightInd w:val="0"/>
              <w:snapToGrid w:val="0"/>
              <w:jc w:val="center"/>
              <w:rPr>
                <w:sz w:val="18"/>
                <w:szCs w:val="18"/>
              </w:rPr>
            </w:pPr>
            <w:r>
              <w:rPr>
                <w:sz w:val="18"/>
                <w:szCs w:val="18"/>
              </w:rPr>
              <w:t>1、3、5</w:t>
            </w:r>
          </w:p>
        </w:tc>
      </w:tr>
    </w:tbl>
    <w:p>
      <w:pPr>
        <w:spacing w:before="120" w:beforeLines="50" w:line="360" w:lineRule="auto"/>
        <w:ind w:firstLine="420" w:firstLineChars="200"/>
        <w:rPr>
          <w:szCs w:val="21"/>
        </w:rPr>
        <w:sectPr>
          <w:headerReference r:id="rId94" w:type="first"/>
          <w:footerReference r:id="rId97" w:type="first"/>
          <w:headerReference r:id="rId92" w:type="default"/>
          <w:footerReference r:id="rId95" w:type="default"/>
          <w:headerReference r:id="rId93" w:type="even"/>
          <w:footerReference r:id="rId96" w:type="even"/>
          <w:pgSz w:w="11906" w:h="16838"/>
          <w:pgMar w:top="1440" w:right="1797" w:bottom="1440" w:left="1797" w:header="851" w:footer="992" w:gutter="0"/>
          <w:cols w:space="425" w:num="1"/>
          <w:docGrid w:linePitch="312" w:charSpace="0"/>
        </w:sectPr>
      </w:pPr>
      <w:r>
        <w:rPr>
          <w:szCs w:val="21"/>
        </w:rPr>
        <w:t>本课程不允许申请免修</w:t>
      </w:r>
      <w:r>
        <w:rPr>
          <w:rFonts w:hint="eastAsia"/>
          <w:szCs w:val="21"/>
        </w:rPr>
        <w:t>。</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37"/>
        <w:gridCol w:w="1136"/>
        <w:gridCol w:w="1005"/>
        <w:gridCol w:w="1004"/>
        <w:gridCol w:w="1060"/>
        <w:gridCol w:w="1001"/>
        <w:gridCol w:w="1121"/>
        <w:gridCol w:w="1004"/>
        <w:gridCol w:w="1060"/>
        <w:gridCol w:w="1004"/>
        <w:gridCol w:w="976"/>
        <w:gridCol w:w="976"/>
        <w:gridCol w:w="979"/>
        <w:gridCol w:w="1085"/>
      </w:tblGrid>
      <w:tr>
        <w:tblPrEx>
          <w:tblCellMar>
            <w:top w:w="0" w:type="dxa"/>
            <w:left w:w="108" w:type="dxa"/>
            <w:bottom w:w="0" w:type="dxa"/>
            <w:right w:w="108" w:type="dxa"/>
          </w:tblCellMar>
        </w:tblPrEx>
        <w:trPr>
          <w:trHeight w:val="1015" w:hRule="atLeast"/>
          <w:jc w:val="center"/>
        </w:trPr>
        <w:tc>
          <w:tcPr>
            <w:tcW w:w="1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课程目标</w:t>
            </w:r>
          </w:p>
        </w:tc>
        <w:tc>
          <w:tcPr>
            <w:tcW w:w="4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知识面比例</w:t>
            </w:r>
          </w:p>
          <w:p>
            <w:pPr>
              <w:widowControl/>
              <w:jc w:val="center"/>
              <w:rPr>
                <w:rFonts w:ascii="宋体" w:hAnsi="宋体" w:cs="宋体"/>
                <w:kern w:val="0"/>
                <w:sz w:val="18"/>
                <w:szCs w:val="18"/>
              </w:rPr>
            </w:pPr>
            <w:r>
              <w:rPr>
                <w:rFonts w:hint="eastAsia" w:ascii="宋体" w:hAnsi="宋体" w:cs="宋体"/>
                <w:kern w:val="0"/>
                <w:sz w:val="18"/>
                <w:szCs w:val="18"/>
              </w:rPr>
              <w:t>（本列总和为1）</w:t>
            </w:r>
          </w:p>
          <w:p>
            <w:pPr>
              <w:widowControl/>
              <w:jc w:val="center"/>
              <w:rPr>
                <w:rFonts w:ascii="宋体" w:hAns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459"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02" w:type="pct"/>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44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1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4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8"/>
                <w:szCs w:val="18"/>
              </w:rPr>
            </w:pPr>
          </w:p>
        </w:tc>
        <w:tc>
          <w:tcPr>
            <w:tcW w:w="36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36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35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402"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36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36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课堂</w:t>
            </w:r>
          </w:p>
          <w:p>
            <w:pPr>
              <w:widowControl/>
              <w:jc w:val="center"/>
              <w:rPr>
                <w:rFonts w:ascii="宋体" w:hAnsi="宋体" w:cs="宋体"/>
                <w:kern w:val="0"/>
                <w:sz w:val="18"/>
                <w:szCs w:val="18"/>
              </w:rPr>
            </w:pPr>
            <w:r>
              <w:rPr>
                <w:rFonts w:hint="eastAsia" w:ascii="宋体" w:hAnsi="宋体" w:cs="宋体"/>
                <w:kern w:val="0"/>
                <w:sz w:val="18"/>
                <w:szCs w:val="18"/>
              </w:rPr>
              <w:t>情况</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作业</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分组</w:t>
            </w:r>
          </w:p>
          <w:p>
            <w:pPr>
              <w:widowControl/>
              <w:jc w:val="center"/>
              <w:rPr>
                <w:rFonts w:ascii="宋体" w:hAnsi="宋体" w:cs="宋体"/>
                <w:kern w:val="0"/>
                <w:sz w:val="18"/>
                <w:szCs w:val="18"/>
              </w:rPr>
            </w:pPr>
            <w:r>
              <w:rPr>
                <w:rFonts w:hint="eastAsia" w:ascii="宋体" w:hAnsi="宋体" w:cs="宋体"/>
                <w:kern w:val="0"/>
                <w:sz w:val="18"/>
                <w:szCs w:val="18"/>
              </w:rPr>
              <w:t>实验</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期末</w:t>
            </w:r>
          </w:p>
          <w:p>
            <w:pPr>
              <w:widowControl/>
              <w:jc w:val="center"/>
              <w:rPr>
                <w:rFonts w:ascii="宋体" w:hAnsi="宋体" w:cs="宋体"/>
                <w:kern w:val="0"/>
                <w:sz w:val="18"/>
                <w:szCs w:val="18"/>
              </w:rPr>
            </w:pPr>
            <w:r>
              <w:rPr>
                <w:rFonts w:hint="eastAsia" w:ascii="宋体" w:hAnsi="宋体" w:cs="宋体"/>
                <w:kern w:val="0"/>
                <w:sz w:val="18"/>
                <w:szCs w:val="18"/>
              </w:rPr>
              <w:t>考试</w:t>
            </w:r>
          </w:p>
        </w:tc>
      </w:tr>
      <w:tr>
        <w:tblPrEx>
          <w:tblCellMar>
            <w:top w:w="0" w:type="dxa"/>
            <w:left w:w="108" w:type="dxa"/>
            <w:bottom w:w="0" w:type="dxa"/>
            <w:right w:w="108" w:type="dxa"/>
          </w:tblCellMar>
        </w:tblPrEx>
        <w:trPr>
          <w:trHeight w:val="688"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40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8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359"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0.60</w:t>
            </w:r>
          </w:p>
        </w:tc>
        <w:tc>
          <w:tcPr>
            <w:tcW w:w="402"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38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0.24</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0.27</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0.40</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0.32</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0.48</w:t>
            </w:r>
          </w:p>
        </w:tc>
      </w:tr>
      <w:tr>
        <w:tblPrEx>
          <w:tblCellMar>
            <w:top w:w="0" w:type="dxa"/>
            <w:left w:w="108" w:type="dxa"/>
            <w:bottom w:w="0" w:type="dxa"/>
            <w:right w:w="108" w:type="dxa"/>
          </w:tblCellMar>
        </w:tblPrEx>
        <w:trPr>
          <w:trHeight w:val="557"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407"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5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0.50</w:t>
            </w:r>
          </w:p>
        </w:tc>
        <w:tc>
          <w:tcPr>
            <w:tcW w:w="4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0.05</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0.27</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0.04</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0.10</w:t>
            </w:r>
          </w:p>
        </w:tc>
      </w:tr>
      <w:tr>
        <w:tblPrEx>
          <w:tblCellMar>
            <w:top w:w="0" w:type="dxa"/>
            <w:left w:w="108" w:type="dxa"/>
            <w:bottom w:w="0" w:type="dxa"/>
            <w:right w:w="108" w:type="dxa"/>
          </w:tblCellMar>
        </w:tblPrEx>
        <w:trPr>
          <w:trHeight w:val="565"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407"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35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0.60</w:t>
            </w:r>
          </w:p>
        </w:tc>
        <w:tc>
          <w:tcPr>
            <w:tcW w:w="4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0.03</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0.06</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0.12</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0.12</w:t>
            </w:r>
          </w:p>
        </w:tc>
      </w:tr>
      <w:tr>
        <w:tblPrEx>
          <w:tblCellMar>
            <w:top w:w="0" w:type="dxa"/>
            <w:left w:w="108" w:type="dxa"/>
            <w:bottom w:w="0" w:type="dxa"/>
            <w:right w:w="108" w:type="dxa"/>
          </w:tblCellMar>
        </w:tblPrEx>
        <w:trPr>
          <w:trHeight w:val="545"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4</w:t>
            </w:r>
          </w:p>
        </w:tc>
        <w:tc>
          <w:tcPr>
            <w:tcW w:w="407"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35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4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0.40</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0.60</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0.24</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0.24</w:t>
            </w:r>
          </w:p>
        </w:tc>
      </w:tr>
      <w:tr>
        <w:tblPrEx>
          <w:tblCellMar>
            <w:top w:w="0" w:type="dxa"/>
            <w:left w:w="108" w:type="dxa"/>
            <w:bottom w:w="0" w:type="dxa"/>
            <w:right w:w="108" w:type="dxa"/>
          </w:tblCellMar>
        </w:tblPrEx>
        <w:trPr>
          <w:trHeight w:val="567"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5</w:t>
            </w:r>
          </w:p>
        </w:tc>
        <w:tc>
          <w:tcPr>
            <w:tcW w:w="407"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0.70</w:t>
            </w:r>
          </w:p>
        </w:tc>
        <w:tc>
          <w:tcPr>
            <w:tcW w:w="35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402"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38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0.07</w:t>
            </w:r>
          </w:p>
        </w:tc>
        <w:tc>
          <w:tcPr>
            <w:tcW w:w="3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0.03</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3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3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0.28</w:t>
            </w:r>
          </w:p>
        </w:tc>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0.06</w:t>
            </w:r>
          </w:p>
        </w:tc>
      </w:tr>
      <w:tr>
        <w:tblPrEx>
          <w:tblCellMar>
            <w:top w:w="0" w:type="dxa"/>
            <w:left w:w="108" w:type="dxa"/>
            <w:bottom w:w="0" w:type="dxa"/>
            <w:right w:w="108" w:type="dxa"/>
          </w:tblCellMar>
        </w:tblPrEx>
        <w:trPr>
          <w:trHeight w:val="830" w:hRule="atLeast"/>
          <w:jc w:val="center"/>
        </w:trPr>
        <w:tc>
          <w:tcPr>
            <w:tcW w:w="2058"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各环节对课程目标达成的贡献率（</w:t>
            </w:r>
            <w:r>
              <w:rPr>
                <w:rFonts w:hint="eastAsia" w:ascii="宋体" w:hAnsi="宋体" w:cs="宋体"/>
                <w:i/>
                <w:kern w:val="0"/>
                <w:sz w:val="18"/>
                <w:szCs w:val="18"/>
              </w:rPr>
              <w:t>M</w:t>
            </w:r>
            <w:r>
              <w:rPr>
                <w:rFonts w:hint="eastAsia" w:ascii="宋体" w:hAnsi="宋体" w:cs="宋体"/>
                <w:i/>
                <w:kern w:val="0"/>
                <w:sz w:val="18"/>
                <w:szCs w:val="18"/>
                <w:vertAlign w:val="subscript"/>
              </w:rPr>
              <w:t>k</w:t>
            </w:r>
            <w:r>
              <w:rPr>
                <w:rFonts w:hint="eastAsia" w:ascii="宋体" w:hAnsi="宋体" w:cs="宋体"/>
                <w:kern w:val="0"/>
                <w:sz w:val="18"/>
                <w:szCs w:val="18"/>
              </w:rPr>
              <w:t>）</w:t>
            </w:r>
          </w:p>
        </w:tc>
        <w:tc>
          <w:tcPr>
            <w:tcW w:w="40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w:t>
            </w:r>
            <w:r>
              <w:rPr>
                <w:rFonts w:hint="eastAsia"/>
                <w:bCs/>
                <w:sz w:val="18"/>
                <w:szCs w:val="18"/>
              </w:rPr>
              <w:t>1</w:t>
            </w:r>
            <w:r>
              <w:rPr>
                <w:bCs/>
                <w:sz w:val="18"/>
                <w:szCs w:val="18"/>
              </w:rPr>
              <w:t>5</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38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rFonts w:hint="eastAsia"/>
                <w:bCs/>
                <w:sz w:val="18"/>
                <w:szCs w:val="18"/>
              </w:rPr>
              <w:t>0.</w:t>
            </w:r>
            <w:r>
              <w:rPr>
                <w:bCs/>
                <w:sz w:val="18"/>
                <w:szCs w:val="18"/>
              </w:rPr>
              <w:t>25</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0.50</w:t>
            </w:r>
          </w:p>
        </w:tc>
        <w:tc>
          <w:tcPr>
            <w:tcW w:w="144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rPr>
          <w:color w:val="FF0000"/>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19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92" DrawAspect="Content" ObjectID="_1468075892" r:id="rId365">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19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93" DrawAspect="Content" ObjectID="_1468075893" r:id="rId366">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19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194" DrawAspect="Content" ObjectID="_1468075894" r:id="rId367">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19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195" DrawAspect="Content" ObjectID="_1468075895" r:id="rId368">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19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196" DrawAspect="Content" ObjectID="_1468075896" r:id="rId369">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19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197" DrawAspect="Content" ObjectID="_1468075897" r:id="rId370">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30" w:name="_Toc32003"/>
      <w:bookmarkStart w:id="231" w:name="_Toc46996581"/>
      <w:r>
        <w:rPr>
          <w:rFonts w:hint="eastAsia"/>
        </w:rPr>
        <w:t>《</w:t>
      </w:r>
      <w:r>
        <w:t>Z03060213-</w:t>
      </w:r>
      <w:r>
        <w:rPr>
          <w:rFonts w:hint="eastAsia"/>
        </w:rPr>
        <w:t>电子科学与技术</w:t>
      </w:r>
      <w:r>
        <w:t>专业外语</w:t>
      </w:r>
      <w:r>
        <w:rPr>
          <w:rFonts w:hint="eastAsia"/>
        </w:rPr>
        <w:t>》教学大纲</w:t>
      </w:r>
      <w:bookmarkEnd w:id="230"/>
      <w:bookmarkEnd w:id="231"/>
    </w:p>
    <w:p>
      <w:pPr>
        <w:adjustRightInd w:val="0"/>
        <w:snapToGrid w:val="0"/>
        <w:spacing w:line="360" w:lineRule="auto"/>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课程编号：</w:t>
      </w:r>
      <w:r>
        <w:rPr>
          <w:color w:val="000000" w:themeColor="text1"/>
          <w:szCs w:val="21"/>
          <w14:textFill>
            <w14:solidFill>
              <w14:schemeClr w14:val="tx1"/>
            </w14:solidFill>
          </w14:textFill>
        </w:rPr>
        <w:t>Z03060213</w:t>
      </w:r>
    </w:p>
    <w:p>
      <w:pPr>
        <w:adjustRightInd w:val="0"/>
        <w:snapToGrid w:val="0"/>
        <w:spacing w:line="360" w:lineRule="auto"/>
        <w:rPr>
          <w:rFonts w:asciiTheme="minorEastAsia" w:hAnsiTheme="minorEastAsia"/>
          <w:color w:val="000000" w:themeColor="text1"/>
          <w:szCs w:val="21"/>
          <w14:textFill>
            <w14:solidFill>
              <w14:schemeClr w14:val="tx1"/>
            </w14:solidFill>
          </w14:textFill>
        </w:rPr>
      </w:pPr>
      <w:r>
        <w:rPr>
          <w:rFonts w:hint="eastAsia" w:ascii="黑体" w:eastAsia="黑体"/>
          <w:color w:val="000000" w:themeColor="text1"/>
          <w:szCs w:val="21"/>
          <w14:textFill>
            <w14:solidFill>
              <w14:schemeClr w14:val="tx1"/>
            </w14:solidFill>
          </w14:textFill>
        </w:rPr>
        <w:t>课程名称：</w:t>
      </w:r>
      <w:r>
        <w:rPr>
          <w:rFonts w:hint="eastAsia" w:ascii="宋体" w:hAnsi="宋体"/>
        </w:rPr>
        <w:t>电子科学与技术</w:t>
      </w:r>
      <w:r>
        <w:rPr>
          <w:rFonts w:ascii="宋体" w:hAnsi="宋体"/>
        </w:rPr>
        <w:t>专业外语</w:t>
      </w:r>
      <w:r>
        <w:rPr>
          <w:rFonts w:ascii="宋体" w:hAnsi="宋体"/>
        </w:rPr>
        <w:tab/>
      </w:r>
      <w:r>
        <w:rPr>
          <w:rFonts w:ascii="宋体" w:hAnsi="宋体"/>
        </w:rPr>
        <w:tab/>
      </w:r>
      <w:r>
        <w:rPr>
          <w:rFonts w:ascii="宋体" w:hAnsi="宋体"/>
        </w:rPr>
        <w:tab/>
      </w:r>
      <w:r>
        <w:rPr>
          <w:rFonts w:hint="eastAsia" w:ascii="黑体" w:eastAsia="黑体"/>
          <w:color w:val="000000" w:themeColor="text1"/>
          <w:szCs w:val="21"/>
          <w14:textFill>
            <w14:solidFill>
              <w14:schemeClr w14:val="tx1"/>
            </w14:solidFill>
          </w14:textFill>
        </w:rPr>
        <w:t>开课单位：</w:t>
      </w:r>
      <w:r>
        <w:rPr>
          <w:rFonts w:hint="eastAsia" w:asciiTheme="minorEastAsia" w:hAnsiTheme="minorEastAsia"/>
          <w:color w:val="000000" w:themeColor="text1"/>
          <w:szCs w:val="21"/>
          <w14:textFill>
            <w14:solidFill>
              <w14:schemeClr w14:val="tx1"/>
            </w14:solidFill>
          </w14:textFill>
        </w:rPr>
        <w:t>仪器与电子学院</w:t>
      </w:r>
    </w:p>
    <w:p>
      <w:pPr>
        <w:adjustRightInd w:val="0"/>
        <w:snapToGrid w:val="0"/>
        <w:spacing w:line="360" w:lineRule="auto"/>
        <w:rPr>
          <w:rFonts w:ascii="黑体" w:eastAsia="黑体"/>
          <w:color w:val="000000" w:themeColor="text1"/>
          <w:szCs w:val="21"/>
          <w14:textFill>
            <w14:solidFill>
              <w14:schemeClr w14:val="tx1"/>
            </w14:solidFill>
          </w14:textFill>
        </w:rPr>
      </w:pPr>
      <w:r>
        <w:rPr>
          <w:rFonts w:hint="eastAsia" w:ascii="黑体" w:eastAsia="黑体"/>
          <w:color w:val="000000" w:themeColor="text1"/>
          <w:szCs w:val="21"/>
          <w14:textFill>
            <w14:solidFill>
              <w14:schemeClr w14:val="tx1"/>
            </w14:solidFill>
          </w14:textFill>
        </w:rPr>
        <w:t>总 学 时：</w:t>
      </w:r>
      <w:r>
        <w:t>16学时</w:t>
      </w:r>
      <w:r>
        <w:tab/>
      </w:r>
      <w:r>
        <w:tab/>
      </w:r>
      <w:r>
        <w:tab/>
      </w:r>
      <w:r>
        <w:tab/>
      </w:r>
      <w:r>
        <w:tab/>
      </w:r>
      <w:r>
        <w:tab/>
      </w:r>
      <w:r>
        <w:tab/>
      </w:r>
      <w:r>
        <w:rPr>
          <w:rFonts w:hint="eastAsia" w:ascii="黑体" w:eastAsia="黑体"/>
          <w:color w:val="000000" w:themeColor="text1"/>
          <w:szCs w:val="21"/>
          <w14:textFill>
            <w14:solidFill>
              <w14:schemeClr w14:val="tx1"/>
            </w14:solidFill>
          </w14:textFill>
        </w:rPr>
        <w:t>学    分：1</w:t>
      </w:r>
    </w:p>
    <w:p>
      <w:pPr>
        <w:adjustRightInd w:val="0"/>
        <w:snapToGrid w:val="0"/>
        <w:spacing w:line="360" w:lineRule="auto"/>
        <w:rPr>
          <w:rFonts w:ascii="黑体" w:eastAsia="黑体"/>
          <w:color w:val="000000" w:themeColor="text1"/>
          <w:szCs w:val="21"/>
          <w14:textFill>
            <w14:solidFill>
              <w14:schemeClr w14:val="tx1"/>
            </w14:solidFill>
          </w14:textFill>
        </w:rPr>
      </w:pPr>
      <w:r>
        <w:rPr>
          <w:rFonts w:hint="eastAsia" w:ascii="黑体" w:eastAsia="黑体"/>
          <w:color w:val="000000" w:themeColor="text1"/>
          <w:szCs w:val="21"/>
          <w14:textFill>
            <w14:solidFill>
              <w14:schemeClr w14:val="tx1"/>
            </w14:solidFill>
          </w14:textFill>
        </w:rPr>
        <w:t>适用专业：</w:t>
      </w:r>
      <w:r>
        <w:rPr>
          <w:rFonts w:hint="eastAsia" w:ascii="宋体" w:hAnsi="宋体"/>
        </w:rPr>
        <w:t>电子科学与技术</w:t>
      </w:r>
      <w:r>
        <w:rPr>
          <w:rFonts w:ascii="宋体" w:hAnsi="宋体"/>
        </w:rPr>
        <w:t>专业</w:t>
      </w:r>
    </w:p>
    <w:p>
      <w:pPr>
        <w:adjustRightInd w:val="0"/>
        <w:snapToGrid w:val="0"/>
        <w:spacing w:line="360" w:lineRule="auto"/>
        <w:rPr>
          <w:rFonts w:asciiTheme="minorEastAsia" w:hAnsiTheme="minorEastAsia"/>
          <w:color w:val="000000" w:themeColor="text1"/>
          <w:szCs w:val="21"/>
          <w14:textFill>
            <w14:solidFill>
              <w14:schemeClr w14:val="tx1"/>
            </w14:solidFill>
          </w14:textFill>
        </w:rPr>
      </w:pPr>
      <w:r>
        <w:rPr>
          <w:rFonts w:hint="eastAsia" w:ascii="黑体" w:eastAsia="黑体"/>
          <w:color w:val="000000" w:themeColor="text1"/>
          <w:szCs w:val="21"/>
          <w14:textFill>
            <w14:solidFill>
              <w14:schemeClr w14:val="tx1"/>
            </w14:solidFill>
          </w14:textFill>
        </w:rPr>
        <w:t>先修课程：</w:t>
      </w:r>
      <w:r>
        <w:rPr>
          <w:rFonts w:hint="eastAsia" w:asciiTheme="minorEastAsia" w:hAnsiTheme="minorEastAsia"/>
          <w:color w:val="000000" w:themeColor="text1"/>
          <w:szCs w:val="21"/>
          <w14:textFill>
            <w14:solidFill>
              <w14:schemeClr w14:val="tx1"/>
            </w14:solidFill>
          </w14:textFill>
        </w:rPr>
        <w:t>大学英语</w:t>
      </w:r>
    </w:p>
    <w:p>
      <w:pPr>
        <w:adjustRightInd w:val="0"/>
        <w:snapToGrid w:val="0"/>
        <w:spacing w:line="360" w:lineRule="auto"/>
        <w:rPr>
          <w:rFonts w:asciiTheme="minorEastAsia" w:hAnsiTheme="minorEastAsia"/>
          <w:color w:val="000000" w:themeColor="text1"/>
          <w:szCs w:val="21"/>
          <w14:textFill>
            <w14:solidFill>
              <w14:schemeClr w14:val="tx1"/>
            </w14:solidFill>
          </w14:textFill>
        </w:rPr>
      </w:pPr>
      <w:r>
        <w:rPr>
          <w:rFonts w:hint="eastAsia" w:ascii="黑体" w:eastAsia="黑体"/>
          <w:color w:val="000000" w:themeColor="text1"/>
          <w:szCs w:val="21"/>
          <w14:textFill>
            <w14:solidFill>
              <w14:schemeClr w14:val="tx1"/>
            </w14:solidFill>
          </w14:textFill>
        </w:rPr>
        <w:t>大纲执笔人：</w:t>
      </w:r>
      <w:r>
        <w:rPr>
          <w:rFonts w:hint="eastAsia" w:asciiTheme="minorEastAsia" w:hAnsiTheme="minorEastAsia"/>
          <w:color w:val="000000" w:themeColor="text1"/>
          <w:szCs w:val="21"/>
          <w14:textFill>
            <w14:solidFill>
              <w14:schemeClr w14:val="tx1"/>
            </w14:solidFill>
          </w14:textFill>
        </w:rPr>
        <w:t>申冲</w:t>
      </w:r>
    </w:p>
    <w:p>
      <w:pPr>
        <w:adjustRightInd w:val="0"/>
        <w:snapToGrid w:val="0"/>
        <w:spacing w:line="360" w:lineRule="auto"/>
        <w:rPr>
          <w:rFonts w:asciiTheme="minorEastAsia" w:hAnsiTheme="minorEastAsia"/>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大纲编写（修订）时间：</w:t>
      </w:r>
      <w:r>
        <w:rPr>
          <w:color w:val="000000" w:themeColor="text1"/>
          <w:szCs w:val="21"/>
          <w14:textFill>
            <w14:solidFill>
              <w14:schemeClr w14:val="tx1"/>
            </w14:solidFill>
          </w14:textFill>
        </w:rPr>
        <w:t>2019年5月</w:t>
      </w:r>
    </w:p>
    <w:p>
      <w:pPr>
        <w:rPr>
          <w:b/>
          <w:color w:val="000000" w:themeColor="text1"/>
          <w:szCs w:val="21"/>
          <w14:textFill>
            <w14:solidFill>
              <w14:schemeClr w14:val="tx1"/>
            </w14:solidFill>
          </w14:textFill>
        </w:rPr>
      </w:pPr>
    </w:p>
    <w:p>
      <w:pPr>
        <w:adjustRightInd w:val="0"/>
        <w:snapToGrid w:val="0"/>
        <w:spacing w:line="360" w:lineRule="auto"/>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一、</w:t>
      </w:r>
      <w:r>
        <w:rPr>
          <w:rFonts w:hint="eastAsia" w:eastAsia="黑体"/>
          <w:color w:val="000000" w:themeColor="text1"/>
          <w:szCs w:val="21"/>
          <w14:textFill>
            <w14:solidFill>
              <w14:schemeClr w14:val="tx1"/>
            </w14:solidFill>
          </w14:textFill>
        </w:rPr>
        <w:t>课程在教学计划中的地位、作用</w:t>
      </w:r>
    </w:p>
    <w:p>
      <w:pPr>
        <w:spacing w:line="360" w:lineRule="auto"/>
        <w:ind w:firstLine="420" w:firstLineChars="200"/>
        <w:rPr>
          <w:szCs w:val="21"/>
        </w:rPr>
      </w:pPr>
      <w:r>
        <w:rPr>
          <w:rFonts w:hint="eastAsia"/>
          <w:szCs w:val="21"/>
        </w:rPr>
        <w:t>本课程是一门专业教育课程，是在本专业本科生掌握相关的专业基础知识之后，进行专业应用拓展的一门课程。该课程以提高学生对专业知识的听说读写能力为目的，其主要任务是讲授电子科学与技术专业知识的经典外文章节，让学生学会用英文的思维去思考专业知识。通过该课程的学习使学生了解电子科学与技术这门学科的专用词汇及最新进展，提高学生本专业外文文献的听说读写能力、国际化视野和在跨文化背景下进行沟通和交流能力</w:t>
      </w:r>
      <w:r>
        <w:rPr>
          <w:szCs w:val="21"/>
        </w:rPr>
        <w:t>，为毕业后从事科学研究、工程技术工作打下必要的外语基础。</w:t>
      </w:r>
    </w:p>
    <w:p>
      <w:pPr>
        <w:spacing w:line="360" w:lineRule="auto"/>
        <w:ind w:firstLine="420" w:firstLineChars="200"/>
        <w:rPr>
          <w:color w:val="000000" w:themeColor="text1"/>
          <w:szCs w:val="21"/>
          <w14:textFill>
            <w14:solidFill>
              <w14:schemeClr w14:val="tx1"/>
            </w14:solidFill>
          </w14:textFill>
        </w:rPr>
      </w:pPr>
    </w:p>
    <w:p>
      <w:pPr>
        <w:tabs>
          <w:tab w:val="left" w:pos="420"/>
        </w:tabs>
        <w:adjustRightInd w:val="0"/>
        <w:snapToGrid w:val="0"/>
        <w:spacing w:line="360" w:lineRule="auto"/>
        <w:ind w:left="420" w:hanging="420"/>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3075"/>
        <w:gridCol w:w="46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adjustRightInd w:val="0"/>
              <w:snapToGrid w:val="0"/>
              <w:spacing w:line="360" w:lineRule="auto"/>
              <w:jc w:val="center"/>
              <w:rPr>
                <w:rFonts w:ascii="宋体" w:hAnsi="宋体"/>
                <w:sz w:val="18"/>
                <w:szCs w:val="18"/>
              </w:rPr>
            </w:pPr>
            <w:r>
              <w:rPr>
                <w:rFonts w:ascii="宋体" w:hAnsi="宋体"/>
                <w:sz w:val="18"/>
                <w:szCs w:val="18"/>
              </w:rPr>
              <w:t>序号</w:t>
            </w:r>
          </w:p>
        </w:tc>
        <w:tc>
          <w:tcPr>
            <w:tcW w:w="1850" w:type="pct"/>
            <w:vAlign w:val="center"/>
          </w:tcPr>
          <w:p>
            <w:pPr>
              <w:adjustRightInd w:val="0"/>
              <w:snapToGrid w:val="0"/>
              <w:spacing w:line="360" w:lineRule="auto"/>
              <w:jc w:val="center"/>
              <w:rPr>
                <w:rFonts w:ascii="宋体" w:hAnsi="宋体"/>
                <w:sz w:val="18"/>
                <w:szCs w:val="18"/>
              </w:rPr>
            </w:pPr>
            <w:r>
              <w:rPr>
                <w:rFonts w:ascii="宋体" w:hAnsi="宋体"/>
                <w:sz w:val="18"/>
                <w:szCs w:val="18"/>
              </w:rPr>
              <w:t>课程目标</w:t>
            </w:r>
          </w:p>
        </w:tc>
        <w:tc>
          <w:tcPr>
            <w:tcW w:w="2783" w:type="pct"/>
            <w:vAlign w:val="center"/>
          </w:tcPr>
          <w:p>
            <w:pPr>
              <w:adjustRightInd w:val="0"/>
              <w:snapToGrid w:val="0"/>
              <w:spacing w:line="360" w:lineRule="auto"/>
              <w:jc w:val="center"/>
              <w:rPr>
                <w:rFonts w:ascii="宋体" w:hAnsi="宋体"/>
                <w:sz w:val="18"/>
                <w:szCs w:val="18"/>
              </w:rPr>
            </w:pPr>
            <w:r>
              <w:rPr>
                <w:rFonts w:ascii="宋体" w:hAnsi="宋体"/>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1</w:t>
            </w:r>
          </w:p>
        </w:tc>
        <w:tc>
          <w:tcPr>
            <w:tcW w:w="1850" w:type="pct"/>
          </w:tcPr>
          <w:p>
            <w:pPr>
              <w:adjustRightInd w:val="0"/>
              <w:snapToGrid w:val="0"/>
              <w:spacing w:line="360" w:lineRule="auto"/>
              <w:rPr>
                <w:rFonts w:ascii="宋体" w:hAnsi="宋体"/>
                <w:sz w:val="18"/>
                <w:szCs w:val="18"/>
              </w:rPr>
            </w:pPr>
            <w:r>
              <w:rPr>
                <w:rFonts w:hint="eastAsia" w:ascii="宋体" w:hAnsi="宋体"/>
                <w:kern w:val="0"/>
                <w:sz w:val="18"/>
                <w:szCs w:val="18"/>
              </w:rPr>
              <w:t>提高学生在电子科学与技术外文文献方面的听说读写能力，为将来自主学习拓展专业知识打好基础。</w:t>
            </w:r>
          </w:p>
        </w:tc>
        <w:tc>
          <w:tcPr>
            <w:tcW w:w="2783" w:type="pct"/>
          </w:tcPr>
          <w:p>
            <w:pPr>
              <w:adjustRightInd w:val="0"/>
              <w:snapToGrid w:val="0"/>
              <w:spacing w:line="360" w:lineRule="auto"/>
              <w:rPr>
                <w:rFonts w:ascii="宋体" w:hAnsi="宋体"/>
                <w:sz w:val="18"/>
                <w:szCs w:val="18"/>
                <w:highlight w:val="yellow"/>
              </w:rPr>
            </w:pPr>
            <w:r>
              <w:rPr>
                <w:rFonts w:hint="eastAsia" w:ascii="宋体" w:hAnsi="宋体"/>
                <w:b/>
                <w:kern w:val="0"/>
                <w:sz w:val="18"/>
                <w:szCs w:val="18"/>
              </w:rPr>
              <w:t>指标点</w:t>
            </w:r>
            <w:r>
              <w:rPr>
                <w:rFonts w:ascii="宋体" w:hAnsi="宋体"/>
                <w:b/>
                <w:kern w:val="0"/>
                <w:sz w:val="18"/>
                <w:szCs w:val="18"/>
              </w:rPr>
              <w:t>10-1 沟通与表达：</w:t>
            </w:r>
            <w:r>
              <w:rPr>
                <w:rFonts w:ascii="宋体" w:hAnsi="宋体"/>
                <w:bCs/>
                <w:kern w:val="0"/>
                <w:sz w:val="18"/>
                <w:szCs w:val="18"/>
              </w:rPr>
              <w:t>能够熟练、正确、规范地撰写技术报告和设计文稿，并能针对主题陈述发言、清晰表达自己的观点、正确回应指令，达到沟通目的。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2</w:t>
            </w:r>
          </w:p>
        </w:tc>
        <w:tc>
          <w:tcPr>
            <w:tcW w:w="1850" w:type="pct"/>
          </w:tcPr>
          <w:p>
            <w:pPr>
              <w:adjustRightInd w:val="0"/>
              <w:snapToGrid w:val="0"/>
              <w:spacing w:line="360" w:lineRule="auto"/>
              <w:rPr>
                <w:rFonts w:ascii="宋体" w:hAnsi="宋体"/>
                <w:kern w:val="0"/>
                <w:sz w:val="18"/>
                <w:szCs w:val="18"/>
              </w:rPr>
            </w:pPr>
            <w:r>
              <w:rPr>
                <w:rFonts w:hint="eastAsia" w:ascii="宋体" w:hAnsi="宋体"/>
                <w:kern w:val="0"/>
                <w:sz w:val="18"/>
                <w:szCs w:val="18"/>
              </w:rPr>
              <w:t>培养学生具备国际视野，实现跨文化背景下的沟通与交流，具有现代科学创新意识与国际化交流与竞争意识。</w:t>
            </w:r>
          </w:p>
        </w:tc>
        <w:tc>
          <w:tcPr>
            <w:tcW w:w="2783" w:type="pct"/>
          </w:tcPr>
          <w:p>
            <w:pPr>
              <w:adjustRightInd w:val="0"/>
              <w:snapToGrid w:val="0"/>
              <w:spacing w:line="360" w:lineRule="auto"/>
              <w:rPr>
                <w:rFonts w:ascii="宋体" w:hAnsi="宋体"/>
                <w:b/>
                <w:bCs/>
                <w:kern w:val="0"/>
                <w:sz w:val="18"/>
                <w:szCs w:val="18"/>
              </w:rPr>
            </w:pPr>
            <w:r>
              <w:rPr>
                <w:rFonts w:hint="eastAsia" w:ascii="宋体" w:hAnsi="宋体"/>
                <w:b/>
                <w:bCs/>
                <w:sz w:val="18"/>
                <w:szCs w:val="18"/>
              </w:rPr>
              <w:t>指标点10-2 跨文化交流</w:t>
            </w:r>
            <w:r>
              <w:rPr>
                <w:rFonts w:hint="eastAsia" w:ascii="宋体" w:hAnsi="宋体"/>
                <w:sz w:val="18"/>
                <w:szCs w:val="18"/>
              </w:rPr>
              <w:t>：具备使用一门外语沟通交流的能力，了解并尊重不同文化，能够通过跨文化交流、竞争与合作开阔国际视野。能区别不同的对象、场所和要求，采用合适的方式进行有效沟通。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adjustRightInd w:val="0"/>
              <w:snapToGrid w:val="0"/>
              <w:spacing w:line="360" w:lineRule="auto"/>
              <w:jc w:val="center"/>
              <w:rPr>
                <w:rFonts w:ascii="宋体" w:hAnsi="宋体"/>
                <w:sz w:val="18"/>
                <w:szCs w:val="18"/>
              </w:rPr>
            </w:pPr>
            <w:r>
              <w:rPr>
                <w:rFonts w:hint="eastAsia" w:ascii="宋体" w:hAnsi="宋体"/>
                <w:sz w:val="18"/>
                <w:szCs w:val="18"/>
              </w:rPr>
              <w:t>3</w:t>
            </w:r>
          </w:p>
        </w:tc>
        <w:tc>
          <w:tcPr>
            <w:tcW w:w="1850" w:type="pct"/>
          </w:tcPr>
          <w:p>
            <w:pPr>
              <w:adjustRightInd w:val="0"/>
              <w:snapToGrid w:val="0"/>
              <w:spacing w:line="360" w:lineRule="auto"/>
              <w:rPr>
                <w:rFonts w:ascii="宋体" w:hAnsi="宋体"/>
                <w:sz w:val="18"/>
                <w:szCs w:val="18"/>
              </w:rPr>
            </w:pPr>
            <w:r>
              <w:rPr>
                <w:rFonts w:hint="eastAsia" w:ascii="宋体" w:hAnsi="宋体"/>
                <w:kern w:val="0"/>
                <w:sz w:val="18"/>
                <w:szCs w:val="18"/>
              </w:rPr>
              <w:t>培养学生能够使用电子科学与技术专业的专用词汇及清楚其最新进展，提高学生在电子科学与技术外文文献方面的听说读写能力。</w:t>
            </w:r>
          </w:p>
        </w:tc>
        <w:tc>
          <w:tcPr>
            <w:tcW w:w="2783" w:type="pct"/>
          </w:tcPr>
          <w:p>
            <w:pPr>
              <w:adjustRightInd w:val="0"/>
              <w:snapToGrid w:val="0"/>
              <w:spacing w:line="360" w:lineRule="auto"/>
              <w:rPr>
                <w:rFonts w:ascii="宋体" w:hAnsi="宋体"/>
                <w:sz w:val="18"/>
                <w:szCs w:val="18"/>
              </w:rPr>
            </w:pPr>
            <w:r>
              <w:rPr>
                <w:rFonts w:hint="eastAsia" w:ascii="宋体" w:hAnsi="宋体"/>
                <w:b/>
                <w:bCs/>
                <w:sz w:val="18"/>
                <w:szCs w:val="18"/>
              </w:rPr>
              <w:t>指标点12-2 学习能力</w:t>
            </w:r>
            <w:r>
              <w:rPr>
                <w:rFonts w:hint="eastAsia" w:ascii="宋体" w:hAnsi="宋体"/>
                <w:sz w:val="18"/>
                <w:szCs w:val="18"/>
              </w:rPr>
              <w:t>：</w:t>
            </w:r>
            <w:r>
              <w:rPr>
                <w:rFonts w:hint="eastAsia" w:ascii="宋体" w:hAnsi="宋体"/>
                <w:kern w:val="0"/>
                <w:sz w:val="18"/>
                <w:szCs w:val="18"/>
              </w:rPr>
              <w:t>掌握正确的学习方法，具备通过学习不断提高、不断调整自己适应行业发展和环境变化的能力。</w:t>
            </w:r>
          </w:p>
          <w:p>
            <w:pPr>
              <w:adjustRightInd w:val="0"/>
              <w:snapToGrid w:val="0"/>
              <w:spacing w:line="360" w:lineRule="auto"/>
              <w:rPr>
                <w:rFonts w:ascii="宋体" w:hAnsi="宋体"/>
                <w:sz w:val="18"/>
                <w:szCs w:val="18"/>
                <w:highlight w:val="yellow"/>
              </w:rPr>
            </w:pPr>
          </w:p>
        </w:tc>
      </w:tr>
    </w:tbl>
    <w:p>
      <w:pPr>
        <w:spacing w:line="360" w:lineRule="auto"/>
        <w:jc w:val="center"/>
        <w:rPr>
          <w:color w:val="000000" w:themeColor="text1"/>
          <w:szCs w:val="21"/>
          <w14:textFill>
            <w14:solidFill>
              <w14:schemeClr w14:val="tx1"/>
            </w14:solidFill>
          </w14:textFill>
        </w:rPr>
      </w:pPr>
    </w:p>
    <w:p>
      <w:pPr>
        <w:tabs>
          <w:tab w:val="left" w:pos="420"/>
        </w:tabs>
        <w:adjustRightInd w:val="0"/>
        <w:snapToGrid w:val="0"/>
        <w:spacing w:line="360" w:lineRule="auto"/>
        <w:ind w:left="420" w:hanging="420"/>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三、基本要求</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通过本课程的系统学习可使学生初步具备如下能力：</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1、要求学生已经进行过大部分为电子科学与技术专业专业课的学习，对外文词汇、本专业术语有一定应用；</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2、要求学生具有一定的对科技文献的双向翻译能力，并且能够依靠自身的专业背景知识阅读具有一定难度和深度的技术文献；</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3、培养学生将英语作为真正专业交流工具的能力，建立学生在相关专业领域国际交流、交往的能力；</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4、要求教师具备电子科学与技术的专业背景，并具备较强的本专业听说读写能力；</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5、深度和广度说明：</w:t>
      </w:r>
      <w:r>
        <w:rPr>
          <w:rFonts w:hint="eastAsia"/>
          <w:szCs w:val="21"/>
        </w:rPr>
        <w:t>对电子电路相关的词汇和语法要深入讲解；听说读写能力的提高是重点。</w:t>
      </w:r>
    </w:p>
    <w:p>
      <w:pPr>
        <w:tabs>
          <w:tab w:val="left" w:pos="420"/>
        </w:tabs>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6、偏差说明：为了鼓励教师引入个人授课风格或者适应技术发展的紧迫性，本课程允许教师授课内容做适当调整，最大正偏差为</w:t>
      </w:r>
      <w:r>
        <w:rPr>
          <w:color w:val="000000" w:themeColor="text1"/>
          <w:szCs w:val="21"/>
          <w14:textFill>
            <w14:solidFill>
              <w14:schemeClr w14:val="tx1"/>
            </w14:solidFill>
          </w14:textFill>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color w:val="000000" w:themeColor="text1"/>
          <w:szCs w:val="21"/>
          <w14:textFill>
            <w14:solidFill>
              <w14:schemeClr w14:val="tx1"/>
            </w14:solidFill>
          </w14:textFill>
        </w:rPr>
      </w:pPr>
    </w:p>
    <w:p>
      <w:pPr>
        <w:tabs>
          <w:tab w:val="left" w:pos="420"/>
        </w:tabs>
        <w:spacing w:line="360" w:lineRule="auto"/>
        <w:ind w:left="420" w:hanging="420"/>
        <w:rPr>
          <w:rFonts w:eastAsia="黑体"/>
          <w:color w:val="000000" w:themeColor="text1"/>
          <w:szCs w:val="21"/>
          <w14:textFill>
            <w14:solidFill>
              <w14:schemeClr w14:val="tx1"/>
            </w14:solidFill>
          </w14:textFill>
        </w:rPr>
      </w:pPr>
      <w:r>
        <w:rPr>
          <w:rFonts w:hint="eastAsia" w:eastAsia="黑体"/>
          <w:color w:val="000000" w:themeColor="text1"/>
          <w:szCs w:val="21"/>
          <w14:textFill>
            <w14:solidFill>
              <w14:schemeClr w14:val="tx1"/>
            </w14:solidFill>
          </w14:textFill>
        </w:rPr>
        <w:t>四、教学内容和教学方法</w:t>
      </w:r>
    </w:p>
    <w:p>
      <w:pPr>
        <w:spacing w:line="360" w:lineRule="auto"/>
        <w:ind w:firstLine="420" w:firstLineChars="200"/>
        <w:rPr>
          <w:szCs w:val="21"/>
        </w:rPr>
      </w:pPr>
      <w:r>
        <w:rPr>
          <w:rFonts w:hint="eastAsia"/>
          <w:szCs w:val="21"/>
        </w:rPr>
        <w:t>本课程重点讲授的内容包括：为什么要学习专业外语、什么是电子电气、电子电路的起源、一些电路理论与定理、交流电、彩色电视机、串并联电路、示波器的应用、调制与解调、基础计算机知识、软件与硬件、操作系统、多媒体技术、计算机病毒、计算机对社会的影响等。</w:t>
      </w:r>
    </w:p>
    <w:p>
      <w:pPr>
        <w:adjustRightInd w:val="0"/>
        <w:snapToGrid w:val="0"/>
        <w:spacing w:line="360" w:lineRule="auto"/>
        <w:ind w:firstLine="420" w:firstLineChars="200"/>
      </w:pPr>
      <w:r>
        <w:t>教学方法：</w:t>
      </w:r>
    </w:p>
    <w:p>
      <w:pPr>
        <w:adjustRightInd w:val="0"/>
        <w:snapToGrid w:val="0"/>
        <w:spacing w:line="360" w:lineRule="auto"/>
        <w:ind w:firstLine="420" w:firstLineChars="200"/>
      </w:pPr>
      <w:r>
        <w:t>1、利用CAI形式讲授，辅以重要知识点的板书推导与分析，引导学生理解分析思路；</w:t>
      </w:r>
    </w:p>
    <w:p>
      <w:pPr>
        <w:spacing w:line="360" w:lineRule="auto"/>
        <w:ind w:firstLine="420" w:firstLineChars="200"/>
        <w:rPr>
          <w:szCs w:val="21"/>
        </w:rPr>
      </w:pPr>
      <w:r>
        <w:t>2、讲授过程中穿插提问和讨论等环节，让学生获得更多的锻炼机会。</w:t>
      </w:r>
    </w:p>
    <w:p>
      <w:pPr>
        <w:spacing w:line="360" w:lineRule="auto"/>
        <w:ind w:firstLine="420" w:firstLineChars="200"/>
        <w:rPr>
          <w:szCs w:val="21"/>
        </w:rPr>
      </w:pPr>
      <w:r>
        <w:rPr>
          <w:rFonts w:hint="eastAsia"/>
          <w:szCs w:val="21"/>
        </w:rPr>
        <w:t>为了提高学生的学习兴趣，并取得良好的教学效果，教师在知识讲解的过程中要充分拓展英文文献来源，多沟通多互动等多种教学方法，以进一步提高教学质量。</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p>
    <w:p>
      <w:pPr>
        <w:widowControl/>
        <w:adjustRightInd w:val="0"/>
        <w:snapToGrid w:val="0"/>
        <w:spacing w:line="360" w:lineRule="auto"/>
        <w:ind w:left="426"/>
        <w:jc w:val="left"/>
        <w:rPr>
          <w:rFonts w:eastAsia="黑体" w:cs="宋体"/>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1 The importance of English</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1.1、本课程在专业课程体系中的地位和作用介绍；</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1.2、课程内容、学习方法、讲授方式、评价方式介绍。</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1,2</w:t>
      </w:r>
    </w:p>
    <w:p>
      <w:pPr>
        <w:widowControl/>
        <w:tabs>
          <w:tab w:val="left" w:pos="900"/>
        </w:tabs>
        <w:spacing w:line="360" w:lineRule="auto"/>
        <w:ind w:left="426"/>
        <w:jc w:val="left"/>
        <w:rPr>
          <w:bCs/>
          <w:snapToGrid w:val="0"/>
          <w:kern w:val="0"/>
          <w:szCs w:val="21"/>
        </w:rPr>
      </w:pPr>
      <w:r>
        <w:rPr>
          <w:bCs/>
          <w:snapToGrid w:val="0"/>
          <w:kern w:val="0"/>
          <w:szCs w:val="21"/>
        </w:rPr>
        <w:t>重点：</w:t>
      </w:r>
      <w:r>
        <w:rPr>
          <w:rFonts w:hint="eastAsia"/>
          <w:bCs/>
          <w:snapToGrid w:val="0"/>
          <w:kern w:val="0"/>
          <w:szCs w:val="21"/>
        </w:rPr>
        <w:t>专业外语重要性</w:t>
      </w:r>
      <w:r>
        <w:rPr>
          <w:bCs/>
          <w:snapToGrid w:val="0"/>
          <w:kern w:val="0"/>
          <w:szCs w:val="21"/>
        </w:rPr>
        <w:t>；</w:t>
      </w:r>
      <w:r>
        <w:rPr>
          <w:rFonts w:hint="eastAsia"/>
          <w:bCs/>
          <w:snapToGrid w:val="0"/>
          <w:kern w:val="0"/>
          <w:szCs w:val="21"/>
        </w:rPr>
        <w:t>能够</w:t>
      </w:r>
      <w:r>
        <w:rPr>
          <w:bCs/>
          <w:snapToGrid w:val="0"/>
          <w:kern w:val="0"/>
          <w:szCs w:val="21"/>
        </w:rPr>
        <w:t>使用</w:t>
      </w:r>
      <w:r>
        <w:rPr>
          <w:rFonts w:hint="eastAsia"/>
          <w:bCs/>
          <w:snapToGrid w:val="0"/>
          <w:kern w:val="0"/>
          <w:szCs w:val="21"/>
        </w:rPr>
        <w:t>电子科学与技术</w:t>
      </w:r>
      <w:r>
        <w:rPr>
          <w:bCs/>
          <w:snapToGrid w:val="0"/>
          <w:kern w:val="0"/>
          <w:szCs w:val="21"/>
        </w:rPr>
        <w:t>相关的专业词汇</w:t>
      </w:r>
      <w:r>
        <w:rPr>
          <w:rFonts w:hint="eastAsia"/>
          <w:bCs/>
          <w:snapToGrid w:val="0"/>
          <w:kern w:val="0"/>
          <w:szCs w:val="21"/>
        </w:rPr>
        <w:t>，</w:t>
      </w:r>
      <w:r>
        <w:rPr>
          <w:bCs/>
          <w:snapToGrid w:val="0"/>
          <w:kern w:val="0"/>
          <w:szCs w:val="21"/>
        </w:rPr>
        <w:t>包括典型的英文表述与表达方法。</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cs="宋体"/>
          <w:snapToGrid w:val="0"/>
          <w:color w:val="000000" w:themeColor="text1"/>
          <w:kern w:val="0"/>
          <w:szCs w:val="21"/>
          <w14:textFill>
            <w14:solidFill>
              <w14:schemeClr w14:val="tx1"/>
            </w14:solidFill>
          </w14:textFill>
        </w:rPr>
        <w:t>2</w:t>
      </w:r>
      <w:r>
        <w:rPr>
          <w:rFonts w:hint="eastAsia" w:cs="宋体"/>
          <w:snapToGrid w:val="0"/>
          <w:color w:val="000000" w:themeColor="text1"/>
          <w:kern w:val="0"/>
          <w:szCs w:val="21"/>
          <w14:textFill>
            <w14:solidFill>
              <w14:schemeClr w14:val="tx1"/>
            </w14:solidFill>
          </w14:textFill>
        </w:rPr>
        <w:t xml:space="preserve"> What is electricity</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2.1、“什么是电子电路”的外文描述；</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2.1、专业外语中名词和代词的用法。</w:t>
      </w:r>
    </w:p>
    <w:p>
      <w:pPr>
        <w:widowControl/>
        <w:tabs>
          <w:tab w:val="left" w:pos="900"/>
        </w:tabs>
        <w:spacing w:line="360" w:lineRule="auto"/>
        <w:ind w:left="426"/>
        <w:jc w:val="left"/>
        <w:rPr>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3</w:t>
      </w:r>
    </w:p>
    <w:p>
      <w:pPr>
        <w:widowControl/>
        <w:tabs>
          <w:tab w:val="left" w:pos="900"/>
        </w:tabs>
        <w:spacing w:line="360" w:lineRule="auto"/>
        <w:ind w:left="426"/>
        <w:jc w:val="left"/>
        <w:rPr>
          <w:bCs/>
          <w:snapToGrid w:val="0"/>
          <w:kern w:val="0"/>
          <w:szCs w:val="21"/>
        </w:rPr>
      </w:pPr>
      <w:r>
        <w:rPr>
          <w:bCs/>
          <w:snapToGrid w:val="0"/>
          <w:kern w:val="0"/>
          <w:szCs w:val="21"/>
        </w:rPr>
        <w:t>重点：使学生</w:t>
      </w:r>
      <w:r>
        <w:rPr>
          <w:rFonts w:hint="eastAsia"/>
          <w:bCs/>
          <w:snapToGrid w:val="0"/>
          <w:kern w:val="0"/>
          <w:szCs w:val="21"/>
        </w:rPr>
        <w:t>能够</w:t>
      </w:r>
      <w:r>
        <w:rPr>
          <w:bCs/>
          <w:snapToGrid w:val="0"/>
          <w:kern w:val="0"/>
          <w:szCs w:val="21"/>
        </w:rPr>
        <w:t>使用</w:t>
      </w:r>
      <w:r>
        <w:rPr>
          <w:rFonts w:hint="eastAsia"/>
          <w:bCs/>
          <w:snapToGrid w:val="0"/>
          <w:kern w:val="0"/>
          <w:szCs w:val="21"/>
        </w:rPr>
        <w:t>电气</w:t>
      </w:r>
      <w:r>
        <w:rPr>
          <w:bCs/>
          <w:snapToGrid w:val="0"/>
          <w:kern w:val="0"/>
          <w:szCs w:val="21"/>
        </w:rPr>
        <w:t>基本特性及其相应专业词汇，对涉及该部分内容的科技文献具有一定的双向翻译能力。</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3 Sources of electricity and electric circuit</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3.1、“电子电路的起源”的外文描述；</w:t>
      </w:r>
    </w:p>
    <w:p>
      <w:pPr>
        <w:widowControl/>
        <w:tabs>
          <w:tab w:val="left" w:pos="900"/>
        </w:tabs>
        <w:spacing w:line="360" w:lineRule="auto"/>
        <w:ind w:left="426"/>
        <w:jc w:val="left"/>
        <w:rPr>
          <w:bCs/>
          <w:snapToGrid w:val="0"/>
          <w:kern w:val="0"/>
          <w:szCs w:val="21"/>
        </w:rPr>
      </w:pPr>
      <w:r>
        <w:rPr>
          <w:rFonts w:cs="宋体"/>
          <w:snapToGrid w:val="0"/>
          <w:color w:val="000000" w:themeColor="text1"/>
          <w:kern w:val="0"/>
          <w:szCs w:val="21"/>
          <w14:textFill>
            <w14:solidFill>
              <w14:schemeClr w14:val="tx1"/>
            </w14:solidFill>
          </w14:textFill>
        </w:rPr>
        <w:t>3.2、</w:t>
      </w:r>
      <w:r>
        <w:rPr>
          <w:rFonts w:hint="eastAsia" w:cs="宋体"/>
          <w:snapToGrid w:val="0"/>
          <w:color w:val="000000" w:themeColor="text1"/>
          <w:kern w:val="0"/>
          <w:szCs w:val="21"/>
          <w14:textFill>
            <w14:solidFill>
              <w14:schemeClr w14:val="tx1"/>
            </w14:solidFill>
          </w14:textFill>
        </w:rPr>
        <w:t>专业外语中冠词和数词的用法。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3</w:t>
      </w:r>
    </w:p>
    <w:p>
      <w:pPr>
        <w:widowControl/>
        <w:tabs>
          <w:tab w:val="left" w:pos="900"/>
        </w:tabs>
        <w:spacing w:line="360" w:lineRule="auto"/>
        <w:ind w:left="426"/>
        <w:jc w:val="left"/>
        <w:rPr>
          <w:bCs/>
          <w:snapToGrid w:val="0"/>
          <w:kern w:val="0"/>
          <w:szCs w:val="21"/>
        </w:rPr>
      </w:pPr>
      <w:r>
        <w:rPr>
          <w:bCs/>
          <w:snapToGrid w:val="0"/>
          <w:kern w:val="0"/>
          <w:szCs w:val="21"/>
        </w:rPr>
        <w:t>重点：使学生</w:t>
      </w:r>
      <w:r>
        <w:rPr>
          <w:rFonts w:hint="eastAsia"/>
          <w:bCs/>
          <w:snapToGrid w:val="0"/>
          <w:kern w:val="0"/>
          <w:szCs w:val="21"/>
        </w:rPr>
        <w:t>能够使用电路</w:t>
      </w:r>
      <w:r>
        <w:rPr>
          <w:bCs/>
          <w:snapToGrid w:val="0"/>
          <w:kern w:val="0"/>
          <w:szCs w:val="21"/>
        </w:rPr>
        <w:t>相关的专业词汇，包括</w:t>
      </w:r>
      <w:r>
        <w:rPr>
          <w:rFonts w:hint="eastAsia"/>
          <w:bCs/>
          <w:snapToGrid w:val="0"/>
          <w:kern w:val="0"/>
          <w:szCs w:val="21"/>
        </w:rPr>
        <w:t>电子线路</w:t>
      </w:r>
      <w:r>
        <w:rPr>
          <w:bCs/>
          <w:snapToGrid w:val="0"/>
          <w:kern w:val="0"/>
          <w:szCs w:val="21"/>
        </w:rPr>
        <w:t>的典型的英文表述与表达方法。</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4 Some laws and formulas about circuit</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4.1、一些电路法则和定理的外文描述；</w:t>
      </w:r>
    </w:p>
    <w:p>
      <w:pPr>
        <w:widowControl/>
        <w:tabs>
          <w:tab w:val="left" w:pos="900"/>
        </w:tabs>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4.2、专业外语中形容词和副词用法。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3</w:t>
      </w:r>
    </w:p>
    <w:p>
      <w:pPr>
        <w:widowControl/>
        <w:tabs>
          <w:tab w:val="left" w:pos="900"/>
        </w:tabs>
        <w:spacing w:line="360" w:lineRule="auto"/>
        <w:ind w:left="426"/>
        <w:jc w:val="left"/>
        <w:rPr>
          <w:bCs/>
          <w:snapToGrid w:val="0"/>
          <w:kern w:val="0"/>
          <w:szCs w:val="21"/>
        </w:rPr>
      </w:pPr>
      <w:r>
        <w:rPr>
          <w:bCs/>
          <w:snapToGrid w:val="0"/>
          <w:kern w:val="0"/>
          <w:szCs w:val="21"/>
        </w:rPr>
        <w:t>重点：</w:t>
      </w:r>
      <w:r>
        <w:rPr>
          <w:rFonts w:hint="eastAsia"/>
          <w:bCs/>
          <w:snapToGrid w:val="0"/>
          <w:kern w:val="0"/>
          <w:szCs w:val="21"/>
        </w:rPr>
        <w:t>电路原理</w:t>
      </w:r>
      <w:r>
        <w:rPr>
          <w:bCs/>
          <w:snapToGrid w:val="0"/>
          <w:kern w:val="0"/>
          <w:szCs w:val="21"/>
        </w:rPr>
        <w:t>；</w:t>
      </w:r>
      <w:r>
        <w:rPr>
          <w:rFonts w:hint="eastAsia"/>
          <w:bCs/>
          <w:snapToGrid w:val="0"/>
          <w:kern w:val="0"/>
          <w:szCs w:val="21"/>
        </w:rPr>
        <w:t>理解</w:t>
      </w:r>
      <w:r>
        <w:rPr>
          <w:bCs/>
          <w:snapToGrid w:val="0"/>
          <w:kern w:val="0"/>
          <w:szCs w:val="21"/>
        </w:rPr>
        <w:t>相关的专业词汇以及典型的英文表述与表达方法。</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5 Alternating current</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5.1、“交流电”的外文描述；</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5.2、专业外语中介词和连词的用法。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1,2</w:t>
      </w:r>
    </w:p>
    <w:p>
      <w:pPr>
        <w:widowControl/>
        <w:tabs>
          <w:tab w:val="left" w:pos="900"/>
        </w:tabs>
        <w:spacing w:line="360" w:lineRule="auto"/>
        <w:ind w:left="426"/>
        <w:jc w:val="left"/>
        <w:rPr>
          <w:bCs/>
          <w:snapToGrid w:val="0"/>
          <w:kern w:val="0"/>
          <w:szCs w:val="21"/>
        </w:rPr>
      </w:pPr>
      <w:r>
        <w:rPr>
          <w:bCs/>
          <w:snapToGrid w:val="0"/>
          <w:kern w:val="0"/>
          <w:szCs w:val="21"/>
        </w:rPr>
        <w:t>重点：</w:t>
      </w:r>
      <w:r>
        <w:rPr>
          <w:rFonts w:hint="eastAsia"/>
          <w:bCs/>
          <w:snapToGrid w:val="0"/>
          <w:kern w:val="0"/>
          <w:szCs w:val="21"/>
        </w:rPr>
        <w:t>交流电</w:t>
      </w:r>
      <w:r>
        <w:rPr>
          <w:bCs/>
          <w:snapToGrid w:val="0"/>
          <w:kern w:val="0"/>
          <w:szCs w:val="21"/>
        </w:rPr>
        <w:t>；</w:t>
      </w:r>
      <w:r>
        <w:rPr>
          <w:rFonts w:hint="eastAsia"/>
          <w:bCs/>
          <w:snapToGrid w:val="0"/>
          <w:kern w:val="0"/>
          <w:szCs w:val="21"/>
        </w:rPr>
        <w:t>能够使用</w:t>
      </w:r>
      <w:r>
        <w:rPr>
          <w:bCs/>
          <w:snapToGrid w:val="0"/>
          <w:kern w:val="0"/>
          <w:szCs w:val="21"/>
        </w:rPr>
        <w:t>相关的专业词汇以及典型的英文表述与表达方法，对涉及该部分内容的科技文献具有一定的双向翻译能力。</w:t>
      </w:r>
      <w:r>
        <w:rPr>
          <w:rFonts w:hint="eastAsia"/>
          <w:bCs/>
          <w:snapToGrid w:val="0"/>
          <w:kern w:val="0"/>
          <w:szCs w:val="21"/>
        </w:rPr>
        <w:t>进行PPT演讲。</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6 Color television</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6.1、“彩色电视机”的外文描述；</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6.2、专业外语中简单句与并列句的用法。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1,2</w:t>
      </w:r>
    </w:p>
    <w:p>
      <w:pPr>
        <w:widowControl/>
        <w:tabs>
          <w:tab w:val="left" w:pos="900"/>
        </w:tabs>
        <w:spacing w:line="360" w:lineRule="auto"/>
        <w:ind w:left="426"/>
        <w:jc w:val="left"/>
        <w:rPr>
          <w:bCs/>
          <w:snapToGrid w:val="0"/>
          <w:kern w:val="0"/>
          <w:szCs w:val="21"/>
        </w:rPr>
      </w:pPr>
      <w:r>
        <w:rPr>
          <w:bCs/>
          <w:snapToGrid w:val="0"/>
          <w:kern w:val="0"/>
          <w:szCs w:val="21"/>
        </w:rPr>
        <w:t>重点：</w:t>
      </w:r>
      <w:r>
        <w:rPr>
          <w:rFonts w:hint="eastAsia"/>
          <w:bCs/>
          <w:snapToGrid w:val="0"/>
          <w:kern w:val="0"/>
          <w:szCs w:val="21"/>
        </w:rPr>
        <w:t>彩色电视机</w:t>
      </w:r>
      <w:r>
        <w:rPr>
          <w:bCs/>
          <w:snapToGrid w:val="0"/>
          <w:kern w:val="0"/>
          <w:szCs w:val="21"/>
        </w:rPr>
        <w:t>；</w:t>
      </w:r>
      <w:r>
        <w:rPr>
          <w:rFonts w:hint="eastAsia"/>
          <w:bCs/>
          <w:snapToGrid w:val="0"/>
          <w:kern w:val="0"/>
          <w:szCs w:val="21"/>
        </w:rPr>
        <w:t>能够使用</w:t>
      </w:r>
      <w:r>
        <w:rPr>
          <w:bCs/>
          <w:snapToGrid w:val="0"/>
          <w:kern w:val="0"/>
          <w:szCs w:val="21"/>
        </w:rPr>
        <w:t>相关的专业词汇以及典型的英文表述与表达方法，对涉及该部分内容的科技文献具有一定的双向翻译能力。</w:t>
      </w:r>
      <w:r>
        <w:rPr>
          <w:rFonts w:hint="eastAsia"/>
          <w:bCs/>
          <w:snapToGrid w:val="0"/>
          <w:kern w:val="0"/>
          <w:szCs w:val="21"/>
        </w:rPr>
        <w:t>进行PPT演讲。</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7 Series-</w:t>
      </w:r>
      <w:r>
        <w:rPr>
          <w:rFonts w:cs="宋体"/>
          <w:snapToGrid w:val="0"/>
          <w:color w:val="000000" w:themeColor="text1"/>
          <w:kern w:val="0"/>
          <w:szCs w:val="21"/>
          <w14:textFill>
            <w14:solidFill>
              <w14:schemeClr w14:val="tx1"/>
            </w14:solidFill>
          </w14:textFill>
        </w:rPr>
        <w:t>parallel</w:t>
      </w:r>
      <w:r>
        <w:rPr>
          <w:rFonts w:hint="eastAsia" w:cs="宋体"/>
          <w:snapToGrid w:val="0"/>
          <w:color w:val="000000" w:themeColor="text1"/>
          <w:kern w:val="0"/>
          <w:szCs w:val="21"/>
          <w14:textFill>
            <w14:solidFill>
              <w14:schemeClr w14:val="tx1"/>
            </w14:solidFill>
          </w14:textFill>
        </w:rPr>
        <w:t xml:space="preserve"> resistor circuits</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7.1、“串并联电阻电路”的外文描述；</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7.2、专业外语中同位语从句的用法。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3</w:t>
      </w:r>
    </w:p>
    <w:p>
      <w:pPr>
        <w:widowControl/>
        <w:tabs>
          <w:tab w:val="left" w:pos="900"/>
        </w:tabs>
        <w:spacing w:line="360" w:lineRule="auto"/>
        <w:ind w:left="426"/>
        <w:jc w:val="left"/>
        <w:rPr>
          <w:bCs/>
          <w:snapToGrid w:val="0"/>
          <w:kern w:val="0"/>
          <w:szCs w:val="21"/>
        </w:rPr>
      </w:pPr>
      <w:r>
        <w:rPr>
          <w:bCs/>
          <w:snapToGrid w:val="0"/>
          <w:kern w:val="0"/>
          <w:szCs w:val="21"/>
        </w:rPr>
        <w:t>重点：使学生</w:t>
      </w:r>
      <w:r>
        <w:rPr>
          <w:rFonts w:hint="eastAsia"/>
          <w:bCs/>
          <w:snapToGrid w:val="0"/>
          <w:kern w:val="0"/>
          <w:szCs w:val="21"/>
        </w:rPr>
        <w:t>能够使用</w:t>
      </w:r>
      <w:r>
        <w:rPr>
          <w:bCs/>
          <w:snapToGrid w:val="0"/>
          <w:kern w:val="0"/>
          <w:szCs w:val="21"/>
        </w:rPr>
        <w:t>与</w:t>
      </w:r>
      <w:r>
        <w:rPr>
          <w:rFonts w:hint="eastAsia"/>
          <w:bCs/>
          <w:snapToGrid w:val="0"/>
          <w:kern w:val="0"/>
          <w:szCs w:val="21"/>
        </w:rPr>
        <w:t>串并联电路</w:t>
      </w:r>
      <w:r>
        <w:rPr>
          <w:bCs/>
          <w:snapToGrid w:val="0"/>
          <w:kern w:val="0"/>
          <w:szCs w:val="21"/>
        </w:rPr>
        <w:t>相关的专业词汇，包括典型的句式的英文表述与表达方法。</w:t>
      </w:r>
      <w:r>
        <w:rPr>
          <w:rFonts w:hint="eastAsia"/>
          <w:bCs/>
          <w:snapToGrid w:val="0"/>
          <w:kern w:val="0"/>
          <w:szCs w:val="21"/>
        </w:rPr>
        <w:t>进行PPT演讲。</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8 Measuring voltages with oscilloscopes</w:t>
      </w:r>
      <w:r>
        <w:rPr>
          <w:rFonts w:hint="eastAsia" w:eastAsia="黑体" w:cs="宋体"/>
          <w:snapToGrid w:val="0"/>
          <w:color w:val="000000" w:themeColor="text1"/>
          <w:kern w:val="0"/>
          <w:szCs w:val="21"/>
          <w14:textFill>
            <w14:solidFill>
              <w14:schemeClr w14:val="tx1"/>
            </w14:solidFill>
          </w14:textFill>
        </w:rPr>
        <w:t>（2学时）</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8.1、“基于示波器的电压测量”的外文描述；</w:t>
      </w:r>
    </w:p>
    <w:p>
      <w:pPr>
        <w:widowControl/>
        <w:adjustRightInd w:val="0"/>
        <w:snapToGrid w:val="0"/>
        <w:spacing w:line="360" w:lineRule="auto"/>
        <w:ind w:left="426"/>
        <w:jc w:val="left"/>
        <w:rPr>
          <w:rFonts w:cs="宋体"/>
          <w:snapToGrid w:val="0"/>
          <w:color w:val="000000" w:themeColor="text1"/>
          <w:kern w:val="0"/>
          <w:szCs w:val="21"/>
          <w14:textFill>
            <w14:solidFill>
              <w14:schemeClr w14:val="tx1"/>
            </w14:solidFill>
          </w14:textFill>
        </w:rPr>
      </w:pPr>
      <w:r>
        <w:rPr>
          <w:rFonts w:hint="eastAsia" w:cs="宋体"/>
          <w:snapToGrid w:val="0"/>
          <w:color w:val="000000" w:themeColor="text1"/>
          <w:kern w:val="0"/>
          <w:szCs w:val="21"/>
          <w14:textFill>
            <w14:solidFill>
              <w14:schemeClr w14:val="tx1"/>
            </w14:solidFill>
          </w14:textFill>
        </w:rPr>
        <w:t>8.2、专业外语中名词性从句的用法。</w:t>
      </w:r>
    </w:p>
    <w:p>
      <w:pPr>
        <w:widowControl/>
        <w:tabs>
          <w:tab w:val="left" w:pos="900"/>
        </w:tabs>
        <w:spacing w:line="360" w:lineRule="auto"/>
        <w:ind w:left="426"/>
        <w:jc w:val="left"/>
        <w:rPr>
          <w:rFonts w:cstheme="minorBidi"/>
          <w:bCs/>
          <w:snapToGrid w:val="0"/>
          <w:kern w:val="0"/>
          <w:szCs w:val="21"/>
        </w:rPr>
      </w:pPr>
      <w:r>
        <w:rPr>
          <w:rFonts w:cstheme="minorBidi"/>
          <w:bCs/>
          <w:snapToGrid w:val="0"/>
          <w:kern w:val="0"/>
          <w:szCs w:val="21"/>
        </w:rPr>
        <w:t>本章内容支撑课程目标</w:t>
      </w:r>
      <w:r>
        <w:rPr>
          <w:rFonts w:hint="eastAsia" w:cstheme="minorBidi"/>
          <w:bCs/>
          <w:snapToGrid w:val="0"/>
          <w:kern w:val="0"/>
          <w:szCs w:val="21"/>
        </w:rPr>
        <w:t>3</w:t>
      </w:r>
    </w:p>
    <w:p>
      <w:pPr>
        <w:widowControl/>
        <w:tabs>
          <w:tab w:val="left" w:pos="900"/>
        </w:tabs>
        <w:spacing w:line="360" w:lineRule="auto"/>
        <w:ind w:left="426"/>
        <w:jc w:val="left"/>
        <w:rPr>
          <w:bCs/>
          <w:snapToGrid w:val="0"/>
          <w:kern w:val="0"/>
          <w:szCs w:val="21"/>
        </w:rPr>
      </w:pPr>
      <w:r>
        <w:rPr>
          <w:bCs/>
          <w:snapToGrid w:val="0"/>
          <w:kern w:val="0"/>
          <w:szCs w:val="21"/>
        </w:rPr>
        <w:t>重点：使学生</w:t>
      </w:r>
      <w:r>
        <w:rPr>
          <w:rFonts w:hint="eastAsia"/>
          <w:bCs/>
          <w:snapToGrid w:val="0"/>
          <w:kern w:val="0"/>
          <w:szCs w:val="21"/>
        </w:rPr>
        <w:t>能够使用</w:t>
      </w:r>
      <w:r>
        <w:rPr>
          <w:bCs/>
          <w:snapToGrid w:val="0"/>
          <w:kern w:val="0"/>
          <w:szCs w:val="21"/>
        </w:rPr>
        <w:t>与</w:t>
      </w:r>
      <w:r>
        <w:rPr>
          <w:rFonts w:hint="eastAsia"/>
          <w:bCs/>
          <w:snapToGrid w:val="0"/>
          <w:kern w:val="0"/>
          <w:szCs w:val="21"/>
        </w:rPr>
        <w:t>示波器</w:t>
      </w:r>
      <w:r>
        <w:rPr>
          <w:bCs/>
          <w:snapToGrid w:val="0"/>
          <w:kern w:val="0"/>
          <w:szCs w:val="21"/>
        </w:rPr>
        <w:t>相关的专业词汇，包括典型的句式的英文表述与表达方法。</w:t>
      </w:r>
      <w:r>
        <w:rPr>
          <w:rFonts w:hint="eastAsia"/>
          <w:bCs/>
          <w:snapToGrid w:val="0"/>
          <w:kern w:val="0"/>
          <w:szCs w:val="21"/>
        </w:rPr>
        <w:t>进行PPT演讲。</w:t>
      </w:r>
    </w:p>
    <w:p>
      <w:pPr>
        <w:tabs>
          <w:tab w:val="left" w:pos="420"/>
        </w:tabs>
        <w:adjustRightInd w:val="0"/>
        <w:snapToGrid w:val="0"/>
        <w:spacing w:line="360" w:lineRule="auto"/>
        <w:rPr>
          <w:rFonts w:eastAsia="黑体"/>
          <w:color w:val="000000" w:themeColor="text1"/>
          <w:szCs w:val="24"/>
          <w14:textFill>
            <w14:solidFill>
              <w14:schemeClr w14:val="tx1"/>
            </w14:solidFill>
          </w14:textFill>
        </w:rPr>
      </w:pP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pPr>
      <w:r>
        <w:rPr>
          <w:rFonts w:hint="eastAsia" w:eastAsia="黑体"/>
          <w:color w:val="000000" w:themeColor="text1"/>
          <w:szCs w:val="24"/>
          <w14:textFill>
            <w14:solidFill>
              <w14:schemeClr w14:val="tx1"/>
            </w14:solidFill>
          </w14:textFill>
        </w:rPr>
        <w:t>五、实验内容</w:t>
      </w:r>
      <w:r>
        <w:rPr>
          <w:rFonts w:hint="eastAsia" w:ascii="黑体" w:hAnsi="宋体" w:eastAsia="黑体" w:cs="宋体"/>
          <w:snapToGrid w:val="0"/>
          <w:color w:val="000000" w:themeColor="text1"/>
          <w:kern w:val="0"/>
          <w:szCs w:val="21"/>
          <w14:textFill>
            <w14:solidFill>
              <w14:schemeClr w14:val="tx1"/>
            </w14:solidFill>
          </w14:textFill>
        </w:rPr>
        <w:t>（没有实验的课也要保留本章节，内容写“无”）</w:t>
      </w:r>
    </w:p>
    <w:p>
      <w:pPr>
        <w:widowControl/>
        <w:tabs>
          <w:tab w:val="left" w:pos="720"/>
        </w:tabs>
        <w:adjustRightInd w:val="0"/>
        <w:snapToGrid w:val="0"/>
        <w:spacing w:line="360" w:lineRule="auto"/>
        <w:ind w:firstLine="420" w:firstLineChars="200"/>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无</w:t>
      </w:r>
    </w:p>
    <w:p>
      <w:pPr>
        <w:widowControl/>
        <w:tabs>
          <w:tab w:val="left" w:pos="720"/>
        </w:tabs>
        <w:adjustRightInd w:val="0"/>
        <w:snapToGrid w:val="0"/>
        <w:spacing w:line="360" w:lineRule="auto"/>
        <w:ind w:firstLine="420" w:firstLineChars="200"/>
        <w:jc w:val="left"/>
        <w:rPr>
          <w:rFonts w:cs="宋体"/>
          <w:color w:val="000000" w:themeColor="text1"/>
          <w:kern w:val="0"/>
          <w:szCs w:val="21"/>
          <w14:textFill>
            <w14:solidFill>
              <w14:schemeClr w14:val="tx1"/>
            </w14:solidFill>
          </w14:textFill>
        </w:rPr>
      </w:pPr>
    </w:p>
    <w:p>
      <w:pPr>
        <w:widowControl/>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1581"/>
        <w:gridCol w:w="1591"/>
        <w:gridCol w:w="9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讲授的知识点及内容</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讲授（学时）</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实验（学时）</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1 </w:t>
            </w:r>
            <w:r>
              <w:rPr>
                <w:rFonts w:hint="eastAsia" w:cs="宋体"/>
                <w:snapToGrid w:val="0"/>
                <w:color w:val="000000" w:themeColor="text1"/>
                <w:kern w:val="0"/>
                <w:sz w:val="18"/>
                <w:szCs w:val="18"/>
                <w14:textFill>
                  <w14:solidFill>
                    <w14:schemeClr w14:val="tx1"/>
                  </w14:solidFill>
                </w14:textFill>
              </w:rPr>
              <w:t>The importance of English</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2 </w:t>
            </w:r>
            <w:r>
              <w:rPr>
                <w:rFonts w:hint="eastAsia" w:cs="宋体"/>
                <w:snapToGrid w:val="0"/>
                <w:color w:val="000000" w:themeColor="text1"/>
                <w:kern w:val="0"/>
                <w:sz w:val="18"/>
                <w:szCs w:val="18"/>
                <w14:textFill>
                  <w14:solidFill>
                    <w14:schemeClr w14:val="tx1"/>
                  </w14:solidFill>
                </w14:textFill>
              </w:rPr>
              <w:t>What is electricity</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3 </w:t>
            </w:r>
            <w:r>
              <w:rPr>
                <w:rFonts w:hint="eastAsia" w:cs="宋体"/>
                <w:snapToGrid w:val="0"/>
                <w:color w:val="000000" w:themeColor="text1"/>
                <w:kern w:val="0"/>
                <w:sz w:val="18"/>
                <w:szCs w:val="18"/>
                <w14:textFill>
                  <w14:solidFill>
                    <w14:schemeClr w14:val="tx1"/>
                  </w14:solidFill>
                </w14:textFill>
              </w:rPr>
              <w:t>Sources of electricity and electric circuit</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4 </w:t>
            </w:r>
            <w:r>
              <w:rPr>
                <w:rFonts w:hint="eastAsia" w:cs="宋体"/>
                <w:snapToGrid w:val="0"/>
                <w:color w:val="000000" w:themeColor="text1"/>
                <w:kern w:val="0"/>
                <w:sz w:val="18"/>
                <w:szCs w:val="18"/>
                <w14:textFill>
                  <w14:solidFill>
                    <w14:schemeClr w14:val="tx1"/>
                  </w14:solidFill>
                </w14:textFill>
              </w:rPr>
              <w:t>Some laws and formulas about circuit</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5 </w:t>
            </w:r>
            <w:r>
              <w:rPr>
                <w:rFonts w:hint="eastAsia" w:cs="宋体"/>
                <w:snapToGrid w:val="0"/>
                <w:color w:val="000000" w:themeColor="text1"/>
                <w:kern w:val="0"/>
                <w:sz w:val="18"/>
                <w:szCs w:val="18"/>
                <w14:textFill>
                  <w14:solidFill>
                    <w14:schemeClr w14:val="tx1"/>
                  </w14:solidFill>
                </w14:textFill>
              </w:rPr>
              <w:t>Alternating current</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6 </w:t>
            </w:r>
            <w:r>
              <w:rPr>
                <w:rFonts w:hint="eastAsia" w:cs="宋体"/>
                <w:snapToGrid w:val="0"/>
                <w:color w:val="000000" w:themeColor="text1"/>
                <w:kern w:val="0"/>
                <w:sz w:val="18"/>
                <w:szCs w:val="18"/>
                <w14:textFill>
                  <w14:solidFill>
                    <w14:schemeClr w14:val="tx1"/>
                  </w14:solidFill>
                </w14:textFill>
              </w:rPr>
              <w:t>Color television</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bCs/>
                <w:snapToGrid w:val="0"/>
                <w:kern w:val="0"/>
                <w:sz w:val="18"/>
                <w:szCs w:val="18"/>
              </w:rPr>
              <w:t xml:space="preserve">7 </w:t>
            </w:r>
            <w:r>
              <w:rPr>
                <w:rFonts w:hint="eastAsia" w:cs="宋体"/>
                <w:snapToGrid w:val="0"/>
                <w:color w:val="000000" w:themeColor="text1"/>
                <w:kern w:val="0"/>
                <w:sz w:val="18"/>
                <w:szCs w:val="18"/>
                <w14:textFill>
                  <w14:solidFill>
                    <w14:schemeClr w14:val="tx1"/>
                  </w14:solidFill>
                </w14:textFill>
              </w:rPr>
              <w:t>Series-</w:t>
            </w:r>
            <w:r>
              <w:rPr>
                <w:rFonts w:cs="宋体"/>
                <w:snapToGrid w:val="0"/>
                <w:color w:val="000000" w:themeColor="text1"/>
                <w:kern w:val="0"/>
                <w:sz w:val="18"/>
                <w:szCs w:val="18"/>
                <w14:textFill>
                  <w14:solidFill>
                    <w14:schemeClr w14:val="tx1"/>
                  </w14:solidFill>
                </w14:textFill>
              </w:rPr>
              <w:t>parallel</w:t>
            </w:r>
            <w:r>
              <w:rPr>
                <w:rFonts w:hint="eastAsia" w:cs="宋体"/>
                <w:snapToGrid w:val="0"/>
                <w:color w:val="000000" w:themeColor="text1"/>
                <w:kern w:val="0"/>
                <w:sz w:val="18"/>
                <w:szCs w:val="18"/>
                <w14:textFill>
                  <w14:solidFill>
                    <w14:schemeClr w14:val="tx1"/>
                  </w14:solidFill>
                </w14:textFill>
              </w:rPr>
              <w:t xml:space="preserve"> resistor circuits</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ind w:left="174" w:leftChars="83"/>
              <w:jc w:val="left"/>
              <w:rPr>
                <w:bCs/>
                <w:snapToGrid w:val="0"/>
                <w:kern w:val="0"/>
                <w:sz w:val="18"/>
                <w:szCs w:val="18"/>
              </w:rPr>
            </w:pPr>
            <w:r>
              <w:rPr>
                <w:rFonts w:hint="eastAsia"/>
                <w:bCs/>
                <w:snapToGrid w:val="0"/>
                <w:kern w:val="0"/>
                <w:sz w:val="18"/>
                <w:szCs w:val="18"/>
              </w:rPr>
              <w:t xml:space="preserve">8 </w:t>
            </w:r>
            <w:r>
              <w:rPr>
                <w:rFonts w:hint="eastAsia" w:cs="宋体"/>
                <w:snapToGrid w:val="0"/>
                <w:color w:val="000000" w:themeColor="text1"/>
                <w:kern w:val="0"/>
                <w:sz w:val="18"/>
                <w:szCs w:val="18"/>
                <w14:textFill>
                  <w14:solidFill>
                    <w14:schemeClr w14:val="tx1"/>
                  </w14:solidFill>
                </w14:textFill>
              </w:rPr>
              <w:t>Measuring voltages with oscilloscopes</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合计</w:t>
            </w:r>
          </w:p>
        </w:tc>
        <w:tc>
          <w:tcPr>
            <w:tcW w:w="951"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16</w:t>
            </w:r>
          </w:p>
        </w:tc>
        <w:tc>
          <w:tcPr>
            <w:tcW w:w="957" w:type="pct"/>
            <w:vAlign w:val="center"/>
          </w:tcPr>
          <w:p>
            <w:pPr>
              <w:widowControl/>
              <w:adjustRightInd w:val="0"/>
              <w:snapToGrid w:val="0"/>
              <w:spacing w:before="100" w:beforeAutospacing="1" w:after="100" w:afterAutospacing="1"/>
              <w:jc w:val="center"/>
              <w:rPr>
                <w:bCs/>
                <w:snapToGrid w:val="0"/>
                <w:kern w:val="0"/>
                <w:sz w:val="18"/>
                <w:szCs w:val="18"/>
              </w:rPr>
            </w:pPr>
            <w:r>
              <w:rPr>
                <w:rFonts w:hint="eastAsia"/>
                <w:bCs/>
                <w:snapToGrid w:val="0"/>
                <w:kern w:val="0"/>
                <w:sz w:val="18"/>
                <w:szCs w:val="18"/>
              </w:rPr>
              <w:t>0</w:t>
            </w:r>
          </w:p>
        </w:tc>
        <w:tc>
          <w:tcPr>
            <w:tcW w:w="580" w:type="pct"/>
            <w:vAlign w:val="center"/>
          </w:tcPr>
          <w:p>
            <w:pPr>
              <w:widowControl/>
              <w:adjustRightInd w:val="0"/>
              <w:snapToGrid w:val="0"/>
              <w:spacing w:before="100" w:beforeAutospacing="1" w:after="100" w:afterAutospacing="1"/>
              <w:jc w:val="center"/>
              <w:rPr>
                <w:bCs/>
                <w:snapToGrid w:val="0"/>
                <w:kern w:val="0"/>
                <w:sz w:val="18"/>
                <w:szCs w:val="18"/>
              </w:rPr>
            </w:pPr>
            <w:r>
              <w:rPr>
                <w:bCs/>
                <w:snapToGrid w:val="0"/>
                <w:kern w:val="0"/>
                <w:sz w:val="18"/>
                <w:szCs w:val="18"/>
              </w:rPr>
              <w:t>16</w:t>
            </w:r>
          </w:p>
        </w:tc>
      </w:tr>
    </w:tbl>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eastAsia="黑体"/>
          <w:szCs w:val="24"/>
        </w:rPr>
        <w:t>七、教材、补充教材及参考资料</w:t>
      </w:r>
    </w:p>
    <w:p>
      <w:pPr>
        <w:spacing w:line="360" w:lineRule="auto"/>
        <w:ind w:firstLine="420" w:firstLineChars="200"/>
        <w:rPr>
          <w:szCs w:val="21"/>
        </w:rPr>
      </w:pPr>
      <w:r>
        <w:rPr>
          <w:szCs w:val="21"/>
        </w:rPr>
        <w:t>1、</w:t>
      </w:r>
      <w:r>
        <w:rPr>
          <w:rFonts w:hint="eastAsia"/>
          <w:szCs w:val="21"/>
        </w:rPr>
        <w:t>孙萍</w:t>
      </w:r>
      <w:r>
        <w:rPr>
          <w:szCs w:val="21"/>
        </w:rPr>
        <w:t>，《</w:t>
      </w:r>
      <w:r>
        <w:rPr>
          <w:rFonts w:hint="eastAsia"/>
          <w:szCs w:val="21"/>
        </w:rPr>
        <w:t>电子技术</w:t>
      </w:r>
      <w:r>
        <w:rPr>
          <w:szCs w:val="21"/>
        </w:rPr>
        <w:t xml:space="preserve">专业英语》，ISBN: </w:t>
      </w:r>
      <w:r>
        <w:rPr>
          <w:rFonts w:hint="eastAsia"/>
          <w:szCs w:val="21"/>
        </w:rPr>
        <w:t>9787111083085，</w:t>
      </w:r>
      <w:r>
        <w:rPr>
          <w:szCs w:val="21"/>
        </w:rPr>
        <w:t>机械工业出版社。</w:t>
      </w:r>
    </w:p>
    <w:p>
      <w:pPr>
        <w:spacing w:line="360" w:lineRule="auto"/>
        <w:ind w:firstLine="420" w:firstLineChars="200"/>
        <w:rPr>
          <w:szCs w:val="21"/>
        </w:rPr>
      </w:pPr>
      <w:r>
        <w:rPr>
          <w:szCs w:val="21"/>
        </w:rPr>
        <w:t>2、瞿少成，《电子信息工程专业英语导论》，ISBN:9787302170655，清华大学出版社。</w:t>
      </w:r>
    </w:p>
    <w:p>
      <w:pPr>
        <w:spacing w:line="360" w:lineRule="auto"/>
        <w:ind w:firstLine="420" w:firstLineChars="200"/>
        <w:rPr>
          <w:szCs w:val="21"/>
        </w:rPr>
      </w:pPr>
      <w:r>
        <w:rPr>
          <w:rFonts w:hint="eastAsia"/>
          <w:szCs w:val="21"/>
        </w:rPr>
        <w:t>3</w:t>
      </w:r>
      <w:r>
        <w:rPr>
          <w:szCs w:val="21"/>
        </w:rPr>
        <w:t>、邓红，《电子信息专业英语》，ISBN: 9787040108644，机械工业出版社。</w:t>
      </w:r>
    </w:p>
    <w:p>
      <w:pPr>
        <w:spacing w:line="360" w:lineRule="auto"/>
        <w:ind w:firstLine="420" w:firstLineChars="200"/>
        <w:rPr>
          <w:szCs w:val="21"/>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rFonts w:hint="eastAsia"/>
          <w:szCs w:val="21"/>
        </w:rPr>
        <w:t>1、采取措施：讲授与提问并重，学生每堂课分模块进行分组，对教学内容进行现场翻译与讨论。</w:t>
      </w:r>
    </w:p>
    <w:p>
      <w:pPr>
        <w:spacing w:line="360" w:lineRule="auto"/>
        <w:ind w:firstLine="420" w:firstLineChars="200"/>
        <w:rPr>
          <w:szCs w:val="21"/>
        </w:rPr>
      </w:pPr>
      <w:r>
        <w:rPr>
          <w:rFonts w:hint="eastAsia"/>
          <w:szCs w:val="21"/>
        </w:rPr>
        <w:t>2、考核方式：出勤、课堂提问、课内/外作业、综合报告。</w:t>
      </w:r>
    </w:p>
    <w:p>
      <w:pPr>
        <w:spacing w:line="360" w:lineRule="auto"/>
        <w:ind w:firstLine="420" w:firstLineChars="200"/>
        <w:rPr>
          <w:szCs w:val="21"/>
        </w:rPr>
      </w:pPr>
      <w:r>
        <w:rPr>
          <w:rFonts w:hint="eastAsia"/>
          <w:szCs w:val="21"/>
        </w:rPr>
        <w:t>3、考核目标：在考核学生对电子科学与技术基本知识、基本原理和方法理解的基础上，重点考核学生的英语运用能力、语言掌握程度、以及现代外文网络工具使用方法的掌握程度。</w:t>
      </w:r>
    </w:p>
    <w:p>
      <w:pPr>
        <w:spacing w:line="360" w:lineRule="auto"/>
        <w:ind w:firstLine="420" w:firstLineChars="200"/>
        <w:jc w:val="left"/>
        <w:rPr>
          <w:b/>
          <w:szCs w:val="21"/>
        </w:rPr>
      </w:pPr>
      <w:r>
        <w:rPr>
          <w:rFonts w:hint="eastAsia"/>
          <w:szCs w:val="21"/>
        </w:rPr>
        <w:t>4、评价环节对课程目标达成贡献率及支撑材料：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684"/>
        <w:gridCol w:w="1686"/>
        <w:gridCol w:w="1686"/>
        <w:gridCol w:w="14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60" w:type="pct"/>
            <w:vAlign w:val="center"/>
          </w:tcPr>
          <w:p>
            <w:pPr>
              <w:widowControl/>
              <w:jc w:val="center"/>
              <w:rPr>
                <w:color w:val="000000"/>
                <w:kern w:val="0"/>
                <w:sz w:val="18"/>
              </w:rPr>
            </w:pPr>
            <w:r>
              <w:rPr>
                <w:color w:val="000000"/>
                <w:kern w:val="0"/>
                <w:sz w:val="18"/>
              </w:rPr>
              <w:t>考察环节</w:t>
            </w:r>
          </w:p>
        </w:tc>
        <w:tc>
          <w:tcPr>
            <w:tcW w:w="1013" w:type="pct"/>
            <w:shd w:val="clear" w:color="auto" w:fill="auto"/>
            <w:vAlign w:val="center"/>
          </w:tcPr>
          <w:p>
            <w:pPr>
              <w:widowControl/>
              <w:jc w:val="center"/>
              <w:rPr>
                <w:color w:val="000000"/>
                <w:kern w:val="0"/>
                <w:sz w:val="18"/>
              </w:rPr>
            </w:pPr>
            <w:r>
              <w:rPr>
                <w:color w:val="000000"/>
                <w:kern w:val="0"/>
                <w:sz w:val="18"/>
              </w:rPr>
              <w:t>课堂提问</w:t>
            </w:r>
          </w:p>
        </w:tc>
        <w:tc>
          <w:tcPr>
            <w:tcW w:w="1014" w:type="pct"/>
            <w:shd w:val="clear" w:color="auto" w:fill="auto"/>
            <w:vAlign w:val="center"/>
          </w:tcPr>
          <w:p>
            <w:pPr>
              <w:widowControl/>
              <w:jc w:val="center"/>
              <w:rPr>
                <w:color w:val="000000"/>
                <w:kern w:val="0"/>
                <w:sz w:val="18"/>
              </w:rPr>
            </w:pPr>
            <w:r>
              <w:rPr>
                <w:rFonts w:hint="eastAsia"/>
                <w:color w:val="000000"/>
                <w:kern w:val="0"/>
                <w:sz w:val="18"/>
              </w:rPr>
              <w:t>课堂</w:t>
            </w:r>
            <w:r>
              <w:rPr>
                <w:color w:val="000000"/>
                <w:kern w:val="0"/>
                <w:sz w:val="18"/>
              </w:rPr>
              <w:t>作业</w:t>
            </w:r>
          </w:p>
        </w:tc>
        <w:tc>
          <w:tcPr>
            <w:tcW w:w="1014" w:type="pct"/>
            <w:shd w:val="clear" w:color="auto" w:fill="auto"/>
            <w:vAlign w:val="center"/>
          </w:tcPr>
          <w:p>
            <w:pPr>
              <w:widowControl/>
              <w:jc w:val="center"/>
              <w:rPr>
                <w:color w:val="000000"/>
                <w:kern w:val="0"/>
                <w:sz w:val="18"/>
              </w:rPr>
            </w:pPr>
            <w:r>
              <w:rPr>
                <w:color w:val="000000"/>
                <w:kern w:val="0"/>
                <w:sz w:val="18"/>
              </w:rPr>
              <w:t>课外</w:t>
            </w:r>
            <w:r>
              <w:rPr>
                <w:rFonts w:hint="eastAsia"/>
                <w:color w:val="000000"/>
                <w:kern w:val="0"/>
                <w:sz w:val="18"/>
              </w:rPr>
              <w:t>作业</w:t>
            </w:r>
          </w:p>
        </w:tc>
        <w:tc>
          <w:tcPr>
            <w:tcW w:w="899" w:type="pct"/>
            <w:shd w:val="clear" w:color="auto" w:fill="auto"/>
            <w:vAlign w:val="center"/>
          </w:tcPr>
          <w:p>
            <w:pPr>
              <w:widowControl/>
              <w:jc w:val="center"/>
              <w:rPr>
                <w:color w:val="000000"/>
                <w:kern w:val="0"/>
                <w:sz w:val="18"/>
              </w:rPr>
            </w:pPr>
            <w:r>
              <w:rPr>
                <w:rFonts w:hint="eastAsia"/>
                <w:color w:val="000000"/>
                <w:kern w:val="0"/>
                <w:sz w:val="18"/>
              </w:rPr>
              <w:t>综合报告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0" w:type="pct"/>
            <w:vAlign w:val="center"/>
          </w:tcPr>
          <w:p>
            <w:pPr>
              <w:widowControl/>
              <w:jc w:val="center"/>
              <w:rPr>
                <w:color w:val="000000"/>
                <w:kern w:val="0"/>
                <w:sz w:val="18"/>
              </w:rPr>
            </w:pPr>
            <w:r>
              <w:rPr>
                <w:color w:val="000000"/>
                <w:kern w:val="0"/>
                <w:sz w:val="18"/>
              </w:rPr>
              <w:t>课程目标达成</w:t>
            </w:r>
          </w:p>
          <w:p>
            <w:pPr>
              <w:widowControl/>
              <w:jc w:val="center"/>
              <w:rPr>
                <w:color w:val="000000"/>
                <w:kern w:val="0"/>
                <w:sz w:val="18"/>
              </w:rPr>
            </w:pPr>
            <w:r>
              <w:rPr>
                <w:color w:val="000000"/>
                <w:kern w:val="0"/>
                <w:sz w:val="18"/>
              </w:rPr>
              <w:t>的贡献率</w:t>
            </w:r>
          </w:p>
        </w:tc>
        <w:tc>
          <w:tcPr>
            <w:tcW w:w="1013" w:type="pct"/>
            <w:shd w:val="clear" w:color="auto" w:fill="auto"/>
            <w:vAlign w:val="center"/>
          </w:tcPr>
          <w:p>
            <w:pPr>
              <w:widowControl/>
              <w:jc w:val="center"/>
              <w:rPr>
                <w:color w:val="000000"/>
                <w:kern w:val="0"/>
                <w:sz w:val="18"/>
                <w:szCs w:val="22"/>
              </w:rPr>
            </w:pPr>
            <w:r>
              <w:rPr>
                <w:color w:val="000000"/>
                <w:kern w:val="0"/>
                <w:sz w:val="18"/>
                <w:szCs w:val="22"/>
              </w:rPr>
              <w:t xml:space="preserve">0.10 </w:t>
            </w:r>
          </w:p>
        </w:tc>
        <w:tc>
          <w:tcPr>
            <w:tcW w:w="1014" w:type="pct"/>
            <w:shd w:val="clear" w:color="auto" w:fill="auto"/>
            <w:vAlign w:val="center"/>
          </w:tcPr>
          <w:p>
            <w:pPr>
              <w:widowControl/>
              <w:jc w:val="center"/>
              <w:rPr>
                <w:color w:val="000000"/>
                <w:kern w:val="0"/>
                <w:sz w:val="18"/>
                <w:szCs w:val="22"/>
              </w:rPr>
            </w:pPr>
            <w:r>
              <w:rPr>
                <w:color w:val="000000"/>
                <w:kern w:val="0"/>
                <w:sz w:val="18"/>
                <w:szCs w:val="22"/>
              </w:rPr>
              <w:t>0.</w:t>
            </w:r>
            <w:r>
              <w:rPr>
                <w:rFonts w:hint="eastAsia"/>
                <w:color w:val="000000"/>
                <w:kern w:val="0"/>
                <w:sz w:val="18"/>
                <w:szCs w:val="22"/>
              </w:rPr>
              <w:t>18</w:t>
            </w:r>
          </w:p>
        </w:tc>
        <w:tc>
          <w:tcPr>
            <w:tcW w:w="1014" w:type="pct"/>
            <w:shd w:val="clear" w:color="auto" w:fill="auto"/>
            <w:vAlign w:val="center"/>
          </w:tcPr>
          <w:p>
            <w:pPr>
              <w:widowControl/>
              <w:jc w:val="center"/>
              <w:rPr>
                <w:color w:val="000000"/>
                <w:kern w:val="0"/>
                <w:sz w:val="18"/>
                <w:szCs w:val="22"/>
              </w:rPr>
            </w:pPr>
            <w:r>
              <w:rPr>
                <w:color w:val="000000"/>
                <w:kern w:val="0"/>
                <w:sz w:val="18"/>
                <w:szCs w:val="22"/>
              </w:rPr>
              <w:t>0.2</w:t>
            </w:r>
            <w:r>
              <w:rPr>
                <w:rFonts w:hint="eastAsia"/>
                <w:color w:val="000000"/>
                <w:kern w:val="0"/>
                <w:sz w:val="18"/>
                <w:szCs w:val="22"/>
              </w:rPr>
              <w:t>2</w:t>
            </w:r>
          </w:p>
        </w:tc>
        <w:tc>
          <w:tcPr>
            <w:tcW w:w="899" w:type="pct"/>
            <w:shd w:val="clear" w:color="auto" w:fill="auto"/>
            <w:vAlign w:val="center"/>
          </w:tcPr>
          <w:p>
            <w:pPr>
              <w:widowControl/>
              <w:jc w:val="center"/>
              <w:rPr>
                <w:color w:val="000000"/>
                <w:kern w:val="0"/>
                <w:sz w:val="18"/>
                <w:szCs w:val="22"/>
              </w:rPr>
            </w:pPr>
            <w:r>
              <w:rPr>
                <w:color w:val="000000"/>
                <w:kern w:val="0"/>
                <w:sz w:val="18"/>
                <w:szCs w:val="22"/>
              </w:rPr>
              <w:t xml:space="preserve">0.50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060" w:type="pct"/>
            <w:vAlign w:val="center"/>
          </w:tcPr>
          <w:p>
            <w:pPr>
              <w:widowControl/>
              <w:jc w:val="center"/>
              <w:rPr>
                <w:color w:val="000000"/>
                <w:kern w:val="0"/>
                <w:sz w:val="18"/>
              </w:rPr>
            </w:pPr>
            <w:r>
              <w:rPr>
                <w:color w:val="000000"/>
                <w:kern w:val="0"/>
                <w:sz w:val="18"/>
              </w:rPr>
              <w:t>支撑材料</w:t>
            </w:r>
          </w:p>
        </w:tc>
        <w:tc>
          <w:tcPr>
            <w:tcW w:w="1013" w:type="pct"/>
            <w:shd w:val="clear" w:color="auto" w:fill="auto"/>
            <w:vAlign w:val="center"/>
          </w:tcPr>
          <w:p>
            <w:pPr>
              <w:widowControl/>
              <w:jc w:val="center"/>
              <w:rPr>
                <w:color w:val="FF0000"/>
                <w:kern w:val="0"/>
                <w:sz w:val="18"/>
              </w:rPr>
            </w:pPr>
            <w:r>
              <w:rPr>
                <w:color w:val="000000"/>
                <w:kern w:val="0"/>
                <w:sz w:val="18"/>
              </w:rPr>
              <w:t>课内提问标准，出勤记录表</w:t>
            </w:r>
          </w:p>
        </w:tc>
        <w:tc>
          <w:tcPr>
            <w:tcW w:w="1014" w:type="pct"/>
            <w:shd w:val="clear" w:color="auto" w:fill="auto"/>
            <w:vAlign w:val="center"/>
          </w:tcPr>
          <w:p>
            <w:pPr>
              <w:widowControl/>
              <w:jc w:val="center"/>
              <w:rPr>
                <w:color w:val="000000"/>
                <w:kern w:val="0"/>
                <w:sz w:val="18"/>
              </w:rPr>
            </w:pPr>
            <w:r>
              <w:rPr>
                <w:color w:val="000000"/>
                <w:kern w:val="0"/>
                <w:sz w:val="18"/>
              </w:rPr>
              <w:t>作业评价标准、作业评分登记表</w:t>
            </w:r>
          </w:p>
        </w:tc>
        <w:tc>
          <w:tcPr>
            <w:tcW w:w="1014" w:type="pct"/>
            <w:shd w:val="clear" w:color="auto" w:fill="auto"/>
            <w:vAlign w:val="center"/>
          </w:tcPr>
          <w:p>
            <w:pPr>
              <w:widowControl/>
              <w:jc w:val="center"/>
              <w:rPr>
                <w:color w:val="000000"/>
                <w:kern w:val="0"/>
                <w:sz w:val="18"/>
              </w:rPr>
            </w:pPr>
            <w:r>
              <w:rPr>
                <w:color w:val="000000"/>
                <w:kern w:val="0"/>
                <w:sz w:val="18"/>
              </w:rPr>
              <w:t>作业评价标准、作业评分登记表</w:t>
            </w:r>
          </w:p>
        </w:tc>
        <w:tc>
          <w:tcPr>
            <w:tcW w:w="899" w:type="pct"/>
            <w:shd w:val="clear" w:color="auto" w:fill="auto"/>
            <w:vAlign w:val="center"/>
          </w:tcPr>
          <w:p>
            <w:pPr>
              <w:widowControl/>
              <w:jc w:val="center"/>
              <w:rPr>
                <w:color w:val="000000"/>
                <w:kern w:val="0"/>
                <w:sz w:val="18"/>
              </w:rPr>
            </w:pPr>
            <w:r>
              <w:rPr>
                <w:color w:val="000000"/>
                <w:kern w:val="0"/>
                <w:sz w:val="18"/>
              </w:rPr>
              <w:t>综合性报告评价标准，综合性报告评分登记表，典型综合性报告</w:t>
            </w:r>
          </w:p>
        </w:tc>
      </w:tr>
    </w:tbl>
    <w:p>
      <w:pPr>
        <w:spacing w:line="360" w:lineRule="auto"/>
        <w:rPr>
          <w:color w:val="0000FF"/>
        </w:rPr>
      </w:pP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pPr>
      <w:r>
        <w:rPr>
          <w:rFonts w:eastAsia="黑体"/>
          <w:color w:val="000000" w:themeColor="text1"/>
          <w:szCs w:val="24"/>
          <w14:textFill>
            <w14:solidFill>
              <w14:schemeClr w14:val="tx1"/>
            </w14:solidFill>
          </w14:textFill>
        </w:rPr>
        <w:t>九</w:t>
      </w:r>
      <w:r>
        <w:rPr>
          <w:rFonts w:hint="eastAsia" w:eastAsia="黑体"/>
          <w:color w:val="000000" w:themeColor="text1"/>
          <w:szCs w:val="24"/>
          <w14:textFill>
            <w14:solidFill>
              <w14:schemeClr w14:val="tx1"/>
            </w14:solidFill>
          </w14:textFill>
        </w:rPr>
        <w:t>、</w:t>
      </w:r>
      <w:r>
        <w:rPr>
          <w:rFonts w:eastAsia="黑体"/>
          <w:color w:val="000000" w:themeColor="text1"/>
          <w:szCs w:val="24"/>
          <w14:textFill>
            <w14:solidFill>
              <w14:schemeClr w14:val="tx1"/>
            </w14:solidFill>
          </w14:textFill>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jc w:val="center"/>
              <w:rPr>
                <w:sz w:val="18"/>
                <w:szCs w:val="18"/>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1 电子科学与技术相关的专业词汇，包括典型的英文表述与表达方法。</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sz w:val="18"/>
                <w:szCs w:val="18"/>
              </w:rPr>
              <w:t>1</w:t>
            </w:r>
            <w:r>
              <w:rPr>
                <w:rFonts w:hint="eastAsia"/>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2科技文献查阅，具有一定的双向翻译能力</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3电子线路的典型的英文表述</w:t>
            </w:r>
          </w:p>
        </w:tc>
        <w:tc>
          <w:tcPr>
            <w:tcW w:w="691" w:type="pct"/>
            <w:vAlign w:val="center"/>
          </w:tcPr>
          <w:p>
            <w:pPr>
              <w:jc w:val="center"/>
              <w:rPr>
                <w:sz w:val="18"/>
                <w:szCs w:val="18"/>
              </w:rPr>
            </w:pPr>
            <w:r>
              <w:rPr>
                <w:sz w:val="18"/>
                <w:szCs w:val="18"/>
              </w:rPr>
              <w:t>0.</w:t>
            </w:r>
            <w:r>
              <w:rPr>
                <w:rFonts w:hint="eastAsia"/>
                <w:sz w:val="18"/>
                <w:szCs w:val="18"/>
              </w:rPr>
              <w:t>125</w:t>
            </w:r>
          </w:p>
        </w:tc>
        <w:tc>
          <w:tcPr>
            <w:tcW w:w="1048" w:type="pct"/>
            <w:vAlign w:val="center"/>
          </w:tcPr>
          <w:p>
            <w:pPr>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4电路原理相关的专业词汇以及典型的英文表述</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5 交流电相关的专业词汇以及典型的英文表述</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6专业外语中简单句与并列句的用法</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7专业外语中同位语从句的用法。</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61" w:type="pct"/>
            <w:vAlign w:val="center"/>
          </w:tcPr>
          <w:p>
            <w:pPr>
              <w:ind w:left="174" w:leftChars="83"/>
              <w:rPr>
                <w:sz w:val="18"/>
                <w:szCs w:val="18"/>
              </w:rPr>
            </w:pPr>
            <w:r>
              <w:rPr>
                <w:rFonts w:hint="eastAsia"/>
                <w:sz w:val="18"/>
                <w:szCs w:val="18"/>
              </w:rPr>
              <w:t>8专业外语中名词性从句，示波器相关的专业词汇</w:t>
            </w:r>
          </w:p>
        </w:tc>
        <w:tc>
          <w:tcPr>
            <w:tcW w:w="691" w:type="pct"/>
            <w:vAlign w:val="center"/>
          </w:tcPr>
          <w:p>
            <w:pPr>
              <w:jc w:val="center"/>
              <w:rPr>
                <w:sz w:val="18"/>
                <w:szCs w:val="18"/>
              </w:rPr>
            </w:pPr>
            <w:r>
              <w:rPr>
                <w:rFonts w:hint="eastAsia"/>
                <w:sz w:val="18"/>
                <w:szCs w:val="18"/>
              </w:rPr>
              <w:t>0.125</w:t>
            </w:r>
          </w:p>
        </w:tc>
        <w:tc>
          <w:tcPr>
            <w:tcW w:w="1048" w:type="pct"/>
            <w:vAlign w:val="center"/>
          </w:tcPr>
          <w:p>
            <w:pPr>
              <w:jc w:val="center"/>
              <w:rPr>
                <w:sz w:val="18"/>
                <w:szCs w:val="18"/>
              </w:rPr>
            </w:pPr>
            <w:r>
              <w:rPr>
                <w:rFonts w:hint="eastAsia"/>
                <w:sz w:val="18"/>
                <w:szCs w:val="18"/>
              </w:rPr>
              <w:t>3</w:t>
            </w:r>
          </w:p>
        </w:tc>
      </w:tr>
    </w:tbl>
    <w:p>
      <w:pPr>
        <w:spacing w:before="120" w:beforeLines="50" w:line="360" w:lineRule="auto"/>
        <w:ind w:firstLine="420" w:firstLineChars="200"/>
        <w:rPr>
          <w:szCs w:val="21"/>
        </w:rPr>
      </w:pPr>
      <w:r>
        <w:rPr>
          <w:rFonts w:hint="eastAsia"/>
          <w:szCs w:val="21"/>
        </w:rPr>
        <w:t>本课程不可以申请免修</w:t>
      </w:r>
    </w:p>
    <w:p>
      <w:pPr>
        <w:spacing w:line="360" w:lineRule="auto"/>
        <w:rPr>
          <w:color w:val="0000FF"/>
        </w:rPr>
        <w:sectPr>
          <w:headerReference r:id="rId100" w:type="first"/>
          <w:footerReference r:id="rId103" w:type="first"/>
          <w:headerReference r:id="rId98" w:type="default"/>
          <w:footerReference r:id="rId101" w:type="default"/>
          <w:headerReference r:id="rId99" w:type="even"/>
          <w:footerReference r:id="rId102"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634"/>
        <w:gridCol w:w="1036"/>
        <w:gridCol w:w="857"/>
        <w:gridCol w:w="712"/>
        <w:gridCol w:w="700"/>
        <w:gridCol w:w="974"/>
        <w:gridCol w:w="1113"/>
        <w:gridCol w:w="946"/>
        <w:gridCol w:w="951"/>
        <w:gridCol w:w="1269"/>
        <w:gridCol w:w="951"/>
        <w:gridCol w:w="1110"/>
        <w:gridCol w:w="951"/>
        <w:gridCol w:w="1744"/>
      </w:tblGrid>
      <w:tr>
        <w:tblPrEx>
          <w:tblCellMar>
            <w:top w:w="0" w:type="dxa"/>
            <w:left w:w="108" w:type="dxa"/>
            <w:bottom w:w="0" w:type="dxa"/>
            <w:right w:w="108" w:type="dxa"/>
          </w:tblCellMar>
        </w:tblPrEx>
        <w:trPr>
          <w:trHeight w:val="1015" w:hRule="atLeast"/>
          <w:jc w:val="center"/>
        </w:trPr>
        <w:tc>
          <w:tcPr>
            <w:tcW w:w="22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3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16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34" w:type="pct"/>
            <w:gridSpan w:val="4"/>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705" w:type="pct"/>
            <w:gridSpan w:val="4"/>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2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37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c>
          <w:tcPr>
            <w:tcW w:w="30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25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课堂作业</w:t>
            </w:r>
          </w:p>
        </w:tc>
        <w:tc>
          <w:tcPr>
            <w:tcW w:w="25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课外作业</w:t>
            </w:r>
          </w:p>
        </w:tc>
        <w:tc>
          <w:tcPr>
            <w:tcW w:w="34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报告</w:t>
            </w:r>
          </w:p>
        </w:tc>
        <w:tc>
          <w:tcPr>
            <w:tcW w:w="399" w:type="pct"/>
            <w:tcBorders>
              <w:top w:val="nil"/>
              <w:left w:val="nil"/>
              <w:bottom w:val="single" w:color="auto" w:sz="4" w:space="0"/>
              <w:right w:val="single" w:color="auto" w:sz="4" w:space="0"/>
            </w:tcBorders>
            <w:shd w:val="clear" w:color="auto" w:fill="FFFFFF" w:themeFill="background1"/>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39" w:type="pct"/>
            <w:tcBorders>
              <w:top w:val="nil"/>
              <w:left w:val="nil"/>
              <w:bottom w:val="single" w:color="auto" w:sz="4" w:space="0"/>
              <w:right w:val="single" w:color="auto" w:sz="4" w:space="0"/>
            </w:tcBorders>
            <w:shd w:val="clear" w:color="auto" w:fill="FFFFFF" w:themeFill="background1"/>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作业</w:t>
            </w:r>
          </w:p>
        </w:tc>
        <w:tc>
          <w:tcPr>
            <w:tcW w:w="341" w:type="pct"/>
            <w:tcBorders>
              <w:top w:val="nil"/>
              <w:left w:val="nil"/>
              <w:bottom w:val="single" w:color="auto" w:sz="4" w:space="0"/>
              <w:right w:val="single" w:color="auto" w:sz="4" w:space="0"/>
            </w:tcBorders>
            <w:shd w:val="clear" w:color="auto" w:fill="FFFFFF" w:themeFill="background1"/>
            <w:vAlign w:val="center"/>
          </w:tcPr>
          <w:p>
            <w:pPr>
              <w:widowControl/>
              <w:jc w:val="center"/>
              <w:rPr>
                <w:kern w:val="0"/>
                <w:sz w:val="18"/>
                <w:szCs w:val="18"/>
              </w:rPr>
            </w:pPr>
            <w:r>
              <w:rPr>
                <w:kern w:val="0"/>
                <w:sz w:val="18"/>
                <w:szCs w:val="18"/>
              </w:rPr>
              <w:t>课外</w:t>
            </w:r>
          </w:p>
          <w:p>
            <w:pPr>
              <w:widowControl/>
              <w:jc w:val="center"/>
              <w:rPr>
                <w:kern w:val="0"/>
                <w:sz w:val="18"/>
                <w:szCs w:val="18"/>
              </w:rPr>
            </w:pPr>
            <w:r>
              <w:rPr>
                <w:kern w:val="0"/>
                <w:sz w:val="18"/>
                <w:szCs w:val="18"/>
              </w:rPr>
              <w:t>作业</w:t>
            </w:r>
          </w:p>
        </w:tc>
        <w:tc>
          <w:tcPr>
            <w:tcW w:w="455" w:type="pct"/>
            <w:tcBorders>
              <w:top w:val="nil"/>
              <w:left w:val="nil"/>
              <w:bottom w:val="single" w:color="auto" w:sz="4" w:space="0"/>
              <w:right w:val="single" w:color="auto" w:sz="4" w:space="0"/>
            </w:tcBorders>
            <w:shd w:val="clear" w:color="auto" w:fill="FFFFFF" w:themeFill="background1"/>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报告</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98"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作业</w:t>
            </w:r>
          </w:p>
        </w:tc>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课外</w:t>
            </w:r>
          </w:p>
          <w:p>
            <w:pPr>
              <w:widowControl/>
              <w:jc w:val="center"/>
              <w:rPr>
                <w:kern w:val="0"/>
                <w:sz w:val="18"/>
                <w:szCs w:val="18"/>
              </w:rPr>
            </w:pPr>
            <w:r>
              <w:rPr>
                <w:kern w:val="0"/>
                <w:sz w:val="18"/>
                <w:szCs w:val="18"/>
              </w:rPr>
              <w:t>作业</w:t>
            </w:r>
          </w:p>
        </w:tc>
        <w:tc>
          <w:tcPr>
            <w:tcW w:w="625" w:type="pc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报告</w:t>
            </w:r>
          </w:p>
        </w:tc>
      </w:tr>
      <w:tr>
        <w:tblPrEx>
          <w:tblCellMar>
            <w:top w:w="0" w:type="dxa"/>
            <w:left w:w="108" w:type="dxa"/>
            <w:bottom w:w="0" w:type="dxa"/>
            <w:right w:w="108" w:type="dxa"/>
          </w:tblCellMar>
        </w:tblPrEx>
        <w:trPr>
          <w:trHeight w:val="1020"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307"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0.05</w:t>
            </w:r>
          </w:p>
        </w:tc>
        <w:tc>
          <w:tcPr>
            <w:tcW w:w="255"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0.05</w:t>
            </w:r>
          </w:p>
        </w:tc>
        <w:tc>
          <w:tcPr>
            <w:tcW w:w="251"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0.3</w:t>
            </w:r>
          </w:p>
        </w:tc>
        <w:tc>
          <w:tcPr>
            <w:tcW w:w="348"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0.6</w:t>
            </w:r>
          </w:p>
        </w:tc>
        <w:tc>
          <w:tcPr>
            <w:tcW w:w="399"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0.01</w:t>
            </w:r>
          </w:p>
        </w:tc>
        <w:tc>
          <w:tcPr>
            <w:tcW w:w="339"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0.01</w:t>
            </w:r>
          </w:p>
        </w:tc>
        <w:tc>
          <w:tcPr>
            <w:tcW w:w="341"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0.06</w:t>
            </w:r>
          </w:p>
        </w:tc>
        <w:tc>
          <w:tcPr>
            <w:tcW w:w="455"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0.12</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0.09</w:t>
            </w:r>
          </w:p>
        </w:tc>
        <w:tc>
          <w:tcPr>
            <w:tcW w:w="398"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0.07</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0.28</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0.24</w:t>
            </w:r>
          </w:p>
        </w:tc>
      </w:tr>
      <w:tr>
        <w:tblPrEx>
          <w:tblCellMar>
            <w:top w:w="0" w:type="dxa"/>
            <w:left w:w="108" w:type="dxa"/>
            <w:bottom w:w="0" w:type="dxa"/>
            <w:right w:w="108" w:type="dxa"/>
          </w:tblCellMar>
        </w:tblPrEx>
        <w:trPr>
          <w:trHeight w:val="694"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0.4</w:t>
            </w:r>
          </w:p>
        </w:tc>
        <w:tc>
          <w:tcPr>
            <w:tcW w:w="30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5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0.15</w:t>
            </w:r>
          </w:p>
        </w:tc>
        <w:tc>
          <w:tcPr>
            <w:tcW w:w="25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3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399" w:type="pct"/>
            <w:tcBorders>
              <w:top w:val="nil"/>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0.06</w:t>
            </w:r>
          </w:p>
        </w:tc>
        <w:tc>
          <w:tcPr>
            <w:tcW w:w="339" w:type="pct"/>
            <w:tcBorders>
              <w:top w:val="nil"/>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0.06</w:t>
            </w:r>
          </w:p>
        </w:tc>
        <w:tc>
          <w:tcPr>
            <w:tcW w:w="341" w:type="pct"/>
            <w:tcBorders>
              <w:top w:val="nil"/>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0.08</w:t>
            </w:r>
          </w:p>
        </w:tc>
        <w:tc>
          <w:tcPr>
            <w:tcW w:w="455" w:type="pct"/>
            <w:tcBorders>
              <w:top w:val="nil"/>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0.20</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0.55</w:t>
            </w:r>
          </w:p>
        </w:tc>
        <w:tc>
          <w:tcPr>
            <w:tcW w:w="398"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0.40</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0.36</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0.38</w:t>
            </w:r>
          </w:p>
        </w:tc>
      </w:tr>
      <w:tr>
        <w:tblPrEx>
          <w:tblCellMar>
            <w:top w:w="0" w:type="dxa"/>
            <w:left w:w="108" w:type="dxa"/>
            <w:bottom w:w="0" w:type="dxa"/>
            <w:right w:w="108" w:type="dxa"/>
          </w:tblCellMar>
        </w:tblPrEx>
        <w:trPr>
          <w:trHeight w:val="690" w:hRule="atLeast"/>
          <w:jc w:val="center"/>
        </w:trPr>
        <w:tc>
          <w:tcPr>
            <w:tcW w:w="227" w:type="pct"/>
            <w:tcBorders>
              <w:top w:val="nil"/>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0.4</w:t>
            </w:r>
          </w:p>
        </w:tc>
        <w:tc>
          <w:tcPr>
            <w:tcW w:w="307"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0.1</w:t>
            </w:r>
          </w:p>
        </w:tc>
        <w:tc>
          <w:tcPr>
            <w:tcW w:w="255"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251"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w:t>
            </w:r>
          </w:p>
        </w:tc>
        <w:tc>
          <w:tcPr>
            <w:tcW w:w="348" w:type="pct"/>
            <w:tcBorders>
              <w:top w:val="nil"/>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0.5</w:t>
            </w:r>
          </w:p>
        </w:tc>
        <w:tc>
          <w:tcPr>
            <w:tcW w:w="399" w:type="pct"/>
            <w:tcBorders>
              <w:top w:val="nil"/>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0.04</w:t>
            </w:r>
          </w:p>
        </w:tc>
        <w:tc>
          <w:tcPr>
            <w:tcW w:w="339" w:type="pct"/>
            <w:tcBorders>
              <w:top w:val="nil"/>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0.08</w:t>
            </w:r>
          </w:p>
        </w:tc>
        <w:tc>
          <w:tcPr>
            <w:tcW w:w="341" w:type="pct"/>
            <w:tcBorders>
              <w:top w:val="nil"/>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0.08</w:t>
            </w:r>
          </w:p>
        </w:tc>
        <w:tc>
          <w:tcPr>
            <w:tcW w:w="455" w:type="pct"/>
            <w:tcBorders>
              <w:top w:val="nil"/>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0.20</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0.36</w:t>
            </w:r>
          </w:p>
        </w:tc>
        <w:tc>
          <w:tcPr>
            <w:tcW w:w="398"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0.53</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0.36</w:t>
            </w:r>
          </w:p>
        </w:tc>
        <w:tc>
          <w:tcPr>
            <w:tcW w:w="625" w:type="pct"/>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rPr>
            </w:pPr>
            <w:r>
              <w:rPr>
                <w:color w:val="FF0000"/>
                <w:sz w:val="18"/>
                <w:szCs w:val="18"/>
              </w:rPr>
              <w:t>0.38</w:t>
            </w:r>
          </w:p>
        </w:tc>
      </w:tr>
      <w:tr>
        <w:tblPrEx>
          <w:tblCellMar>
            <w:top w:w="0" w:type="dxa"/>
            <w:left w:w="108" w:type="dxa"/>
            <w:bottom w:w="0" w:type="dxa"/>
            <w:right w:w="108" w:type="dxa"/>
          </w:tblCellMar>
        </w:tblPrEx>
        <w:trPr>
          <w:trHeight w:val="1026" w:hRule="atLeast"/>
          <w:jc w:val="center"/>
        </w:trPr>
        <w:tc>
          <w:tcPr>
            <w:tcW w:w="1760"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99" w:type="pc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0.11</w:t>
            </w:r>
          </w:p>
        </w:tc>
        <w:tc>
          <w:tcPr>
            <w:tcW w:w="339"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0.15</w:t>
            </w:r>
          </w:p>
        </w:tc>
        <w:tc>
          <w:tcPr>
            <w:tcW w:w="341"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sz w:val="18"/>
                <w:szCs w:val="18"/>
              </w:rPr>
            </w:pPr>
            <w:r>
              <w:rPr>
                <w:sz w:val="18"/>
                <w:szCs w:val="18"/>
              </w:rPr>
              <w:t>0.22</w:t>
            </w:r>
          </w:p>
        </w:tc>
        <w:tc>
          <w:tcPr>
            <w:tcW w:w="455" w:type="pct"/>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color w:val="FF0000"/>
                <w:sz w:val="18"/>
                <w:szCs w:val="18"/>
              </w:rPr>
            </w:pPr>
            <w:r>
              <w:rPr>
                <w:color w:val="FF0000"/>
                <w:sz w:val="18"/>
                <w:szCs w:val="18"/>
              </w:rPr>
              <w:t>0.52</w:t>
            </w:r>
          </w:p>
        </w:tc>
        <w:tc>
          <w:tcPr>
            <w:tcW w:w="1705" w:type="pct"/>
            <w:gridSpan w:val="4"/>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ind w:right="-1611" w:rightChars="-767"/>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sectPr>
          <w:pgSz w:w="16838" w:h="11906" w:orient="landscape"/>
          <w:pgMar w:top="1797" w:right="1440" w:bottom="1797" w:left="1440" w:header="851" w:footer="992" w:gutter="0"/>
          <w:cols w:space="425" w:num="1"/>
          <w:docGrid w:type="lines" w:linePitch="312" w:charSpace="0"/>
        </w:sectPr>
      </w:pPr>
    </w:p>
    <w:p>
      <w:pPr>
        <w:adjustRightInd w:val="0"/>
        <w:snapToGrid w:val="0"/>
        <w:spacing w:line="360" w:lineRule="auto"/>
        <w:ind w:firstLine="420" w:firstLineChars="200"/>
        <w:rPr>
          <w:szCs w:val="21"/>
        </w:rPr>
      </w:pPr>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19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198" DrawAspect="Content" ObjectID="_1468075898" r:id="rId371">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19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199" DrawAspect="Content" ObjectID="_1468075899" r:id="rId372">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20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00" DrawAspect="Content" ObjectID="_1468075900" r:id="rId373">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20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01" DrawAspect="Content" ObjectID="_1468075901" r:id="rId374">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20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02" DrawAspect="Content" ObjectID="_1468075902" r:id="rId375">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20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03" DrawAspect="Content" ObjectID="_1468075903" r:id="rId376">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adjustRightInd w:val="0"/>
        <w:snapToGrid w:val="0"/>
        <w:spacing w:line="360" w:lineRule="auto"/>
        <w:ind w:firstLine="420" w:firstLineChars="200"/>
        <w:sectPr>
          <w:headerReference r:id="rId106" w:type="first"/>
          <w:footerReference r:id="rId109" w:type="first"/>
          <w:headerReference r:id="rId104" w:type="default"/>
          <w:footerReference r:id="rId107" w:type="default"/>
          <w:headerReference r:id="rId105" w:type="even"/>
          <w:footerReference r:id="rId108" w:type="even"/>
          <w:pgSz w:w="11906" w:h="16838"/>
          <w:pgMar w:top="1440" w:right="1800" w:bottom="1440" w:left="1800" w:header="851" w:footer="992" w:gutter="0"/>
          <w:cols w:space="425" w:num="1"/>
          <w:docGrid w:type="lines" w:linePitch="312" w:charSpace="0"/>
        </w:sectPr>
      </w:pPr>
    </w:p>
    <w:p>
      <w:pPr>
        <w:pStyle w:val="20"/>
        <w:spacing w:before="312" w:after="468"/>
      </w:pPr>
      <w:bookmarkStart w:id="232" w:name="_Toc20586"/>
      <w:bookmarkStart w:id="233" w:name="_Toc46996582"/>
      <w:bookmarkStart w:id="234" w:name="_Toc14719"/>
      <w:r>
        <w:t>《</w:t>
      </w:r>
      <w:bookmarkStart w:id="235" w:name="OLE_LINK85"/>
      <w:r>
        <w:t>Z06060203-光学仪器应用</w:t>
      </w:r>
      <w:bookmarkEnd w:id="235"/>
      <w:r>
        <w:t>》教学大纲</w:t>
      </w:r>
      <w:bookmarkEnd w:id="232"/>
      <w:bookmarkEnd w:id="233"/>
      <w:bookmarkEnd w:id="234"/>
    </w:p>
    <w:p>
      <w:pPr>
        <w:adjustRightInd w:val="0"/>
        <w:snapToGrid w:val="0"/>
        <w:spacing w:line="360" w:lineRule="auto"/>
        <w:rPr>
          <w:snapToGrid w:val="0"/>
          <w:color w:val="000000"/>
          <w:kern w:val="0"/>
          <w:szCs w:val="21"/>
        </w:rPr>
      </w:pPr>
      <w:r>
        <w:rPr>
          <w:rFonts w:eastAsia="黑体"/>
          <w:color w:val="000000"/>
          <w:szCs w:val="21"/>
        </w:rPr>
        <w:t>课程编号</w:t>
      </w:r>
      <w:r>
        <w:rPr>
          <w:color w:val="000000"/>
          <w:szCs w:val="21"/>
        </w:rPr>
        <w:t>：Z06060203</w:t>
      </w:r>
    </w:p>
    <w:p>
      <w:pPr>
        <w:adjustRightInd w:val="0"/>
        <w:snapToGrid w:val="0"/>
        <w:spacing w:line="360" w:lineRule="auto"/>
        <w:rPr>
          <w:color w:val="000000"/>
          <w:szCs w:val="21"/>
        </w:rPr>
      </w:pPr>
      <w:r>
        <w:rPr>
          <w:rFonts w:eastAsia="黑体"/>
          <w:color w:val="000000"/>
          <w:szCs w:val="21"/>
        </w:rPr>
        <w:t>课程名称</w:t>
      </w:r>
      <w:r>
        <w:rPr>
          <w:color w:val="000000"/>
          <w:szCs w:val="21"/>
        </w:rPr>
        <w:t>：光学仪器应用</w:t>
      </w:r>
      <w:r>
        <w:rPr>
          <w:color w:val="000000"/>
          <w:szCs w:val="21"/>
        </w:rPr>
        <w:tab/>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eastAsia="黑体"/>
          <w:color w:val="000000"/>
          <w:szCs w:val="21"/>
        </w:rPr>
        <w:t>开课单位</w:t>
      </w:r>
      <w:r>
        <w:rPr>
          <w:color w:val="000000"/>
          <w:szCs w:val="21"/>
        </w:rPr>
        <w:t>：仪器与电子学院</w:t>
      </w:r>
    </w:p>
    <w:p>
      <w:pPr>
        <w:adjustRightInd w:val="0"/>
        <w:snapToGrid w:val="0"/>
        <w:spacing w:line="360" w:lineRule="auto"/>
        <w:rPr>
          <w:snapToGrid w:val="0"/>
          <w:color w:val="000000"/>
          <w:kern w:val="0"/>
          <w:szCs w:val="21"/>
        </w:rPr>
      </w:pPr>
      <w:r>
        <w:rPr>
          <w:rFonts w:eastAsia="黑体"/>
          <w:color w:val="000000"/>
          <w:szCs w:val="21"/>
        </w:rPr>
        <w:t>总 学 时：</w:t>
      </w:r>
      <w:r>
        <w:rPr>
          <w:color w:val="000000"/>
          <w:szCs w:val="21"/>
        </w:rPr>
        <w:t>24</w:t>
      </w:r>
      <w:r>
        <w:rPr>
          <w:rFonts w:eastAsia="黑体"/>
          <w:color w:val="000000"/>
        </w:rPr>
        <w:tab/>
      </w:r>
      <w:r>
        <w:rPr>
          <w:rFonts w:eastAsia="黑体"/>
          <w:color w:val="000000"/>
        </w:rPr>
        <w:tab/>
      </w:r>
      <w:r>
        <w:rPr>
          <w:rFonts w:eastAsia="黑体"/>
          <w:color w:val="000000"/>
        </w:rPr>
        <w:tab/>
      </w:r>
      <w:r>
        <w:rPr>
          <w:rFonts w:eastAsia="黑体"/>
          <w:color w:val="000000"/>
        </w:rPr>
        <w:tab/>
      </w:r>
      <w:r>
        <w:rPr>
          <w:rFonts w:eastAsia="黑体"/>
          <w:color w:val="000000"/>
        </w:rPr>
        <w:tab/>
      </w:r>
      <w:r>
        <w:rPr>
          <w:rFonts w:eastAsia="黑体"/>
          <w:color w:val="000000"/>
        </w:rPr>
        <w:tab/>
      </w:r>
      <w:r>
        <w:rPr>
          <w:rFonts w:eastAsia="黑体"/>
          <w:color w:val="000000"/>
        </w:rPr>
        <w:tab/>
      </w:r>
      <w:r>
        <w:rPr>
          <w:rFonts w:eastAsia="黑体"/>
          <w:color w:val="000000"/>
        </w:rPr>
        <w:tab/>
      </w:r>
      <w:r>
        <w:rPr>
          <w:rFonts w:eastAsia="黑体"/>
          <w:color w:val="000000"/>
          <w:szCs w:val="21"/>
        </w:rPr>
        <w:t>学    分：</w:t>
      </w:r>
      <w:r>
        <w:rPr>
          <w:color w:val="000000"/>
          <w:szCs w:val="21"/>
        </w:rPr>
        <w:t>1.5</w:t>
      </w:r>
    </w:p>
    <w:p>
      <w:pPr>
        <w:adjustRightInd w:val="0"/>
        <w:snapToGrid w:val="0"/>
        <w:spacing w:line="360" w:lineRule="auto"/>
        <w:rPr>
          <w:color w:val="000000"/>
          <w:szCs w:val="21"/>
        </w:rPr>
      </w:pPr>
      <w:r>
        <w:rPr>
          <w:rFonts w:eastAsia="黑体"/>
          <w:color w:val="000000"/>
          <w:szCs w:val="21"/>
        </w:rPr>
        <w:t>适用专业：</w:t>
      </w:r>
      <w:r>
        <w:rPr>
          <w:color w:val="000000"/>
          <w:szCs w:val="21"/>
        </w:rPr>
        <w:t>电子科学与技术</w:t>
      </w:r>
      <w:r>
        <w:rPr>
          <w:rFonts w:hint="eastAsia"/>
          <w:color w:val="000000"/>
          <w:szCs w:val="21"/>
        </w:rPr>
        <w:t>专业</w:t>
      </w:r>
    </w:p>
    <w:p>
      <w:pPr>
        <w:adjustRightInd w:val="0"/>
        <w:snapToGrid w:val="0"/>
        <w:spacing w:line="360" w:lineRule="auto"/>
        <w:rPr>
          <w:color w:val="000000"/>
          <w:szCs w:val="21"/>
        </w:rPr>
      </w:pPr>
      <w:r>
        <w:rPr>
          <w:rFonts w:eastAsia="黑体"/>
          <w:color w:val="000000"/>
          <w:szCs w:val="21"/>
        </w:rPr>
        <w:t>先修课程：</w:t>
      </w:r>
      <w:r>
        <w:rPr>
          <w:color w:val="000000"/>
          <w:szCs w:val="21"/>
        </w:rPr>
        <w:t>光电子技术基础</w:t>
      </w:r>
      <w:r>
        <w:rPr>
          <w:color w:val="000000"/>
          <w:spacing w:val="6"/>
          <w:szCs w:val="289"/>
        </w:rPr>
        <w:t>、</w:t>
      </w:r>
      <w:r>
        <w:rPr>
          <w:color w:val="000000"/>
          <w:szCs w:val="21"/>
        </w:rPr>
        <w:t>激光原理与技术、光电探测技术</w:t>
      </w:r>
    </w:p>
    <w:p>
      <w:pPr>
        <w:adjustRightInd w:val="0"/>
        <w:snapToGrid w:val="0"/>
        <w:spacing w:line="360" w:lineRule="auto"/>
        <w:rPr>
          <w:color w:val="000000"/>
          <w:szCs w:val="21"/>
        </w:rPr>
      </w:pPr>
      <w:r>
        <w:rPr>
          <w:rFonts w:eastAsia="黑体"/>
          <w:color w:val="000000"/>
          <w:szCs w:val="21"/>
        </w:rPr>
        <w:t>大纲执笔人</w:t>
      </w:r>
      <w:r>
        <w:rPr>
          <w:color w:val="000000"/>
          <w:szCs w:val="21"/>
        </w:rPr>
        <w:t>：贾平岗</w:t>
      </w:r>
    </w:p>
    <w:p>
      <w:pPr>
        <w:adjustRightInd w:val="0"/>
        <w:snapToGrid w:val="0"/>
        <w:spacing w:line="360" w:lineRule="auto"/>
        <w:rPr>
          <w:color w:val="000000"/>
          <w:szCs w:val="21"/>
        </w:rPr>
      </w:pPr>
      <w:r>
        <w:rPr>
          <w:rFonts w:eastAsia="黑体"/>
          <w:color w:val="000000"/>
          <w:szCs w:val="21"/>
        </w:rPr>
        <w:t>大纲编写（修订）时间：</w:t>
      </w:r>
      <w:r>
        <w:rPr>
          <w:color w:val="000000"/>
          <w:szCs w:val="21"/>
        </w:rPr>
        <w:t>2019年5月</w:t>
      </w:r>
    </w:p>
    <w:p>
      <w:pPr>
        <w:adjustRightInd w:val="0"/>
        <w:snapToGrid w:val="0"/>
        <w:spacing w:line="360" w:lineRule="auto"/>
        <w:rPr>
          <w:color w:val="000000"/>
          <w:szCs w:val="21"/>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一、课程在教学计划中的地位、作用</w:t>
      </w:r>
    </w:p>
    <w:p>
      <w:pPr>
        <w:adjustRightInd w:val="0"/>
        <w:snapToGrid w:val="0"/>
        <w:spacing w:line="360" w:lineRule="auto"/>
        <w:ind w:firstLine="420" w:firstLineChars="200"/>
        <w:rPr>
          <w:color w:val="000000"/>
          <w:szCs w:val="21"/>
        </w:rPr>
      </w:pPr>
      <w:r>
        <w:rPr>
          <w:color w:val="000000"/>
          <w:szCs w:val="21"/>
        </w:rPr>
        <w:t>本课程是电子科学与技术专业光电子技术及应用方向的一门专业选修课。光学仪器在电子科学与技术领域的科研和教学中扮演着重要的角色，发挥着巨大的作用。光学仪器应用是学生应掌握的一种技能，也是提升学生专业素质的一门课程。通过该课程，使学生能够学会仪器分析方法和分析仪器的使用，知晓仪器最新进展和发展动态，具备运用光学仪器设备开展相关研究的基本能力。</w:t>
      </w:r>
    </w:p>
    <w:p>
      <w:pPr>
        <w:adjustRightInd w:val="0"/>
        <w:snapToGrid w:val="0"/>
        <w:spacing w:line="360" w:lineRule="auto"/>
        <w:ind w:firstLine="420" w:firstLineChars="200"/>
        <w:rPr>
          <w:color w:val="000000"/>
          <w:szCs w:val="21"/>
        </w:rPr>
      </w:pPr>
    </w:p>
    <w:p>
      <w:pPr>
        <w:adjustRightInd w:val="0"/>
        <w:snapToGrid w:val="0"/>
        <w:spacing w:line="360" w:lineRule="auto"/>
        <w:rPr>
          <w:rFonts w:eastAsia="黑体"/>
          <w:color w:val="000000"/>
          <w:szCs w:val="21"/>
        </w:rPr>
      </w:pPr>
      <w:r>
        <w:rPr>
          <w:rFonts w:eastAsia="黑体"/>
          <w:color w:val="000000"/>
          <w:szCs w:val="21"/>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3896"/>
        <w:gridCol w:w="38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color w:val="000000"/>
                <w:sz w:val="18"/>
                <w:szCs w:val="18"/>
              </w:rPr>
            </w:pPr>
            <w:r>
              <w:rPr>
                <w:color w:val="000000"/>
                <w:sz w:val="18"/>
                <w:szCs w:val="18"/>
              </w:rPr>
              <w:t>序号</w:t>
            </w:r>
          </w:p>
        </w:tc>
        <w:tc>
          <w:tcPr>
            <w:tcW w:w="2345" w:type="pct"/>
            <w:vAlign w:val="center"/>
          </w:tcPr>
          <w:p>
            <w:pPr>
              <w:spacing w:line="360" w:lineRule="auto"/>
              <w:jc w:val="center"/>
              <w:rPr>
                <w:color w:val="000000"/>
                <w:sz w:val="18"/>
                <w:szCs w:val="18"/>
              </w:rPr>
            </w:pPr>
            <w:r>
              <w:rPr>
                <w:color w:val="000000"/>
                <w:sz w:val="18"/>
                <w:szCs w:val="18"/>
              </w:rPr>
              <w:t>课程目标</w:t>
            </w:r>
          </w:p>
        </w:tc>
        <w:tc>
          <w:tcPr>
            <w:tcW w:w="2288" w:type="pct"/>
            <w:vAlign w:val="center"/>
          </w:tcPr>
          <w:p>
            <w:pPr>
              <w:spacing w:line="360" w:lineRule="auto"/>
              <w:jc w:val="center"/>
              <w:rPr>
                <w:color w:val="000000"/>
                <w:sz w:val="18"/>
                <w:szCs w:val="18"/>
              </w:rPr>
            </w:pPr>
            <w:r>
              <w:rPr>
                <w:color w:val="000000"/>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color w:val="000000"/>
                <w:sz w:val="18"/>
                <w:szCs w:val="18"/>
              </w:rPr>
            </w:pPr>
            <w:r>
              <w:rPr>
                <w:rFonts w:hint="eastAsia"/>
                <w:color w:val="000000"/>
                <w:sz w:val="18"/>
                <w:szCs w:val="18"/>
              </w:rPr>
              <w:t>1</w:t>
            </w:r>
          </w:p>
        </w:tc>
        <w:tc>
          <w:tcPr>
            <w:tcW w:w="2345" w:type="pct"/>
          </w:tcPr>
          <w:p>
            <w:pPr>
              <w:snapToGrid w:val="0"/>
              <w:spacing w:line="360" w:lineRule="auto"/>
              <w:rPr>
                <w:rFonts w:ascii="宋体" w:hAnsi="宋体"/>
                <w:color w:val="000000"/>
                <w:sz w:val="18"/>
                <w:szCs w:val="18"/>
              </w:rPr>
            </w:pPr>
            <w:r>
              <w:rPr>
                <w:rFonts w:ascii="宋体" w:hAnsi="宋体"/>
                <w:color w:val="000000"/>
                <w:sz w:val="18"/>
                <w:szCs w:val="18"/>
              </w:rPr>
              <w:t>能够阐述</w:t>
            </w:r>
            <w:r>
              <w:rPr>
                <w:rFonts w:hint="eastAsia" w:ascii="宋体" w:hAnsi="宋体"/>
                <w:color w:val="000000"/>
                <w:sz w:val="18"/>
                <w:szCs w:val="18"/>
              </w:rPr>
              <w:t>相关光学仪器</w:t>
            </w:r>
            <w:r>
              <w:rPr>
                <w:rFonts w:ascii="宋体" w:hAnsi="宋体"/>
                <w:color w:val="000000"/>
                <w:sz w:val="18"/>
                <w:szCs w:val="18"/>
              </w:rPr>
              <w:t>的原理和功能，</w:t>
            </w:r>
            <w:r>
              <w:rPr>
                <w:color w:val="000000"/>
                <w:sz w:val="18"/>
                <w:szCs w:val="18"/>
              </w:rPr>
              <w:t>根据不同对象选择相关仪器分析方法的能力</w:t>
            </w:r>
            <w:r>
              <w:rPr>
                <w:rFonts w:ascii="宋体" w:hAnsi="宋体"/>
                <w:color w:val="000000"/>
                <w:sz w:val="18"/>
                <w:szCs w:val="18"/>
              </w:rPr>
              <w:t>；能够针对特定需求，</w:t>
            </w:r>
            <w:r>
              <w:rPr>
                <w:color w:val="000000"/>
                <w:sz w:val="18"/>
                <w:szCs w:val="18"/>
              </w:rPr>
              <w:t>应用光学仪器解决工程问题</w:t>
            </w:r>
            <w:r>
              <w:rPr>
                <w:rFonts w:hint="eastAsia" w:ascii="宋体" w:hAnsi="宋体"/>
                <w:color w:val="000000"/>
                <w:sz w:val="18"/>
                <w:szCs w:val="18"/>
              </w:rPr>
              <w:t>。</w:t>
            </w:r>
          </w:p>
        </w:tc>
        <w:tc>
          <w:tcPr>
            <w:tcW w:w="2288" w:type="pct"/>
          </w:tcPr>
          <w:p>
            <w:pPr>
              <w:snapToGrid w:val="0"/>
              <w:spacing w:line="360" w:lineRule="auto"/>
              <w:rPr>
                <w:color w:val="000000"/>
                <w:sz w:val="18"/>
                <w:szCs w:val="18"/>
              </w:rPr>
            </w:pPr>
            <w:r>
              <w:rPr>
                <w:rFonts w:hint="eastAsia"/>
                <w:b/>
                <w:color w:val="000000"/>
                <w:sz w:val="18"/>
                <w:szCs w:val="18"/>
              </w:rPr>
              <w:t>指标点</w:t>
            </w:r>
            <w:r>
              <w:rPr>
                <w:b/>
                <w:color w:val="000000"/>
                <w:sz w:val="18"/>
                <w:szCs w:val="18"/>
              </w:rPr>
              <w:t>5-2</w:t>
            </w:r>
            <w:r>
              <w:rPr>
                <w:color w:val="000000"/>
                <w:sz w:val="18"/>
                <w:szCs w:val="18"/>
              </w:rPr>
              <w:t>能使用工具对电路系统、协议等进行设计和仿真，确定功能和相关设计参数。</w:t>
            </w:r>
          </w:p>
        </w:tc>
      </w:tr>
    </w:tbl>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color w:val="000000"/>
          <w:szCs w:val="21"/>
        </w:rPr>
      </w:pPr>
      <w:r>
        <w:rPr>
          <w:rFonts w:eastAsia="黑体"/>
          <w:color w:val="000000"/>
          <w:szCs w:val="21"/>
        </w:rPr>
        <w:t>三、基本要求</w:t>
      </w:r>
    </w:p>
    <w:p>
      <w:pPr>
        <w:widowControl/>
        <w:adjustRightInd w:val="0"/>
        <w:snapToGrid w:val="0"/>
        <w:spacing w:line="360" w:lineRule="auto"/>
        <w:ind w:firstLine="420" w:firstLineChars="200"/>
        <w:rPr>
          <w:color w:val="000000"/>
          <w:szCs w:val="21"/>
        </w:rPr>
      </w:pPr>
      <w:r>
        <w:rPr>
          <w:color w:val="000000"/>
          <w:szCs w:val="21"/>
        </w:rPr>
        <w:t>1、本课程为专业任选课，要求先修光电子技术基础、激光原理与技术、光电探测技术等课程。在教学中采用理论课讲授与实验操作技能训练相结合授课形式，将理论内容结合在具体的实验内容中，使学生更易理解，增加学生的学习兴趣。实验项目内容充分考虑了对学生综合能力的培养。</w:t>
      </w:r>
    </w:p>
    <w:p>
      <w:pPr>
        <w:widowControl/>
        <w:adjustRightInd w:val="0"/>
        <w:snapToGrid w:val="0"/>
        <w:spacing w:line="360" w:lineRule="auto"/>
        <w:ind w:firstLine="420" w:firstLineChars="200"/>
        <w:jc w:val="left"/>
        <w:rPr>
          <w:color w:val="000000"/>
          <w:szCs w:val="21"/>
        </w:rPr>
      </w:pPr>
      <w:r>
        <w:rPr>
          <w:color w:val="000000"/>
          <w:szCs w:val="21"/>
        </w:rPr>
        <w:t>2、教师教学应与学生共同探讨热点问题，使学生知晓仪器最新进展和发展动态。</w:t>
      </w:r>
    </w:p>
    <w:p>
      <w:pPr>
        <w:adjustRightInd w:val="0"/>
        <w:snapToGrid w:val="0"/>
        <w:spacing w:line="360" w:lineRule="auto"/>
        <w:ind w:firstLine="424"/>
        <w:rPr>
          <w:color w:val="000000"/>
          <w:szCs w:val="21"/>
        </w:rPr>
      </w:pPr>
      <w:r>
        <w:rPr>
          <w:color w:val="000000"/>
          <w:szCs w:val="21"/>
        </w:rPr>
        <w:t>3、学生通过实验，学会不同光学仪器的使用方法，学会根据不同需求进行测试仪器选择，设计实验方案；</w:t>
      </w:r>
    </w:p>
    <w:p>
      <w:pPr>
        <w:adjustRightInd w:val="0"/>
        <w:snapToGrid w:val="0"/>
        <w:spacing w:line="360" w:lineRule="auto"/>
        <w:ind w:firstLine="424"/>
        <w:rPr>
          <w:color w:val="000000"/>
          <w:kern w:val="0"/>
          <w:szCs w:val="21"/>
        </w:rPr>
      </w:pPr>
      <w:r>
        <w:rPr>
          <w:color w:val="000000"/>
          <w:szCs w:val="21"/>
        </w:rPr>
        <w:t>4、本课程是一门实践性很强的课程。</w:t>
      </w:r>
      <w:r>
        <w:rPr>
          <w:color w:val="000000"/>
          <w:kern w:val="0"/>
          <w:szCs w:val="21"/>
        </w:rPr>
        <w:t>教学形式灵活，可将课堂从教室搬到实验室，可直接针对仪器实物对仪器原理、构造、功能、操作流程等进行讲授。</w:t>
      </w:r>
    </w:p>
    <w:p>
      <w:pPr>
        <w:adjustRightInd w:val="0"/>
        <w:snapToGrid w:val="0"/>
        <w:spacing w:line="360" w:lineRule="auto"/>
        <w:ind w:firstLine="424"/>
        <w:rPr>
          <w:color w:val="000000"/>
          <w:kern w:val="0"/>
          <w:szCs w:val="21"/>
        </w:rPr>
      </w:pPr>
      <w:r>
        <w:rPr>
          <w:rFonts w:hint="eastAsia"/>
          <w:color w:val="000000"/>
          <w:kern w:val="0"/>
          <w:szCs w:val="21"/>
        </w:rPr>
        <w:t>5、深度和广度说明：对于各光学仪器的原理、特点、典型物理量和特征参数要深入讲解，对仪器设备的组成及各部件的功能只做简单介绍，测试原理的掌握和仪器的灵活使用是重点。</w:t>
      </w:r>
    </w:p>
    <w:p>
      <w:pPr>
        <w:adjustRightInd w:val="0"/>
        <w:snapToGrid w:val="0"/>
        <w:spacing w:line="360" w:lineRule="auto"/>
        <w:ind w:firstLine="424"/>
        <w:rPr>
          <w:color w:val="000000"/>
          <w:kern w:val="0"/>
          <w:szCs w:val="21"/>
        </w:rPr>
      </w:pPr>
      <w:r>
        <w:rPr>
          <w:rFonts w:hint="eastAsia"/>
          <w:color w:val="000000"/>
          <w:kern w:val="0"/>
          <w:szCs w:val="21"/>
        </w:rPr>
        <w:t>6、偏差说明：为了鼓励教师引入个人授课风格或者适应技术发展的紧迫性，本课程允许教师授课内容做适当调整，最大正偏差为</w:t>
      </w:r>
      <w:r>
        <w:rPr>
          <w:color w:val="000000"/>
          <w:kern w:val="0"/>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r>
        <w:rPr>
          <w:rFonts w:hint="eastAsia"/>
          <w:color w:val="000000"/>
          <w:kern w:val="0"/>
          <w:szCs w:val="21"/>
        </w:rPr>
        <w:t>。</w:t>
      </w:r>
    </w:p>
    <w:p>
      <w:pPr>
        <w:widowControl/>
        <w:adjustRightInd w:val="0"/>
        <w:snapToGrid w:val="0"/>
        <w:spacing w:line="360" w:lineRule="auto"/>
        <w:ind w:firstLine="420" w:firstLineChars="200"/>
        <w:rPr>
          <w:color w:val="000000"/>
          <w:szCs w:val="21"/>
        </w:rPr>
      </w:pPr>
    </w:p>
    <w:p>
      <w:pPr>
        <w:tabs>
          <w:tab w:val="left" w:pos="420"/>
        </w:tabs>
        <w:adjustRightInd w:val="0"/>
        <w:snapToGrid w:val="0"/>
        <w:spacing w:line="360" w:lineRule="auto"/>
        <w:ind w:left="420" w:hanging="420"/>
        <w:rPr>
          <w:rFonts w:eastAsia="黑体"/>
          <w:color w:val="000000"/>
          <w:szCs w:val="21"/>
        </w:rPr>
      </w:pPr>
      <w:r>
        <w:rPr>
          <w:rFonts w:eastAsia="黑体"/>
          <w:color w:val="000000"/>
          <w:szCs w:val="21"/>
        </w:rPr>
        <w:t>四、教学内容和教学方法</w:t>
      </w:r>
    </w:p>
    <w:p>
      <w:pPr>
        <w:widowControl/>
        <w:adjustRightInd w:val="0"/>
        <w:snapToGrid w:val="0"/>
        <w:spacing w:line="360" w:lineRule="auto"/>
        <w:ind w:firstLine="420" w:firstLineChars="200"/>
        <w:jc w:val="left"/>
        <w:rPr>
          <w:color w:val="000000"/>
        </w:rPr>
      </w:pPr>
      <w:r>
        <w:rPr>
          <w:color w:val="000000"/>
        </w:rPr>
        <w:t>本课程重点讲授的内容包括：基于垂直扫描白光干涉法的三维形貌测试技术、基于红外白光干涉技术的MEMS器件形貌测试技术、基于拉曼光谱仪的MEMS动态应力测试技术、基于激光多普勒效应的振动测量技术、基于激光共聚焦显微镜的光学表面亚表层损伤的检测技术。</w:t>
      </w:r>
    </w:p>
    <w:p>
      <w:pPr>
        <w:widowControl/>
        <w:adjustRightInd w:val="0"/>
        <w:snapToGrid w:val="0"/>
        <w:spacing w:line="360" w:lineRule="auto"/>
        <w:ind w:firstLine="420" w:firstLineChars="200"/>
        <w:jc w:val="left"/>
        <w:rPr>
          <w:color w:val="000000"/>
          <w:szCs w:val="21"/>
        </w:rPr>
      </w:pPr>
      <w:r>
        <w:rPr>
          <w:color w:val="000000"/>
          <w:szCs w:val="21"/>
        </w:rPr>
        <w:t>本课程教学采用理论课讲授与实验操作技能训练相结合的方式，以理论课讲授指导具体实验操作。教师教学采用多种形式，其中包括网络（学生可通过学院网站查阅相关仪器介绍、原理、功能和应用等）、多媒体课件教学等。</w:t>
      </w:r>
    </w:p>
    <w:p>
      <w:pPr>
        <w:widowControl/>
        <w:adjustRightInd w:val="0"/>
        <w:snapToGrid w:val="0"/>
        <w:spacing w:line="360" w:lineRule="auto"/>
        <w:ind w:firstLine="420" w:firstLineChars="200"/>
        <w:jc w:val="left"/>
        <w:rPr>
          <w:color w:val="000000"/>
          <w:szCs w:val="21"/>
        </w:rPr>
      </w:pPr>
      <w:r>
        <w:rPr>
          <w:rFonts w:hint="eastAsia"/>
          <w:color w:val="000000"/>
          <w:szCs w:val="21"/>
        </w:rPr>
        <w:t>1</w:t>
      </w:r>
      <w:r>
        <w:rPr>
          <w:color w:val="000000"/>
          <w:szCs w:val="21"/>
        </w:rPr>
        <w:t>. 激光共聚焦显微镜（2学时）</w:t>
      </w:r>
    </w:p>
    <w:p>
      <w:pPr>
        <w:widowControl/>
        <w:adjustRightInd w:val="0"/>
        <w:snapToGrid w:val="0"/>
        <w:spacing w:line="360" w:lineRule="auto"/>
        <w:ind w:firstLine="420" w:firstLineChars="200"/>
        <w:jc w:val="left"/>
        <w:rPr>
          <w:color w:val="000000"/>
          <w:szCs w:val="21"/>
        </w:rPr>
      </w:pPr>
      <w:r>
        <w:rPr>
          <w:rFonts w:hint="eastAsia"/>
          <w:color w:val="000000"/>
          <w:szCs w:val="21"/>
        </w:rPr>
        <w:t>1</w:t>
      </w:r>
      <w:r>
        <w:rPr>
          <w:color w:val="000000"/>
          <w:szCs w:val="21"/>
        </w:rPr>
        <w:t>.1、显微镜</w:t>
      </w:r>
      <w:r>
        <w:rPr>
          <w:rFonts w:hint="eastAsia"/>
          <w:color w:val="000000"/>
          <w:szCs w:val="21"/>
        </w:rPr>
        <w:t>技术的发展</w:t>
      </w:r>
      <w:r>
        <w:rPr>
          <w:color w:val="000000"/>
          <w:szCs w:val="21"/>
        </w:rPr>
        <w:t>；</w:t>
      </w:r>
    </w:p>
    <w:p>
      <w:pPr>
        <w:widowControl/>
        <w:adjustRightInd w:val="0"/>
        <w:snapToGrid w:val="0"/>
        <w:spacing w:line="360" w:lineRule="auto"/>
        <w:ind w:firstLine="420" w:firstLineChars="200"/>
        <w:jc w:val="left"/>
        <w:rPr>
          <w:color w:val="000000"/>
          <w:szCs w:val="21"/>
        </w:rPr>
      </w:pPr>
      <w:r>
        <w:rPr>
          <w:rFonts w:hint="eastAsia"/>
          <w:color w:val="000000"/>
          <w:szCs w:val="21"/>
        </w:rPr>
        <w:t>1</w:t>
      </w:r>
      <w:r>
        <w:rPr>
          <w:color w:val="000000"/>
          <w:szCs w:val="21"/>
        </w:rPr>
        <w:t>.2、激光共聚焦显微镜</w:t>
      </w:r>
      <w:r>
        <w:rPr>
          <w:rFonts w:hint="eastAsia"/>
          <w:color w:val="000000"/>
          <w:szCs w:val="21"/>
        </w:rPr>
        <w:t>的原理与特点</w:t>
      </w:r>
      <w:r>
        <w:rPr>
          <w:color w:val="000000"/>
          <w:szCs w:val="21"/>
        </w:rPr>
        <w:t>；（难点）</w:t>
      </w:r>
    </w:p>
    <w:p>
      <w:pPr>
        <w:widowControl/>
        <w:adjustRightInd w:val="0"/>
        <w:snapToGrid w:val="0"/>
        <w:spacing w:line="360" w:lineRule="auto"/>
        <w:ind w:firstLine="420" w:firstLineChars="200"/>
        <w:jc w:val="left"/>
        <w:rPr>
          <w:color w:val="000000"/>
          <w:szCs w:val="21"/>
        </w:rPr>
      </w:pPr>
      <w:r>
        <w:rPr>
          <w:rFonts w:hint="eastAsia"/>
          <w:color w:val="000000"/>
          <w:szCs w:val="21"/>
        </w:rPr>
        <w:t>1</w:t>
      </w:r>
      <w:r>
        <w:rPr>
          <w:color w:val="000000"/>
          <w:szCs w:val="21"/>
        </w:rPr>
        <w:t>.3、</w:t>
      </w:r>
      <w:r>
        <w:rPr>
          <w:rFonts w:hint="eastAsia"/>
          <w:color w:val="000000"/>
          <w:szCs w:val="21"/>
        </w:rPr>
        <w:t>共聚焦显微镜的应用</w:t>
      </w:r>
      <w:r>
        <w:rPr>
          <w:color w:val="000000"/>
          <w:szCs w:val="21"/>
        </w:rPr>
        <w:t>；（重点）</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2</w:t>
      </w:r>
      <w:r>
        <w:rPr>
          <w:color w:val="000000"/>
          <w:szCs w:val="21"/>
        </w:rPr>
        <w:t xml:space="preserve">. </w:t>
      </w:r>
      <w:r>
        <w:rPr>
          <w:rFonts w:hint="eastAsia"/>
          <w:color w:val="000000"/>
          <w:szCs w:val="21"/>
        </w:rPr>
        <w:t>白光干涉仪</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2.1</w:t>
      </w:r>
      <w:r>
        <w:rPr>
          <w:color w:val="000000"/>
          <w:szCs w:val="21"/>
        </w:rPr>
        <w:t>三维形貌光学测量技术的研究现状；</w:t>
      </w:r>
    </w:p>
    <w:p>
      <w:pPr>
        <w:widowControl/>
        <w:adjustRightInd w:val="0"/>
        <w:snapToGrid w:val="0"/>
        <w:spacing w:line="360" w:lineRule="auto"/>
        <w:ind w:firstLine="420" w:firstLineChars="200"/>
        <w:jc w:val="left"/>
        <w:rPr>
          <w:color w:val="000000"/>
          <w:szCs w:val="21"/>
        </w:rPr>
      </w:pPr>
      <w:r>
        <w:rPr>
          <w:rFonts w:hint="eastAsia"/>
          <w:color w:val="000000"/>
          <w:szCs w:val="21"/>
        </w:rPr>
        <w:t>2</w:t>
      </w:r>
      <w:r>
        <w:rPr>
          <w:color w:val="000000"/>
          <w:szCs w:val="21"/>
        </w:rPr>
        <w:t>.</w:t>
      </w:r>
      <w:r>
        <w:rPr>
          <w:rFonts w:hint="eastAsia"/>
          <w:color w:val="000000"/>
          <w:szCs w:val="21"/>
        </w:rPr>
        <w:t>2</w:t>
      </w:r>
      <w:r>
        <w:rPr>
          <w:color w:val="000000"/>
          <w:szCs w:val="21"/>
        </w:rPr>
        <w:t>、白光干涉测量技术原理；（难点、重点）</w:t>
      </w:r>
    </w:p>
    <w:p>
      <w:pPr>
        <w:widowControl/>
        <w:adjustRightInd w:val="0"/>
        <w:snapToGrid w:val="0"/>
        <w:spacing w:line="360" w:lineRule="auto"/>
        <w:ind w:firstLine="420" w:firstLineChars="200"/>
        <w:jc w:val="left"/>
        <w:rPr>
          <w:color w:val="000000"/>
          <w:szCs w:val="21"/>
        </w:rPr>
      </w:pPr>
      <w:r>
        <w:rPr>
          <w:rFonts w:hint="eastAsia"/>
          <w:color w:val="000000"/>
          <w:szCs w:val="21"/>
        </w:rPr>
        <w:t>2</w:t>
      </w:r>
      <w:r>
        <w:rPr>
          <w:color w:val="000000"/>
          <w:szCs w:val="21"/>
        </w:rPr>
        <w:t>.3、测量系统的设计与组成；（重点）</w:t>
      </w:r>
    </w:p>
    <w:p>
      <w:pPr>
        <w:widowControl/>
        <w:adjustRightInd w:val="0"/>
        <w:snapToGrid w:val="0"/>
        <w:spacing w:line="360" w:lineRule="auto"/>
        <w:ind w:firstLine="420" w:firstLineChars="200"/>
        <w:jc w:val="left"/>
        <w:rPr>
          <w:color w:val="000000"/>
          <w:szCs w:val="21"/>
        </w:rPr>
      </w:pPr>
      <w:r>
        <w:rPr>
          <w:rFonts w:hint="eastAsia"/>
          <w:color w:val="000000"/>
          <w:szCs w:val="21"/>
        </w:rPr>
        <w:t>2</w:t>
      </w:r>
      <w:r>
        <w:rPr>
          <w:color w:val="000000"/>
          <w:szCs w:val="21"/>
        </w:rPr>
        <w:t>.4、测量解算结果分析方法；</w:t>
      </w:r>
    </w:p>
    <w:p>
      <w:pPr>
        <w:widowControl/>
        <w:adjustRightInd w:val="0"/>
        <w:snapToGrid w:val="0"/>
        <w:spacing w:line="360" w:lineRule="auto"/>
        <w:ind w:firstLine="420" w:firstLineChars="200"/>
        <w:jc w:val="left"/>
        <w:rPr>
          <w:color w:val="000000"/>
          <w:szCs w:val="21"/>
        </w:rPr>
      </w:pPr>
      <w:r>
        <w:rPr>
          <w:color w:val="000000"/>
          <w:szCs w:val="21"/>
        </w:rPr>
        <w:t>本章内容支撑课程目标1</w:t>
      </w:r>
      <w:r>
        <w:rPr>
          <w:rFonts w:hint="eastAsia"/>
          <w:color w:val="000000"/>
          <w:szCs w:val="21"/>
        </w:rPr>
        <w:t>。</w:t>
      </w:r>
    </w:p>
    <w:p>
      <w:pPr>
        <w:widowControl/>
        <w:adjustRightInd w:val="0"/>
        <w:snapToGrid w:val="0"/>
        <w:spacing w:line="360" w:lineRule="auto"/>
        <w:ind w:firstLine="420" w:firstLineChars="200"/>
        <w:jc w:val="left"/>
        <w:rPr>
          <w:color w:val="000000"/>
          <w:szCs w:val="21"/>
        </w:rPr>
      </w:pPr>
      <w:r>
        <w:rPr>
          <w:rFonts w:hint="eastAsia"/>
          <w:color w:val="000000"/>
          <w:szCs w:val="21"/>
        </w:rPr>
        <w:t>3</w:t>
      </w:r>
      <w:r>
        <w:rPr>
          <w:color w:val="000000"/>
          <w:szCs w:val="21"/>
        </w:rPr>
        <w:t>. 立体视觉测量</w:t>
      </w:r>
      <w:r>
        <w:rPr>
          <w:rFonts w:hint="eastAsia"/>
          <w:color w:val="000000"/>
          <w:szCs w:val="21"/>
        </w:rPr>
        <w:t>系统</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3</w:t>
      </w:r>
      <w:r>
        <w:rPr>
          <w:color w:val="000000"/>
          <w:szCs w:val="21"/>
        </w:rPr>
        <w:t>.</w:t>
      </w:r>
      <w:r>
        <w:rPr>
          <w:rFonts w:hint="eastAsia"/>
          <w:color w:val="000000"/>
          <w:szCs w:val="21"/>
        </w:rPr>
        <w:t>1</w:t>
      </w:r>
      <w:r>
        <w:rPr>
          <w:color w:val="000000"/>
          <w:szCs w:val="21"/>
        </w:rPr>
        <w:t>、立体视觉测量系统</w:t>
      </w:r>
      <w:r>
        <w:rPr>
          <w:rFonts w:hint="eastAsia"/>
          <w:color w:val="000000"/>
          <w:szCs w:val="21"/>
        </w:rPr>
        <w:t>组成</w:t>
      </w:r>
      <w:r>
        <w:rPr>
          <w:color w:val="000000"/>
          <w:szCs w:val="21"/>
        </w:rPr>
        <w:t>；（重点）</w:t>
      </w:r>
    </w:p>
    <w:p>
      <w:pPr>
        <w:widowControl/>
        <w:adjustRightInd w:val="0"/>
        <w:snapToGrid w:val="0"/>
        <w:spacing w:line="360" w:lineRule="auto"/>
        <w:ind w:firstLine="420" w:firstLineChars="200"/>
        <w:jc w:val="left"/>
        <w:rPr>
          <w:color w:val="000000"/>
          <w:szCs w:val="21"/>
        </w:rPr>
      </w:pPr>
      <w:r>
        <w:rPr>
          <w:rFonts w:hint="eastAsia"/>
          <w:color w:val="000000"/>
          <w:szCs w:val="21"/>
        </w:rPr>
        <w:t>3</w:t>
      </w:r>
      <w:r>
        <w:rPr>
          <w:color w:val="000000"/>
          <w:szCs w:val="21"/>
        </w:rPr>
        <w:t>.</w:t>
      </w:r>
      <w:r>
        <w:rPr>
          <w:rFonts w:hint="eastAsia"/>
          <w:color w:val="000000"/>
          <w:szCs w:val="21"/>
        </w:rPr>
        <w:t>2</w:t>
      </w:r>
      <w:r>
        <w:rPr>
          <w:color w:val="000000"/>
          <w:szCs w:val="21"/>
        </w:rPr>
        <w:t>、立体视觉的求解空间点三维坐标的方法；</w:t>
      </w:r>
    </w:p>
    <w:p>
      <w:pPr>
        <w:widowControl/>
        <w:adjustRightInd w:val="0"/>
        <w:snapToGrid w:val="0"/>
        <w:spacing w:line="360" w:lineRule="auto"/>
        <w:ind w:firstLine="420" w:firstLineChars="200"/>
        <w:jc w:val="left"/>
        <w:rPr>
          <w:color w:val="000000"/>
          <w:szCs w:val="21"/>
        </w:rPr>
      </w:pPr>
      <w:r>
        <w:rPr>
          <w:rFonts w:hint="eastAsia"/>
          <w:color w:val="000000"/>
          <w:szCs w:val="21"/>
        </w:rPr>
        <w:t>3</w:t>
      </w:r>
      <w:r>
        <w:rPr>
          <w:color w:val="000000"/>
          <w:szCs w:val="21"/>
        </w:rPr>
        <w:t>.</w:t>
      </w:r>
      <w:r>
        <w:rPr>
          <w:rFonts w:hint="eastAsia"/>
          <w:color w:val="000000"/>
          <w:szCs w:val="21"/>
        </w:rPr>
        <w:t>3</w:t>
      </w:r>
      <w:r>
        <w:rPr>
          <w:color w:val="000000"/>
          <w:szCs w:val="21"/>
        </w:rPr>
        <w:t>、立体视觉系统标定实验与精度分析；</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4</w:t>
      </w:r>
      <w:r>
        <w:rPr>
          <w:color w:val="000000"/>
          <w:szCs w:val="21"/>
        </w:rPr>
        <w:t xml:space="preserve">. </w:t>
      </w:r>
      <w:r>
        <w:rPr>
          <w:rFonts w:hint="eastAsia"/>
          <w:color w:val="000000"/>
          <w:szCs w:val="21"/>
        </w:rPr>
        <w:t>全站仪</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4</w:t>
      </w:r>
      <w:r>
        <w:rPr>
          <w:color w:val="000000"/>
          <w:szCs w:val="21"/>
        </w:rPr>
        <w:t>.1、</w:t>
      </w:r>
      <w:r>
        <w:rPr>
          <w:rFonts w:hint="eastAsia"/>
          <w:color w:val="000000"/>
          <w:szCs w:val="21"/>
        </w:rPr>
        <w:t>全站仪的发展</w:t>
      </w:r>
      <w:r>
        <w:rPr>
          <w:color w:val="000000"/>
          <w:szCs w:val="21"/>
        </w:rPr>
        <w:t>；</w:t>
      </w:r>
    </w:p>
    <w:p>
      <w:pPr>
        <w:widowControl/>
        <w:adjustRightInd w:val="0"/>
        <w:snapToGrid w:val="0"/>
        <w:spacing w:line="360" w:lineRule="auto"/>
        <w:ind w:firstLine="420" w:firstLineChars="200"/>
        <w:jc w:val="left"/>
        <w:rPr>
          <w:color w:val="000000"/>
          <w:szCs w:val="21"/>
        </w:rPr>
      </w:pPr>
      <w:r>
        <w:rPr>
          <w:rFonts w:hint="eastAsia"/>
          <w:color w:val="000000"/>
          <w:szCs w:val="21"/>
        </w:rPr>
        <w:t>4</w:t>
      </w:r>
      <w:r>
        <w:rPr>
          <w:color w:val="000000"/>
          <w:szCs w:val="21"/>
        </w:rPr>
        <w:t>.2、</w:t>
      </w:r>
      <w:r>
        <w:rPr>
          <w:rFonts w:hint="eastAsia"/>
          <w:color w:val="000000"/>
          <w:szCs w:val="21"/>
        </w:rPr>
        <w:t>全站仪的原理</w:t>
      </w:r>
      <w:r>
        <w:rPr>
          <w:color w:val="000000"/>
          <w:szCs w:val="21"/>
        </w:rPr>
        <w:t>（难点、重点）；</w:t>
      </w:r>
    </w:p>
    <w:p>
      <w:pPr>
        <w:widowControl/>
        <w:adjustRightInd w:val="0"/>
        <w:snapToGrid w:val="0"/>
        <w:spacing w:line="360" w:lineRule="auto"/>
        <w:ind w:firstLine="420" w:firstLineChars="200"/>
        <w:jc w:val="left"/>
        <w:rPr>
          <w:color w:val="000000"/>
          <w:szCs w:val="21"/>
        </w:rPr>
      </w:pPr>
      <w:r>
        <w:rPr>
          <w:rFonts w:hint="eastAsia"/>
          <w:color w:val="000000"/>
          <w:szCs w:val="21"/>
        </w:rPr>
        <w:t>4</w:t>
      </w:r>
      <w:r>
        <w:rPr>
          <w:color w:val="000000"/>
          <w:szCs w:val="21"/>
        </w:rPr>
        <w:t>.3、</w:t>
      </w:r>
      <w:r>
        <w:rPr>
          <w:rFonts w:hint="eastAsia"/>
          <w:color w:val="000000"/>
          <w:szCs w:val="21"/>
        </w:rPr>
        <w:t>全站仪的应用</w:t>
      </w:r>
      <w:r>
        <w:rPr>
          <w:color w:val="000000"/>
          <w:szCs w:val="21"/>
        </w:rPr>
        <w:t>；</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5</w:t>
      </w:r>
      <w:r>
        <w:rPr>
          <w:color w:val="000000"/>
          <w:szCs w:val="21"/>
        </w:rPr>
        <w:t>. 激光多普勒</w:t>
      </w:r>
      <w:r>
        <w:rPr>
          <w:rFonts w:hint="eastAsia"/>
          <w:color w:val="000000"/>
          <w:szCs w:val="21"/>
        </w:rPr>
        <w:t>测振仪</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5</w:t>
      </w:r>
      <w:r>
        <w:rPr>
          <w:color w:val="000000"/>
          <w:szCs w:val="21"/>
        </w:rPr>
        <w:t>.1、激光多普勒技术发展现状；</w:t>
      </w:r>
    </w:p>
    <w:p>
      <w:pPr>
        <w:widowControl/>
        <w:adjustRightInd w:val="0"/>
        <w:snapToGrid w:val="0"/>
        <w:spacing w:line="360" w:lineRule="auto"/>
        <w:ind w:firstLine="420" w:firstLineChars="200"/>
        <w:jc w:val="left"/>
        <w:rPr>
          <w:color w:val="000000"/>
          <w:szCs w:val="21"/>
        </w:rPr>
      </w:pPr>
      <w:r>
        <w:rPr>
          <w:rFonts w:hint="eastAsia"/>
          <w:color w:val="000000"/>
          <w:szCs w:val="21"/>
        </w:rPr>
        <w:t>5</w:t>
      </w:r>
      <w:r>
        <w:rPr>
          <w:color w:val="000000"/>
          <w:szCs w:val="21"/>
        </w:rPr>
        <w:t>.2、激光多普勒技术的理论分析及差动技术；</w:t>
      </w:r>
    </w:p>
    <w:p>
      <w:pPr>
        <w:widowControl/>
        <w:adjustRightInd w:val="0"/>
        <w:snapToGrid w:val="0"/>
        <w:spacing w:line="360" w:lineRule="auto"/>
        <w:ind w:firstLine="420" w:firstLineChars="200"/>
        <w:jc w:val="left"/>
        <w:rPr>
          <w:color w:val="000000"/>
          <w:szCs w:val="21"/>
        </w:rPr>
      </w:pPr>
      <w:r>
        <w:rPr>
          <w:rFonts w:hint="eastAsia"/>
          <w:color w:val="000000"/>
          <w:szCs w:val="21"/>
        </w:rPr>
        <w:t>5</w:t>
      </w:r>
      <w:r>
        <w:rPr>
          <w:color w:val="000000"/>
          <w:szCs w:val="21"/>
        </w:rPr>
        <w:t>.3、激光多普勒测量光路设计及信号处理系统；（难点、重点）</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6</w:t>
      </w:r>
      <w:r>
        <w:rPr>
          <w:color w:val="000000"/>
          <w:szCs w:val="21"/>
        </w:rPr>
        <w:t>. 红外热成像</w:t>
      </w:r>
      <w:r>
        <w:rPr>
          <w:rFonts w:hint="eastAsia"/>
          <w:color w:val="000000"/>
          <w:szCs w:val="21"/>
        </w:rPr>
        <w:t>仪</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6</w:t>
      </w:r>
      <w:r>
        <w:rPr>
          <w:color w:val="000000"/>
          <w:szCs w:val="21"/>
        </w:rPr>
        <w:t>.1、红外无损检测技术研究现状；</w:t>
      </w:r>
    </w:p>
    <w:p>
      <w:pPr>
        <w:widowControl/>
        <w:adjustRightInd w:val="0"/>
        <w:snapToGrid w:val="0"/>
        <w:spacing w:line="360" w:lineRule="auto"/>
        <w:ind w:firstLine="420" w:firstLineChars="200"/>
        <w:jc w:val="left"/>
        <w:rPr>
          <w:color w:val="000000"/>
          <w:szCs w:val="21"/>
        </w:rPr>
      </w:pPr>
      <w:r>
        <w:rPr>
          <w:rFonts w:hint="eastAsia"/>
          <w:color w:val="000000"/>
          <w:szCs w:val="21"/>
        </w:rPr>
        <w:t>6</w:t>
      </w:r>
      <w:r>
        <w:rPr>
          <w:color w:val="000000"/>
          <w:szCs w:val="21"/>
        </w:rPr>
        <w:t>.2、红外热成像无损检测过程机理；（难点、重点）</w:t>
      </w:r>
    </w:p>
    <w:p>
      <w:pPr>
        <w:widowControl/>
        <w:adjustRightInd w:val="0"/>
        <w:snapToGrid w:val="0"/>
        <w:spacing w:line="360" w:lineRule="auto"/>
        <w:ind w:firstLine="420" w:firstLineChars="200"/>
        <w:jc w:val="left"/>
        <w:rPr>
          <w:color w:val="000000"/>
          <w:szCs w:val="21"/>
        </w:rPr>
      </w:pPr>
      <w:r>
        <w:rPr>
          <w:rFonts w:hint="eastAsia"/>
          <w:color w:val="000000"/>
          <w:szCs w:val="21"/>
        </w:rPr>
        <w:t>6</w:t>
      </w:r>
      <w:r>
        <w:rPr>
          <w:color w:val="000000"/>
          <w:szCs w:val="21"/>
        </w:rPr>
        <w:t>.3、红外热成像技术的应用；</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7</w:t>
      </w:r>
      <w:r>
        <w:rPr>
          <w:color w:val="000000"/>
          <w:szCs w:val="21"/>
        </w:rPr>
        <w:t>. 光谱分析仪（2学时）</w:t>
      </w:r>
    </w:p>
    <w:p>
      <w:pPr>
        <w:widowControl/>
        <w:adjustRightInd w:val="0"/>
        <w:snapToGrid w:val="0"/>
        <w:spacing w:line="360" w:lineRule="auto"/>
        <w:ind w:firstLine="420" w:firstLineChars="200"/>
        <w:jc w:val="left"/>
        <w:rPr>
          <w:color w:val="000000"/>
          <w:szCs w:val="21"/>
        </w:rPr>
      </w:pPr>
      <w:r>
        <w:rPr>
          <w:rFonts w:hint="eastAsia"/>
          <w:color w:val="000000"/>
          <w:szCs w:val="21"/>
        </w:rPr>
        <w:t>7</w:t>
      </w:r>
      <w:r>
        <w:rPr>
          <w:color w:val="000000"/>
          <w:szCs w:val="21"/>
        </w:rPr>
        <w:t>.1、光谱分析技术的发展及研究现状；</w:t>
      </w:r>
    </w:p>
    <w:p>
      <w:pPr>
        <w:widowControl/>
        <w:adjustRightInd w:val="0"/>
        <w:snapToGrid w:val="0"/>
        <w:spacing w:line="360" w:lineRule="auto"/>
        <w:ind w:firstLine="420" w:firstLineChars="200"/>
        <w:jc w:val="left"/>
        <w:rPr>
          <w:color w:val="000000"/>
          <w:szCs w:val="21"/>
        </w:rPr>
      </w:pPr>
      <w:r>
        <w:rPr>
          <w:rFonts w:hint="eastAsia"/>
          <w:color w:val="000000"/>
          <w:szCs w:val="21"/>
        </w:rPr>
        <w:t>7</w:t>
      </w:r>
      <w:r>
        <w:rPr>
          <w:color w:val="000000"/>
          <w:szCs w:val="21"/>
        </w:rPr>
        <w:t>.2、光谱分析方法分类；（重点）</w:t>
      </w:r>
    </w:p>
    <w:p>
      <w:pPr>
        <w:widowControl/>
        <w:adjustRightInd w:val="0"/>
        <w:snapToGrid w:val="0"/>
        <w:spacing w:line="360" w:lineRule="auto"/>
        <w:ind w:firstLine="420" w:firstLineChars="200"/>
        <w:jc w:val="left"/>
        <w:rPr>
          <w:color w:val="000000"/>
          <w:szCs w:val="21"/>
        </w:rPr>
      </w:pPr>
      <w:r>
        <w:rPr>
          <w:rFonts w:hint="eastAsia"/>
          <w:color w:val="000000"/>
          <w:szCs w:val="21"/>
        </w:rPr>
        <w:t>7</w:t>
      </w:r>
      <w:r>
        <w:rPr>
          <w:color w:val="000000"/>
          <w:szCs w:val="21"/>
        </w:rPr>
        <w:t>.3、不同光谱分析方法原理及应用。</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widowControl/>
        <w:adjustRightInd w:val="0"/>
        <w:snapToGrid w:val="0"/>
        <w:spacing w:line="360" w:lineRule="auto"/>
        <w:ind w:firstLine="420" w:firstLineChars="200"/>
        <w:jc w:val="left"/>
        <w:rPr>
          <w:color w:val="000000"/>
          <w:szCs w:val="21"/>
        </w:rPr>
      </w:pPr>
      <w:r>
        <w:rPr>
          <w:rFonts w:hint="eastAsia"/>
          <w:color w:val="000000"/>
          <w:szCs w:val="21"/>
        </w:rPr>
        <w:t>8</w:t>
      </w:r>
      <w:r>
        <w:rPr>
          <w:color w:val="000000"/>
          <w:szCs w:val="21"/>
        </w:rPr>
        <w:t xml:space="preserve">. </w:t>
      </w:r>
      <w:r>
        <w:rPr>
          <w:rFonts w:hint="eastAsia"/>
          <w:color w:val="000000"/>
          <w:szCs w:val="21"/>
        </w:rPr>
        <w:t>分布式光纤传感系统</w:t>
      </w:r>
      <w:r>
        <w:rPr>
          <w:color w:val="000000"/>
          <w:szCs w:val="21"/>
        </w:rPr>
        <w:t>（2学时）</w:t>
      </w:r>
    </w:p>
    <w:p>
      <w:pPr>
        <w:widowControl/>
        <w:adjustRightInd w:val="0"/>
        <w:snapToGrid w:val="0"/>
        <w:spacing w:line="360" w:lineRule="auto"/>
        <w:ind w:firstLine="420" w:firstLineChars="200"/>
        <w:jc w:val="left"/>
        <w:rPr>
          <w:color w:val="000000"/>
          <w:szCs w:val="21"/>
        </w:rPr>
      </w:pPr>
      <w:r>
        <w:rPr>
          <w:rFonts w:hint="eastAsia"/>
          <w:color w:val="000000"/>
          <w:szCs w:val="21"/>
        </w:rPr>
        <w:t>8.1光纤传感器技术的发展；</w:t>
      </w:r>
    </w:p>
    <w:p>
      <w:pPr>
        <w:widowControl/>
        <w:adjustRightInd w:val="0"/>
        <w:snapToGrid w:val="0"/>
        <w:spacing w:line="360" w:lineRule="auto"/>
        <w:ind w:firstLine="420" w:firstLineChars="200"/>
        <w:jc w:val="left"/>
        <w:rPr>
          <w:color w:val="000000"/>
          <w:szCs w:val="21"/>
        </w:rPr>
      </w:pPr>
      <w:r>
        <w:rPr>
          <w:rFonts w:hint="eastAsia"/>
          <w:color w:val="000000"/>
          <w:szCs w:val="21"/>
        </w:rPr>
        <w:t>8.2分布式光纤传感的原理；</w:t>
      </w:r>
      <w:r>
        <w:rPr>
          <w:color w:val="000000"/>
          <w:szCs w:val="21"/>
        </w:rPr>
        <w:t>（难点、重点）</w:t>
      </w:r>
    </w:p>
    <w:p>
      <w:pPr>
        <w:widowControl/>
        <w:adjustRightInd w:val="0"/>
        <w:snapToGrid w:val="0"/>
        <w:spacing w:line="360" w:lineRule="auto"/>
        <w:ind w:firstLine="420" w:firstLineChars="200"/>
        <w:jc w:val="left"/>
        <w:rPr>
          <w:color w:val="000000"/>
          <w:szCs w:val="21"/>
        </w:rPr>
      </w:pPr>
      <w:r>
        <w:rPr>
          <w:rFonts w:hint="eastAsia"/>
          <w:color w:val="000000"/>
          <w:szCs w:val="21"/>
        </w:rPr>
        <w:t>8.3分布式光纤传感器系统的应用。</w:t>
      </w:r>
    </w:p>
    <w:p>
      <w:pPr>
        <w:widowControl/>
        <w:adjustRightInd w:val="0"/>
        <w:snapToGrid w:val="0"/>
        <w:spacing w:line="360" w:lineRule="auto"/>
        <w:ind w:firstLine="420" w:firstLineChars="200"/>
        <w:jc w:val="left"/>
        <w:rPr>
          <w:color w:val="000000"/>
          <w:szCs w:val="21"/>
        </w:rPr>
      </w:pPr>
      <w:r>
        <w:rPr>
          <w:color w:val="000000"/>
          <w:szCs w:val="21"/>
        </w:rPr>
        <w:t>本章内容支撑课程目标</w:t>
      </w:r>
      <w:r>
        <w:rPr>
          <w:rFonts w:hint="eastAsia"/>
          <w:color w:val="000000"/>
          <w:szCs w:val="21"/>
        </w:rPr>
        <w:t>1。</w:t>
      </w:r>
    </w:p>
    <w:p>
      <w:pPr>
        <w:tabs>
          <w:tab w:val="left" w:pos="420"/>
        </w:tabs>
        <w:adjustRightInd w:val="0"/>
        <w:snapToGrid w:val="0"/>
        <w:spacing w:line="360" w:lineRule="auto"/>
        <w:ind w:left="420" w:hanging="420"/>
        <w:rPr>
          <w:rFonts w:eastAsia="黑体"/>
          <w:color w:val="000000"/>
          <w:szCs w:val="21"/>
        </w:rPr>
      </w:pPr>
      <w:r>
        <w:rPr>
          <w:rFonts w:eastAsia="黑体"/>
          <w:color w:val="000000"/>
          <w:szCs w:val="21"/>
        </w:rPr>
        <w:t>五、实验内容</w:t>
      </w:r>
    </w:p>
    <w:p>
      <w:pPr>
        <w:widowControl/>
        <w:adjustRightInd w:val="0"/>
        <w:snapToGrid w:val="0"/>
        <w:spacing w:line="360" w:lineRule="auto"/>
        <w:ind w:firstLine="420" w:firstLineChars="200"/>
        <w:jc w:val="left"/>
        <w:rPr>
          <w:color w:val="000000"/>
          <w:kern w:val="0"/>
          <w:szCs w:val="21"/>
        </w:rPr>
      </w:pPr>
      <w:r>
        <w:rPr>
          <w:color w:val="000000"/>
          <w:kern w:val="0"/>
          <w:szCs w:val="21"/>
        </w:rPr>
        <w:t>本课程讲授8种光学仪器设备(系统)的工作原理、仪器操作、样品分析方法和仪器分析应用。学生根据兴趣选择2种光学仪器</w:t>
      </w:r>
      <w:r>
        <w:rPr>
          <w:rFonts w:hint="eastAsia"/>
          <w:color w:val="000000"/>
          <w:kern w:val="0"/>
          <w:szCs w:val="21"/>
        </w:rPr>
        <w:t>进行观摩实验</w:t>
      </w:r>
      <w:r>
        <w:rPr>
          <w:color w:val="000000"/>
          <w:kern w:val="0"/>
          <w:szCs w:val="21"/>
        </w:rPr>
        <w:t>，将理论内容结合在具体的实验内容中，使学生更容易理解掌握，增加学生的学习兴趣。</w:t>
      </w:r>
    </w:p>
    <w:p>
      <w:pPr>
        <w:widowControl/>
        <w:adjustRightInd w:val="0"/>
        <w:snapToGrid w:val="0"/>
        <w:spacing w:line="360" w:lineRule="auto"/>
        <w:ind w:left="424" w:leftChars="202"/>
        <w:jc w:val="left"/>
        <w:rPr>
          <w:rFonts w:eastAsia="黑体"/>
          <w:snapToGrid w:val="0"/>
          <w:color w:val="000000"/>
          <w:kern w:val="0"/>
          <w:szCs w:val="21"/>
        </w:rPr>
      </w:pPr>
    </w:p>
    <w:p>
      <w:pPr>
        <w:adjustRightInd w:val="0"/>
        <w:snapToGrid w:val="0"/>
        <w:spacing w:line="360" w:lineRule="auto"/>
        <w:ind w:firstLine="424"/>
        <w:rPr>
          <w:snapToGrid w:val="0"/>
          <w:color w:val="000000"/>
          <w:kern w:val="0"/>
          <w:szCs w:val="21"/>
        </w:rPr>
      </w:pPr>
      <w:r>
        <w:rPr>
          <w:snapToGrid w:val="0"/>
          <w:color w:val="000000"/>
          <w:kern w:val="0"/>
          <w:szCs w:val="21"/>
        </w:rPr>
        <w:t>实验一激光共聚焦显微镜（4学时）</w:t>
      </w:r>
    </w:p>
    <w:p>
      <w:pPr>
        <w:adjustRightInd w:val="0"/>
        <w:snapToGrid w:val="0"/>
        <w:spacing w:line="360" w:lineRule="auto"/>
        <w:ind w:firstLine="424"/>
        <w:rPr>
          <w:snapToGrid w:val="0"/>
          <w:color w:val="000000"/>
          <w:kern w:val="0"/>
          <w:szCs w:val="21"/>
        </w:rPr>
      </w:pPr>
      <w:r>
        <w:rPr>
          <w:snapToGrid w:val="0"/>
          <w:color w:val="000000"/>
          <w:kern w:val="0"/>
          <w:szCs w:val="21"/>
        </w:rPr>
        <w:t>内容：光共聚焦显微镜激光共聚焦显微镜的发展、工作原理及特点，学会激光共聚焦显微镜的操作方法。学会利用</w:t>
      </w:r>
      <w:r>
        <w:rPr>
          <w:rFonts w:hint="eastAsia"/>
          <w:snapToGrid w:val="0"/>
          <w:color w:val="000000"/>
          <w:kern w:val="0"/>
          <w:szCs w:val="21"/>
        </w:rPr>
        <w:t>激光共聚焦显微镜</w:t>
      </w:r>
      <w:r>
        <w:rPr>
          <w:snapToGrid w:val="0"/>
          <w:color w:val="000000"/>
          <w:kern w:val="0"/>
          <w:szCs w:val="21"/>
        </w:rPr>
        <w:t>测试MEMS器件的表面形貌。</w:t>
      </w:r>
    </w:p>
    <w:p>
      <w:pPr>
        <w:adjustRightInd w:val="0"/>
        <w:snapToGrid w:val="0"/>
        <w:spacing w:line="360" w:lineRule="auto"/>
        <w:ind w:firstLine="424"/>
        <w:rPr>
          <w:snapToGrid w:val="0"/>
          <w:color w:val="000000"/>
          <w:kern w:val="0"/>
          <w:szCs w:val="21"/>
        </w:rPr>
      </w:pPr>
      <w:r>
        <w:rPr>
          <w:snapToGrid w:val="0"/>
          <w:color w:val="000000"/>
          <w:kern w:val="0"/>
          <w:szCs w:val="21"/>
        </w:rPr>
        <w:t>基本要求：</w:t>
      </w:r>
    </w:p>
    <w:p>
      <w:pPr>
        <w:adjustRightInd w:val="0"/>
        <w:snapToGrid w:val="0"/>
        <w:spacing w:line="360" w:lineRule="auto"/>
        <w:ind w:firstLine="424"/>
        <w:rPr>
          <w:snapToGrid w:val="0"/>
          <w:color w:val="000000"/>
          <w:kern w:val="0"/>
          <w:szCs w:val="21"/>
        </w:rPr>
      </w:pPr>
      <w:r>
        <w:rPr>
          <w:snapToGrid w:val="0"/>
          <w:color w:val="000000"/>
          <w:kern w:val="0"/>
          <w:szCs w:val="21"/>
        </w:rPr>
        <w:t>1、学会激光共聚焦显微镜的操作方法；</w:t>
      </w:r>
    </w:p>
    <w:p>
      <w:pPr>
        <w:adjustRightInd w:val="0"/>
        <w:snapToGrid w:val="0"/>
        <w:spacing w:line="360" w:lineRule="auto"/>
        <w:ind w:firstLine="424"/>
        <w:rPr>
          <w:snapToGrid w:val="0"/>
          <w:color w:val="000000"/>
          <w:kern w:val="0"/>
          <w:szCs w:val="21"/>
        </w:rPr>
      </w:pPr>
      <w:r>
        <w:rPr>
          <w:snapToGrid w:val="0"/>
          <w:color w:val="000000"/>
          <w:kern w:val="0"/>
          <w:szCs w:val="21"/>
        </w:rPr>
        <w:t>2、学会利用激光共聚焦显微镜测试MEMS器件的表面形貌。</w:t>
      </w:r>
    </w:p>
    <w:p>
      <w:pPr>
        <w:adjustRightInd w:val="0"/>
        <w:snapToGrid w:val="0"/>
        <w:spacing w:line="360" w:lineRule="auto"/>
        <w:ind w:firstLine="424"/>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adjustRightInd w:val="0"/>
        <w:snapToGrid w:val="0"/>
        <w:spacing w:line="360" w:lineRule="auto"/>
        <w:ind w:firstLine="424"/>
        <w:rPr>
          <w:snapToGrid w:val="0"/>
          <w:color w:val="000000"/>
          <w:kern w:val="0"/>
          <w:szCs w:val="21"/>
        </w:rPr>
      </w:pPr>
      <w:r>
        <w:rPr>
          <w:snapToGrid w:val="0"/>
          <w:color w:val="000000"/>
          <w:kern w:val="0"/>
          <w:szCs w:val="21"/>
        </w:rPr>
        <w:t>实验二激光多普勒</w:t>
      </w:r>
      <w:r>
        <w:rPr>
          <w:rFonts w:hint="eastAsia"/>
          <w:snapToGrid w:val="0"/>
          <w:color w:val="000000"/>
          <w:kern w:val="0"/>
          <w:szCs w:val="21"/>
        </w:rPr>
        <w:t>测振仪</w:t>
      </w:r>
      <w:r>
        <w:rPr>
          <w:snapToGrid w:val="0"/>
          <w:color w:val="000000"/>
          <w:kern w:val="0"/>
          <w:szCs w:val="21"/>
        </w:rPr>
        <w:t>（4学时）</w:t>
      </w:r>
    </w:p>
    <w:p>
      <w:pPr>
        <w:adjustRightInd w:val="0"/>
        <w:snapToGrid w:val="0"/>
        <w:spacing w:line="360" w:lineRule="auto"/>
        <w:ind w:firstLine="424"/>
        <w:rPr>
          <w:snapToGrid w:val="0"/>
          <w:color w:val="000000"/>
          <w:kern w:val="0"/>
          <w:szCs w:val="21"/>
        </w:rPr>
      </w:pPr>
      <w:r>
        <w:rPr>
          <w:snapToGrid w:val="0"/>
          <w:color w:val="000000"/>
          <w:kern w:val="0"/>
          <w:szCs w:val="21"/>
        </w:rPr>
        <w:t>内容：了解激光多普勒</w:t>
      </w:r>
      <w:r>
        <w:rPr>
          <w:rFonts w:hint="eastAsia"/>
          <w:snapToGrid w:val="0"/>
          <w:color w:val="000000"/>
          <w:kern w:val="0"/>
          <w:szCs w:val="21"/>
        </w:rPr>
        <w:t>测振仪</w:t>
      </w:r>
      <w:r>
        <w:rPr>
          <w:snapToGrid w:val="0"/>
          <w:color w:val="000000"/>
          <w:kern w:val="0"/>
          <w:szCs w:val="21"/>
        </w:rPr>
        <w:t>的基本原理，</w:t>
      </w:r>
      <w:r>
        <w:rPr>
          <w:rFonts w:hint="eastAsia"/>
          <w:snapToGrid w:val="0"/>
          <w:color w:val="000000"/>
          <w:kern w:val="0"/>
          <w:szCs w:val="21"/>
        </w:rPr>
        <w:t>了解</w:t>
      </w:r>
      <w:r>
        <w:rPr>
          <w:snapToGrid w:val="0"/>
          <w:color w:val="000000"/>
          <w:kern w:val="0"/>
          <w:szCs w:val="21"/>
        </w:rPr>
        <w:t>激光多普勒</w:t>
      </w:r>
      <w:r>
        <w:rPr>
          <w:rFonts w:hint="eastAsia"/>
          <w:snapToGrid w:val="0"/>
          <w:color w:val="000000"/>
          <w:kern w:val="0"/>
          <w:szCs w:val="21"/>
        </w:rPr>
        <w:t>测振仪</w:t>
      </w:r>
      <w:r>
        <w:rPr>
          <w:snapToGrid w:val="0"/>
          <w:color w:val="000000"/>
          <w:kern w:val="0"/>
          <w:szCs w:val="21"/>
        </w:rPr>
        <w:t>的实验操作，学会基于激光多普勒</w:t>
      </w:r>
      <w:r>
        <w:rPr>
          <w:rFonts w:hint="eastAsia"/>
          <w:snapToGrid w:val="0"/>
          <w:color w:val="000000"/>
          <w:kern w:val="0"/>
          <w:szCs w:val="21"/>
        </w:rPr>
        <w:t>测振仪</w:t>
      </w:r>
      <w:r>
        <w:rPr>
          <w:snapToGrid w:val="0"/>
          <w:color w:val="000000"/>
          <w:kern w:val="0"/>
          <w:szCs w:val="21"/>
        </w:rPr>
        <w:t>的</w:t>
      </w:r>
      <w:r>
        <w:rPr>
          <w:rFonts w:hint="eastAsia"/>
          <w:snapToGrid w:val="0"/>
          <w:color w:val="000000"/>
          <w:kern w:val="0"/>
          <w:szCs w:val="21"/>
        </w:rPr>
        <w:t>振动</w:t>
      </w:r>
      <w:r>
        <w:rPr>
          <w:snapToGrid w:val="0"/>
          <w:color w:val="000000"/>
          <w:kern w:val="0"/>
          <w:szCs w:val="21"/>
        </w:rPr>
        <w:t>测试技术。</w:t>
      </w:r>
    </w:p>
    <w:p>
      <w:pPr>
        <w:adjustRightInd w:val="0"/>
        <w:snapToGrid w:val="0"/>
        <w:spacing w:line="360" w:lineRule="auto"/>
        <w:ind w:firstLine="424"/>
        <w:rPr>
          <w:snapToGrid w:val="0"/>
          <w:color w:val="000000"/>
          <w:kern w:val="0"/>
          <w:szCs w:val="21"/>
        </w:rPr>
      </w:pPr>
      <w:r>
        <w:rPr>
          <w:snapToGrid w:val="0"/>
          <w:color w:val="000000"/>
          <w:kern w:val="0"/>
          <w:szCs w:val="21"/>
        </w:rPr>
        <w:t>基本要求：</w:t>
      </w:r>
    </w:p>
    <w:p>
      <w:pPr>
        <w:adjustRightInd w:val="0"/>
        <w:snapToGrid w:val="0"/>
        <w:spacing w:line="360" w:lineRule="auto"/>
        <w:ind w:firstLine="424"/>
        <w:rPr>
          <w:snapToGrid w:val="0"/>
          <w:color w:val="000000"/>
          <w:kern w:val="0"/>
          <w:szCs w:val="21"/>
        </w:rPr>
      </w:pPr>
      <w:r>
        <w:rPr>
          <w:snapToGrid w:val="0"/>
          <w:color w:val="000000"/>
          <w:kern w:val="0"/>
          <w:szCs w:val="21"/>
        </w:rPr>
        <w:t>1、</w:t>
      </w:r>
      <w:r>
        <w:rPr>
          <w:rFonts w:hint="eastAsia"/>
          <w:snapToGrid w:val="0"/>
          <w:color w:val="000000"/>
          <w:kern w:val="0"/>
          <w:szCs w:val="21"/>
        </w:rPr>
        <w:t>了解</w:t>
      </w:r>
      <w:r>
        <w:rPr>
          <w:snapToGrid w:val="0"/>
          <w:color w:val="000000"/>
          <w:kern w:val="0"/>
          <w:szCs w:val="21"/>
        </w:rPr>
        <w:t>激光多普勒</w:t>
      </w:r>
      <w:r>
        <w:rPr>
          <w:rFonts w:hint="eastAsia"/>
          <w:snapToGrid w:val="0"/>
          <w:color w:val="000000"/>
          <w:kern w:val="0"/>
          <w:szCs w:val="21"/>
        </w:rPr>
        <w:t>测振仪</w:t>
      </w:r>
      <w:r>
        <w:rPr>
          <w:snapToGrid w:val="0"/>
          <w:color w:val="000000"/>
          <w:kern w:val="0"/>
          <w:szCs w:val="21"/>
        </w:rPr>
        <w:t>的操作方法；</w:t>
      </w:r>
    </w:p>
    <w:p>
      <w:pPr>
        <w:adjustRightInd w:val="0"/>
        <w:snapToGrid w:val="0"/>
        <w:spacing w:line="360" w:lineRule="auto"/>
        <w:ind w:firstLine="424"/>
        <w:rPr>
          <w:snapToGrid w:val="0"/>
          <w:color w:val="000000"/>
          <w:kern w:val="0"/>
          <w:szCs w:val="21"/>
        </w:rPr>
      </w:pPr>
      <w:r>
        <w:rPr>
          <w:snapToGrid w:val="0"/>
          <w:color w:val="000000"/>
          <w:kern w:val="0"/>
          <w:szCs w:val="21"/>
        </w:rPr>
        <w:t>2、学会</w:t>
      </w:r>
      <w:r>
        <w:rPr>
          <w:rFonts w:hint="eastAsia"/>
          <w:snapToGrid w:val="0"/>
          <w:color w:val="000000"/>
          <w:kern w:val="0"/>
          <w:szCs w:val="21"/>
        </w:rPr>
        <w:t>利用激光多普勒测振仪测量</w:t>
      </w:r>
      <w:r>
        <w:rPr>
          <w:snapToGrid w:val="0"/>
          <w:color w:val="000000"/>
          <w:kern w:val="0"/>
          <w:szCs w:val="21"/>
        </w:rPr>
        <w:t>微结构</w:t>
      </w:r>
      <w:r>
        <w:rPr>
          <w:rFonts w:hint="eastAsia"/>
          <w:snapToGrid w:val="0"/>
          <w:color w:val="000000"/>
          <w:kern w:val="0"/>
          <w:szCs w:val="21"/>
        </w:rPr>
        <w:t>振动</w:t>
      </w:r>
      <w:r>
        <w:rPr>
          <w:snapToGrid w:val="0"/>
          <w:color w:val="000000"/>
          <w:kern w:val="0"/>
          <w:szCs w:val="21"/>
        </w:rPr>
        <w:t>。</w:t>
      </w:r>
    </w:p>
    <w:p>
      <w:pPr>
        <w:adjustRightInd w:val="0"/>
        <w:snapToGrid w:val="0"/>
        <w:spacing w:line="360" w:lineRule="auto"/>
        <w:ind w:firstLine="424"/>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adjustRightInd w:val="0"/>
        <w:snapToGrid w:val="0"/>
        <w:spacing w:line="360" w:lineRule="auto"/>
        <w:ind w:firstLine="424"/>
        <w:rPr>
          <w:snapToGrid w:val="0"/>
          <w:color w:val="000000"/>
          <w:kern w:val="0"/>
          <w:szCs w:val="21"/>
        </w:rPr>
      </w:pPr>
      <w:r>
        <w:rPr>
          <w:snapToGrid w:val="0"/>
          <w:color w:val="000000"/>
          <w:kern w:val="0"/>
          <w:szCs w:val="21"/>
        </w:rPr>
        <w:t>实验三光谱分析仪（4学时）</w:t>
      </w:r>
    </w:p>
    <w:p>
      <w:pPr>
        <w:adjustRightInd w:val="0"/>
        <w:snapToGrid w:val="0"/>
        <w:spacing w:line="360" w:lineRule="auto"/>
        <w:ind w:firstLine="424"/>
        <w:rPr>
          <w:snapToGrid w:val="0"/>
          <w:color w:val="000000"/>
          <w:kern w:val="0"/>
          <w:szCs w:val="21"/>
        </w:rPr>
      </w:pPr>
      <w:r>
        <w:rPr>
          <w:snapToGrid w:val="0"/>
          <w:color w:val="000000"/>
          <w:kern w:val="0"/>
          <w:szCs w:val="21"/>
        </w:rPr>
        <w:t>内容：了解光谱分析仪的组成及各部分的工作原理，学会光谱分析仪的基本操作</w:t>
      </w:r>
      <w:r>
        <w:rPr>
          <w:rFonts w:hint="eastAsia"/>
          <w:snapToGrid w:val="0"/>
          <w:color w:val="000000"/>
          <w:kern w:val="0"/>
          <w:szCs w:val="21"/>
        </w:rPr>
        <w:t>，学会基于光谱仪的光纤通信器件性能测试</w:t>
      </w:r>
      <w:r>
        <w:rPr>
          <w:snapToGrid w:val="0"/>
          <w:color w:val="000000"/>
          <w:kern w:val="0"/>
          <w:szCs w:val="21"/>
        </w:rPr>
        <w:t>。</w:t>
      </w:r>
    </w:p>
    <w:p>
      <w:pPr>
        <w:adjustRightInd w:val="0"/>
        <w:snapToGrid w:val="0"/>
        <w:spacing w:line="360" w:lineRule="auto"/>
        <w:ind w:firstLine="424"/>
        <w:rPr>
          <w:snapToGrid w:val="0"/>
          <w:color w:val="000000"/>
          <w:kern w:val="0"/>
          <w:szCs w:val="21"/>
        </w:rPr>
      </w:pPr>
      <w:r>
        <w:rPr>
          <w:snapToGrid w:val="0"/>
          <w:color w:val="000000"/>
          <w:kern w:val="0"/>
          <w:szCs w:val="21"/>
        </w:rPr>
        <w:t>基本要求：</w:t>
      </w:r>
    </w:p>
    <w:p>
      <w:pPr>
        <w:adjustRightInd w:val="0"/>
        <w:snapToGrid w:val="0"/>
        <w:spacing w:line="360" w:lineRule="auto"/>
        <w:ind w:firstLine="424"/>
        <w:rPr>
          <w:snapToGrid w:val="0"/>
          <w:color w:val="000000"/>
          <w:kern w:val="0"/>
          <w:szCs w:val="21"/>
        </w:rPr>
      </w:pPr>
      <w:r>
        <w:rPr>
          <w:snapToGrid w:val="0"/>
          <w:color w:val="000000"/>
          <w:kern w:val="0"/>
          <w:szCs w:val="21"/>
        </w:rPr>
        <w:t>1、学会光谱分析仪的操作方法；</w:t>
      </w:r>
    </w:p>
    <w:p>
      <w:pPr>
        <w:adjustRightInd w:val="0"/>
        <w:snapToGrid w:val="0"/>
        <w:spacing w:line="360" w:lineRule="auto"/>
        <w:ind w:firstLine="424"/>
        <w:rPr>
          <w:snapToGrid w:val="0"/>
          <w:color w:val="000000"/>
          <w:kern w:val="0"/>
          <w:szCs w:val="21"/>
        </w:rPr>
      </w:pPr>
      <w:r>
        <w:rPr>
          <w:snapToGrid w:val="0"/>
          <w:color w:val="000000"/>
          <w:kern w:val="0"/>
          <w:szCs w:val="21"/>
        </w:rPr>
        <w:t>2、完成</w:t>
      </w:r>
      <w:r>
        <w:rPr>
          <w:rFonts w:hint="eastAsia"/>
          <w:snapToGrid w:val="0"/>
          <w:color w:val="000000"/>
          <w:kern w:val="0"/>
          <w:szCs w:val="21"/>
        </w:rPr>
        <w:t>光纤通信器件性能测试</w:t>
      </w:r>
      <w:r>
        <w:rPr>
          <w:snapToGrid w:val="0"/>
          <w:color w:val="000000"/>
          <w:kern w:val="0"/>
          <w:szCs w:val="21"/>
        </w:rPr>
        <w:t>。</w:t>
      </w:r>
    </w:p>
    <w:p>
      <w:pPr>
        <w:adjustRightInd w:val="0"/>
        <w:snapToGrid w:val="0"/>
        <w:spacing w:line="360" w:lineRule="auto"/>
        <w:ind w:firstLine="424"/>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adjustRightInd w:val="0"/>
        <w:snapToGrid w:val="0"/>
        <w:spacing w:line="360" w:lineRule="auto"/>
        <w:ind w:firstLine="424"/>
        <w:rPr>
          <w:snapToGrid w:val="0"/>
          <w:color w:val="000000"/>
          <w:kern w:val="0"/>
          <w:szCs w:val="21"/>
        </w:rPr>
      </w:pPr>
      <w:r>
        <w:rPr>
          <w:snapToGrid w:val="0"/>
          <w:color w:val="000000"/>
          <w:kern w:val="0"/>
          <w:szCs w:val="21"/>
        </w:rPr>
        <w:t>实验四</w:t>
      </w:r>
      <w:r>
        <w:rPr>
          <w:rFonts w:hint="eastAsia"/>
          <w:snapToGrid w:val="0"/>
          <w:color w:val="000000"/>
          <w:kern w:val="0"/>
          <w:szCs w:val="21"/>
        </w:rPr>
        <w:t>分布式光纤传感系统</w:t>
      </w:r>
      <w:r>
        <w:rPr>
          <w:snapToGrid w:val="0"/>
          <w:color w:val="000000"/>
          <w:kern w:val="0"/>
          <w:szCs w:val="21"/>
        </w:rPr>
        <w:t>（4学时）</w:t>
      </w:r>
    </w:p>
    <w:p>
      <w:pPr>
        <w:adjustRightInd w:val="0"/>
        <w:snapToGrid w:val="0"/>
        <w:spacing w:line="360" w:lineRule="auto"/>
        <w:ind w:firstLine="424"/>
        <w:rPr>
          <w:snapToGrid w:val="0"/>
          <w:color w:val="000000"/>
          <w:kern w:val="0"/>
          <w:szCs w:val="21"/>
        </w:rPr>
      </w:pPr>
      <w:r>
        <w:rPr>
          <w:snapToGrid w:val="0"/>
          <w:color w:val="000000"/>
          <w:kern w:val="0"/>
          <w:szCs w:val="21"/>
        </w:rPr>
        <w:t>内容：了解</w:t>
      </w:r>
      <w:r>
        <w:rPr>
          <w:rFonts w:hint="eastAsia"/>
          <w:snapToGrid w:val="0"/>
          <w:color w:val="000000"/>
          <w:kern w:val="0"/>
          <w:szCs w:val="21"/>
        </w:rPr>
        <w:t>分布式光纤传感系统</w:t>
      </w:r>
      <w:r>
        <w:rPr>
          <w:snapToGrid w:val="0"/>
          <w:color w:val="000000"/>
          <w:kern w:val="0"/>
          <w:szCs w:val="21"/>
        </w:rPr>
        <w:t>的组成及工作原理，能够利用</w:t>
      </w:r>
      <w:r>
        <w:rPr>
          <w:rFonts w:hint="eastAsia"/>
          <w:snapToGrid w:val="0"/>
          <w:color w:val="000000"/>
          <w:kern w:val="0"/>
          <w:szCs w:val="21"/>
        </w:rPr>
        <w:t>分布式光纤传感系统</w:t>
      </w:r>
      <w:r>
        <w:rPr>
          <w:snapToGrid w:val="0"/>
          <w:color w:val="000000"/>
          <w:kern w:val="0"/>
          <w:szCs w:val="21"/>
        </w:rPr>
        <w:t>进行基本操作，完成整个系统的调试，数据的记录、分析。</w:t>
      </w:r>
    </w:p>
    <w:p>
      <w:pPr>
        <w:adjustRightInd w:val="0"/>
        <w:snapToGrid w:val="0"/>
        <w:spacing w:line="360" w:lineRule="auto"/>
        <w:ind w:firstLine="424"/>
        <w:rPr>
          <w:snapToGrid w:val="0"/>
          <w:color w:val="000000"/>
          <w:kern w:val="0"/>
          <w:szCs w:val="21"/>
        </w:rPr>
      </w:pPr>
      <w:r>
        <w:rPr>
          <w:snapToGrid w:val="0"/>
          <w:color w:val="000000"/>
          <w:kern w:val="0"/>
          <w:szCs w:val="21"/>
        </w:rPr>
        <w:t>基本要求：</w:t>
      </w:r>
    </w:p>
    <w:p>
      <w:pPr>
        <w:adjustRightInd w:val="0"/>
        <w:snapToGrid w:val="0"/>
        <w:spacing w:line="360" w:lineRule="auto"/>
        <w:ind w:firstLine="424"/>
        <w:rPr>
          <w:snapToGrid w:val="0"/>
          <w:color w:val="000000"/>
          <w:kern w:val="0"/>
          <w:szCs w:val="21"/>
        </w:rPr>
      </w:pPr>
      <w:r>
        <w:rPr>
          <w:snapToGrid w:val="0"/>
          <w:color w:val="000000"/>
          <w:kern w:val="0"/>
          <w:szCs w:val="21"/>
        </w:rPr>
        <w:t>1、学会</w:t>
      </w:r>
      <w:r>
        <w:rPr>
          <w:rFonts w:hint="eastAsia"/>
          <w:snapToGrid w:val="0"/>
          <w:color w:val="000000"/>
          <w:kern w:val="0"/>
          <w:szCs w:val="21"/>
        </w:rPr>
        <w:t>分布式光纤传感系统</w:t>
      </w:r>
      <w:r>
        <w:rPr>
          <w:snapToGrid w:val="0"/>
          <w:color w:val="000000"/>
          <w:kern w:val="0"/>
          <w:szCs w:val="21"/>
        </w:rPr>
        <w:t>的操作方法；</w:t>
      </w:r>
    </w:p>
    <w:p>
      <w:pPr>
        <w:adjustRightInd w:val="0"/>
        <w:snapToGrid w:val="0"/>
        <w:spacing w:line="360" w:lineRule="auto"/>
        <w:ind w:firstLine="424"/>
        <w:rPr>
          <w:snapToGrid w:val="0"/>
          <w:color w:val="000000"/>
          <w:kern w:val="0"/>
          <w:szCs w:val="21"/>
        </w:rPr>
      </w:pPr>
      <w:r>
        <w:rPr>
          <w:snapToGrid w:val="0"/>
          <w:color w:val="000000"/>
          <w:kern w:val="0"/>
          <w:szCs w:val="21"/>
        </w:rPr>
        <w:t>2、</w:t>
      </w:r>
      <w:r>
        <w:rPr>
          <w:rFonts w:hint="eastAsia"/>
          <w:snapToGrid w:val="0"/>
          <w:color w:val="000000"/>
          <w:kern w:val="0"/>
          <w:szCs w:val="21"/>
        </w:rPr>
        <w:t>利用分布式光纤传感系统完成分布式温度测试</w:t>
      </w:r>
      <w:r>
        <w:rPr>
          <w:snapToGrid w:val="0"/>
          <w:color w:val="000000"/>
          <w:kern w:val="0"/>
          <w:szCs w:val="21"/>
        </w:rPr>
        <w:t>；</w:t>
      </w:r>
    </w:p>
    <w:p>
      <w:pPr>
        <w:adjustRightInd w:val="0"/>
        <w:snapToGrid w:val="0"/>
        <w:spacing w:line="360" w:lineRule="auto"/>
        <w:ind w:firstLine="424"/>
        <w:rPr>
          <w:snapToGrid w:val="0"/>
          <w:color w:val="000000"/>
          <w:kern w:val="0"/>
          <w:szCs w:val="21"/>
        </w:rPr>
      </w:pPr>
      <w:r>
        <w:rPr>
          <w:snapToGrid w:val="0"/>
          <w:color w:val="000000"/>
          <w:kern w:val="0"/>
          <w:szCs w:val="21"/>
        </w:rPr>
        <w:t>本章内容支撑课程目标</w:t>
      </w:r>
      <w:r>
        <w:rPr>
          <w:rFonts w:hint="eastAsia"/>
          <w:snapToGrid w:val="0"/>
          <w:color w:val="000000"/>
          <w:kern w:val="0"/>
          <w:szCs w:val="21"/>
        </w:rPr>
        <w:t>1。</w:t>
      </w:r>
    </w:p>
    <w:p>
      <w:pPr>
        <w:widowControl/>
        <w:adjustRightInd w:val="0"/>
        <w:snapToGrid w:val="0"/>
        <w:spacing w:line="360" w:lineRule="auto"/>
        <w:jc w:val="left"/>
        <w:rPr>
          <w:rFonts w:eastAsia="黑体"/>
          <w:color w:val="000000"/>
          <w:kern w:val="0"/>
          <w:szCs w:val="21"/>
        </w:rPr>
      </w:pPr>
      <w:r>
        <w:rPr>
          <w:rFonts w:eastAsia="黑体"/>
          <w:color w:val="000000"/>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77"/>
        <w:gridCol w:w="1802"/>
        <w:gridCol w:w="1841"/>
        <w:gridCol w:w="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adjustRightInd w:val="0"/>
              <w:snapToGrid w:val="0"/>
              <w:jc w:val="center"/>
              <w:rPr>
                <w:color w:val="000000"/>
                <w:sz w:val="18"/>
                <w:szCs w:val="18"/>
              </w:rPr>
            </w:pPr>
            <w:r>
              <w:rPr>
                <w:color w:val="000000"/>
                <w:sz w:val="18"/>
                <w:szCs w:val="18"/>
              </w:rPr>
              <w:t>讲授的知识点及内容</w:t>
            </w:r>
          </w:p>
        </w:tc>
        <w:tc>
          <w:tcPr>
            <w:tcW w:w="1085" w:type="pct"/>
            <w:shd w:val="clear" w:color="auto" w:fill="auto"/>
            <w:vAlign w:val="center"/>
          </w:tcPr>
          <w:p>
            <w:pPr>
              <w:adjustRightInd w:val="0"/>
              <w:snapToGrid w:val="0"/>
              <w:jc w:val="center"/>
              <w:rPr>
                <w:color w:val="000000"/>
                <w:sz w:val="18"/>
                <w:szCs w:val="18"/>
              </w:rPr>
            </w:pPr>
            <w:r>
              <w:rPr>
                <w:color w:val="000000"/>
                <w:sz w:val="18"/>
                <w:szCs w:val="18"/>
              </w:rPr>
              <w:t>讲授（学时）</w:t>
            </w:r>
          </w:p>
        </w:tc>
        <w:tc>
          <w:tcPr>
            <w:tcW w:w="1108" w:type="pct"/>
            <w:shd w:val="clear" w:color="auto" w:fill="auto"/>
            <w:vAlign w:val="center"/>
          </w:tcPr>
          <w:p>
            <w:pPr>
              <w:adjustRightInd w:val="0"/>
              <w:snapToGrid w:val="0"/>
              <w:jc w:val="center"/>
              <w:rPr>
                <w:color w:val="000000"/>
                <w:sz w:val="18"/>
                <w:szCs w:val="18"/>
              </w:rPr>
            </w:pPr>
            <w:r>
              <w:rPr>
                <w:color w:val="000000"/>
                <w:sz w:val="18"/>
                <w:szCs w:val="18"/>
              </w:rPr>
              <w:t>实验（学时）</w:t>
            </w:r>
          </w:p>
        </w:tc>
        <w:tc>
          <w:tcPr>
            <w:tcW w:w="473" w:type="pct"/>
            <w:shd w:val="clear" w:color="auto" w:fill="auto"/>
            <w:vAlign w:val="center"/>
          </w:tcPr>
          <w:p>
            <w:pPr>
              <w:adjustRightInd w:val="0"/>
              <w:snapToGrid w:val="0"/>
              <w:jc w:val="center"/>
              <w:rPr>
                <w:color w:val="000000"/>
                <w:sz w:val="18"/>
                <w:szCs w:val="18"/>
              </w:rPr>
            </w:pPr>
            <w:r>
              <w:rPr>
                <w:color w:val="00000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snapToGrid w:val="0"/>
                <w:color w:val="000000"/>
                <w:kern w:val="0"/>
                <w:sz w:val="18"/>
                <w:szCs w:val="18"/>
              </w:rPr>
            </w:pPr>
            <w:r>
              <w:rPr>
                <w:color w:val="000000"/>
                <w:sz w:val="18"/>
                <w:szCs w:val="18"/>
              </w:rPr>
              <w:t>1激光共聚焦显微镜</w:t>
            </w:r>
          </w:p>
        </w:tc>
        <w:tc>
          <w:tcPr>
            <w:tcW w:w="1085"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c>
          <w:tcPr>
            <w:tcW w:w="1108" w:type="pct"/>
            <w:shd w:val="clear" w:color="auto" w:fill="auto"/>
            <w:vAlign w:val="center"/>
          </w:tcPr>
          <w:p>
            <w:pPr>
              <w:widowControl/>
              <w:adjustRightInd w:val="0"/>
              <w:snapToGrid w:val="0"/>
              <w:jc w:val="center"/>
              <w:rPr>
                <w:color w:val="000000"/>
                <w:kern w:val="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2</w:t>
            </w:r>
            <w:r>
              <w:rPr>
                <w:rFonts w:hint="eastAsia"/>
                <w:color w:val="000000"/>
                <w:sz w:val="18"/>
                <w:szCs w:val="18"/>
              </w:rPr>
              <w:t>白光干涉仪</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r>
              <w:rPr>
                <w:color w:val="000000"/>
                <w:sz w:val="18"/>
                <w:szCs w:val="18"/>
              </w:rPr>
              <w:t>4</w:t>
            </w: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3立体视觉测量系统</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r>
              <w:rPr>
                <w:color w:val="000000"/>
                <w:sz w:val="18"/>
                <w:szCs w:val="18"/>
              </w:rPr>
              <w:t>4</w:t>
            </w: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4</w:t>
            </w:r>
            <w:r>
              <w:rPr>
                <w:rFonts w:hint="eastAsia"/>
                <w:color w:val="000000"/>
                <w:sz w:val="18"/>
                <w:szCs w:val="18"/>
              </w:rPr>
              <w:t>全站仪</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5</w:t>
            </w:r>
            <w:r>
              <w:rPr>
                <w:rFonts w:hint="eastAsia"/>
                <w:color w:val="000000"/>
                <w:sz w:val="18"/>
                <w:szCs w:val="18"/>
              </w:rPr>
              <w:t>激光多普勒测振仪</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6</w:t>
            </w:r>
            <w:r>
              <w:rPr>
                <w:rFonts w:hint="eastAsia"/>
                <w:color w:val="000000"/>
                <w:sz w:val="18"/>
                <w:szCs w:val="18"/>
              </w:rPr>
              <w:t>红外热成像仪</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sz w:val="18"/>
                <w:szCs w:val="18"/>
              </w:rPr>
            </w:pPr>
            <w:r>
              <w:rPr>
                <w:color w:val="000000"/>
                <w:sz w:val="18"/>
                <w:szCs w:val="18"/>
              </w:rPr>
              <w:t>7</w:t>
            </w:r>
            <w:r>
              <w:rPr>
                <w:rFonts w:hint="eastAsia"/>
                <w:color w:val="000000"/>
                <w:sz w:val="18"/>
                <w:szCs w:val="18"/>
              </w:rPr>
              <w:t>光谱分析仪</w:t>
            </w:r>
          </w:p>
        </w:tc>
        <w:tc>
          <w:tcPr>
            <w:tcW w:w="1085" w:type="pct"/>
            <w:shd w:val="clear" w:color="auto" w:fill="auto"/>
            <w:vAlign w:val="center"/>
          </w:tcPr>
          <w:p>
            <w:pPr>
              <w:widowControl/>
              <w:adjustRightInd w:val="0"/>
              <w:snapToGrid w:val="0"/>
              <w:jc w:val="center"/>
              <w:rPr>
                <w:color w:val="000000"/>
                <w:sz w:val="18"/>
                <w:szCs w:val="18"/>
              </w:rPr>
            </w:pPr>
            <w:r>
              <w:rPr>
                <w:color w:val="000000"/>
                <w:sz w:val="18"/>
                <w:szCs w:val="18"/>
              </w:rPr>
              <w:t>2</w:t>
            </w:r>
          </w:p>
        </w:tc>
        <w:tc>
          <w:tcPr>
            <w:tcW w:w="1108" w:type="pct"/>
            <w:shd w:val="clear" w:color="auto" w:fill="auto"/>
            <w:vAlign w:val="center"/>
          </w:tcPr>
          <w:p>
            <w:pPr>
              <w:widowControl/>
              <w:adjustRightInd w:val="0"/>
              <w:snapToGrid w:val="0"/>
              <w:jc w:val="center"/>
              <w:rPr>
                <w:color w:val="00000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ind w:left="174" w:leftChars="83"/>
              <w:jc w:val="left"/>
              <w:rPr>
                <w:color w:val="000000"/>
                <w:kern w:val="0"/>
                <w:sz w:val="18"/>
                <w:szCs w:val="18"/>
              </w:rPr>
            </w:pPr>
            <w:r>
              <w:rPr>
                <w:color w:val="000000"/>
                <w:kern w:val="0"/>
                <w:sz w:val="18"/>
                <w:szCs w:val="18"/>
              </w:rPr>
              <w:t>8</w:t>
            </w:r>
            <w:r>
              <w:rPr>
                <w:rFonts w:hint="eastAsia"/>
                <w:color w:val="000000"/>
                <w:kern w:val="0"/>
                <w:sz w:val="18"/>
                <w:szCs w:val="18"/>
              </w:rPr>
              <w:t>分布式光纤传感系统</w:t>
            </w:r>
          </w:p>
        </w:tc>
        <w:tc>
          <w:tcPr>
            <w:tcW w:w="1085"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c>
          <w:tcPr>
            <w:tcW w:w="1108" w:type="pct"/>
            <w:shd w:val="clear" w:color="auto" w:fill="auto"/>
            <w:vAlign w:val="center"/>
          </w:tcPr>
          <w:p>
            <w:pPr>
              <w:widowControl/>
              <w:adjustRightInd w:val="0"/>
              <w:snapToGrid w:val="0"/>
              <w:jc w:val="center"/>
              <w:rPr>
                <w:color w:val="000000"/>
                <w:kern w:val="0"/>
                <w:sz w:val="18"/>
                <w:szCs w:val="18"/>
              </w:rPr>
            </w:pP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3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小计</w:t>
            </w:r>
          </w:p>
        </w:tc>
        <w:tc>
          <w:tcPr>
            <w:tcW w:w="1085"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16</w:t>
            </w:r>
          </w:p>
        </w:tc>
        <w:tc>
          <w:tcPr>
            <w:tcW w:w="1108"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8</w:t>
            </w:r>
          </w:p>
        </w:tc>
        <w:tc>
          <w:tcPr>
            <w:tcW w:w="473" w:type="pct"/>
            <w:shd w:val="clear" w:color="auto" w:fill="auto"/>
            <w:vAlign w:val="center"/>
          </w:tcPr>
          <w:p>
            <w:pPr>
              <w:widowControl/>
              <w:adjustRightInd w:val="0"/>
              <w:snapToGrid w:val="0"/>
              <w:jc w:val="center"/>
              <w:rPr>
                <w:color w:val="000000"/>
                <w:kern w:val="0"/>
                <w:sz w:val="18"/>
                <w:szCs w:val="18"/>
              </w:rPr>
            </w:pPr>
            <w:r>
              <w:rPr>
                <w:color w:val="000000"/>
                <w:kern w:val="0"/>
                <w:sz w:val="18"/>
                <w:szCs w:val="18"/>
              </w:rPr>
              <w:t>24</w:t>
            </w:r>
          </w:p>
        </w:tc>
      </w:tr>
    </w:tbl>
    <w:p>
      <w:pPr>
        <w:adjustRightInd w:val="0"/>
        <w:snapToGrid w:val="0"/>
        <w:spacing w:line="360" w:lineRule="auto"/>
        <w:rPr>
          <w:b/>
          <w:color w:val="000000"/>
          <w:sz w:val="24"/>
          <w:szCs w:val="24"/>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七、教材、补充教材及参考资料</w:t>
      </w:r>
    </w:p>
    <w:p>
      <w:pPr>
        <w:adjustRightInd w:val="0"/>
        <w:snapToGrid w:val="0"/>
        <w:spacing w:line="360" w:lineRule="auto"/>
        <w:ind w:firstLine="420" w:firstLineChars="200"/>
        <w:rPr>
          <w:color w:val="000000"/>
          <w:szCs w:val="21"/>
        </w:rPr>
      </w:pPr>
      <w:r>
        <w:rPr>
          <w:color w:val="000000"/>
          <w:szCs w:val="21"/>
        </w:rPr>
        <w:t>1、张文栋等编著. 《微米纳米器件测试技术》，ISBN 9787118078978，国防工业出版社</w:t>
      </w:r>
    </w:p>
    <w:p>
      <w:pPr>
        <w:adjustRightInd w:val="0"/>
        <w:snapToGrid w:val="0"/>
        <w:spacing w:line="360" w:lineRule="auto"/>
        <w:ind w:firstLine="420" w:firstLineChars="200"/>
        <w:rPr>
          <w:color w:val="000000"/>
          <w:szCs w:val="21"/>
        </w:rPr>
      </w:pPr>
      <w:r>
        <w:rPr>
          <w:color w:val="000000"/>
          <w:szCs w:val="21"/>
        </w:rPr>
        <w:t>2、苏大图等编著.《光学测试技术》，ISBN 9787564025649，北京理工大学出版社</w:t>
      </w:r>
    </w:p>
    <w:p>
      <w:pPr>
        <w:adjustRightInd w:val="0"/>
        <w:snapToGrid w:val="0"/>
        <w:spacing w:line="360" w:lineRule="auto"/>
        <w:ind w:firstLine="420" w:firstLineChars="200"/>
        <w:rPr>
          <w:color w:val="000000"/>
          <w:szCs w:val="21"/>
        </w:rPr>
      </w:pPr>
      <w:r>
        <w:rPr>
          <w:color w:val="000000"/>
          <w:szCs w:val="21"/>
        </w:rPr>
        <w:t>3、Wolfgang Osten主编，王伯雄等译.《微系统光学检测技术》，ISBN 9787111458371，机械工业出版社</w:t>
      </w:r>
    </w:p>
    <w:p>
      <w:pPr>
        <w:adjustRightInd w:val="0"/>
        <w:snapToGrid w:val="0"/>
        <w:spacing w:line="360" w:lineRule="auto"/>
        <w:ind w:firstLine="420" w:firstLineChars="200"/>
        <w:rPr>
          <w:color w:val="000000"/>
          <w:szCs w:val="21"/>
        </w:rPr>
      </w:pPr>
    </w:p>
    <w:p>
      <w:pPr>
        <w:tabs>
          <w:tab w:val="left" w:pos="420"/>
        </w:tabs>
        <w:adjustRightInd w:val="0"/>
        <w:snapToGrid w:val="0"/>
        <w:spacing w:line="360" w:lineRule="auto"/>
        <w:ind w:left="420" w:hanging="420"/>
        <w:rPr>
          <w:b/>
          <w:color w:val="000000"/>
          <w:szCs w:val="21"/>
        </w:rPr>
      </w:pPr>
      <w:r>
        <w:rPr>
          <w:rFonts w:eastAsia="黑体"/>
          <w:color w:val="000000"/>
          <w:szCs w:val="24"/>
        </w:rPr>
        <w:t>八、课程目标达成的途径和措施</w:t>
      </w:r>
    </w:p>
    <w:p>
      <w:pPr>
        <w:adjustRightInd w:val="0"/>
        <w:snapToGrid w:val="0"/>
        <w:spacing w:line="360" w:lineRule="auto"/>
        <w:ind w:firstLine="420" w:firstLineChars="200"/>
        <w:rPr>
          <w:color w:val="000000"/>
          <w:szCs w:val="21"/>
        </w:rPr>
      </w:pPr>
      <w:r>
        <w:rPr>
          <w:color w:val="000000"/>
          <w:szCs w:val="21"/>
        </w:rPr>
        <w:t>1、考核目标：重点考核学生对光学仪器原理、应用领域及实际操作能力。</w:t>
      </w:r>
    </w:p>
    <w:p>
      <w:pPr>
        <w:adjustRightInd w:val="0"/>
        <w:snapToGrid w:val="0"/>
        <w:spacing w:line="360" w:lineRule="auto"/>
        <w:ind w:firstLine="420" w:firstLineChars="200"/>
        <w:rPr>
          <w:color w:val="000000"/>
          <w:szCs w:val="21"/>
        </w:rPr>
      </w:pPr>
      <w:r>
        <w:rPr>
          <w:color w:val="000000"/>
          <w:szCs w:val="21"/>
        </w:rPr>
        <w:t>2、考核方式：课堂情况、分组实验以及课外作业。</w:t>
      </w:r>
    </w:p>
    <w:p>
      <w:pPr>
        <w:adjustRightInd w:val="0"/>
        <w:snapToGrid w:val="0"/>
        <w:spacing w:line="360" w:lineRule="auto"/>
        <w:ind w:firstLine="420" w:firstLineChars="200"/>
        <w:rPr>
          <w:color w:val="000000"/>
        </w:rPr>
      </w:pPr>
      <w:r>
        <w:rPr>
          <w:color w:val="000000"/>
          <w:szCs w:val="21"/>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2038"/>
        <w:gridCol w:w="2136"/>
        <w:gridCol w:w="18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44" w:type="pct"/>
            <w:shd w:val="clear" w:color="auto" w:fill="auto"/>
            <w:vAlign w:val="center"/>
          </w:tcPr>
          <w:p>
            <w:pPr>
              <w:widowControl/>
              <w:jc w:val="center"/>
              <w:rPr>
                <w:color w:val="000000"/>
                <w:kern w:val="0"/>
                <w:sz w:val="18"/>
              </w:rPr>
            </w:pPr>
            <w:r>
              <w:rPr>
                <w:color w:val="000000"/>
                <w:kern w:val="0"/>
                <w:sz w:val="18"/>
              </w:rPr>
              <w:t>考察环节</w:t>
            </w:r>
          </w:p>
        </w:tc>
        <w:tc>
          <w:tcPr>
            <w:tcW w:w="1227" w:type="pct"/>
            <w:shd w:val="clear" w:color="auto" w:fill="auto"/>
            <w:vAlign w:val="center"/>
          </w:tcPr>
          <w:p>
            <w:pPr>
              <w:widowControl/>
              <w:jc w:val="center"/>
              <w:rPr>
                <w:color w:val="000000"/>
                <w:kern w:val="0"/>
                <w:sz w:val="18"/>
              </w:rPr>
            </w:pPr>
            <w:r>
              <w:rPr>
                <w:color w:val="000000"/>
                <w:kern w:val="0"/>
                <w:sz w:val="18"/>
              </w:rPr>
              <w:t>课堂情况</w:t>
            </w:r>
          </w:p>
        </w:tc>
        <w:tc>
          <w:tcPr>
            <w:tcW w:w="1286" w:type="pct"/>
            <w:shd w:val="clear" w:color="auto" w:fill="auto"/>
            <w:vAlign w:val="center"/>
          </w:tcPr>
          <w:p>
            <w:pPr>
              <w:widowControl/>
              <w:jc w:val="center"/>
              <w:rPr>
                <w:color w:val="000000"/>
                <w:kern w:val="0"/>
                <w:sz w:val="18"/>
              </w:rPr>
            </w:pPr>
            <w:r>
              <w:rPr>
                <w:color w:val="000000"/>
                <w:kern w:val="0"/>
                <w:sz w:val="18"/>
              </w:rPr>
              <w:t>分组实验</w:t>
            </w:r>
          </w:p>
        </w:tc>
        <w:tc>
          <w:tcPr>
            <w:tcW w:w="1143" w:type="pct"/>
            <w:shd w:val="clear" w:color="auto" w:fill="auto"/>
            <w:vAlign w:val="center"/>
          </w:tcPr>
          <w:p>
            <w:pPr>
              <w:widowControl/>
              <w:jc w:val="center"/>
              <w:rPr>
                <w:color w:val="000000"/>
                <w:kern w:val="0"/>
                <w:sz w:val="18"/>
              </w:rPr>
            </w:pPr>
            <w:r>
              <w:rPr>
                <w:color w:val="000000"/>
                <w:kern w:val="0"/>
                <w:sz w:val="18"/>
              </w:rPr>
              <w:t>课外作业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44" w:type="pct"/>
            <w:shd w:val="clear" w:color="auto" w:fill="auto"/>
            <w:vAlign w:val="center"/>
          </w:tcPr>
          <w:p>
            <w:pPr>
              <w:widowControl/>
              <w:jc w:val="center"/>
              <w:rPr>
                <w:color w:val="000000"/>
                <w:kern w:val="0"/>
                <w:sz w:val="18"/>
              </w:rPr>
            </w:pPr>
            <w:r>
              <w:rPr>
                <w:color w:val="000000"/>
                <w:kern w:val="0"/>
                <w:sz w:val="18"/>
              </w:rPr>
              <w:t>课程目标达成</w:t>
            </w:r>
          </w:p>
          <w:p>
            <w:pPr>
              <w:widowControl/>
              <w:jc w:val="center"/>
              <w:rPr>
                <w:color w:val="000000"/>
                <w:kern w:val="0"/>
                <w:sz w:val="18"/>
              </w:rPr>
            </w:pPr>
            <w:r>
              <w:rPr>
                <w:color w:val="000000"/>
                <w:kern w:val="0"/>
                <w:sz w:val="18"/>
              </w:rPr>
              <w:t>的贡献率</w:t>
            </w:r>
          </w:p>
        </w:tc>
        <w:tc>
          <w:tcPr>
            <w:tcW w:w="1227" w:type="pct"/>
            <w:shd w:val="clear" w:color="auto" w:fill="auto"/>
            <w:vAlign w:val="center"/>
          </w:tcPr>
          <w:p>
            <w:pPr>
              <w:widowControl/>
              <w:jc w:val="center"/>
              <w:rPr>
                <w:color w:val="000000"/>
                <w:kern w:val="0"/>
                <w:sz w:val="18"/>
              </w:rPr>
            </w:pPr>
            <w:r>
              <w:rPr>
                <w:color w:val="000000"/>
                <w:kern w:val="0"/>
                <w:sz w:val="18"/>
              </w:rPr>
              <w:t>0.24</w:t>
            </w:r>
          </w:p>
        </w:tc>
        <w:tc>
          <w:tcPr>
            <w:tcW w:w="1286" w:type="pct"/>
            <w:shd w:val="clear" w:color="auto" w:fill="auto"/>
            <w:vAlign w:val="center"/>
          </w:tcPr>
          <w:p>
            <w:pPr>
              <w:widowControl/>
              <w:jc w:val="center"/>
              <w:rPr>
                <w:color w:val="000000"/>
                <w:kern w:val="0"/>
                <w:sz w:val="18"/>
              </w:rPr>
            </w:pPr>
            <w:r>
              <w:rPr>
                <w:color w:val="000000"/>
                <w:kern w:val="0"/>
                <w:sz w:val="18"/>
              </w:rPr>
              <w:t>0.44</w:t>
            </w:r>
          </w:p>
        </w:tc>
        <w:tc>
          <w:tcPr>
            <w:tcW w:w="1143" w:type="pct"/>
            <w:shd w:val="clear" w:color="auto" w:fill="auto"/>
            <w:vAlign w:val="center"/>
          </w:tcPr>
          <w:p>
            <w:pPr>
              <w:widowControl/>
              <w:jc w:val="center"/>
              <w:rPr>
                <w:color w:val="000000"/>
                <w:kern w:val="0"/>
                <w:sz w:val="18"/>
              </w:rPr>
            </w:pPr>
            <w:r>
              <w:rPr>
                <w:color w:val="000000"/>
                <w:kern w:val="0"/>
                <w:sz w:val="18"/>
              </w:rPr>
              <w:t>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44" w:type="pct"/>
            <w:shd w:val="clear" w:color="auto" w:fill="auto"/>
            <w:vAlign w:val="center"/>
          </w:tcPr>
          <w:p>
            <w:pPr>
              <w:widowControl/>
              <w:jc w:val="center"/>
              <w:rPr>
                <w:color w:val="000000"/>
                <w:kern w:val="0"/>
                <w:sz w:val="18"/>
              </w:rPr>
            </w:pPr>
            <w:r>
              <w:rPr>
                <w:color w:val="000000"/>
                <w:kern w:val="0"/>
                <w:sz w:val="18"/>
              </w:rPr>
              <w:t>支撑材料</w:t>
            </w:r>
          </w:p>
        </w:tc>
        <w:tc>
          <w:tcPr>
            <w:tcW w:w="1227" w:type="pct"/>
            <w:shd w:val="clear" w:color="auto" w:fill="auto"/>
            <w:vAlign w:val="center"/>
          </w:tcPr>
          <w:p>
            <w:pPr>
              <w:widowControl/>
              <w:jc w:val="center"/>
              <w:rPr>
                <w:color w:val="000000"/>
                <w:kern w:val="0"/>
                <w:sz w:val="18"/>
              </w:rPr>
            </w:pPr>
            <w:r>
              <w:rPr>
                <w:color w:val="000000"/>
                <w:kern w:val="0"/>
                <w:sz w:val="18"/>
              </w:rPr>
              <w:t>课堂评价标准，课堂提问记录或随堂考试，结合出勤率等</w:t>
            </w:r>
          </w:p>
        </w:tc>
        <w:tc>
          <w:tcPr>
            <w:tcW w:w="1286" w:type="pct"/>
            <w:shd w:val="clear" w:color="auto" w:fill="auto"/>
            <w:vAlign w:val="center"/>
          </w:tcPr>
          <w:p>
            <w:pPr>
              <w:widowControl/>
              <w:jc w:val="center"/>
              <w:rPr>
                <w:color w:val="000000"/>
                <w:kern w:val="0"/>
                <w:sz w:val="18"/>
              </w:rPr>
            </w:pPr>
            <w:r>
              <w:rPr>
                <w:color w:val="000000"/>
                <w:kern w:val="0"/>
                <w:sz w:val="18"/>
              </w:rPr>
              <w:t>课内实验评价标准，实验课堂记录记录，典型实验报告</w:t>
            </w:r>
          </w:p>
        </w:tc>
        <w:tc>
          <w:tcPr>
            <w:tcW w:w="1143" w:type="pct"/>
            <w:shd w:val="clear" w:color="auto" w:fill="auto"/>
            <w:vAlign w:val="center"/>
          </w:tcPr>
          <w:p>
            <w:pPr>
              <w:widowControl/>
              <w:jc w:val="center"/>
              <w:rPr>
                <w:color w:val="000000"/>
                <w:kern w:val="0"/>
                <w:sz w:val="18"/>
              </w:rPr>
            </w:pPr>
            <w:r>
              <w:rPr>
                <w:color w:val="000000"/>
                <w:kern w:val="0"/>
                <w:sz w:val="18"/>
              </w:rPr>
              <w:t>课外作业评价标准，课外作业</w:t>
            </w:r>
          </w:p>
        </w:tc>
      </w:tr>
    </w:tbl>
    <w:p>
      <w:pPr>
        <w:adjustRightInd w:val="0"/>
        <w:snapToGrid w:val="0"/>
        <w:spacing w:line="360" w:lineRule="auto"/>
        <w:rPr>
          <w:color w:val="000000"/>
        </w:rPr>
      </w:pPr>
    </w:p>
    <w:p>
      <w:pPr>
        <w:tabs>
          <w:tab w:val="left" w:pos="420"/>
        </w:tabs>
        <w:adjustRightInd w:val="0"/>
        <w:snapToGrid w:val="0"/>
        <w:spacing w:line="360" w:lineRule="auto"/>
        <w:ind w:left="420" w:hanging="420"/>
        <w:rPr>
          <w:rFonts w:eastAsia="黑体"/>
          <w:color w:val="000000"/>
          <w:szCs w:val="24"/>
        </w:rPr>
      </w:pPr>
      <w:r>
        <w:rPr>
          <w:rFonts w:eastAsia="黑体"/>
          <w:color w:val="000000"/>
          <w:szCs w:val="24"/>
        </w:rPr>
        <w:t>九、课程目标对毕业要求的支撑</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17"/>
        <w:gridCol w:w="1148"/>
        <w:gridCol w:w="17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jc w:val="center"/>
              <w:rPr>
                <w:rFonts w:ascii="宋体" w:hAnsi="宋体"/>
                <w:color w:val="000000"/>
                <w:sz w:val="18"/>
                <w:szCs w:val="18"/>
              </w:rPr>
            </w:pPr>
            <w:r>
              <w:rPr>
                <w:rFonts w:ascii="宋体" w:hAnsi="宋体"/>
                <w:color w:val="000000"/>
                <w:sz w:val="18"/>
                <w:szCs w:val="18"/>
              </w:rPr>
              <w:t>知识点</w:t>
            </w:r>
          </w:p>
        </w:tc>
        <w:tc>
          <w:tcPr>
            <w:tcW w:w="691" w:type="pct"/>
            <w:vAlign w:val="center"/>
          </w:tcPr>
          <w:p>
            <w:pPr>
              <w:jc w:val="center"/>
              <w:rPr>
                <w:color w:val="000000"/>
                <w:sz w:val="18"/>
                <w:szCs w:val="18"/>
              </w:rPr>
            </w:pPr>
            <w:r>
              <w:rPr>
                <w:color w:val="000000"/>
                <w:sz w:val="18"/>
                <w:szCs w:val="18"/>
              </w:rPr>
              <w:t>权重</w:t>
            </w:r>
          </w:p>
        </w:tc>
        <w:tc>
          <w:tcPr>
            <w:tcW w:w="1048" w:type="pct"/>
            <w:vAlign w:val="center"/>
          </w:tcPr>
          <w:p>
            <w:pPr>
              <w:jc w:val="center"/>
              <w:rPr>
                <w:color w:val="000000"/>
                <w:sz w:val="18"/>
                <w:szCs w:val="18"/>
              </w:rPr>
            </w:pPr>
            <w:r>
              <w:rPr>
                <w:color w:val="000000"/>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1激光共聚焦显微镜</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10</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2白光干涉仪</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15</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3立体视觉测量系统</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15</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4全站仪</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10</w:t>
            </w:r>
          </w:p>
        </w:tc>
        <w:tc>
          <w:tcPr>
            <w:tcW w:w="1048" w:type="pct"/>
            <w:vAlign w:val="center"/>
          </w:tcPr>
          <w:p>
            <w:pPr>
              <w:ind w:firstLine="422"/>
              <w:jc w:val="center"/>
              <w:rPr>
                <w:color w:val="000000"/>
                <w:sz w:val="18"/>
                <w:szCs w:val="18"/>
              </w:rPr>
            </w:pPr>
            <w:r>
              <w:rPr>
                <w:rFonts w:hint="eastAsia"/>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5激光多普勒测振仪</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20</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6红外热成像仪</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10</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7光谱分析仪</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10</w:t>
            </w:r>
          </w:p>
        </w:tc>
        <w:tc>
          <w:tcPr>
            <w:tcW w:w="1048" w:type="pct"/>
            <w:vAlign w:val="center"/>
          </w:tcPr>
          <w:p>
            <w:pPr>
              <w:ind w:firstLine="422"/>
              <w:jc w:val="center"/>
              <w:rPr>
                <w:color w:val="000000"/>
                <w:sz w:val="18"/>
                <w:szCs w:val="18"/>
              </w:rPr>
            </w:pPr>
            <w:r>
              <w:rPr>
                <w:color w:val="00000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1" w:type="pct"/>
          </w:tcPr>
          <w:p>
            <w:pPr>
              <w:ind w:left="174" w:leftChars="83"/>
              <w:rPr>
                <w:rFonts w:ascii="宋体" w:hAnsi="宋体"/>
                <w:color w:val="000000"/>
                <w:sz w:val="18"/>
                <w:szCs w:val="18"/>
              </w:rPr>
            </w:pPr>
            <w:r>
              <w:rPr>
                <w:sz w:val="18"/>
                <w:szCs w:val="18"/>
              </w:rPr>
              <w:t>8分布式光纤传感系统</w:t>
            </w:r>
          </w:p>
        </w:tc>
        <w:tc>
          <w:tcPr>
            <w:tcW w:w="691" w:type="pct"/>
            <w:vAlign w:val="center"/>
          </w:tcPr>
          <w:p>
            <w:pPr>
              <w:jc w:val="center"/>
              <w:rPr>
                <w:color w:val="000000"/>
                <w:sz w:val="18"/>
                <w:szCs w:val="18"/>
              </w:rPr>
            </w:pPr>
            <w:r>
              <w:rPr>
                <w:rFonts w:hint="eastAsia"/>
                <w:color w:val="000000"/>
                <w:sz w:val="18"/>
                <w:szCs w:val="18"/>
              </w:rPr>
              <w:t>0</w:t>
            </w:r>
            <w:r>
              <w:rPr>
                <w:color w:val="000000"/>
                <w:sz w:val="18"/>
                <w:szCs w:val="18"/>
              </w:rPr>
              <w:t>.10</w:t>
            </w:r>
          </w:p>
        </w:tc>
        <w:tc>
          <w:tcPr>
            <w:tcW w:w="1048" w:type="pct"/>
            <w:vAlign w:val="center"/>
          </w:tcPr>
          <w:p>
            <w:pPr>
              <w:ind w:firstLine="422"/>
              <w:jc w:val="center"/>
              <w:rPr>
                <w:color w:val="000000"/>
                <w:sz w:val="18"/>
                <w:szCs w:val="18"/>
              </w:rPr>
            </w:pPr>
            <w:r>
              <w:rPr>
                <w:rFonts w:hint="eastAsia"/>
                <w:color w:val="000000"/>
                <w:sz w:val="18"/>
                <w:szCs w:val="18"/>
              </w:rPr>
              <w:t>1</w:t>
            </w:r>
          </w:p>
        </w:tc>
      </w:tr>
    </w:tbl>
    <w:p>
      <w:pPr>
        <w:spacing w:before="156" w:beforeLines="50" w:line="360" w:lineRule="auto"/>
        <w:ind w:firstLine="420" w:firstLineChars="200"/>
        <w:rPr>
          <w:color w:val="000000"/>
          <w:sz w:val="24"/>
          <w:szCs w:val="24"/>
        </w:rPr>
      </w:pPr>
      <w:r>
        <w:rPr>
          <w:rFonts w:hint="eastAsia" w:ascii="宋体" w:hAnsi="宋体" w:cs="宋体"/>
          <w:szCs w:val="21"/>
        </w:rPr>
        <w:t>本课程不可以申请免修。</w:t>
      </w:r>
    </w:p>
    <w:p>
      <w:pPr>
        <w:tabs>
          <w:tab w:val="left" w:pos="420"/>
        </w:tabs>
        <w:adjustRightInd w:val="0"/>
        <w:snapToGrid w:val="0"/>
        <w:spacing w:line="360" w:lineRule="auto"/>
        <w:rPr>
          <w:rFonts w:eastAsia="黑体"/>
          <w:color w:val="000000"/>
          <w:szCs w:val="24"/>
        </w:rPr>
        <w:sectPr>
          <w:headerReference r:id="rId112" w:type="first"/>
          <w:footerReference r:id="rId115" w:type="first"/>
          <w:headerReference r:id="rId110" w:type="default"/>
          <w:footerReference r:id="rId113" w:type="default"/>
          <w:headerReference r:id="rId111" w:type="even"/>
          <w:footerReference r:id="rId114" w:type="even"/>
          <w:pgSz w:w="11906" w:h="16838"/>
          <w:pgMar w:top="1440" w:right="1800" w:bottom="1440" w:left="1800" w:header="851" w:footer="992" w:gutter="0"/>
          <w:cols w:space="425" w:num="1"/>
          <w:docGrid w:type="lines" w:linePitch="312" w:charSpace="0"/>
        </w:sectPr>
      </w:pPr>
    </w:p>
    <w:p>
      <w:pPr>
        <w:tabs>
          <w:tab w:val="left" w:pos="420"/>
        </w:tabs>
        <w:adjustRightInd w:val="0"/>
        <w:snapToGrid w:val="0"/>
        <w:spacing w:line="360" w:lineRule="auto"/>
        <w:ind w:left="420" w:hanging="420"/>
        <w:rPr>
          <w:rFonts w:eastAsia="黑体"/>
          <w:color w:val="000000"/>
          <w:szCs w:val="24"/>
        </w:rPr>
      </w:pPr>
      <w:r>
        <w:rPr>
          <w:rFonts w:hint="eastAsia" w:eastAsia="黑体"/>
          <w:color w:val="000000"/>
          <w:szCs w:val="24"/>
        </w:rPr>
        <w:t>十、课程目标达成评价</w:t>
      </w:r>
    </w:p>
    <w:p>
      <w:pPr>
        <w:spacing w:line="360" w:lineRule="auto"/>
        <w:ind w:firstLine="420" w:firstLineChars="200"/>
        <w:jc w:val="center"/>
        <w:rPr>
          <w:color w:val="000000"/>
        </w:rPr>
      </w:pPr>
      <w:r>
        <w:rPr>
          <w:rFonts w:hint="eastAsia"/>
          <w:color w:val="000000"/>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971"/>
        <w:gridCol w:w="1590"/>
        <w:gridCol w:w="1314"/>
        <w:gridCol w:w="1091"/>
        <w:gridCol w:w="1094"/>
        <w:gridCol w:w="1163"/>
        <w:gridCol w:w="1308"/>
        <w:gridCol w:w="1322"/>
        <w:gridCol w:w="1099"/>
        <w:gridCol w:w="1099"/>
        <w:gridCol w:w="1897"/>
      </w:tblGrid>
      <w:tr>
        <w:tblPrEx>
          <w:tblCellMar>
            <w:top w:w="0" w:type="dxa"/>
            <w:left w:w="108" w:type="dxa"/>
            <w:bottom w:w="0" w:type="dxa"/>
            <w:right w:w="108" w:type="dxa"/>
          </w:tblCellMar>
        </w:tblPrEx>
        <w:trPr>
          <w:trHeight w:val="1015" w:hRule="atLeast"/>
          <w:jc w:val="center"/>
        </w:trPr>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课程目标</w:t>
            </w:r>
          </w:p>
        </w:tc>
        <w:tc>
          <w:tcPr>
            <w:tcW w:w="5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知识面比例</w:t>
            </w:r>
          </w:p>
          <w:p>
            <w:pPr>
              <w:widowControl/>
              <w:jc w:val="center"/>
              <w:rPr>
                <w:color w:val="000000"/>
                <w:kern w:val="0"/>
                <w:sz w:val="18"/>
                <w:szCs w:val="18"/>
              </w:rPr>
            </w:pPr>
            <w:r>
              <w:rPr>
                <w:rFonts w:hint="eastAsia"/>
                <w:color w:val="000000"/>
                <w:kern w:val="0"/>
                <w:sz w:val="18"/>
                <w:szCs w:val="18"/>
              </w:rPr>
              <w:t>（本列总和为1）</w:t>
            </w:r>
          </w:p>
          <w:p>
            <w:pPr>
              <w:widowControl/>
              <w:jc w:val="center"/>
              <w:rPr>
                <w:i/>
                <w:color w:val="000000"/>
                <w:kern w:val="0"/>
                <w:sz w:val="18"/>
                <w:szCs w:val="18"/>
              </w:rPr>
            </w:pPr>
            <w:r>
              <w:rPr>
                <w:i/>
                <w:color w:val="000000"/>
                <w:kern w:val="0"/>
                <w:sz w:val="18"/>
                <w:szCs w:val="18"/>
              </w:rPr>
              <w:t>P</w:t>
            </w:r>
            <w:r>
              <w:rPr>
                <w:i/>
                <w:color w:val="000000"/>
                <w:kern w:val="0"/>
                <w:sz w:val="18"/>
                <w:szCs w:val="18"/>
                <w:vertAlign w:val="subscript"/>
              </w:rPr>
              <w:t>i</w:t>
            </w:r>
          </w:p>
        </w:tc>
        <w:tc>
          <w:tcPr>
            <w:tcW w:w="125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sz w:val="18"/>
                <w:szCs w:val="18"/>
              </w:rPr>
              <w:t>各环节评价比例分配</w:t>
            </w:r>
            <w:r>
              <w:rPr>
                <w:rFonts w:hint="eastAsia"/>
                <w:color w:val="000000"/>
                <w:sz w:val="18"/>
                <w:szCs w:val="18"/>
              </w:rPr>
              <w:br w:type="textWrapping"/>
            </w:r>
            <w:r>
              <w:rPr>
                <w:rFonts w:hint="eastAsia"/>
                <w:color w:val="000000"/>
                <w:sz w:val="18"/>
                <w:szCs w:val="18"/>
              </w:rPr>
              <w:t>（每行总和为1）</w:t>
            </w:r>
            <w:r>
              <w:rPr>
                <w:rFonts w:hint="eastAsia"/>
                <w:color w:val="000000"/>
                <w:sz w:val="18"/>
                <w:szCs w:val="18"/>
              </w:rPr>
              <w:br w:type="textWrapping"/>
            </w:r>
            <w:r>
              <w:rPr>
                <w:rFonts w:hint="eastAsia"/>
                <w:i/>
                <w:color w:val="000000"/>
                <w:sz w:val="18"/>
                <w:szCs w:val="18"/>
              </w:rPr>
              <w:t>W</w:t>
            </w:r>
            <w:r>
              <w:rPr>
                <w:rFonts w:hint="eastAsia"/>
                <w:i/>
                <w:color w:val="000000"/>
                <w:sz w:val="18"/>
                <w:szCs w:val="18"/>
                <w:vertAlign w:val="subscript"/>
              </w:rPr>
              <w:t>ik</w:t>
            </w:r>
          </w:p>
        </w:tc>
        <w:tc>
          <w:tcPr>
            <w:tcW w:w="1360" w:type="pct"/>
            <w:gridSpan w:val="3"/>
            <w:tcBorders>
              <w:top w:val="single" w:color="auto" w:sz="4" w:space="0"/>
              <w:left w:val="nil"/>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各环节在课程达成中的占比</w:t>
            </w:r>
            <w:r>
              <w:rPr>
                <w:rFonts w:hint="eastAsia"/>
                <w:color w:val="000000"/>
                <w:sz w:val="18"/>
                <w:szCs w:val="18"/>
              </w:rPr>
              <w:br w:type="textWrapping"/>
            </w:r>
            <w:r>
              <w:rPr>
                <w:rFonts w:hint="eastAsia"/>
                <w:color w:val="000000"/>
                <w:sz w:val="18"/>
                <w:szCs w:val="18"/>
              </w:rPr>
              <w:t>（所有行列总和为1）</w:t>
            </w:r>
            <w:r>
              <w:rPr>
                <w:rFonts w:hint="eastAsia"/>
                <w:color w:val="000000"/>
                <w:sz w:val="18"/>
                <w:szCs w:val="18"/>
              </w:rPr>
              <w:br w:type="textWrapping"/>
            </w:r>
            <w:r>
              <w:rPr>
                <w:rFonts w:hint="eastAsia"/>
                <w:i/>
                <w:color w:val="000000"/>
                <w:sz w:val="18"/>
                <w:szCs w:val="18"/>
              </w:rPr>
              <w:t>S</w:t>
            </w:r>
            <w:r>
              <w:rPr>
                <w:rFonts w:hint="eastAsia"/>
                <w:i/>
                <w:color w:val="000000"/>
                <w:sz w:val="18"/>
                <w:szCs w:val="18"/>
                <w:vertAlign w:val="subscript"/>
              </w:rPr>
              <w:t>ik</w:t>
            </w:r>
            <w:r>
              <w:rPr>
                <w:rFonts w:hint="eastAsia"/>
                <w:i/>
                <w:color w:val="000000"/>
                <w:sz w:val="18"/>
                <w:szCs w:val="18"/>
              </w:rPr>
              <w:t>=P</w:t>
            </w:r>
            <w:r>
              <w:rPr>
                <w:rFonts w:hint="eastAsia"/>
                <w:i/>
                <w:color w:val="000000"/>
                <w:sz w:val="18"/>
                <w:szCs w:val="18"/>
                <w:vertAlign w:val="subscript"/>
              </w:rPr>
              <w:t>i</w:t>
            </w:r>
            <w:r>
              <w:rPr>
                <w:rFonts w:hint="eastAsia"/>
                <w:i/>
                <w:color w:val="000000"/>
                <w:sz w:val="18"/>
                <w:szCs w:val="18"/>
              </w:rPr>
              <w:t>*W</w:t>
            </w:r>
            <w:r>
              <w:rPr>
                <w:rFonts w:hint="eastAsia"/>
                <w:i/>
                <w:color w:val="000000"/>
                <w:sz w:val="18"/>
                <w:szCs w:val="18"/>
                <w:vertAlign w:val="subscript"/>
              </w:rPr>
              <w:t>ik</w:t>
            </w:r>
          </w:p>
        </w:tc>
        <w:tc>
          <w:tcPr>
            <w:tcW w:w="14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各环节课程目标考核权重分布</w:t>
            </w:r>
          </w:p>
          <w:p>
            <w:pPr>
              <w:jc w:val="center"/>
              <w:rPr>
                <w:color w:val="000000"/>
                <w:sz w:val="18"/>
                <w:szCs w:val="18"/>
              </w:rPr>
            </w:pPr>
            <w:r>
              <w:rPr>
                <w:color w:val="000000"/>
                <w:sz w:val="18"/>
                <w:szCs w:val="18"/>
              </w:rPr>
              <w:t>（每一列总和为</w:t>
            </w:r>
            <w:r>
              <w:rPr>
                <w:rFonts w:hint="eastAsia"/>
                <w:color w:val="000000"/>
                <w:sz w:val="18"/>
                <w:szCs w:val="18"/>
              </w:rPr>
              <w:t>1</w:t>
            </w:r>
            <w:r>
              <w:rPr>
                <w:color w:val="000000"/>
                <w:sz w:val="18"/>
                <w:szCs w:val="18"/>
              </w:rPr>
              <w:t>）</w:t>
            </w:r>
          </w:p>
          <w:p>
            <w:pPr>
              <w:jc w:val="center"/>
              <w:rPr>
                <w:i/>
                <w:color w:val="000000"/>
                <w:sz w:val="18"/>
                <w:szCs w:val="18"/>
              </w:rPr>
            </w:pPr>
            <w:r>
              <w:rPr>
                <w:rFonts w:hint="eastAsia"/>
                <w:i/>
                <w:color w:val="000000"/>
                <w:sz w:val="18"/>
                <w:szCs w:val="18"/>
              </w:rPr>
              <w:t>E</w:t>
            </w:r>
            <w:r>
              <w:rPr>
                <w:rFonts w:hint="eastAsia"/>
                <w:i/>
                <w:color w:val="000000"/>
                <w:sz w:val="18"/>
                <w:szCs w:val="18"/>
                <w:vertAlign w:val="subscript"/>
              </w:rPr>
              <w:t>ik</w:t>
            </w:r>
            <w:r>
              <w:rPr>
                <w:rFonts w:hint="eastAsia"/>
                <w:i/>
                <w:color w:val="000000"/>
                <w:sz w:val="18"/>
                <w:szCs w:val="18"/>
              </w:rPr>
              <w:t>=</w:t>
            </w:r>
            <w:r>
              <w:rPr>
                <w:i/>
                <w:color w:val="000000"/>
                <w:sz w:val="18"/>
                <w:szCs w:val="18"/>
              </w:rPr>
              <w:t>S</w:t>
            </w:r>
            <w:r>
              <w:rPr>
                <w:i/>
                <w:color w:val="000000"/>
                <w:sz w:val="18"/>
                <w:szCs w:val="18"/>
                <w:vertAlign w:val="subscript"/>
              </w:rPr>
              <w:t>ik</w:t>
            </w:r>
            <w:r>
              <w:rPr>
                <w:i/>
                <w:color w:val="000000"/>
                <w:sz w:val="18"/>
                <w:szCs w:val="18"/>
              </w:rPr>
              <w:t>/M</w:t>
            </w:r>
            <w:r>
              <w:rPr>
                <w:i/>
                <w:color w:val="000000"/>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kern w:val="0"/>
                <w:sz w:val="18"/>
                <w:szCs w:val="18"/>
              </w:rPr>
            </w:pPr>
          </w:p>
        </w:tc>
        <w:tc>
          <w:tcPr>
            <w:tcW w:w="57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color w:val="000000"/>
                <w:kern w:val="0"/>
                <w:sz w:val="18"/>
                <w:szCs w:val="18"/>
              </w:rPr>
            </w:pPr>
          </w:p>
        </w:tc>
        <w:tc>
          <w:tcPr>
            <w:tcW w:w="471"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课堂</w:t>
            </w:r>
          </w:p>
          <w:p>
            <w:pPr>
              <w:widowControl/>
              <w:jc w:val="center"/>
              <w:rPr>
                <w:color w:val="000000"/>
                <w:kern w:val="0"/>
                <w:sz w:val="18"/>
                <w:szCs w:val="18"/>
              </w:rPr>
            </w:pPr>
            <w:r>
              <w:rPr>
                <w:rFonts w:hint="eastAsia"/>
                <w:color w:val="000000"/>
                <w:kern w:val="0"/>
                <w:sz w:val="18"/>
                <w:szCs w:val="18"/>
              </w:rPr>
              <w:t>情况</w:t>
            </w:r>
          </w:p>
        </w:tc>
        <w:tc>
          <w:tcPr>
            <w:tcW w:w="391"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验收</w:t>
            </w:r>
          </w:p>
        </w:tc>
        <w:tc>
          <w:tcPr>
            <w:tcW w:w="391"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报告</w:t>
            </w:r>
          </w:p>
        </w:tc>
        <w:tc>
          <w:tcPr>
            <w:tcW w:w="417"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课堂</w:t>
            </w:r>
          </w:p>
          <w:p>
            <w:pPr>
              <w:widowControl/>
              <w:jc w:val="center"/>
              <w:rPr>
                <w:color w:val="000000"/>
                <w:kern w:val="0"/>
                <w:sz w:val="18"/>
                <w:szCs w:val="18"/>
              </w:rPr>
            </w:pPr>
            <w:r>
              <w:rPr>
                <w:rFonts w:hint="eastAsia"/>
                <w:color w:val="000000"/>
                <w:kern w:val="0"/>
                <w:sz w:val="18"/>
                <w:szCs w:val="18"/>
              </w:rPr>
              <w:t>情况</w:t>
            </w:r>
          </w:p>
        </w:tc>
        <w:tc>
          <w:tcPr>
            <w:tcW w:w="469"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验收</w:t>
            </w:r>
          </w:p>
        </w:tc>
        <w:tc>
          <w:tcPr>
            <w:tcW w:w="474" w:type="pct"/>
            <w:tcBorders>
              <w:top w:val="nil"/>
              <w:left w:val="nil"/>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报告</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课堂</w:t>
            </w:r>
          </w:p>
          <w:p>
            <w:pPr>
              <w:widowControl/>
              <w:jc w:val="center"/>
              <w:rPr>
                <w:color w:val="000000"/>
                <w:kern w:val="0"/>
                <w:sz w:val="18"/>
                <w:szCs w:val="18"/>
              </w:rPr>
            </w:pPr>
            <w:r>
              <w:rPr>
                <w:rFonts w:hint="eastAsia"/>
                <w:color w:val="000000"/>
                <w:kern w:val="0"/>
                <w:sz w:val="18"/>
                <w:szCs w:val="18"/>
              </w:rPr>
              <w:t>情况</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验收</w:t>
            </w:r>
          </w:p>
        </w:tc>
        <w:tc>
          <w:tcPr>
            <w:tcW w:w="6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kern w:val="0"/>
                <w:sz w:val="18"/>
                <w:szCs w:val="18"/>
              </w:rPr>
              <w:t>分组</w:t>
            </w:r>
          </w:p>
          <w:p>
            <w:pPr>
              <w:widowControl/>
              <w:jc w:val="center"/>
              <w:rPr>
                <w:color w:val="000000"/>
                <w:kern w:val="0"/>
                <w:sz w:val="18"/>
                <w:szCs w:val="18"/>
              </w:rPr>
            </w:pPr>
            <w:r>
              <w:rPr>
                <w:rFonts w:hint="eastAsia"/>
                <w:color w:val="000000"/>
                <w:kern w:val="0"/>
                <w:sz w:val="18"/>
                <w:szCs w:val="18"/>
              </w:rPr>
              <w:t>实验</w:t>
            </w:r>
          </w:p>
          <w:p>
            <w:pPr>
              <w:widowControl/>
              <w:jc w:val="center"/>
              <w:rPr>
                <w:color w:val="000000"/>
                <w:kern w:val="0"/>
                <w:sz w:val="18"/>
                <w:szCs w:val="18"/>
              </w:rPr>
            </w:pPr>
            <w:r>
              <w:rPr>
                <w:rFonts w:hint="eastAsia"/>
                <w:color w:val="000000"/>
                <w:kern w:val="0"/>
                <w:sz w:val="18"/>
                <w:szCs w:val="18"/>
              </w:rPr>
              <w:t>报告</w:t>
            </w:r>
          </w:p>
        </w:tc>
      </w:tr>
      <w:tr>
        <w:tblPrEx>
          <w:tblCellMar>
            <w:top w:w="0" w:type="dxa"/>
            <w:left w:w="108" w:type="dxa"/>
            <w:bottom w:w="0" w:type="dxa"/>
            <w:right w:w="108" w:type="dxa"/>
          </w:tblCellMar>
        </w:tblPrEx>
        <w:trPr>
          <w:trHeight w:val="1020" w:hRule="atLeast"/>
          <w:jc w:val="center"/>
        </w:trPr>
        <w:tc>
          <w:tcPr>
            <w:tcW w:w="348" w:type="pct"/>
            <w:tcBorders>
              <w:top w:val="nil"/>
              <w:left w:val="single" w:color="auto" w:sz="4" w:space="0"/>
              <w:bottom w:val="single" w:color="auto" w:sz="4" w:space="0"/>
              <w:right w:val="single" w:color="auto" w:sz="4" w:space="0"/>
            </w:tcBorders>
            <w:shd w:val="clear" w:color="auto" w:fill="auto"/>
            <w:vAlign w:val="center"/>
          </w:tcPr>
          <w:p>
            <w:pPr>
              <w:jc w:val="center"/>
              <w:rPr>
                <w:bCs/>
                <w:color w:val="000000"/>
                <w:sz w:val="18"/>
                <w:szCs w:val="18"/>
              </w:rPr>
            </w:pPr>
            <w:r>
              <w:rPr>
                <w:bCs/>
                <w:color w:val="000000"/>
                <w:sz w:val="18"/>
                <w:szCs w:val="18"/>
              </w:rPr>
              <w:t>1</w:t>
            </w:r>
          </w:p>
        </w:tc>
        <w:tc>
          <w:tcPr>
            <w:tcW w:w="57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color w:val="000000"/>
                <w:sz w:val="18"/>
                <w:szCs w:val="18"/>
              </w:rPr>
            </w:pPr>
            <w:r>
              <w:rPr>
                <w:bCs/>
                <w:color w:val="000000"/>
                <w:sz w:val="18"/>
                <w:szCs w:val="18"/>
              </w:rPr>
              <w:t>1</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0.24</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0.44</w:t>
            </w:r>
          </w:p>
        </w:tc>
        <w:tc>
          <w:tcPr>
            <w:tcW w:w="391"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0.32</w:t>
            </w:r>
          </w:p>
        </w:tc>
        <w:tc>
          <w:tcPr>
            <w:tcW w:w="417"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0.24</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0.44</w:t>
            </w:r>
          </w:p>
        </w:tc>
        <w:tc>
          <w:tcPr>
            <w:tcW w:w="474" w:type="pct"/>
            <w:tcBorders>
              <w:top w:val="single" w:color="auto" w:sz="4" w:space="0"/>
              <w:left w:val="nil"/>
              <w:bottom w:val="single" w:color="auto" w:sz="4" w:space="0"/>
              <w:right w:val="single" w:color="auto" w:sz="4" w:space="0"/>
            </w:tcBorders>
            <w:shd w:val="clear" w:color="auto" w:fill="auto"/>
            <w:noWrap/>
            <w:vAlign w:val="center"/>
          </w:tcPr>
          <w:p>
            <w:pPr>
              <w:jc w:val="center"/>
              <w:rPr>
                <w:b/>
                <w:color w:val="000000"/>
                <w:sz w:val="18"/>
                <w:szCs w:val="18"/>
              </w:rPr>
            </w:pPr>
            <w:r>
              <w:rPr>
                <w:color w:val="000000"/>
                <w:kern w:val="0"/>
                <w:sz w:val="18"/>
                <w:szCs w:val="18"/>
              </w:rPr>
              <w:t>0.32</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 w:val="18"/>
                <w:szCs w:val="18"/>
              </w:rPr>
            </w:pPr>
            <w:r>
              <w:rPr>
                <w:color w:val="000000"/>
                <w:kern w:val="0"/>
                <w:sz w:val="18"/>
                <w:szCs w:val="18"/>
              </w:rPr>
              <w:t>0.24</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 w:val="18"/>
                <w:szCs w:val="18"/>
              </w:rPr>
            </w:pPr>
            <w:r>
              <w:rPr>
                <w:color w:val="000000"/>
                <w:kern w:val="0"/>
                <w:sz w:val="18"/>
                <w:szCs w:val="18"/>
              </w:rPr>
              <w:t>0.44</w:t>
            </w:r>
          </w:p>
        </w:tc>
        <w:tc>
          <w:tcPr>
            <w:tcW w:w="6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 w:val="18"/>
                <w:szCs w:val="18"/>
              </w:rPr>
            </w:pPr>
            <w:r>
              <w:rPr>
                <w:color w:val="000000"/>
                <w:kern w:val="0"/>
                <w:sz w:val="18"/>
                <w:szCs w:val="18"/>
              </w:rPr>
              <w:t>0.32</w:t>
            </w:r>
          </w:p>
        </w:tc>
      </w:tr>
      <w:tr>
        <w:tblPrEx>
          <w:tblCellMar>
            <w:top w:w="0" w:type="dxa"/>
            <w:left w:w="108" w:type="dxa"/>
            <w:bottom w:w="0" w:type="dxa"/>
            <w:right w:w="108" w:type="dxa"/>
          </w:tblCellMar>
        </w:tblPrEx>
        <w:trPr>
          <w:trHeight w:val="1136" w:hRule="atLeast"/>
          <w:jc w:val="center"/>
        </w:trPr>
        <w:tc>
          <w:tcPr>
            <w:tcW w:w="2172"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color w:val="000000"/>
                <w:kern w:val="0"/>
                <w:sz w:val="18"/>
                <w:szCs w:val="18"/>
              </w:rPr>
            </w:pPr>
            <w:r>
              <w:rPr>
                <w:rFonts w:hint="eastAsia"/>
                <w:color w:val="000000"/>
                <w:kern w:val="0"/>
                <w:sz w:val="18"/>
                <w:szCs w:val="18"/>
              </w:rPr>
              <w:t>各环节对课程目标达成的贡献率（</w:t>
            </w:r>
            <w:r>
              <w:rPr>
                <w:rFonts w:hint="eastAsia"/>
                <w:i/>
                <w:color w:val="000000"/>
                <w:kern w:val="0"/>
                <w:sz w:val="18"/>
                <w:szCs w:val="18"/>
              </w:rPr>
              <w:t>M</w:t>
            </w:r>
            <w:r>
              <w:rPr>
                <w:rFonts w:hint="eastAsia"/>
                <w:i/>
                <w:color w:val="000000"/>
                <w:kern w:val="0"/>
                <w:sz w:val="18"/>
                <w:szCs w:val="18"/>
                <w:vertAlign w:val="subscript"/>
              </w:rPr>
              <w:t>k</w:t>
            </w:r>
            <w:r>
              <w:rPr>
                <w:rFonts w:hint="eastAsia"/>
                <w:color w:val="000000"/>
                <w:kern w:val="0"/>
                <w:sz w:val="18"/>
                <w:szCs w:val="18"/>
              </w:rPr>
              <w:t>）</w:t>
            </w:r>
          </w:p>
        </w:tc>
        <w:tc>
          <w:tcPr>
            <w:tcW w:w="41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color w:val="000000"/>
                <w:sz w:val="18"/>
                <w:szCs w:val="18"/>
              </w:rPr>
            </w:pPr>
            <w:r>
              <w:rPr>
                <w:rFonts w:hint="eastAsia"/>
                <w:bCs/>
                <w:color w:val="000000"/>
                <w:sz w:val="18"/>
                <w:szCs w:val="18"/>
              </w:rPr>
              <w:t>0</w:t>
            </w:r>
            <w:r>
              <w:rPr>
                <w:bCs/>
                <w:color w:val="000000"/>
                <w:sz w:val="18"/>
                <w:szCs w:val="18"/>
              </w:rPr>
              <w:t>.24</w:t>
            </w:r>
          </w:p>
        </w:tc>
        <w:tc>
          <w:tcPr>
            <w:tcW w:w="469" w:type="pct"/>
            <w:tcBorders>
              <w:top w:val="single" w:color="auto" w:sz="4" w:space="0"/>
              <w:left w:val="nil"/>
              <w:bottom w:val="single" w:color="auto" w:sz="4" w:space="0"/>
              <w:right w:val="single" w:color="auto" w:sz="4" w:space="0"/>
            </w:tcBorders>
            <w:shd w:val="clear" w:color="auto" w:fill="auto"/>
            <w:noWrap/>
            <w:vAlign w:val="center"/>
          </w:tcPr>
          <w:p>
            <w:pPr>
              <w:jc w:val="center"/>
              <w:rPr>
                <w:bCs/>
                <w:color w:val="000000"/>
                <w:sz w:val="18"/>
                <w:szCs w:val="18"/>
              </w:rPr>
            </w:pPr>
            <w:r>
              <w:rPr>
                <w:rFonts w:hint="eastAsia"/>
                <w:bCs/>
                <w:color w:val="000000"/>
                <w:sz w:val="18"/>
                <w:szCs w:val="18"/>
              </w:rPr>
              <w:t>0</w:t>
            </w:r>
            <w:r>
              <w:rPr>
                <w:bCs/>
                <w:color w:val="000000"/>
                <w:sz w:val="18"/>
                <w:szCs w:val="18"/>
              </w:rPr>
              <w:t>.44</w:t>
            </w:r>
          </w:p>
        </w:tc>
        <w:tc>
          <w:tcPr>
            <w:tcW w:w="474" w:type="pct"/>
            <w:tcBorders>
              <w:top w:val="single" w:color="auto" w:sz="4" w:space="0"/>
              <w:left w:val="nil"/>
              <w:bottom w:val="single" w:color="auto" w:sz="4" w:space="0"/>
              <w:right w:val="single" w:color="auto" w:sz="4" w:space="0"/>
            </w:tcBorders>
            <w:shd w:val="clear" w:color="auto" w:fill="auto"/>
            <w:noWrap/>
            <w:vAlign w:val="center"/>
          </w:tcPr>
          <w:p>
            <w:pPr>
              <w:jc w:val="center"/>
              <w:rPr>
                <w:bCs/>
                <w:color w:val="000000"/>
                <w:sz w:val="18"/>
                <w:szCs w:val="18"/>
              </w:rPr>
            </w:pPr>
            <w:r>
              <w:rPr>
                <w:rFonts w:hint="eastAsia"/>
                <w:bCs/>
                <w:color w:val="000000"/>
                <w:sz w:val="18"/>
                <w:szCs w:val="18"/>
              </w:rPr>
              <w:t>0</w:t>
            </w:r>
            <w:r>
              <w:rPr>
                <w:bCs/>
                <w:color w:val="000000"/>
                <w:sz w:val="18"/>
                <w:szCs w:val="18"/>
              </w:rPr>
              <w:t>.32</w:t>
            </w:r>
          </w:p>
        </w:tc>
        <w:tc>
          <w:tcPr>
            <w:tcW w:w="146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color w:val="000000"/>
                <w:sz w:val="18"/>
                <w:szCs w:val="18"/>
              </w:rPr>
              <w:t>教师出题或布置作业时</w:t>
            </w:r>
          </w:p>
          <w:p>
            <w:pPr>
              <w:jc w:val="center"/>
              <w:rPr>
                <w:b/>
                <w:color w:val="000000"/>
                <w:sz w:val="18"/>
                <w:szCs w:val="18"/>
              </w:rPr>
            </w:pPr>
            <w:r>
              <w:rPr>
                <w:color w:val="000000"/>
                <w:sz w:val="18"/>
                <w:szCs w:val="18"/>
              </w:rPr>
              <w:t>要尽量做到按照以上比例布局</w:t>
            </w:r>
          </w:p>
        </w:tc>
      </w:tr>
    </w:tbl>
    <w:p>
      <w:pPr>
        <w:spacing w:line="360" w:lineRule="auto"/>
        <w:jc w:val="left"/>
        <w:rPr>
          <w:color w:val="000000"/>
        </w:rPr>
      </w:pPr>
    </w:p>
    <w:p>
      <w:pPr>
        <w:adjustRightInd w:val="0"/>
        <w:snapToGrid w:val="0"/>
        <w:spacing w:line="360" w:lineRule="auto"/>
        <w:ind w:firstLine="420" w:firstLineChars="200"/>
        <w:rPr>
          <w:color w:val="000000"/>
          <w:szCs w:val="21"/>
        </w:rPr>
        <w:sectPr>
          <w:pgSz w:w="16838" w:h="11906" w:orient="landscape"/>
          <w:pgMar w:top="1797" w:right="1440" w:bottom="1797" w:left="1440" w:header="851" w:footer="992" w:gutter="0"/>
          <w:cols w:space="425" w:num="1"/>
          <w:docGrid w:type="linesAndChar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04"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04" DrawAspect="Content" ObjectID="_1468075904" r:id="rId377">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05"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05" DrawAspect="Content" ObjectID="_1468075905" r:id="rId378">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06"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06" DrawAspect="Content" ObjectID="_1468075906" r:id="rId379">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07"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07" DrawAspect="Content" ObjectID="_1468075907" r:id="rId380">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08"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08" DrawAspect="Content" ObjectID="_1468075908" r:id="rId381">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09"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09" DrawAspect="Content" ObjectID="_1468075909" r:id="rId382">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36" w:name="_Toc9984"/>
      <w:bookmarkStart w:id="237" w:name="_Toc46996583"/>
      <w:r>
        <w:rPr>
          <w:rFonts w:hint="eastAsia"/>
        </w:rPr>
        <w:t>《</w:t>
      </w:r>
      <w:bookmarkStart w:id="238" w:name="OLE_LINK83"/>
      <w:bookmarkStart w:id="239" w:name="OLE_LINK84"/>
      <w:r>
        <w:t>Z06060204-</w:t>
      </w:r>
      <w:r>
        <w:rPr>
          <w:rFonts w:hint="eastAsia"/>
        </w:rPr>
        <w:t>工业控制网络设计</w:t>
      </w:r>
      <w:bookmarkEnd w:id="238"/>
      <w:bookmarkEnd w:id="239"/>
      <w:r>
        <w:rPr>
          <w:rFonts w:hint="eastAsia"/>
        </w:rPr>
        <w:t>》教学大纲</w:t>
      </w:r>
      <w:bookmarkEnd w:id="236"/>
      <w:bookmarkEnd w:id="237"/>
    </w:p>
    <w:p>
      <w:pPr>
        <w:adjustRightInd w:val="0"/>
        <w:snapToGrid w:val="0"/>
        <w:spacing w:line="360" w:lineRule="auto"/>
        <w:rPr>
          <w:rFonts w:eastAsia="黑体"/>
        </w:rPr>
      </w:pPr>
      <w:r>
        <w:rPr>
          <w:rFonts w:eastAsia="黑体"/>
        </w:rPr>
        <w:t>课程编号：Z06060204</w:t>
      </w:r>
    </w:p>
    <w:p>
      <w:pPr>
        <w:adjustRightInd w:val="0"/>
        <w:snapToGrid w:val="0"/>
        <w:spacing w:line="360" w:lineRule="auto"/>
        <w:rPr>
          <w:rFonts w:eastAsia="黑体"/>
        </w:rPr>
      </w:pPr>
      <w:r>
        <w:rPr>
          <w:rFonts w:eastAsia="黑体"/>
        </w:rPr>
        <w:t>课程名称：</w:t>
      </w:r>
      <w:r>
        <w:t>工业控制网络设计</w:t>
      </w:r>
      <w:r>
        <w:rPr>
          <w:rFonts w:hint="eastAsia"/>
        </w:rPr>
        <w:tab/>
      </w:r>
      <w:r>
        <w:rPr>
          <w:rFonts w:hint="eastAsia"/>
        </w:rPr>
        <w:tab/>
      </w:r>
      <w:r>
        <w:rPr>
          <w:rFonts w:hint="eastAsia"/>
        </w:rPr>
        <w:tab/>
      </w:r>
      <w:r>
        <w:rPr>
          <w:rFonts w:hint="eastAsia"/>
        </w:rPr>
        <w:tab/>
      </w:r>
      <w:r>
        <w:rPr>
          <w:rFonts w:eastAsia="黑体"/>
        </w:rPr>
        <w:t>开课单位：</w:t>
      </w:r>
      <w:r>
        <w:t>仪器与电子学院</w:t>
      </w:r>
    </w:p>
    <w:p>
      <w:pPr>
        <w:adjustRightInd w:val="0"/>
        <w:snapToGrid w:val="0"/>
        <w:spacing w:line="360" w:lineRule="auto"/>
        <w:rPr>
          <w:rFonts w:eastAsia="黑体"/>
        </w:rPr>
      </w:pPr>
      <w:r>
        <w:rPr>
          <w:rFonts w:eastAsia="黑体"/>
        </w:rPr>
        <w:t>总 学 时：</w:t>
      </w:r>
      <w:r>
        <w:t>32</w:t>
      </w:r>
      <w:r>
        <w:rPr>
          <w:szCs w:val="21"/>
        </w:rPr>
        <w:t>（实验10学时）</w:t>
      </w:r>
      <w:r>
        <w:rPr>
          <w:rFonts w:hint="eastAsia"/>
          <w:szCs w:val="21"/>
        </w:rPr>
        <w:tab/>
      </w:r>
      <w:r>
        <w:rPr>
          <w:rFonts w:hint="eastAsia"/>
          <w:szCs w:val="21"/>
        </w:rPr>
        <w:tab/>
      </w:r>
      <w:r>
        <w:rPr>
          <w:rFonts w:hint="eastAsia"/>
          <w:szCs w:val="21"/>
        </w:rPr>
        <w:tab/>
      </w:r>
      <w:r>
        <w:rPr>
          <w:rFonts w:hint="eastAsia"/>
          <w:szCs w:val="21"/>
        </w:rPr>
        <w:tab/>
      </w:r>
      <w:r>
        <w:rPr>
          <w:rFonts w:eastAsia="黑体"/>
        </w:rPr>
        <w:t>学    分：2</w:t>
      </w:r>
    </w:p>
    <w:p>
      <w:pPr>
        <w:adjustRightInd w:val="0"/>
        <w:snapToGrid w:val="0"/>
        <w:spacing w:line="360" w:lineRule="auto"/>
      </w:pPr>
      <w:r>
        <w:rPr>
          <w:rFonts w:eastAsia="黑体"/>
        </w:rPr>
        <w:t>适用专业：</w:t>
      </w:r>
      <w:r>
        <w:t>电子科学与技术</w:t>
      </w:r>
      <w:r>
        <w:rPr>
          <w:rFonts w:hint="eastAsia"/>
        </w:rPr>
        <w:t>专业</w:t>
      </w:r>
    </w:p>
    <w:p>
      <w:pPr>
        <w:adjustRightInd w:val="0"/>
        <w:snapToGrid w:val="0"/>
        <w:spacing w:line="360" w:lineRule="auto"/>
      </w:pPr>
      <w:r>
        <w:rPr>
          <w:rFonts w:eastAsia="黑体"/>
        </w:rPr>
        <w:t>先修课程：</w:t>
      </w:r>
      <w:r>
        <w:t>数字电子技术、总线接口设计、单片机原理及应用</w:t>
      </w:r>
      <w:r>
        <w:rPr>
          <w:rFonts w:hint="eastAsia"/>
        </w:rPr>
        <w:t>或</w:t>
      </w:r>
      <w:r>
        <w:t>可编程逻辑器件应用</w:t>
      </w:r>
    </w:p>
    <w:p>
      <w:pPr>
        <w:adjustRightInd w:val="0"/>
        <w:snapToGrid w:val="0"/>
        <w:spacing w:line="360" w:lineRule="auto"/>
      </w:pPr>
      <w:r>
        <w:rPr>
          <w:rFonts w:eastAsia="黑体"/>
        </w:rPr>
        <w:t>大纲撰写人：</w:t>
      </w:r>
      <w:r>
        <w:t>刘文怡</w:t>
      </w:r>
    </w:p>
    <w:p>
      <w:pPr>
        <w:adjustRightInd w:val="0"/>
        <w:snapToGrid w:val="0"/>
        <w:spacing w:line="360" w:lineRule="auto"/>
      </w:pPr>
      <w:r>
        <w:rPr>
          <w:rFonts w:eastAsia="黑体"/>
        </w:rPr>
        <w:t>大纲编写（修订）时间：</w:t>
      </w:r>
      <w:r>
        <w:t>2019年5月</w:t>
      </w:r>
    </w:p>
    <w:p>
      <w:pPr>
        <w:adjustRightInd w:val="0"/>
        <w:snapToGrid w:val="0"/>
        <w:spacing w:line="360" w:lineRule="auto"/>
      </w:pPr>
    </w:p>
    <w:p>
      <w:pPr>
        <w:tabs>
          <w:tab w:val="left" w:pos="420"/>
        </w:tabs>
        <w:adjustRightInd w:val="0"/>
        <w:snapToGrid w:val="0"/>
        <w:spacing w:line="360" w:lineRule="auto"/>
        <w:ind w:left="420" w:hanging="420"/>
        <w:rPr>
          <w:rFonts w:eastAsia="黑体"/>
          <w:szCs w:val="24"/>
        </w:rPr>
      </w:pPr>
      <w:r>
        <w:rPr>
          <w:rFonts w:eastAsia="黑体"/>
          <w:szCs w:val="24"/>
        </w:rPr>
        <w:t>一、课程在教学计划中的地位、作用</w:t>
      </w:r>
    </w:p>
    <w:p>
      <w:pPr>
        <w:adjustRightInd w:val="0"/>
        <w:snapToGrid w:val="0"/>
        <w:spacing w:line="360" w:lineRule="auto"/>
        <w:ind w:firstLine="420" w:firstLineChars="200"/>
        <w:rPr>
          <w:szCs w:val="21"/>
        </w:rPr>
      </w:pPr>
      <w:r>
        <w:rPr>
          <w:szCs w:val="21"/>
        </w:rPr>
        <w:t>本课程是一门属于软件和硬件相结合的设计类的专业</w:t>
      </w:r>
      <w:r>
        <w:rPr>
          <w:rFonts w:hint="eastAsia"/>
          <w:szCs w:val="21"/>
        </w:rPr>
        <w:t>选修</w:t>
      </w:r>
      <w:r>
        <w:rPr>
          <w:szCs w:val="21"/>
        </w:rPr>
        <w:t>课程，是本专业物联网设计方向的一门综合性</w:t>
      </w:r>
      <w:r>
        <w:rPr>
          <w:rFonts w:hint="eastAsia"/>
          <w:szCs w:val="21"/>
        </w:rPr>
        <w:t>比较</w:t>
      </w:r>
      <w:r>
        <w:rPr>
          <w:szCs w:val="21"/>
        </w:rPr>
        <w:t>强的课程。当前社会背景下，物联网的发展方兴未艾，工业现场总线得到大规模的应用</w:t>
      </w:r>
      <w:r>
        <w:rPr>
          <w:rFonts w:hint="eastAsia"/>
          <w:szCs w:val="21"/>
        </w:rPr>
        <w:t>，为了让学生深入了解工业现场总线的工作原理，开设本课程</w:t>
      </w:r>
      <w:r>
        <w:rPr>
          <w:szCs w:val="21"/>
        </w:rPr>
        <w:t>。本课程的先修课程包含总线接口技术，主要讲述市场上</w:t>
      </w:r>
      <w:r>
        <w:rPr>
          <w:rFonts w:hint="eastAsia"/>
          <w:szCs w:val="21"/>
        </w:rPr>
        <w:t>常用</w:t>
      </w:r>
      <w:r>
        <w:rPr>
          <w:szCs w:val="21"/>
        </w:rPr>
        <w:t>的</w:t>
      </w:r>
      <w:r>
        <w:rPr>
          <w:rFonts w:hint="eastAsia"/>
          <w:szCs w:val="21"/>
        </w:rPr>
        <w:t>典型现场总线和仪器</w:t>
      </w:r>
      <w:r>
        <w:rPr>
          <w:szCs w:val="21"/>
        </w:rPr>
        <w:t>总线（网络）的特点和应用方法，是对既有总线的原理的了解和学习，而本课程继承前述课程的知识，进一步学习如何通过物理介质及软件协议组成复杂的网络系统，从而实现分布式系统中的数据寻址、路由及传输。本课程是针对工业控制网络或物联网特色应用背景而设置的。通过该课程的学习，学生应当能够从底层了解网络化设备的通讯原理和技术基础，解决分布式电子设备间数据互联互通的传输问题，为将来设计开发各种不同需求的工控网络或物联网络提供基础。</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szCs w:val="21"/>
        </w:rPr>
      </w:pPr>
      <w:r>
        <w:rPr>
          <w:rFonts w:eastAsia="黑体"/>
          <w:szCs w:val="24"/>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rFonts w:ascii="宋体" w:hAnsi="宋体" w:cstheme="minorEastAsia"/>
                <w:kern w:val="0"/>
                <w:sz w:val="18"/>
                <w:szCs w:val="18"/>
              </w:rPr>
            </w:pPr>
            <w:r>
              <w:rPr>
                <w:rFonts w:hint="eastAsia" w:ascii="宋体" w:hAnsi="宋体" w:cstheme="minorEastAsia"/>
                <w:kern w:val="0"/>
                <w:sz w:val="18"/>
                <w:szCs w:val="18"/>
              </w:rPr>
              <w:t>序号</w:t>
            </w:r>
          </w:p>
        </w:tc>
        <w:tc>
          <w:tcPr>
            <w:tcW w:w="2345" w:type="pct"/>
            <w:vAlign w:val="center"/>
          </w:tcPr>
          <w:p>
            <w:pPr>
              <w:spacing w:line="360" w:lineRule="auto"/>
              <w:jc w:val="center"/>
              <w:rPr>
                <w:rFonts w:ascii="宋体" w:hAnsi="宋体" w:cstheme="minorEastAsia"/>
                <w:kern w:val="0"/>
                <w:sz w:val="18"/>
                <w:szCs w:val="18"/>
              </w:rPr>
            </w:pPr>
            <w:r>
              <w:rPr>
                <w:rFonts w:hint="eastAsia" w:ascii="宋体" w:hAnsi="宋体" w:cstheme="minorEastAsia"/>
                <w:kern w:val="0"/>
                <w:sz w:val="18"/>
                <w:szCs w:val="18"/>
              </w:rPr>
              <w:t>课程目标</w:t>
            </w:r>
          </w:p>
        </w:tc>
        <w:tc>
          <w:tcPr>
            <w:tcW w:w="2288" w:type="pct"/>
            <w:vAlign w:val="center"/>
          </w:tcPr>
          <w:p>
            <w:pPr>
              <w:spacing w:line="360" w:lineRule="auto"/>
              <w:jc w:val="center"/>
              <w:rPr>
                <w:rFonts w:ascii="宋体" w:hAnsi="宋体" w:cstheme="minorEastAsia"/>
                <w:kern w:val="0"/>
                <w:sz w:val="18"/>
                <w:szCs w:val="18"/>
              </w:rPr>
            </w:pPr>
            <w:r>
              <w:rPr>
                <w:rFonts w:hint="eastAsia" w:ascii="宋体" w:hAnsi="宋体" w:cstheme="minorEastAsia"/>
                <w:kern w:val="0"/>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rFonts w:ascii="宋体" w:hAnsi="宋体" w:cstheme="minorEastAsia"/>
                <w:kern w:val="0"/>
                <w:sz w:val="18"/>
                <w:szCs w:val="18"/>
              </w:rPr>
            </w:pPr>
            <w:r>
              <w:rPr>
                <w:rFonts w:hint="eastAsia" w:ascii="宋体" w:hAnsi="宋体" w:cstheme="minorEastAsia"/>
                <w:kern w:val="0"/>
                <w:sz w:val="18"/>
                <w:szCs w:val="18"/>
              </w:rPr>
              <w:t>1</w:t>
            </w:r>
          </w:p>
        </w:tc>
        <w:tc>
          <w:tcPr>
            <w:tcW w:w="2345" w:type="pct"/>
          </w:tcPr>
          <w:p>
            <w:pPr>
              <w:spacing w:line="360" w:lineRule="auto"/>
              <w:rPr>
                <w:rFonts w:ascii="宋体" w:hAnsi="宋体" w:cstheme="minorEastAsia"/>
                <w:kern w:val="0"/>
                <w:sz w:val="18"/>
                <w:szCs w:val="18"/>
              </w:rPr>
            </w:pPr>
            <w:r>
              <w:rPr>
                <w:rFonts w:hint="eastAsia" w:ascii="宋体" w:hAnsi="宋体" w:cstheme="minorEastAsia"/>
                <w:kern w:val="0"/>
                <w:sz w:val="18"/>
                <w:szCs w:val="18"/>
              </w:rPr>
              <w:t>能够掌握网络数据寻址的原理、设计思路和设计方法，能够利用已有数据传输技术根据具体应用需求自行设计实现简单的多机通信网络，并了解网络设计中应当遵循的职业道德规范；</w:t>
            </w:r>
          </w:p>
        </w:tc>
        <w:tc>
          <w:tcPr>
            <w:tcW w:w="2288" w:type="pct"/>
          </w:tcPr>
          <w:p>
            <w:pPr>
              <w:spacing w:line="360" w:lineRule="auto"/>
              <w:rPr>
                <w:rFonts w:ascii="宋体" w:hAnsi="宋体" w:cstheme="minorEastAsia"/>
                <w:kern w:val="0"/>
                <w:sz w:val="18"/>
                <w:szCs w:val="18"/>
              </w:rPr>
            </w:pPr>
            <w:r>
              <w:rPr>
                <w:rFonts w:hint="eastAsia" w:ascii="宋体" w:hAnsi="宋体" w:cstheme="minorEastAsia"/>
                <w:b/>
                <w:kern w:val="0"/>
                <w:sz w:val="18"/>
                <w:szCs w:val="18"/>
              </w:rPr>
              <w:t>指标点3-1 按需设计：</w:t>
            </w:r>
            <w:r>
              <w:rPr>
                <w:rFonts w:hint="eastAsia" w:ascii="宋体" w:hAnsi="宋体" w:cstheme="minorEastAsia"/>
                <w:bCs/>
                <w:kern w:val="0"/>
                <w:sz w:val="18"/>
                <w:szCs w:val="18"/>
              </w:rPr>
              <w:t>能够根据用户特定需求设计复杂工程问题的解决方案，设计相关的电路系统及工艺流程，并能够针对方案进行优化选择。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rFonts w:ascii="宋体" w:hAnsi="宋体" w:cstheme="minorEastAsia"/>
                <w:kern w:val="0"/>
                <w:sz w:val="18"/>
                <w:szCs w:val="18"/>
              </w:rPr>
            </w:pPr>
            <w:r>
              <w:rPr>
                <w:rFonts w:hint="eastAsia" w:ascii="宋体" w:hAnsi="宋体" w:cstheme="minorEastAsia"/>
                <w:kern w:val="0"/>
                <w:sz w:val="18"/>
                <w:szCs w:val="18"/>
              </w:rPr>
              <w:t>2</w:t>
            </w:r>
          </w:p>
        </w:tc>
        <w:tc>
          <w:tcPr>
            <w:tcW w:w="2345" w:type="pct"/>
          </w:tcPr>
          <w:p>
            <w:pPr>
              <w:spacing w:line="360" w:lineRule="auto"/>
              <w:rPr>
                <w:rFonts w:ascii="宋体" w:hAnsi="宋体" w:cstheme="minorEastAsia"/>
                <w:kern w:val="0"/>
                <w:sz w:val="18"/>
                <w:szCs w:val="18"/>
              </w:rPr>
            </w:pPr>
            <w:r>
              <w:rPr>
                <w:rFonts w:hint="eastAsia" w:ascii="宋体" w:hAnsi="宋体" w:cstheme="minorEastAsia"/>
                <w:kern w:val="0"/>
                <w:sz w:val="18"/>
                <w:szCs w:val="18"/>
              </w:rPr>
              <w:t>能依据设计方案搭建相应的网络系统，设计相关协议，验证网络的基本功能。并反馈改进设计；</w:t>
            </w:r>
          </w:p>
        </w:tc>
        <w:tc>
          <w:tcPr>
            <w:tcW w:w="2288" w:type="pct"/>
          </w:tcPr>
          <w:p>
            <w:pPr>
              <w:spacing w:line="360" w:lineRule="auto"/>
              <w:rPr>
                <w:rFonts w:ascii="宋体" w:hAnsi="宋体" w:cstheme="minorEastAsia"/>
                <w:kern w:val="0"/>
                <w:sz w:val="18"/>
                <w:szCs w:val="18"/>
              </w:rPr>
            </w:pPr>
            <w:r>
              <w:rPr>
                <w:rFonts w:hint="eastAsia" w:ascii="宋体" w:hAnsi="宋体" w:cstheme="minorEastAsia"/>
                <w:b/>
                <w:kern w:val="0"/>
                <w:sz w:val="18"/>
                <w:szCs w:val="18"/>
              </w:rPr>
              <w:t>指标点4-2实验设计能力：</w:t>
            </w:r>
            <w:r>
              <w:rPr>
                <w:rFonts w:hint="eastAsia" w:ascii="宋体" w:hAnsi="宋体" w:cstheme="minorEastAsia"/>
                <w:bCs/>
                <w:kern w:val="0"/>
                <w:sz w:val="18"/>
                <w:szCs w:val="18"/>
              </w:rPr>
              <w:t>能够基于专业理论，根据所面对的复杂问题特征，选择研究路线，设计可行的实验方案，并选用或搭建实验装置，开展研究。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367" w:type="pct"/>
            <w:vAlign w:val="center"/>
          </w:tcPr>
          <w:p>
            <w:pPr>
              <w:spacing w:line="360" w:lineRule="auto"/>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3</w:t>
            </w:r>
          </w:p>
        </w:tc>
        <w:tc>
          <w:tcPr>
            <w:tcW w:w="2345" w:type="pct"/>
          </w:tcPr>
          <w:p>
            <w:pPr>
              <w:spacing w:line="360" w:lineRule="auto"/>
              <w:rPr>
                <w:kern w:val="0"/>
                <w:sz w:val="18"/>
                <w:szCs w:val="18"/>
              </w:rPr>
            </w:pPr>
            <w:r>
              <w:rPr>
                <w:kern w:val="0"/>
                <w:sz w:val="18"/>
                <w:szCs w:val="18"/>
              </w:rPr>
              <w:t>了解当前国际上常用的工业网络相关模型和特点，了解各种类型的网络的优缺点，能够在工业应用场合，根据项目需求平衡多方面的资源，体现优化效益与成本。</w:t>
            </w:r>
          </w:p>
        </w:tc>
        <w:tc>
          <w:tcPr>
            <w:tcW w:w="2288" w:type="pct"/>
          </w:tcPr>
          <w:p>
            <w:pPr>
              <w:spacing w:line="360" w:lineRule="auto"/>
              <w:rPr>
                <w:kern w:val="0"/>
                <w:sz w:val="18"/>
                <w:szCs w:val="18"/>
              </w:rPr>
            </w:pPr>
            <w:r>
              <w:rPr>
                <w:b/>
                <w:kern w:val="0"/>
                <w:sz w:val="18"/>
                <w:szCs w:val="18"/>
              </w:rPr>
              <w:t>指标点11-2 项目管理实践：</w:t>
            </w:r>
            <w:r>
              <w:rPr>
                <w:bCs/>
                <w:kern w:val="0"/>
                <w:sz w:val="18"/>
                <w:szCs w:val="18"/>
              </w:rPr>
              <w:t>能够在多学科环境中将工程项目管理与经济决策的知识和方法应用到专业工程实践中，协调平衡多种资源，使工程实践经济效益得到优化。</w:t>
            </w:r>
          </w:p>
        </w:tc>
      </w:tr>
    </w:tbl>
    <w:p>
      <w:pPr>
        <w:adjustRightInd w:val="0"/>
        <w:snapToGrid w:val="0"/>
        <w:spacing w:line="360" w:lineRule="auto"/>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工业控制网络是工业领域竞争非常激烈的基础技术。通过了解国内外该技术的发展现状和差距，激发学生重视技术进步与创新，为国民经济发展和国家进步贡献力量的意识。</w:t>
      </w:r>
    </w:p>
    <w:p>
      <w:pPr>
        <w:spacing w:line="360" w:lineRule="auto"/>
        <w:ind w:firstLine="420" w:firstLineChars="200"/>
        <w:rPr>
          <w:szCs w:val="21"/>
        </w:rPr>
      </w:pPr>
      <w:r>
        <w:rPr>
          <w:rFonts w:hint="eastAsia"/>
          <w:szCs w:val="21"/>
        </w:rPr>
        <w:t>通过了解学习本专业教师自主研制的沙克网络总线，激发学生自主创新的意识，激发学生自豪感与爱国情怀。</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三、基本要求</w:t>
      </w:r>
    </w:p>
    <w:p>
      <w:pPr>
        <w:adjustRightInd w:val="0"/>
        <w:snapToGrid w:val="0"/>
        <w:spacing w:line="360" w:lineRule="auto"/>
        <w:ind w:firstLine="420" w:firstLineChars="200"/>
        <w:rPr>
          <w:szCs w:val="21"/>
        </w:rPr>
      </w:pPr>
      <w:r>
        <w:rPr>
          <w:szCs w:val="21"/>
        </w:rPr>
        <w:t>1、本课程为专业任选课，要求先修数字电子技术、总线接口设计，是在掌握一定的总线知识的基础上，</w:t>
      </w:r>
      <w:r>
        <w:rPr>
          <w:rFonts w:hint="eastAsia"/>
          <w:szCs w:val="21"/>
        </w:rPr>
        <w:t>通过本课程的知识，编写</w:t>
      </w:r>
      <w:r>
        <w:rPr>
          <w:szCs w:val="21"/>
        </w:rPr>
        <w:t>协议来构建网络。实验内容中需要用到可编程逻辑器件或单片机结合简单的总线来组成网络，实现数据寻址传输；</w:t>
      </w:r>
    </w:p>
    <w:p>
      <w:pPr>
        <w:adjustRightInd w:val="0"/>
        <w:snapToGrid w:val="0"/>
        <w:spacing w:line="360" w:lineRule="auto"/>
        <w:ind w:firstLine="420" w:firstLineChars="200"/>
        <w:rPr>
          <w:szCs w:val="21"/>
        </w:rPr>
      </w:pPr>
      <w:r>
        <w:rPr>
          <w:szCs w:val="21"/>
        </w:rPr>
        <w:t>2、要求学生对目前常用的数据总线有一定的基础，能够使用VHDL语言编写比较复杂的逻辑代码以完成实验；</w:t>
      </w:r>
    </w:p>
    <w:p>
      <w:pPr>
        <w:adjustRightInd w:val="0"/>
        <w:snapToGrid w:val="0"/>
        <w:spacing w:line="360" w:lineRule="auto"/>
        <w:ind w:firstLine="420" w:firstLineChars="200"/>
        <w:rPr>
          <w:szCs w:val="21"/>
        </w:rPr>
      </w:pPr>
      <w:r>
        <w:rPr>
          <w:szCs w:val="21"/>
        </w:rPr>
        <w:t>3、本课程是一门综合性较强的课程，要求教师在授课时特别强调学生</w:t>
      </w:r>
      <w:r>
        <w:rPr>
          <w:rFonts w:hint="eastAsia"/>
          <w:szCs w:val="21"/>
        </w:rPr>
        <w:t>须</w:t>
      </w:r>
      <w:r>
        <w:rPr>
          <w:szCs w:val="21"/>
        </w:rPr>
        <w:t>综合多门课程的知识完成一项任务的能力。充分了解一个网络系统中软件和硬件分别承担的角色和发挥的作用；</w:t>
      </w:r>
    </w:p>
    <w:p>
      <w:pPr>
        <w:adjustRightInd w:val="0"/>
        <w:snapToGrid w:val="0"/>
        <w:spacing w:line="360" w:lineRule="auto"/>
        <w:ind w:firstLine="420" w:firstLineChars="200"/>
        <w:rPr>
          <w:szCs w:val="21"/>
        </w:rPr>
      </w:pPr>
      <w:r>
        <w:rPr>
          <w:szCs w:val="21"/>
        </w:rPr>
        <w:t>4、要求教师授课过程中同时讲授</w:t>
      </w:r>
      <w:r>
        <w:rPr>
          <w:rFonts w:hint="eastAsia"/>
          <w:szCs w:val="21"/>
        </w:rPr>
        <w:t>如何结合工程应用背景需求，平衡多方面的资源，体现优化效益与成本。</w:t>
      </w:r>
    </w:p>
    <w:p>
      <w:pPr>
        <w:widowControl/>
        <w:adjustRightInd w:val="0"/>
        <w:snapToGrid w:val="0"/>
        <w:spacing w:line="360" w:lineRule="auto"/>
        <w:ind w:firstLine="420" w:firstLineChars="200"/>
        <w:jc w:val="left"/>
      </w:pPr>
      <w:r>
        <w:rPr>
          <w:rFonts w:hint="eastAsia"/>
        </w:rPr>
        <w:t>5、</w:t>
      </w:r>
      <w:r>
        <w:t>深度和广度说明：要求学生全面掌握总线型网络的设计和使用，能够掌握简单的星型网络设计。对于异构网络间的桥接，只做到了解即可；</w:t>
      </w:r>
    </w:p>
    <w:p>
      <w:pPr>
        <w:widowControl/>
        <w:adjustRightInd w:val="0"/>
        <w:snapToGrid w:val="0"/>
        <w:spacing w:line="360" w:lineRule="auto"/>
        <w:ind w:firstLine="420" w:firstLineChars="200"/>
        <w:jc w:val="left"/>
      </w:pPr>
      <w:r>
        <w:rPr>
          <w:rFonts w:hint="eastAsia"/>
        </w:rPr>
        <w:t>6、</w:t>
      </w:r>
      <w:r>
        <w:t>偏差说明：为了鼓励教师引入个人授课风格或者适应技术发展的紧迫性，本课程允许教师授课内容做适当调整，最大正偏差为10%（学时比例），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四、教学内容和教学方法</w:t>
      </w:r>
    </w:p>
    <w:p>
      <w:pPr>
        <w:widowControl/>
        <w:adjustRightInd w:val="0"/>
        <w:snapToGrid w:val="0"/>
        <w:spacing w:line="360" w:lineRule="auto"/>
        <w:ind w:firstLine="420" w:firstLineChars="200"/>
        <w:jc w:val="left"/>
      </w:pPr>
      <w:r>
        <w:t>本课程重点讲授的内容包括：ISO七层网络模型、国内外总线网络结构及优缺点比较，总线型网络设计和使用、星型网络设计和使用以及网络设计中</w:t>
      </w:r>
      <w:r>
        <w:rPr>
          <w:rFonts w:hint="eastAsia"/>
        </w:rPr>
        <w:t>底层支撑技术的优选和效益成本管理。</w:t>
      </w:r>
      <w:r>
        <w:t>。</w:t>
      </w:r>
    </w:p>
    <w:p>
      <w:pPr>
        <w:widowControl/>
        <w:adjustRightInd w:val="0"/>
        <w:snapToGrid w:val="0"/>
        <w:spacing w:line="360" w:lineRule="auto"/>
        <w:ind w:firstLine="420" w:firstLineChars="200"/>
        <w:jc w:val="left"/>
      </w:pPr>
      <w:r>
        <w:rPr>
          <w:rFonts w:hint="eastAsia"/>
        </w:rPr>
        <w:t>本课程在教学方法上，充分利用各种媒体教学手段，采取课堂教学、多媒体课件、设计和验证性实验等方式开展教学。</w:t>
      </w:r>
    </w:p>
    <w:p>
      <w:pPr>
        <w:widowControl/>
        <w:adjustRightInd w:val="0"/>
        <w:snapToGrid w:val="0"/>
        <w:spacing w:line="360" w:lineRule="auto"/>
        <w:ind w:firstLine="420" w:firstLineChars="200"/>
        <w:jc w:val="left"/>
      </w:pPr>
      <w:r>
        <w:t>为了提高学生的学习兴趣，并取得良好的教学效果，教师在知识讲解的过程中要充分利用问题引导、案例分析等多种教学方法，对现有典型的总线网络进行性能和适用范围的对比分析。</w:t>
      </w:r>
    </w:p>
    <w:p>
      <w:pPr>
        <w:widowControl/>
        <w:adjustRightInd w:val="0"/>
        <w:snapToGrid w:val="0"/>
        <w:spacing w:line="360" w:lineRule="auto"/>
        <w:ind w:firstLine="420" w:firstLineChars="200"/>
        <w:jc w:val="left"/>
        <w:rPr>
          <w:rFonts w:eastAsia="黑体"/>
          <w:kern w:val="0"/>
          <w:szCs w:val="21"/>
        </w:rPr>
      </w:pPr>
      <w:r>
        <w:rPr>
          <w:rFonts w:hint="eastAsia" w:eastAsia="黑体"/>
          <w:bCs/>
          <w:snapToGrid w:val="0"/>
          <w:kern w:val="0"/>
          <w:szCs w:val="21"/>
        </w:rPr>
        <w:t>1</w:t>
      </w:r>
      <w:r>
        <w:rPr>
          <w:rFonts w:eastAsia="黑体"/>
          <w:bCs/>
          <w:snapToGrid w:val="0"/>
          <w:kern w:val="0"/>
          <w:szCs w:val="21"/>
        </w:rPr>
        <w:t>网络基础知识（</w:t>
      </w:r>
      <w:r>
        <w:rPr>
          <w:rFonts w:hint="eastAsia" w:eastAsia="黑体"/>
          <w:bCs/>
          <w:snapToGrid w:val="0"/>
          <w:kern w:val="0"/>
          <w:szCs w:val="21"/>
        </w:rPr>
        <w:t>2</w:t>
      </w:r>
      <w:r>
        <w:rPr>
          <w:rFonts w:eastAsia="黑体"/>
          <w:bCs/>
          <w:snapToGrid w:val="0"/>
          <w:kern w:val="0"/>
          <w:szCs w:val="21"/>
        </w:rPr>
        <w:t>学时）</w:t>
      </w:r>
    </w:p>
    <w:p>
      <w:pPr>
        <w:widowControl/>
        <w:adjustRightInd w:val="0"/>
        <w:snapToGrid w:val="0"/>
        <w:spacing w:line="360" w:lineRule="auto"/>
        <w:ind w:left="426"/>
        <w:jc w:val="left"/>
        <w:rPr>
          <w:snapToGrid w:val="0"/>
          <w:kern w:val="0"/>
          <w:szCs w:val="21"/>
        </w:rPr>
      </w:pPr>
      <w:r>
        <w:rPr>
          <w:snapToGrid w:val="0"/>
          <w:kern w:val="0"/>
          <w:szCs w:val="21"/>
        </w:rPr>
        <w:t>1.1、了解本课程在专业课程体系中的地位和作用；</w:t>
      </w:r>
    </w:p>
    <w:p>
      <w:pPr>
        <w:widowControl/>
        <w:adjustRightInd w:val="0"/>
        <w:snapToGrid w:val="0"/>
        <w:spacing w:line="360" w:lineRule="auto"/>
        <w:ind w:left="426"/>
        <w:jc w:val="left"/>
        <w:rPr>
          <w:snapToGrid w:val="0"/>
          <w:kern w:val="0"/>
          <w:szCs w:val="21"/>
        </w:rPr>
      </w:pPr>
      <w:r>
        <w:rPr>
          <w:snapToGrid w:val="0"/>
          <w:kern w:val="0"/>
          <w:szCs w:val="21"/>
        </w:rPr>
        <w:t>1.2、了解本课程内容、学习方法、讲授方式、评价方式；</w:t>
      </w:r>
    </w:p>
    <w:p>
      <w:pPr>
        <w:widowControl/>
        <w:adjustRightInd w:val="0"/>
        <w:snapToGrid w:val="0"/>
        <w:spacing w:line="360" w:lineRule="auto"/>
        <w:ind w:left="426"/>
        <w:jc w:val="left"/>
        <w:rPr>
          <w:snapToGrid w:val="0"/>
          <w:kern w:val="0"/>
          <w:szCs w:val="21"/>
        </w:rPr>
      </w:pPr>
      <w:r>
        <w:rPr>
          <w:snapToGrid w:val="0"/>
          <w:kern w:val="0"/>
          <w:szCs w:val="21"/>
        </w:rPr>
        <w:t>1.3、能够阐述</w:t>
      </w:r>
      <w:r>
        <w:rPr>
          <w:bCs/>
          <w:snapToGrid w:val="0"/>
          <w:kern w:val="0"/>
          <w:szCs w:val="21"/>
        </w:rPr>
        <w:t>网络技术对科技发展的影响，及其发展历程</w:t>
      </w:r>
      <w:r>
        <w:rPr>
          <w:snapToGrid w:val="0"/>
          <w:kern w:val="0"/>
          <w:szCs w:val="21"/>
        </w:rPr>
        <w:t>、</w:t>
      </w:r>
      <w:r>
        <w:rPr>
          <w:bCs/>
          <w:snapToGrid w:val="0"/>
          <w:kern w:val="0"/>
          <w:szCs w:val="21"/>
        </w:rPr>
        <w:t>发展现状及</w:t>
      </w:r>
      <w:r>
        <w:rPr>
          <w:snapToGrid w:val="0"/>
          <w:kern w:val="0"/>
          <w:szCs w:val="21"/>
        </w:rPr>
        <w:t>发展方向。</w:t>
      </w:r>
    </w:p>
    <w:p>
      <w:pPr>
        <w:widowControl/>
        <w:adjustRightInd w:val="0"/>
        <w:snapToGrid w:val="0"/>
        <w:spacing w:line="360" w:lineRule="auto"/>
        <w:ind w:left="426"/>
        <w:jc w:val="left"/>
        <w:rPr>
          <w:snapToGrid w:val="0"/>
          <w:kern w:val="0"/>
          <w:szCs w:val="21"/>
        </w:rPr>
      </w:pPr>
      <w:r>
        <w:rPr>
          <w:rFonts w:hint="eastAsia"/>
          <w:snapToGrid w:val="0"/>
          <w:kern w:val="0"/>
          <w:szCs w:val="21"/>
        </w:rPr>
        <w:t>1</w:t>
      </w:r>
      <w:r>
        <w:rPr>
          <w:snapToGrid w:val="0"/>
          <w:kern w:val="0"/>
          <w:szCs w:val="21"/>
        </w:rPr>
        <w:t>.</w:t>
      </w:r>
      <w:r>
        <w:rPr>
          <w:rFonts w:hint="eastAsia"/>
          <w:snapToGrid w:val="0"/>
          <w:kern w:val="0"/>
          <w:szCs w:val="21"/>
        </w:rPr>
        <w:t>4</w:t>
      </w:r>
      <w:r>
        <w:rPr>
          <w:snapToGrid w:val="0"/>
          <w:kern w:val="0"/>
          <w:szCs w:val="21"/>
        </w:rPr>
        <w:t>、掌握数据传输的基本原理；</w:t>
      </w:r>
    </w:p>
    <w:p>
      <w:pPr>
        <w:widowControl/>
        <w:adjustRightInd w:val="0"/>
        <w:snapToGrid w:val="0"/>
        <w:spacing w:line="360" w:lineRule="auto"/>
        <w:ind w:left="426"/>
        <w:jc w:val="left"/>
        <w:rPr>
          <w:kern w:val="0"/>
          <w:szCs w:val="21"/>
        </w:rPr>
      </w:pPr>
      <w:r>
        <w:rPr>
          <w:rFonts w:hint="eastAsia"/>
          <w:snapToGrid w:val="0"/>
          <w:kern w:val="0"/>
          <w:szCs w:val="21"/>
        </w:rPr>
        <w:t>1</w:t>
      </w:r>
      <w:r>
        <w:rPr>
          <w:snapToGrid w:val="0"/>
          <w:kern w:val="0"/>
          <w:szCs w:val="21"/>
        </w:rPr>
        <w:t>.</w:t>
      </w:r>
      <w:r>
        <w:rPr>
          <w:rFonts w:hint="eastAsia"/>
          <w:snapToGrid w:val="0"/>
          <w:kern w:val="0"/>
          <w:szCs w:val="21"/>
        </w:rPr>
        <w:t>5</w:t>
      </w:r>
      <w:r>
        <w:rPr>
          <w:snapToGrid w:val="0"/>
          <w:kern w:val="0"/>
          <w:szCs w:val="21"/>
        </w:rPr>
        <w:t>、掌握数据总线的概念、特点和用途；</w:t>
      </w:r>
    </w:p>
    <w:p>
      <w:pPr>
        <w:adjustRightInd w:val="0"/>
        <w:snapToGrid w:val="0"/>
        <w:spacing w:line="360" w:lineRule="auto"/>
        <w:ind w:left="426"/>
        <w:rPr>
          <w:snapToGrid w:val="0"/>
          <w:kern w:val="0"/>
          <w:szCs w:val="21"/>
        </w:rPr>
      </w:pPr>
      <w:r>
        <w:rPr>
          <w:rFonts w:hint="eastAsia"/>
          <w:snapToGrid w:val="0"/>
          <w:kern w:val="0"/>
          <w:szCs w:val="21"/>
        </w:rPr>
        <w:t>1</w:t>
      </w:r>
      <w:r>
        <w:rPr>
          <w:snapToGrid w:val="0"/>
          <w:kern w:val="0"/>
          <w:szCs w:val="21"/>
        </w:rPr>
        <w:t>.</w:t>
      </w:r>
      <w:r>
        <w:rPr>
          <w:rFonts w:hint="eastAsia"/>
          <w:snapToGrid w:val="0"/>
          <w:kern w:val="0"/>
          <w:szCs w:val="21"/>
        </w:rPr>
        <w:t>6</w:t>
      </w:r>
      <w:r>
        <w:rPr>
          <w:snapToGrid w:val="0"/>
          <w:kern w:val="0"/>
          <w:szCs w:val="21"/>
        </w:rPr>
        <w:t>、能够掌握总线网络的分类及特点，并根据需求选择合适的方案（重点）；</w:t>
      </w:r>
    </w:p>
    <w:p>
      <w:pPr>
        <w:adjustRightInd w:val="0"/>
        <w:snapToGrid w:val="0"/>
        <w:spacing w:line="360" w:lineRule="auto"/>
        <w:ind w:left="426"/>
        <w:rPr>
          <w:snapToGrid w:val="0"/>
          <w:kern w:val="0"/>
          <w:szCs w:val="21"/>
        </w:rPr>
      </w:pPr>
      <w:r>
        <w:rPr>
          <w:rFonts w:hint="eastAsia"/>
          <w:snapToGrid w:val="0"/>
          <w:kern w:val="0"/>
          <w:szCs w:val="21"/>
        </w:rPr>
        <w:t>1</w:t>
      </w:r>
      <w:r>
        <w:rPr>
          <w:snapToGrid w:val="0"/>
          <w:kern w:val="0"/>
          <w:szCs w:val="21"/>
        </w:rPr>
        <w:t>.</w:t>
      </w:r>
      <w:r>
        <w:rPr>
          <w:rFonts w:hint="eastAsia"/>
          <w:snapToGrid w:val="0"/>
          <w:kern w:val="0"/>
          <w:szCs w:val="21"/>
        </w:rPr>
        <w:t>7</w:t>
      </w:r>
      <w:r>
        <w:rPr>
          <w:snapToGrid w:val="0"/>
          <w:kern w:val="0"/>
          <w:szCs w:val="21"/>
        </w:rPr>
        <w:t>、能够了解当前工业控制应用背景下的现场总线网络，阐述其特点；</w:t>
      </w:r>
    </w:p>
    <w:p>
      <w:pPr>
        <w:adjustRightInd w:val="0"/>
        <w:snapToGrid w:val="0"/>
        <w:spacing w:line="360" w:lineRule="auto"/>
        <w:ind w:left="426"/>
        <w:rPr>
          <w:snapToGrid w:val="0"/>
          <w:kern w:val="0"/>
          <w:szCs w:val="21"/>
        </w:rPr>
      </w:pPr>
      <w:r>
        <w:rPr>
          <w:snapToGrid w:val="0"/>
          <w:kern w:val="0"/>
          <w:szCs w:val="21"/>
        </w:rPr>
        <w:t>本节内容简单回顾现场总线内容。</w:t>
      </w:r>
    </w:p>
    <w:p>
      <w:pPr>
        <w:spacing w:line="360" w:lineRule="auto"/>
        <w:ind w:firstLine="422" w:firstLineChars="200"/>
        <w:rPr>
          <w:b/>
          <w:bCs/>
          <w:snapToGrid w:val="0"/>
          <w:kern w:val="0"/>
          <w:szCs w:val="21"/>
        </w:rPr>
      </w:pPr>
      <w:r>
        <w:rPr>
          <w:rFonts w:hint="eastAsia"/>
          <w:b/>
          <w:bCs/>
          <w:snapToGrid w:val="0"/>
          <w:kern w:val="0"/>
          <w:szCs w:val="21"/>
        </w:rPr>
        <w:t>思政元素：</w:t>
      </w:r>
      <w:r>
        <w:rPr>
          <w:rFonts w:hint="eastAsia"/>
          <w:b/>
          <w:bCs/>
          <w:szCs w:val="21"/>
        </w:rPr>
        <w:t>通过了解国内外工业控制网络技术的发展现状和差距，激发学生重视技术进步与创新，为国民经济发展和国家进步贡献力量的意识。</w:t>
      </w:r>
    </w:p>
    <w:p>
      <w:pPr>
        <w:adjustRightInd w:val="0"/>
        <w:snapToGrid w:val="0"/>
        <w:spacing w:line="360" w:lineRule="auto"/>
        <w:ind w:left="426"/>
        <w:rPr>
          <w:snapToGrid w:val="0"/>
          <w:kern w:val="0"/>
          <w:szCs w:val="21"/>
        </w:rPr>
      </w:pPr>
      <w:r>
        <w:rPr>
          <w:rFonts w:hint="eastAsia"/>
          <w:snapToGrid w:val="0"/>
          <w:kern w:val="0"/>
          <w:szCs w:val="21"/>
        </w:rPr>
        <w:t>1</w:t>
      </w:r>
      <w:r>
        <w:rPr>
          <w:snapToGrid w:val="0"/>
          <w:kern w:val="0"/>
          <w:szCs w:val="21"/>
        </w:rPr>
        <w:t>.</w:t>
      </w:r>
      <w:r>
        <w:rPr>
          <w:rFonts w:hint="eastAsia"/>
          <w:snapToGrid w:val="0"/>
          <w:kern w:val="0"/>
          <w:szCs w:val="21"/>
        </w:rPr>
        <w:t>8</w:t>
      </w:r>
      <w:r>
        <w:rPr>
          <w:snapToGrid w:val="0"/>
          <w:kern w:val="0"/>
          <w:szCs w:val="21"/>
        </w:rPr>
        <w:t>、能够将ISO七层网络模型用于分析某一种网络（重点）；</w:t>
      </w:r>
    </w:p>
    <w:p>
      <w:pPr>
        <w:adjustRightInd w:val="0"/>
        <w:snapToGrid w:val="0"/>
        <w:spacing w:line="360" w:lineRule="auto"/>
        <w:ind w:left="426"/>
        <w:rPr>
          <w:rFonts w:eastAsia="黑体"/>
        </w:rPr>
      </w:pPr>
      <w:r>
        <w:rPr>
          <w:rFonts w:hint="eastAsia"/>
          <w:snapToGrid w:val="0"/>
          <w:kern w:val="0"/>
          <w:szCs w:val="21"/>
        </w:rPr>
        <w:t>1</w:t>
      </w:r>
      <w:r>
        <w:rPr>
          <w:snapToGrid w:val="0"/>
          <w:kern w:val="0"/>
          <w:szCs w:val="21"/>
        </w:rPr>
        <w:t>.</w:t>
      </w:r>
      <w:r>
        <w:rPr>
          <w:rFonts w:hint="eastAsia"/>
          <w:snapToGrid w:val="0"/>
          <w:kern w:val="0"/>
          <w:szCs w:val="21"/>
        </w:rPr>
        <w:t>9</w:t>
      </w:r>
      <w:r>
        <w:rPr>
          <w:snapToGrid w:val="0"/>
          <w:kern w:val="0"/>
          <w:szCs w:val="21"/>
        </w:rPr>
        <w:t>、了解掌握网络系统中的主要术语</w:t>
      </w:r>
      <w:r>
        <w:rPr>
          <w:rFonts w:hint="eastAsia"/>
          <w:snapToGrid w:val="0"/>
          <w:kern w:val="0"/>
          <w:szCs w:val="21"/>
        </w:rPr>
        <w:t>和指标</w:t>
      </w:r>
      <w:r>
        <w:rPr>
          <w:snapToGrid w:val="0"/>
          <w:kern w:val="0"/>
          <w:szCs w:val="21"/>
        </w:rPr>
        <w:t>。</w:t>
      </w:r>
    </w:p>
    <w:p>
      <w:pPr>
        <w:adjustRightInd w:val="0"/>
        <w:snapToGrid w:val="0"/>
        <w:spacing w:line="360" w:lineRule="auto"/>
        <w:ind w:firstLine="420" w:firstLineChars="200"/>
        <w:rPr>
          <w:bCs/>
          <w:snapToGrid w:val="0"/>
          <w:kern w:val="0"/>
          <w:szCs w:val="21"/>
        </w:rPr>
      </w:pPr>
      <w:r>
        <w:rPr>
          <w:rFonts w:cs="宋体"/>
          <w:bCs/>
          <w:snapToGrid w:val="0"/>
          <w:kern w:val="0"/>
          <w:szCs w:val="21"/>
        </w:rPr>
        <w:t>本章内容支撑课程目标</w:t>
      </w:r>
      <w:r>
        <w:rPr>
          <w:rFonts w:hint="eastAsia" w:cs="宋体"/>
          <w:bCs/>
          <w:snapToGrid w:val="0"/>
          <w:kern w:val="0"/>
          <w:szCs w:val="21"/>
        </w:rPr>
        <w:t>1、3。</w:t>
      </w:r>
    </w:p>
    <w:p>
      <w:pPr>
        <w:adjustRightInd w:val="0"/>
        <w:snapToGrid w:val="0"/>
        <w:spacing w:line="360" w:lineRule="auto"/>
        <w:ind w:left="426"/>
      </w:pPr>
      <w:r>
        <w:rPr>
          <w:rFonts w:hint="eastAsia" w:eastAsia="黑体"/>
        </w:rPr>
        <w:t>2</w:t>
      </w:r>
      <w:r>
        <w:rPr>
          <w:rFonts w:eastAsia="黑体"/>
          <w:snapToGrid w:val="0"/>
          <w:kern w:val="0"/>
          <w:szCs w:val="21"/>
        </w:rPr>
        <w:t>总线型网络的数据寻址（6学时理论、</w:t>
      </w:r>
      <w:r>
        <w:rPr>
          <w:rFonts w:hint="eastAsia" w:eastAsia="黑体"/>
          <w:snapToGrid w:val="0"/>
          <w:kern w:val="0"/>
          <w:szCs w:val="21"/>
        </w:rPr>
        <w:t>4</w:t>
      </w:r>
      <w:r>
        <w:rPr>
          <w:rFonts w:eastAsia="黑体"/>
          <w:snapToGrid w:val="0"/>
          <w:kern w:val="0"/>
          <w:szCs w:val="21"/>
        </w:rPr>
        <w:t>学时实验）</w:t>
      </w:r>
    </w:p>
    <w:p>
      <w:pPr>
        <w:adjustRightInd w:val="0"/>
        <w:snapToGrid w:val="0"/>
        <w:spacing w:line="360" w:lineRule="auto"/>
        <w:ind w:left="426"/>
        <w:rPr>
          <w:snapToGrid w:val="0"/>
          <w:kern w:val="0"/>
          <w:szCs w:val="21"/>
        </w:rPr>
      </w:pPr>
      <w:r>
        <w:rPr>
          <w:rFonts w:hint="eastAsia"/>
          <w:snapToGrid w:val="0"/>
          <w:kern w:val="0"/>
          <w:szCs w:val="21"/>
        </w:rPr>
        <w:t>2</w:t>
      </w:r>
      <w:r>
        <w:rPr>
          <w:snapToGrid w:val="0"/>
          <w:kern w:val="0"/>
          <w:szCs w:val="21"/>
        </w:rPr>
        <w:t>.1、掌握总线型网络的数据寻址原理；</w:t>
      </w:r>
    </w:p>
    <w:p>
      <w:pPr>
        <w:adjustRightInd w:val="0"/>
        <w:snapToGrid w:val="0"/>
        <w:spacing w:line="360" w:lineRule="auto"/>
        <w:ind w:left="426"/>
      </w:pPr>
      <w:r>
        <w:rPr>
          <w:rFonts w:hint="eastAsia"/>
        </w:rPr>
        <w:t>2</w:t>
      </w:r>
      <w:r>
        <w:t>.2、能够使用异步串行协议实现多机通讯（重点）</w:t>
      </w:r>
      <w:r>
        <w:rPr>
          <w:snapToGrid w:val="0"/>
          <w:kern w:val="0"/>
          <w:szCs w:val="21"/>
        </w:rPr>
        <w:t>；</w:t>
      </w:r>
    </w:p>
    <w:p>
      <w:pPr>
        <w:adjustRightInd w:val="0"/>
        <w:snapToGrid w:val="0"/>
        <w:spacing w:line="360" w:lineRule="auto"/>
        <w:ind w:left="426"/>
      </w:pPr>
      <w:r>
        <w:rPr>
          <w:rFonts w:hint="eastAsia"/>
        </w:rPr>
        <w:t>2</w:t>
      </w:r>
      <w:r>
        <w:t>.3、掌握基于包的地址匹配（重点、难点）</w:t>
      </w:r>
      <w:r>
        <w:rPr>
          <w:bCs/>
          <w:snapToGrid w:val="0"/>
          <w:kern w:val="0"/>
          <w:szCs w:val="21"/>
        </w:rPr>
        <w:t>；</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2</w:t>
      </w:r>
      <w:r>
        <w:rPr>
          <w:bCs/>
          <w:snapToGrid w:val="0"/>
          <w:kern w:val="0"/>
          <w:szCs w:val="21"/>
        </w:rPr>
        <w:t>.4、掌握</w:t>
      </w:r>
      <w:r>
        <w:rPr>
          <w:rFonts w:hint="eastAsia"/>
          <w:bCs/>
          <w:snapToGrid w:val="0"/>
          <w:kern w:val="0"/>
          <w:szCs w:val="21"/>
        </w:rPr>
        <w:t>广播式多机通讯的</w:t>
      </w:r>
      <w:r>
        <w:rPr>
          <w:bCs/>
          <w:snapToGrid w:val="0"/>
          <w:kern w:val="0"/>
          <w:szCs w:val="21"/>
        </w:rPr>
        <w:t>原理</w:t>
      </w:r>
      <w:r>
        <w:t>（重点、难点）</w:t>
      </w:r>
      <w:r>
        <w:rPr>
          <w:bCs/>
          <w:snapToGrid w:val="0"/>
          <w:kern w:val="0"/>
          <w:szCs w:val="21"/>
        </w:rPr>
        <w:t>；</w:t>
      </w:r>
    </w:p>
    <w:p>
      <w:pPr>
        <w:adjustRightInd w:val="0"/>
        <w:snapToGrid w:val="0"/>
        <w:spacing w:line="360" w:lineRule="auto"/>
        <w:ind w:left="426"/>
      </w:pPr>
      <w:r>
        <w:rPr>
          <w:rFonts w:hint="eastAsia"/>
        </w:rPr>
        <w:t>2</w:t>
      </w:r>
      <w:r>
        <w:t>.5、能够完成总线型网络的效率分析；</w:t>
      </w:r>
    </w:p>
    <w:p>
      <w:pPr>
        <w:adjustRightInd w:val="0"/>
        <w:snapToGrid w:val="0"/>
        <w:spacing w:line="360" w:lineRule="auto"/>
        <w:ind w:left="426"/>
        <w:rPr>
          <w:bCs/>
          <w:snapToGrid w:val="0"/>
          <w:kern w:val="0"/>
          <w:szCs w:val="21"/>
        </w:rPr>
      </w:pPr>
      <w:r>
        <w:rPr>
          <w:rFonts w:hint="eastAsia"/>
        </w:rPr>
        <w:t>2</w:t>
      </w:r>
      <w:r>
        <w:t>.6、能够剖析典型案例</w:t>
      </w:r>
      <w:r>
        <w:rPr>
          <w:bCs/>
          <w:snapToGrid w:val="0"/>
          <w:kern w:val="0"/>
          <w:szCs w:val="21"/>
        </w:rPr>
        <w:t>。</w:t>
      </w:r>
    </w:p>
    <w:p>
      <w:pPr>
        <w:adjustRightInd w:val="0"/>
        <w:snapToGrid w:val="0"/>
        <w:spacing w:line="360" w:lineRule="auto"/>
        <w:ind w:firstLine="420" w:firstLineChars="200"/>
      </w:pPr>
      <w:r>
        <w:t>本节可以讨论422、232接口下的异步串行通讯、CAN总线及其它总线型网络的异同对比。</w:t>
      </w:r>
    </w:p>
    <w:p>
      <w:pPr>
        <w:adjustRightInd w:val="0"/>
        <w:snapToGrid w:val="0"/>
        <w:spacing w:line="360" w:lineRule="auto"/>
        <w:ind w:firstLine="420" w:firstLineChars="200"/>
        <w:rPr>
          <w:rFonts w:eastAsia="黑体"/>
        </w:rPr>
      </w:pPr>
      <w:r>
        <w:rPr>
          <w:rFonts w:cs="宋体"/>
          <w:bCs/>
          <w:snapToGrid w:val="0"/>
          <w:kern w:val="0"/>
          <w:szCs w:val="21"/>
        </w:rPr>
        <w:t>本章内容支撑课程目标1、</w:t>
      </w:r>
      <w:r>
        <w:rPr>
          <w:rFonts w:hint="eastAsia" w:cs="宋体"/>
          <w:bCs/>
          <w:snapToGrid w:val="0"/>
          <w:kern w:val="0"/>
          <w:szCs w:val="21"/>
        </w:rPr>
        <w:t>2。</w:t>
      </w:r>
    </w:p>
    <w:p>
      <w:pPr>
        <w:tabs>
          <w:tab w:val="left" w:pos="1260"/>
        </w:tabs>
        <w:adjustRightInd w:val="0"/>
        <w:snapToGrid w:val="0"/>
        <w:spacing w:line="360" w:lineRule="auto"/>
        <w:ind w:left="426"/>
      </w:pPr>
      <w:r>
        <w:rPr>
          <w:rFonts w:hint="eastAsia" w:eastAsia="黑体"/>
        </w:rPr>
        <w:t xml:space="preserve">3 </w:t>
      </w:r>
      <w:r>
        <w:rPr>
          <w:rFonts w:eastAsia="黑体"/>
          <w:snapToGrid w:val="0"/>
          <w:kern w:val="0"/>
          <w:szCs w:val="21"/>
        </w:rPr>
        <w:t>星型网络的数据寻址（8学时理论，</w:t>
      </w:r>
      <w:r>
        <w:rPr>
          <w:rFonts w:hint="eastAsia" w:eastAsia="黑体"/>
          <w:snapToGrid w:val="0"/>
          <w:kern w:val="0"/>
          <w:szCs w:val="21"/>
        </w:rPr>
        <w:t>6</w:t>
      </w:r>
      <w:r>
        <w:rPr>
          <w:rFonts w:eastAsia="黑体"/>
          <w:snapToGrid w:val="0"/>
          <w:kern w:val="0"/>
          <w:szCs w:val="21"/>
        </w:rPr>
        <w:t>学时实验）</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3</w:t>
      </w:r>
      <w:r>
        <w:rPr>
          <w:bCs/>
          <w:snapToGrid w:val="0"/>
          <w:kern w:val="0"/>
          <w:szCs w:val="21"/>
        </w:rPr>
        <w:t>.1、了解星型网络与总线型网络的数据传输差异；</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3</w:t>
      </w:r>
      <w:r>
        <w:rPr>
          <w:bCs/>
          <w:snapToGrid w:val="0"/>
          <w:kern w:val="0"/>
          <w:szCs w:val="21"/>
        </w:rPr>
        <w:t>.2、能够清晰表达交换机工作原理</w:t>
      </w:r>
      <w:r>
        <w:t>（重点、难点）</w:t>
      </w:r>
      <w:r>
        <w:rPr>
          <w:bCs/>
          <w:snapToGrid w:val="0"/>
          <w:kern w:val="0"/>
          <w:szCs w:val="21"/>
        </w:rPr>
        <w:t>；</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3</w:t>
      </w:r>
      <w:r>
        <w:rPr>
          <w:bCs/>
          <w:snapToGrid w:val="0"/>
          <w:kern w:val="0"/>
          <w:szCs w:val="21"/>
        </w:rPr>
        <w:t>.3、能够设计实现基于数据包的简单交换机功能</w:t>
      </w:r>
      <w:r>
        <w:t>（重点、难点）</w:t>
      </w:r>
      <w:r>
        <w:rPr>
          <w:bCs/>
          <w:snapToGrid w:val="0"/>
          <w:kern w:val="0"/>
          <w:szCs w:val="21"/>
        </w:rPr>
        <w:t>；</w:t>
      </w:r>
    </w:p>
    <w:p>
      <w:pPr>
        <w:adjustRightInd w:val="0"/>
        <w:snapToGrid w:val="0"/>
        <w:spacing w:line="360" w:lineRule="auto"/>
        <w:ind w:left="426"/>
      </w:pPr>
      <w:r>
        <w:rPr>
          <w:rFonts w:hint="eastAsia"/>
        </w:rPr>
        <w:t>3</w:t>
      </w:r>
      <w:r>
        <w:t>.4、能够阐述星型网络的分层结构，并分析其效率；</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3</w:t>
      </w:r>
      <w:r>
        <w:rPr>
          <w:bCs/>
          <w:snapToGrid w:val="0"/>
          <w:kern w:val="0"/>
          <w:szCs w:val="21"/>
        </w:rPr>
        <w:t>.5、能够剖析典型星型网络案例。</w:t>
      </w:r>
    </w:p>
    <w:p>
      <w:pPr>
        <w:adjustRightInd w:val="0"/>
        <w:snapToGrid w:val="0"/>
        <w:spacing w:line="360" w:lineRule="auto"/>
        <w:ind w:firstLine="420" w:firstLineChars="200"/>
      </w:pPr>
      <w:r>
        <w:t>本节可以讨论典型的以太网与其它一种星型网络的比较。</w:t>
      </w:r>
    </w:p>
    <w:p>
      <w:pPr>
        <w:adjustRightInd w:val="0"/>
        <w:snapToGrid w:val="0"/>
        <w:spacing w:line="360" w:lineRule="auto"/>
        <w:ind w:firstLine="420" w:firstLineChars="200"/>
      </w:pPr>
      <w:r>
        <w:rPr>
          <w:rFonts w:cs="宋体"/>
          <w:bCs/>
          <w:snapToGrid w:val="0"/>
          <w:kern w:val="0"/>
          <w:szCs w:val="21"/>
        </w:rPr>
        <w:t>本章内容支撑课程目标1、</w:t>
      </w:r>
      <w:r>
        <w:rPr>
          <w:rFonts w:hint="eastAsia" w:cs="宋体"/>
          <w:bCs/>
          <w:snapToGrid w:val="0"/>
          <w:kern w:val="0"/>
          <w:szCs w:val="21"/>
        </w:rPr>
        <w:t>2。</w:t>
      </w:r>
    </w:p>
    <w:p>
      <w:pPr>
        <w:widowControl/>
        <w:adjustRightInd w:val="0"/>
        <w:snapToGrid w:val="0"/>
        <w:spacing w:line="360" w:lineRule="auto"/>
        <w:ind w:left="426"/>
        <w:jc w:val="left"/>
        <w:rPr>
          <w:rFonts w:eastAsia="黑体"/>
          <w:snapToGrid w:val="0"/>
          <w:kern w:val="0"/>
          <w:szCs w:val="21"/>
        </w:rPr>
      </w:pPr>
      <w:r>
        <w:rPr>
          <w:rFonts w:hint="eastAsia" w:eastAsia="黑体"/>
          <w:snapToGrid w:val="0"/>
          <w:kern w:val="0"/>
          <w:szCs w:val="21"/>
        </w:rPr>
        <w:t>4 工业网络的专有特征</w:t>
      </w:r>
      <w:r>
        <w:rPr>
          <w:rFonts w:eastAsia="黑体"/>
          <w:snapToGrid w:val="0"/>
          <w:kern w:val="0"/>
          <w:szCs w:val="21"/>
        </w:rPr>
        <w:t>（</w:t>
      </w:r>
      <w:r>
        <w:rPr>
          <w:rFonts w:hint="eastAsia" w:eastAsia="黑体"/>
          <w:snapToGrid w:val="0"/>
          <w:kern w:val="0"/>
          <w:szCs w:val="21"/>
        </w:rPr>
        <w:t>4</w:t>
      </w:r>
      <w:r>
        <w:rPr>
          <w:rFonts w:eastAsia="黑体"/>
          <w:snapToGrid w:val="0"/>
          <w:kern w:val="0"/>
          <w:szCs w:val="21"/>
        </w:rPr>
        <w:t>学时）</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4</w:t>
      </w:r>
      <w:r>
        <w:rPr>
          <w:bCs/>
          <w:snapToGrid w:val="0"/>
          <w:kern w:val="0"/>
          <w:szCs w:val="21"/>
        </w:rPr>
        <w:t>.1、了解网络容量、网络间的数据传输；</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4</w:t>
      </w:r>
      <w:r>
        <w:rPr>
          <w:bCs/>
          <w:snapToGrid w:val="0"/>
          <w:kern w:val="0"/>
          <w:szCs w:val="21"/>
        </w:rPr>
        <w:t>.2、</w:t>
      </w:r>
      <w:r>
        <w:rPr>
          <w:rFonts w:hint="eastAsia"/>
          <w:bCs/>
          <w:snapToGrid w:val="0"/>
          <w:kern w:val="0"/>
          <w:szCs w:val="21"/>
        </w:rPr>
        <w:t>网络实时性、时间同步的概念与影响因素</w:t>
      </w:r>
      <w:r>
        <w:rPr>
          <w:bCs/>
          <w:snapToGrid w:val="0"/>
          <w:kern w:val="0"/>
          <w:szCs w:val="21"/>
        </w:rPr>
        <w:t>；</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4</w:t>
      </w:r>
      <w:r>
        <w:rPr>
          <w:bCs/>
          <w:snapToGrid w:val="0"/>
          <w:kern w:val="0"/>
          <w:szCs w:val="21"/>
        </w:rPr>
        <w:t>.</w:t>
      </w:r>
      <w:r>
        <w:rPr>
          <w:rFonts w:hint="eastAsia"/>
          <w:bCs/>
          <w:snapToGrid w:val="0"/>
          <w:kern w:val="0"/>
          <w:szCs w:val="21"/>
        </w:rPr>
        <w:t>3</w:t>
      </w:r>
      <w:r>
        <w:rPr>
          <w:bCs/>
          <w:snapToGrid w:val="0"/>
          <w:kern w:val="0"/>
          <w:szCs w:val="21"/>
        </w:rPr>
        <w:t>、</w:t>
      </w:r>
      <w:r>
        <w:rPr>
          <w:rFonts w:hint="eastAsia"/>
          <w:bCs/>
          <w:snapToGrid w:val="0"/>
          <w:kern w:val="0"/>
          <w:szCs w:val="21"/>
        </w:rPr>
        <w:t>了解时间触发机制（难点）</w:t>
      </w:r>
      <w:r>
        <w:rPr>
          <w:bCs/>
          <w:snapToGrid w:val="0"/>
          <w:kern w:val="0"/>
          <w:szCs w:val="21"/>
        </w:rPr>
        <w:t>；</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4</w:t>
      </w:r>
      <w:r>
        <w:rPr>
          <w:bCs/>
          <w:snapToGrid w:val="0"/>
          <w:kern w:val="0"/>
          <w:szCs w:val="21"/>
        </w:rPr>
        <w:t>.</w:t>
      </w:r>
      <w:r>
        <w:rPr>
          <w:rFonts w:hint="eastAsia"/>
          <w:bCs/>
          <w:snapToGrid w:val="0"/>
          <w:kern w:val="0"/>
          <w:szCs w:val="21"/>
        </w:rPr>
        <w:t>4</w:t>
      </w:r>
      <w:r>
        <w:rPr>
          <w:bCs/>
          <w:snapToGrid w:val="0"/>
          <w:kern w:val="0"/>
          <w:szCs w:val="21"/>
        </w:rPr>
        <w:t>、能够阐述网络桥接原理（难点）；</w:t>
      </w:r>
    </w:p>
    <w:p>
      <w:pPr>
        <w:widowControl/>
        <w:tabs>
          <w:tab w:val="left" w:pos="900"/>
        </w:tabs>
        <w:adjustRightInd w:val="0"/>
        <w:snapToGrid w:val="0"/>
        <w:spacing w:line="360" w:lineRule="auto"/>
        <w:ind w:left="426"/>
        <w:jc w:val="left"/>
        <w:rPr>
          <w:bCs/>
          <w:snapToGrid w:val="0"/>
          <w:kern w:val="0"/>
          <w:szCs w:val="21"/>
        </w:rPr>
      </w:pPr>
      <w:r>
        <w:rPr>
          <w:rFonts w:cs="宋体"/>
          <w:bCs/>
          <w:snapToGrid w:val="0"/>
          <w:kern w:val="0"/>
          <w:szCs w:val="21"/>
        </w:rPr>
        <w:t>本章内容支撑课程目标1</w:t>
      </w:r>
      <w:r>
        <w:rPr>
          <w:rFonts w:hint="eastAsia" w:cs="宋体"/>
          <w:bCs/>
          <w:snapToGrid w:val="0"/>
          <w:kern w:val="0"/>
          <w:szCs w:val="21"/>
        </w:rPr>
        <w:t>。</w:t>
      </w:r>
    </w:p>
    <w:p>
      <w:pPr>
        <w:widowControl/>
        <w:adjustRightInd w:val="0"/>
        <w:snapToGrid w:val="0"/>
        <w:spacing w:line="360" w:lineRule="auto"/>
        <w:ind w:left="426"/>
        <w:jc w:val="left"/>
        <w:rPr>
          <w:rFonts w:eastAsia="黑体"/>
          <w:snapToGrid w:val="0"/>
          <w:kern w:val="0"/>
          <w:szCs w:val="21"/>
        </w:rPr>
      </w:pPr>
      <w:r>
        <w:rPr>
          <w:rFonts w:hint="eastAsia" w:eastAsia="黑体"/>
          <w:snapToGrid w:val="0"/>
          <w:kern w:val="0"/>
          <w:szCs w:val="21"/>
        </w:rPr>
        <w:t>5</w:t>
      </w:r>
      <w:r>
        <w:rPr>
          <w:rFonts w:eastAsia="黑体"/>
          <w:snapToGrid w:val="0"/>
          <w:kern w:val="0"/>
          <w:szCs w:val="21"/>
        </w:rPr>
        <w:t>网络设计的原则与规范（2学时）</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5</w:t>
      </w:r>
      <w:r>
        <w:rPr>
          <w:bCs/>
          <w:snapToGrid w:val="0"/>
          <w:kern w:val="0"/>
          <w:szCs w:val="21"/>
        </w:rPr>
        <w:t>.1、能够应用本课程知识进行网络设计方案的优选与设计（重点）；</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5</w:t>
      </w:r>
      <w:r>
        <w:rPr>
          <w:bCs/>
          <w:snapToGrid w:val="0"/>
          <w:kern w:val="0"/>
          <w:szCs w:val="21"/>
        </w:rPr>
        <w:t>.2、了解网络设计在物联网中的应用，了解项目组织和资源整合需要注意的方面；</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5.3、沙克网络总线的功能与特点。</w:t>
      </w:r>
    </w:p>
    <w:p>
      <w:pPr>
        <w:widowControl/>
        <w:tabs>
          <w:tab w:val="left" w:pos="900"/>
        </w:tabs>
        <w:adjustRightInd w:val="0"/>
        <w:snapToGrid w:val="0"/>
        <w:spacing w:line="360" w:lineRule="auto"/>
        <w:ind w:left="426"/>
        <w:jc w:val="left"/>
        <w:rPr>
          <w:bCs/>
          <w:snapToGrid w:val="0"/>
          <w:kern w:val="0"/>
          <w:szCs w:val="21"/>
        </w:rPr>
      </w:pPr>
      <w:r>
        <w:rPr>
          <w:rFonts w:hint="eastAsia"/>
          <w:bCs/>
          <w:snapToGrid w:val="0"/>
          <w:kern w:val="0"/>
          <w:szCs w:val="21"/>
        </w:rPr>
        <w:t>5</w:t>
      </w:r>
      <w:r>
        <w:rPr>
          <w:bCs/>
          <w:snapToGrid w:val="0"/>
          <w:kern w:val="0"/>
          <w:szCs w:val="21"/>
        </w:rPr>
        <w:t>.</w:t>
      </w:r>
      <w:r>
        <w:rPr>
          <w:rFonts w:hint="eastAsia"/>
          <w:bCs/>
          <w:snapToGrid w:val="0"/>
          <w:kern w:val="0"/>
          <w:szCs w:val="21"/>
        </w:rPr>
        <w:t>4</w:t>
      </w:r>
      <w:r>
        <w:rPr>
          <w:bCs/>
          <w:snapToGrid w:val="0"/>
          <w:kern w:val="0"/>
          <w:szCs w:val="21"/>
        </w:rPr>
        <w:t>、能够明白网络设计应当遵循的法律及职业道德规范。</w:t>
      </w:r>
    </w:p>
    <w:p>
      <w:pPr>
        <w:widowControl/>
        <w:tabs>
          <w:tab w:val="left" w:pos="900"/>
        </w:tabs>
        <w:adjustRightInd w:val="0"/>
        <w:snapToGrid w:val="0"/>
        <w:spacing w:line="360" w:lineRule="auto"/>
        <w:ind w:left="426"/>
        <w:jc w:val="left"/>
        <w:rPr>
          <w:rFonts w:cs="宋体"/>
          <w:bCs/>
          <w:snapToGrid w:val="0"/>
          <w:kern w:val="0"/>
          <w:szCs w:val="21"/>
        </w:rPr>
      </w:pPr>
      <w:r>
        <w:rPr>
          <w:rFonts w:cs="宋体"/>
          <w:bCs/>
          <w:snapToGrid w:val="0"/>
          <w:kern w:val="0"/>
          <w:szCs w:val="21"/>
        </w:rPr>
        <w:t>本章内容支撑课程目标1、</w:t>
      </w:r>
      <w:r>
        <w:rPr>
          <w:rFonts w:hint="eastAsia" w:cs="宋体"/>
          <w:bCs/>
          <w:snapToGrid w:val="0"/>
          <w:kern w:val="0"/>
          <w:szCs w:val="21"/>
        </w:rPr>
        <w:t>3。</w:t>
      </w:r>
    </w:p>
    <w:p>
      <w:pPr>
        <w:spacing w:line="360" w:lineRule="auto"/>
        <w:ind w:firstLine="422" w:firstLineChars="200"/>
        <w:rPr>
          <w:b/>
          <w:bCs/>
          <w:szCs w:val="21"/>
        </w:rPr>
      </w:pPr>
      <w:r>
        <w:rPr>
          <w:rFonts w:hint="eastAsia"/>
          <w:b/>
          <w:bCs/>
          <w:szCs w:val="21"/>
        </w:rPr>
        <w:t>思政元素：通过了解学习本专业教师自主研制的沙克网络总线，激发学生自主创新的意识，激发学生自豪感与爱国情怀。</w:t>
      </w:r>
    </w:p>
    <w:p>
      <w:pPr>
        <w:widowControl/>
        <w:tabs>
          <w:tab w:val="left" w:pos="900"/>
        </w:tabs>
        <w:adjustRightInd w:val="0"/>
        <w:snapToGrid w:val="0"/>
        <w:spacing w:line="360" w:lineRule="auto"/>
        <w:ind w:left="426"/>
        <w:jc w:val="left"/>
        <w:rPr>
          <w:rFonts w:cs="宋体"/>
          <w:bCs/>
          <w:snapToGrid w:val="0"/>
          <w:kern w:val="0"/>
          <w:szCs w:val="21"/>
        </w:rPr>
      </w:pP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eastAsia="黑体"/>
          <w:szCs w:val="24"/>
        </w:rPr>
        <w:t>五、实验内容</w:t>
      </w:r>
    </w:p>
    <w:p>
      <w:pPr>
        <w:adjustRightInd w:val="0"/>
        <w:snapToGrid w:val="0"/>
        <w:spacing w:line="360" w:lineRule="auto"/>
        <w:ind w:firstLine="424"/>
        <w:rPr>
          <w:kern w:val="0"/>
          <w:szCs w:val="21"/>
        </w:rPr>
      </w:pPr>
      <w:r>
        <w:rPr>
          <w:kern w:val="0"/>
          <w:szCs w:val="21"/>
        </w:rPr>
        <w:t>本课程的实验主要是让学生亲手基于总线型、星型网络实现简单的分布式数据传输，掌握不同网络的优选参数，从而帮助学生更好地理解课堂内容。</w:t>
      </w:r>
    </w:p>
    <w:p>
      <w:pPr>
        <w:adjustRightInd w:val="0"/>
        <w:snapToGrid w:val="0"/>
        <w:spacing w:line="360" w:lineRule="auto"/>
        <w:ind w:firstLine="424"/>
        <w:rPr>
          <w:kern w:val="0"/>
          <w:szCs w:val="21"/>
        </w:rPr>
      </w:pPr>
      <w:r>
        <w:rPr>
          <w:kern w:val="0"/>
          <w:szCs w:val="21"/>
        </w:rPr>
        <w:t>10个学时共完成4个实验，前3个为正常课内实验，最后1个实验需要学生在课外补充一些时间来完成。分配2学时用来讲解实验要求和指导，学生课外完成后，再分配2学时组织讨论检查。</w:t>
      </w:r>
    </w:p>
    <w:p>
      <w:pPr>
        <w:widowControl/>
        <w:adjustRightInd w:val="0"/>
        <w:snapToGrid w:val="0"/>
        <w:spacing w:line="360" w:lineRule="auto"/>
        <w:ind w:firstLine="420" w:firstLineChars="200"/>
        <w:jc w:val="left"/>
        <w:rPr>
          <w:kern w:val="0"/>
          <w:szCs w:val="21"/>
        </w:rPr>
      </w:pPr>
      <w:r>
        <w:rPr>
          <w:rFonts w:eastAsia="黑体"/>
          <w:snapToGrid w:val="0"/>
          <w:kern w:val="0"/>
          <w:szCs w:val="21"/>
        </w:rPr>
        <w:t>实验一异步串行协议</w:t>
      </w:r>
      <w:r>
        <w:rPr>
          <w:rFonts w:hint="eastAsia" w:eastAsia="黑体"/>
          <w:snapToGrid w:val="0"/>
          <w:kern w:val="0"/>
          <w:szCs w:val="21"/>
        </w:rPr>
        <w:t>实现</w:t>
      </w:r>
      <w:r>
        <w:rPr>
          <w:rFonts w:eastAsia="黑体"/>
          <w:snapToGrid w:val="0"/>
          <w:kern w:val="0"/>
          <w:szCs w:val="21"/>
        </w:rPr>
        <w:t>多机通讯（2学时）</w:t>
      </w:r>
    </w:p>
    <w:p>
      <w:pPr>
        <w:adjustRightInd w:val="0"/>
        <w:snapToGrid w:val="0"/>
        <w:spacing w:line="360" w:lineRule="auto"/>
        <w:ind w:firstLine="424"/>
        <w:rPr>
          <w:szCs w:val="21"/>
        </w:rPr>
      </w:pPr>
      <w:r>
        <w:rPr>
          <w:kern w:val="0"/>
          <w:szCs w:val="21"/>
        </w:rPr>
        <w:t>内容：</w:t>
      </w:r>
      <w:r>
        <w:rPr>
          <w:snapToGrid w:val="0"/>
          <w:kern w:val="0"/>
          <w:szCs w:val="21"/>
        </w:rPr>
        <w:t>通过PC主机</w:t>
      </w:r>
      <w:r>
        <w:rPr>
          <w:rFonts w:hint="eastAsia"/>
          <w:snapToGrid w:val="0"/>
          <w:kern w:val="0"/>
          <w:szCs w:val="21"/>
        </w:rPr>
        <w:t>A</w:t>
      </w:r>
      <w:r>
        <w:rPr>
          <w:snapToGrid w:val="0"/>
          <w:kern w:val="0"/>
          <w:szCs w:val="21"/>
        </w:rPr>
        <w:t>发送控制命令，指挥多</w:t>
      </w:r>
      <w:r>
        <w:rPr>
          <w:rFonts w:hint="eastAsia"/>
          <w:snapToGrid w:val="0"/>
          <w:kern w:val="0"/>
          <w:szCs w:val="21"/>
        </w:rPr>
        <w:t>台</w:t>
      </w:r>
      <w:r>
        <w:rPr>
          <w:snapToGrid w:val="0"/>
          <w:kern w:val="0"/>
          <w:szCs w:val="21"/>
        </w:rPr>
        <w:t>从机</w:t>
      </w:r>
      <w:r>
        <w:rPr>
          <w:rFonts w:hint="eastAsia"/>
          <w:snapToGrid w:val="0"/>
          <w:kern w:val="0"/>
          <w:szCs w:val="21"/>
        </w:rPr>
        <w:t>B、C</w:t>
      </w:r>
      <w:r>
        <w:rPr>
          <w:snapToGrid w:val="0"/>
          <w:kern w:val="0"/>
          <w:szCs w:val="21"/>
        </w:rPr>
        <w:t>接收、回传数据</w:t>
      </w:r>
      <w:r>
        <w:rPr>
          <w:szCs w:val="21"/>
        </w:rPr>
        <w:t>。采用UART协议，使用校验位来作为地址、数据区分位。</w:t>
      </w:r>
    </w:p>
    <w:p>
      <w:pPr>
        <w:adjustRightInd w:val="0"/>
        <w:snapToGrid w:val="0"/>
        <w:spacing w:line="360" w:lineRule="auto"/>
        <w:ind w:left="424" w:leftChars="202"/>
        <w:rPr>
          <w:kern w:val="0"/>
          <w:szCs w:val="21"/>
        </w:rPr>
      </w:pPr>
      <w:r>
        <w:rPr>
          <w:kern w:val="0"/>
          <w:szCs w:val="21"/>
        </w:rPr>
        <w:t>基本要求：</w:t>
      </w:r>
    </w:p>
    <w:p>
      <w:pPr>
        <w:widowControl/>
        <w:adjustRightInd w:val="0"/>
        <w:snapToGrid w:val="0"/>
        <w:spacing w:line="360" w:lineRule="auto"/>
        <w:ind w:left="424" w:leftChars="202"/>
        <w:jc w:val="left"/>
        <w:rPr>
          <w:kern w:val="0"/>
          <w:szCs w:val="21"/>
        </w:rPr>
      </w:pPr>
      <w:r>
        <w:rPr>
          <w:kern w:val="0"/>
          <w:szCs w:val="21"/>
        </w:rPr>
        <w:t>1、PC机使用串口调试工具进行收发，要求学生从总线上能够探测并读懂</w:t>
      </w:r>
      <w:r>
        <w:rPr>
          <w:rFonts w:hint="eastAsia"/>
          <w:kern w:val="0"/>
          <w:szCs w:val="21"/>
        </w:rPr>
        <w:t>UART</w:t>
      </w:r>
      <w:r>
        <w:rPr>
          <w:kern w:val="0"/>
          <w:szCs w:val="21"/>
        </w:rPr>
        <w:t>时序；</w:t>
      </w:r>
    </w:p>
    <w:p>
      <w:pPr>
        <w:widowControl/>
        <w:tabs>
          <w:tab w:val="left" w:pos="720"/>
        </w:tabs>
        <w:adjustRightInd w:val="0"/>
        <w:snapToGrid w:val="0"/>
        <w:spacing w:line="360" w:lineRule="auto"/>
        <w:ind w:left="424" w:leftChars="202"/>
        <w:jc w:val="left"/>
        <w:rPr>
          <w:kern w:val="0"/>
          <w:szCs w:val="21"/>
        </w:rPr>
      </w:pPr>
      <w:r>
        <w:rPr>
          <w:kern w:val="0"/>
          <w:szCs w:val="21"/>
        </w:rPr>
        <w:t>2、</w:t>
      </w:r>
      <w:r>
        <w:rPr>
          <w:rFonts w:hint="eastAsia"/>
          <w:kern w:val="0"/>
          <w:szCs w:val="21"/>
        </w:rPr>
        <w:t>学生无需编写代码，使用串口助手通过设置奇偶校验位来区分命令与数据，手工验证通讯细节；</w:t>
      </w:r>
    </w:p>
    <w:p>
      <w:pPr>
        <w:widowControl/>
        <w:tabs>
          <w:tab w:val="left" w:pos="720"/>
        </w:tabs>
        <w:adjustRightInd w:val="0"/>
        <w:snapToGrid w:val="0"/>
        <w:spacing w:line="360" w:lineRule="auto"/>
        <w:ind w:left="424" w:leftChars="202"/>
        <w:jc w:val="left"/>
        <w:rPr>
          <w:snapToGrid w:val="0"/>
          <w:kern w:val="0"/>
          <w:szCs w:val="21"/>
        </w:rPr>
      </w:pPr>
      <w:r>
        <w:rPr>
          <w:kern w:val="0"/>
          <w:szCs w:val="21"/>
        </w:rPr>
        <w:t>3、</w:t>
      </w:r>
      <w:r>
        <w:rPr>
          <w:snapToGrid w:val="0"/>
          <w:kern w:val="0"/>
          <w:szCs w:val="21"/>
        </w:rPr>
        <w:t>学生应当通过</w:t>
      </w:r>
      <w:r>
        <w:rPr>
          <w:rFonts w:hint="eastAsia"/>
          <w:snapToGrid w:val="0"/>
          <w:kern w:val="0"/>
          <w:szCs w:val="21"/>
        </w:rPr>
        <w:t>时序</w:t>
      </w:r>
      <w:r>
        <w:rPr>
          <w:snapToGrid w:val="0"/>
          <w:kern w:val="0"/>
          <w:szCs w:val="21"/>
        </w:rPr>
        <w:t>分析，深入理解UART实现多机通讯的原理；</w:t>
      </w:r>
    </w:p>
    <w:p>
      <w:pPr>
        <w:widowControl/>
        <w:tabs>
          <w:tab w:val="left" w:pos="720"/>
        </w:tabs>
        <w:adjustRightInd w:val="0"/>
        <w:snapToGrid w:val="0"/>
        <w:spacing w:line="360" w:lineRule="auto"/>
        <w:ind w:left="424" w:leftChars="202"/>
        <w:jc w:val="left"/>
        <w:rPr>
          <w:snapToGrid w:val="0"/>
          <w:kern w:val="0"/>
          <w:szCs w:val="21"/>
        </w:rPr>
      </w:pPr>
      <w:r>
        <w:rPr>
          <w:rFonts w:hint="eastAsia"/>
          <w:snapToGrid w:val="0"/>
          <w:kern w:val="0"/>
          <w:szCs w:val="21"/>
        </w:rPr>
        <w:t>4、自行调研RS422或RS232接点定义，正确连接满足多机通讯的电缆；</w:t>
      </w:r>
    </w:p>
    <w:p>
      <w:pPr>
        <w:widowControl/>
        <w:tabs>
          <w:tab w:val="left" w:pos="720"/>
        </w:tabs>
        <w:adjustRightInd w:val="0"/>
        <w:snapToGrid w:val="0"/>
        <w:spacing w:line="360" w:lineRule="auto"/>
        <w:ind w:left="424" w:leftChars="202"/>
        <w:jc w:val="left"/>
        <w:rPr>
          <w:snapToGrid w:val="0"/>
          <w:kern w:val="0"/>
          <w:szCs w:val="21"/>
        </w:rPr>
      </w:pPr>
      <w:r>
        <w:rPr>
          <w:rFonts w:hint="eastAsia"/>
          <w:snapToGrid w:val="0"/>
          <w:kern w:val="0"/>
          <w:szCs w:val="21"/>
        </w:rPr>
        <w:t>5</w:t>
      </w:r>
      <w:r>
        <w:rPr>
          <w:snapToGrid w:val="0"/>
          <w:kern w:val="0"/>
          <w:szCs w:val="21"/>
        </w:rPr>
        <w:t>、要求学生</w:t>
      </w:r>
      <w:r>
        <w:rPr>
          <w:rFonts w:hint="eastAsia"/>
          <w:snapToGrid w:val="0"/>
          <w:kern w:val="0"/>
          <w:szCs w:val="21"/>
        </w:rPr>
        <w:t>3人一组，1名调试主设备代码，2名调试从设备代码，</w:t>
      </w:r>
      <w:r>
        <w:rPr>
          <w:snapToGrid w:val="0"/>
          <w:kern w:val="0"/>
          <w:szCs w:val="21"/>
        </w:rPr>
        <w:t>在实验前就写好实验预习报告。</w:t>
      </w:r>
    </w:p>
    <w:p>
      <w:pPr>
        <w:widowControl/>
        <w:tabs>
          <w:tab w:val="left" w:pos="720"/>
        </w:tabs>
        <w:adjustRightInd w:val="0"/>
        <w:snapToGrid w:val="0"/>
        <w:spacing w:line="360" w:lineRule="auto"/>
        <w:ind w:left="424" w:leftChars="202"/>
        <w:jc w:val="left"/>
        <w:rPr>
          <w:kern w:val="0"/>
          <w:szCs w:val="21"/>
        </w:rPr>
      </w:pPr>
      <w:r>
        <w:rPr>
          <w:rFonts w:cs="宋体"/>
          <w:bCs/>
          <w:snapToGrid w:val="0"/>
          <w:kern w:val="0"/>
          <w:szCs w:val="21"/>
        </w:rPr>
        <w:t>本实验支撑课程目标1、</w:t>
      </w:r>
      <w:r>
        <w:rPr>
          <w:rFonts w:hint="eastAsia" w:cs="宋体"/>
          <w:bCs/>
          <w:snapToGrid w:val="0"/>
          <w:kern w:val="0"/>
          <w:szCs w:val="21"/>
        </w:rPr>
        <w:t>2。</w:t>
      </w:r>
    </w:p>
    <w:p>
      <w:pPr>
        <w:widowControl/>
        <w:adjustRightInd w:val="0"/>
        <w:snapToGrid w:val="0"/>
        <w:spacing w:line="360" w:lineRule="auto"/>
        <w:ind w:left="422" w:leftChars="201"/>
        <w:jc w:val="left"/>
        <w:rPr>
          <w:rFonts w:eastAsia="黑体"/>
          <w:kern w:val="0"/>
          <w:szCs w:val="21"/>
        </w:rPr>
      </w:pPr>
      <w:r>
        <w:rPr>
          <w:rFonts w:eastAsia="黑体"/>
          <w:snapToGrid w:val="0"/>
          <w:kern w:val="0"/>
          <w:szCs w:val="21"/>
        </w:rPr>
        <w:t>实验二</w:t>
      </w:r>
      <w:r>
        <w:rPr>
          <w:rFonts w:eastAsia="黑体"/>
          <w:szCs w:val="21"/>
        </w:rPr>
        <w:t>基于数据包的</w:t>
      </w:r>
      <w:r>
        <w:rPr>
          <w:rFonts w:hint="eastAsia" w:eastAsia="黑体"/>
          <w:szCs w:val="21"/>
        </w:rPr>
        <w:t>广播式</w:t>
      </w:r>
      <w:r>
        <w:rPr>
          <w:rFonts w:eastAsia="黑体"/>
          <w:szCs w:val="21"/>
        </w:rPr>
        <w:t>多机通讯（2学时）</w:t>
      </w:r>
    </w:p>
    <w:p>
      <w:pPr>
        <w:adjustRightInd w:val="0"/>
        <w:snapToGrid w:val="0"/>
        <w:spacing w:line="360" w:lineRule="auto"/>
        <w:ind w:firstLine="424"/>
        <w:rPr>
          <w:szCs w:val="21"/>
        </w:rPr>
      </w:pPr>
      <w:r>
        <w:rPr>
          <w:kern w:val="0"/>
          <w:szCs w:val="21"/>
        </w:rPr>
        <w:t>内容：</w:t>
      </w:r>
      <w:r>
        <w:rPr>
          <w:snapToGrid w:val="0"/>
          <w:kern w:val="0"/>
          <w:szCs w:val="21"/>
        </w:rPr>
        <w:t>通过PC主机</w:t>
      </w:r>
      <w:r>
        <w:rPr>
          <w:rFonts w:hint="eastAsia"/>
          <w:snapToGrid w:val="0"/>
          <w:kern w:val="0"/>
          <w:szCs w:val="21"/>
        </w:rPr>
        <w:t>A</w:t>
      </w:r>
      <w:r>
        <w:rPr>
          <w:snapToGrid w:val="0"/>
          <w:kern w:val="0"/>
          <w:szCs w:val="21"/>
        </w:rPr>
        <w:t>发送具有特定包结构的数据（包长</w:t>
      </w:r>
      <w:r>
        <w:rPr>
          <w:rFonts w:hint="eastAsia"/>
          <w:snapToGrid w:val="0"/>
          <w:kern w:val="0"/>
          <w:szCs w:val="21"/>
        </w:rPr>
        <w:t>14</w:t>
      </w:r>
      <w:r>
        <w:rPr>
          <w:snapToGrid w:val="0"/>
          <w:kern w:val="0"/>
          <w:szCs w:val="21"/>
        </w:rPr>
        <w:t>字节，同步字EB90，含有1字节地址，</w:t>
      </w:r>
      <w:r>
        <w:rPr>
          <w:rFonts w:hint="eastAsia"/>
          <w:snapToGrid w:val="0"/>
          <w:kern w:val="0"/>
          <w:szCs w:val="21"/>
        </w:rPr>
        <w:t>10</w:t>
      </w:r>
      <w:r>
        <w:rPr>
          <w:snapToGrid w:val="0"/>
          <w:kern w:val="0"/>
          <w:szCs w:val="21"/>
        </w:rPr>
        <w:t>字节数据</w:t>
      </w:r>
      <w:r>
        <w:rPr>
          <w:rFonts w:hint="eastAsia"/>
          <w:snapToGrid w:val="0"/>
          <w:kern w:val="0"/>
          <w:szCs w:val="21"/>
        </w:rPr>
        <w:t>存储学生学号</w:t>
      </w:r>
      <w:r>
        <w:rPr>
          <w:snapToGrid w:val="0"/>
          <w:kern w:val="0"/>
          <w:szCs w:val="21"/>
        </w:rPr>
        <w:t>，1字节</w:t>
      </w:r>
      <w:r>
        <w:rPr>
          <w:rFonts w:hint="eastAsia"/>
          <w:snapToGrid w:val="0"/>
          <w:kern w:val="0"/>
          <w:szCs w:val="21"/>
        </w:rPr>
        <w:t>循环累加</w:t>
      </w:r>
      <w:r>
        <w:rPr>
          <w:snapToGrid w:val="0"/>
          <w:kern w:val="0"/>
          <w:szCs w:val="21"/>
        </w:rPr>
        <w:t>包计数），多</w:t>
      </w:r>
      <w:r>
        <w:rPr>
          <w:rFonts w:hint="eastAsia"/>
          <w:snapToGrid w:val="0"/>
          <w:kern w:val="0"/>
          <w:szCs w:val="21"/>
        </w:rPr>
        <w:t>个从机B、C</w:t>
      </w:r>
      <w:r>
        <w:rPr>
          <w:snapToGrid w:val="0"/>
          <w:kern w:val="0"/>
          <w:szCs w:val="21"/>
        </w:rPr>
        <w:t>作为从机接收、识别</w:t>
      </w:r>
      <w:r>
        <w:rPr>
          <w:rFonts w:hint="eastAsia"/>
          <w:snapToGrid w:val="0"/>
          <w:kern w:val="0"/>
          <w:szCs w:val="21"/>
        </w:rPr>
        <w:t>包信息</w:t>
      </w:r>
      <w:r>
        <w:rPr>
          <w:snapToGrid w:val="0"/>
          <w:kern w:val="0"/>
          <w:szCs w:val="21"/>
        </w:rPr>
        <w:t>后分析包结构并</w:t>
      </w:r>
      <w:r>
        <w:rPr>
          <w:rFonts w:hint="eastAsia"/>
          <w:snapToGrid w:val="0"/>
          <w:kern w:val="0"/>
          <w:szCs w:val="21"/>
        </w:rPr>
        <w:t>回</w:t>
      </w:r>
      <w:r>
        <w:rPr>
          <w:snapToGrid w:val="0"/>
          <w:kern w:val="0"/>
          <w:szCs w:val="21"/>
        </w:rPr>
        <w:t>传</w:t>
      </w:r>
      <w:r>
        <w:rPr>
          <w:rFonts w:hint="eastAsia"/>
          <w:snapToGrid w:val="0"/>
          <w:kern w:val="0"/>
          <w:szCs w:val="21"/>
        </w:rPr>
        <w:t>响应包</w:t>
      </w:r>
      <w:r>
        <w:rPr>
          <w:szCs w:val="21"/>
        </w:rPr>
        <w:t>。采用UART协议传输单字，但不使用校验位来做更多的信息传递。</w:t>
      </w:r>
    </w:p>
    <w:p>
      <w:pPr>
        <w:adjustRightInd w:val="0"/>
        <w:snapToGrid w:val="0"/>
        <w:spacing w:line="360" w:lineRule="auto"/>
        <w:ind w:left="424" w:leftChars="202"/>
        <w:rPr>
          <w:kern w:val="0"/>
          <w:szCs w:val="21"/>
        </w:rPr>
      </w:pPr>
      <w:r>
        <w:rPr>
          <w:kern w:val="0"/>
          <w:szCs w:val="21"/>
        </w:rPr>
        <w:t>基本要求：</w:t>
      </w:r>
    </w:p>
    <w:p>
      <w:pPr>
        <w:widowControl/>
        <w:adjustRightInd w:val="0"/>
        <w:snapToGrid w:val="0"/>
        <w:spacing w:line="360" w:lineRule="auto"/>
        <w:ind w:left="424" w:leftChars="202"/>
        <w:jc w:val="left"/>
        <w:rPr>
          <w:kern w:val="0"/>
          <w:szCs w:val="21"/>
        </w:rPr>
      </w:pPr>
      <w:r>
        <w:rPr>
          <w:kern w:val="0"/>
          <w:szCs w:val="21"/>
        </w:rPr>
        <w:t>1、在实验一的基础上，要求学生深入理解二者实现寻址的机理的相同与不同；</w:t>
      </w:r>
    </w:p>
    <w:p>
      <w:pPr>
        <w:widowControl/>
        <w:tabs>
          <w:tab w:val="left" w:pos="720"/>
        </w:tabs>
        <w:adjustRightInd w:val="0"/>
        <w:snapToGrid w:val="0"/>
        <w:spacing w:line="360" w:lineRule="auto"/>
        <w:ind w:left="424" w:leftChars="202"/>
        <w:jc w:val="left"/>
        <w:rPr>
          <w:kern w:val="0"/>
          <w:szCs w:val="21"/>
        </w:rPr>
      </w:pPr>
      <w:r>
        <w:rPr>
          <w:kern w:val="0"/>
          <w:szCs w:val="21"/>
        </w:rPr>
        <w:t>2、要求教师提供已经写好的</w:t>
      </w:r>
      <w:r>
        <w:rPr>
          <w:rFonts w:hint="eastAsia"/>
          <w:kern w:val="0"/>
          <w:szCs w:val="21"/>
        </w:rPr>
        <w:t>上位机代码范例，</w:t>
      </w:r>
      <w:r>
        <w:rPr>
          <w:kern w:val="0"/>
          <w:szCs w:val="21"/>
        </w:rPr>
        <w:t>异步串行接收、分析和发送代码，学生在读懂的基础上能够做适应性修改；</w:t>
      </w:r>
    </w:p>
    <w:p>
      <w:pPr>
        <w:widowControl/>
        <w:tabs>
          <w:tab w:val="left" w:pos="720"/>
        </w:tabs>
        <w:adjustRightInd w:val="0"/>
        <w:snapToGrid w:val="0"/>
        <w:spacing w:line="360" w:lineRule="auto"/>
        <w:ind w:left="424" w:leftChars="202"/>
        <w:jc w:val="left"/>
        <w:rPr>
          <w:snapToGrid w:val="0"/>
          <w:kern w:val="0"/>
          <w:szCs w:val="21"/>
        </w:rPr>
      </w:pPr>
      <w:r>
        <w:rPr>
          <w:kern w:val="0"/>
          <w:szCs w:val="21"/>
        </w:rPr>
        <w:t>3、</w:t>
      </w:r>
      <w:r>
        <w:rPr>
          <w:snapToGrid w:val="0"/>
          <w:kern w:val="0"/>
          <w:szCs w:val="21"/>
        </w:rPr>
        <w:t>要求使用实现对</w:t>
      </w:r>
      <w:r>
        <w:rPr>
          <w:rFonts w:hint="eastAsia"/>
          <w:snapToGrid w:val="0"/>
          <w:kern w:val="0"/>
          <w:szCs w:val="21"/>
        </w:rPr>
        <w:t>2</w:t>
      </w:r>
      <w:r>
        <w:rPr>
          <w:snapToGrid w:val="0"/>
          <w:kern w:val="0"/>
          <w:szCs w:val="21"/>
        </w:rPr>
        <w:t>个子节点的任意点名和通讯；</w:t>
      </w:r>
    </w:p>
    <w:p>
      <w:pPr>
        <w:widowControl/>
        <w:tabs>
          <w:tab w:val="left" w:pos="720"/>
        </w:tabs>
        <w:adjustRightInd w:val="0"/>
        <w:snapToGrid w:val="0"/>
        <w:spacing w:line="360" w:lineRule="auto"/>
        <w:ind w:left="424" w:leftChars="202"/>
        <w:jc w:val="left"/>
        <w:rPr>
          <w:snapToGrid w:val="0"/>
          <w:kern w:val="0"/>
          <w:szCs w:val="21"/>
        </w:rPr>
      </w:pPr>
      <w:r>
        <w:rPr>
          <w:snapToGrid w:val="0"/>
          <w:kern w:val="0"/>
          <w:szCs w:val="21"/>
        </w:rPr>
        <w:t>4、要求学生</w:t>
      </w:r>
      <w:r>
        <w:rPr>
          <w:rFonts w:hint="eastAsia"/>
          <w:snapToGrid w:val="0"/>
          <w:kern w:val="0"/>
          <w:szCs w:val="21"/>
        </w:rPr>
        <w:t>3人一组，1名调试主设备代码，2名调试从设备代码，</w:t>
      </w:r>
      <w:r>
        <w:rPr>
          <w:snapToGrid w:val="0"/>
          <w:kern w:val="0"/>
          <w:szCs w:val="21"/>
        </w:rPr>
        <w:t>要求学生在实验前就写好实验预习报告。</w:t>
      </w:r>
    </w:p>
    <w:p>
      <w:pPr>
        <w:widowControl/>
        <w:tabs>
          <w:tab w:val="left" w:pos="720"/>
        </w:tabs>
        <w:adjustRightInd w:val="0"/>
        <w:snapToGrid w:val="0"/>
        <w:spacing w:line="360" w:lineRule="auto"/>
        <w:ind w:left="424" w:leftChars="202"/>
        <w:jc w:val="left"/>
        <w:rPr>
          <w:kern w:val="0"/>
          <w:szCs w:val="21"/>
        </w:rPr>
      </w:pPr>
      <w:r>
        <w:rPr>
          <w:rFonts w:cs="宋体"/>
          <w:bCs/>
          <w:snapToGrid w:val="0"/>
          <w:kern w:val="0"/>
          <w:szCs w:val="21"/>
        </w:rPr>
        <w:t>本实验支撑课程目标1、</w:t>
      </w:r>
      <w:r>
        <w:rPr>
          <w:rFonts w:hint="eastAsia" w:cs="宋体"/>
          <w:bCs/>
          <w:snapToGrid w:val="0"/>
          <w:kern w:val="0"/>
          <w:szCs w:val="21"/>
        </w:rPr>
        <w:t>2。</w:t>
      </w:r>
    </w:p>
    <w:p>
      <w:pPr>
        <w:widowControl/>
        <w:tabs>
          <w:tab w:val="left" w:pos="720"/>
        </w:tabs>
        <w:adjustRightInd w:val="0"/>
        <w:snapToGrid w:val="0"/>
        <w:spacing w:line="360" w:lineRule="auto"/>
        <w:ind w:left="424" w:leftChars="202"/>
        <w:jc w:val="left"/>
        <w:rPr>
          <w:rFonts w:eastAsia="黑体"/>
          <w:szCs w:val="21"/>
        </w:rPr>
      </w:pPr>
      <w:r>
        <w:rPr>
          <w:rFonts w:eastAsia="黑体"/>
          <w:snapToGrid w:val="0"/>
          <w:kern w:val="0"/>
          <w:szCs w:val="21"/>
        </w:rPr>
        <w:t>实验三</w:t>
      </w:r>
      <w:r>
        <w:rPr>
          <w:rFonts w:hint="eastAsia" w:eastAsia="黑体"/>
          <w:snapToGrid w:val="0"/>
          <w:kern w:val="0"/>
          <w:szCs w:val="21"/>
        </w:rPr>
        <w:t>基于数据包的交换式网络</w:t>
      </w:r>
      <w:r>
        <w:rPr>
          <w:rFonts w:eastAsia="黑体"/>
          <w:snapToGrid w:val="0"/>
          <w:kern w:val="0"/>
          <w:szCs w:val="21"/>
        </w:rPr>
        <w:t>设计（</w:t>
      </w:r>
      <w:r>
        <w:rPr>
          <w:rFonts w:hint="eastAsia" w:eastAsia="黑体"/>
          <w:snapToGrid w:val="0"/>
          <w:kern w:val="0"/>
          <w:szCs w:val="21"/>
        </w:rPr>
        <w:t>6</w:t>
      </w:r>
      <w:r>
        <w:rPr>
          <w:rFonts w:eastAsia="黑体"/>
          <w:snapToGrid w:val="0"/>
          <w:kern w:val="0"/>
          <w:szCs w:val="21"/>
        </w:rPr>
        <w:t>学时，课外综合实验）</w:t>
      </w:r>
    </w:p>
    <w:p>
      <w:pPr>
        <w:adjustRightInd w:val="0"/>
        <w:snapToGrid w:val="0"/>
        <w:spacing w:line="360" w:lineRule="auto"/>
        <w:ind w:firstLine="420" w:firstLineChars="200"/>
        <w:rPr>
          <w:szCs w:val="21"/>
        </w:rPr>
      </w:pPr>
      <w:r>
        <w:rPr>
          <w:kern w:val="0"/>
          <w:szCs w:val="21"/>
        </w:rPr>
        <w:t>内容：基于给定的硬件平台设计一个</w:t>
      </w:r>
      <w:r>
        <w:rPr>
          <w:snapToGrid w:val="0"/>
          <w:kern w:val="0"/>
          <w:szCs w:val="21"/>
        </w:rPr>
        <w:t>四</w:t>
      </w:r>
      <w:r>
        <w:rPr>
          <w:rFonts w:hint="eastAsia"/>
          <w:snapToGrid w:val="0"/>
          <w:kern w:val="0"/>
          <w:szCs w:val="21"/>
        </w:rPr>
        <w:t>端口（采用RS422或RS232接口）</w:t>
      </w:r>
      <w:r>
        <w:rPr>
          <w:snapToGrid w:val="0"/>
          <w:kern w:val="0"/>
          <w:szCs w:val="21"/>
        </w:rPr>
        <w:t>交换机</w:t>
      </w:r>
      <w:r>
        <w:rPr>
          <w:szCs w:val="21"/>
        </w:rPr>
        <w:t>。利用</w:t>
      </w:r>
      <w:r>
        <w:rPr>
          <w:rFonts w:hint="eastAsia"/>
          <w:szCs w:val="21"/>
        </w:rPr>
        <w:t>多台</w:t>
      </w:r>
      <w:r>
        <w:rPr>
          <w:szCs w:val="21"/>
        </w:rPr>
        <w:t>PC机</w:t>
      </w:r>
      <w:r>
        <w:rPr>
          <w:rFonts w:hint="eastAsia"/>
          <w:szCs w:val="21"/>
        </w:rPr>
        <w:t>分别</w:t>
      </w:r>
      <w:r>
        <w:rPr>
          <w:szCs w:val="21"/>
        </w:rPr>
        <w:t>连接</w:t>
      </w:r>
      <w:r>
        <w:rPr>
          <w:rFonts w:hint="eastAsia"/>
          <w:szCs w:val="21"/>
        </w:rPr>
        <w:t>四个端口</w:t>
      </w:r>
      <w:r>
        <w:rPr>
          <w:szCs w:val="21"/>
        </w:rPr>
        <w:t>，</w:t>
      </w:r>
      <w:r>
        <w:rPr>
          <w:rFonts w:hint="eastAsia"/>
          <w:szCs w:val="21"/>
        </w:rPr>
        <w:t>编写FPGA代码</w:t>
      </w:r>
      <w:r>
        <w:rPr>
          <w:szCs w:val="21"/>
        </w:rPr>
        <w:t>，</w:t>
      </w:r>
      <w:r>
        <w:rPr>
          <w:rFonts w:hint="eastAsia"/>
          <w:szCs w:val="21"/>
        </w:rPr>
        <w:t>实现数据包接收、寻址、转发功能，</w:t>
      </w:r>
      <w:r>
        <w:rPr>
          <w:szCs w:val="21"/>
        </w:rPr>
        <w:t>测试分析交换机的工作</w:t>
      </w:r>
      <w:r>
        <w:rPr>
          <w:rFonts w:hint="eastAsia"/>
          <w:szCs w:val="21"/>
        </w:rPr>
        <w:t>效果</w:t>
      </w:r>
      <w:r>
        <w:rPr>
          <w:szCs w:val="21"/>
        </w:rPr>
        <w:t>。</w:t>
      </w:r>
    </w:p>
    <w:p>
      <w:pPr>
        <w:adjustRightInd w:val="0"/>
        <w:snapToGrid w:val="0"/>
        <w:spacing w:line="360" w:lineRule="auto"/>
        <w:ind w:left="424" w:leftChars="202"/>
        <w:rPr>
          <w:kern w:val="0"/>
          <w:szCs w:val="21"/>
        </w:rPr>
      </w:pPr>
      <w:r>
        <w:rPr>
          <w:kern w:val="0"/>
          <w:szCs w:val="21"/>
        </w:rPr>
        <w:t>基本要求：</w:t>
      </w:r>
    </w:p>
    <w:p>
      <w:pPr>
        <w:adjustRightInd w:val="0"/>
        <w:snapToGrid w:val="0"/>
        <w:spacing w:line="360" w:lineRule="auto"/>
        <w:ind w:firstLine="420" w:firstLineChars="200"/>
        <w:rPr>
          <w:kern w:val="0"/>
          <w:szCs w:val="21"/>
        </w:rPr>
      </w:pPr>
      <w:r>
        <w:rPr>
          <w:kern w:val="0"/>
          <w:szCs w:val="21"/>
        </w:rPr>
        <w:t>1、交换机通过处理器来识别端口与地址的关系，要求学生深入理解</w:t>
      </w:r>
      <w:r>
        <w:rPr>
          <w:rFonts w:hint="eastAsia"/>
          <w:kern w:val="0"/>
          <w:szCs w:val="21"/>
        </w:rPr>
        <w:t>其工作原理</w:t>
      </w:r>
      <w:r>
        <w:rPr>
          <w:kern w:val="0"/>
          <w:szCs w:val="21"/>
        </w:rPr>
        <w:t>；</w:t>
      </w:r>
    </w:p>
    <w:p>
      <w:pPr>
        <w:adjustRightInd w:val="0"/>
        <w:snapToGrid w:val="0"/>
        <w:spacing w:line="360" w:lineRule="auto"/>
        <w:ind w:firstLine="420" w:firstLineChars="200"/>
        <w:rPr>
          <w:kern w:val="0"/>
          <w:szCs w:val="21"/>
        </w:rPr>
      </w:pPr>
      <w:r>
        <w:rPr>
          <w:kern w:val="0"/>
          <w:szCs w:val="21"/>
        </w:rPr>
        <w:t>2、要求教师提供已经写好的VHDL异步串行接收、分析和发送代码</w:t>
      </w:r>
      <w:r>
        <w:rPr>
          <w:rFonts w:hint="eastAsia"/>
          <w:kern w:val="0"/>
          <w:szCs w:val="21"/>
        </w:rPr>
        <w:t>框架</w:t>
      </w:r>
      <w:r>
        <w:rPr>
          <w:kern w:val="0"/>
          <w:szCs w:val="21"/>
        </w:rPr>
        <w:t>，学生在读懂的基础上能够做适应性修改；</w:t>
      </w:r>
    </w:p>
    <w:p>
      <w:pPr>
        <w:adjustRightInd w:val="0"/>
        <w:snapToGrid w:val="0"/>
        <w:spacing w:line="360" w:lineRule="auto"/>
        <w:ind w:firstLine="420" w:firstLineChars="200"/>
        <w:rPr>
          <w:kern w:val="0"/>
          <w:szCs w:val="21"/>
        </w:rPr>
      </w:pPr>
      <w:r>
        <w:rPr>
          <w:kern w:val="0"/>
          <w:szCs w:val="21"/>
        </w:rPr>
        <w:t>3、要求使用上位机实现对</w:t>
      </w:r>
      <w:r>
        <w:rPr>
          <w:rFonts w:hint="eastAsia"/>
          <w:kern w:val="0"/>
          <w:szCs w:val="21"/>
        </w:rPr>
        <w:t>另外多</w:t>
      </w:r>
      <w:r>
        <w:rPr>
          <w:kern w:val="0"/>
          <w:szCs w:val="21"/>
        </w:rPr>
        <w:t>个子节点的任意点名和通讯；</w:t>
      </w:r>
    </w:p>
    <w:p>
      <w:pPr>
        <w:adjustRightInd w:val="0"/>
        <w:snapToGrid w:val="0"/>
        <w:spacing w:line="360" w:lineRule="auto"/>
        <w:ind w:firstLine="420" w:firstLineChars="200"/>
        <w:rPr>
          <w:kern w:val="0"/>
          <w:szCs w:val="21"/>
        </w:rPr>
      </w:pPr>
      <w:r>
        <w:rPr>
          <w:kern w:val="0"/>
          <w:szCs w:val="21"/>
        </w:rPr>
        <w:t>4、要求学生在实验前就写好实验预习报告。</w:t>
      </w:r>
    </w:p>
    <w:p>
      <w:pPr>
        <w:adjustRightInd w:val="0"/>
        <w:snapToGrid w:val="0"/>
        <w:spacing w:line="360" w:lineRule="auto"/>
        <w:ind w:firstLine="420" w:firstLineChars="200"/>
        <w:rPr>
          <w:kern w:val="0"/>
          <w:szCs w:val="21"/>
        </w:rPr>
      </w:pPr>
      <w:r>
        <w:rPr>
          <w:kern w:val="0"/>
          <w:szCs w:val="21"/>
        </w:rPr>
        <w:t>5</w:t>
      </w:r>
      <w:r>
        <w:rPr>
          <w:rFonts w:hint="eastAsia"/>
          <w:kern w:val="0"/>
          <w:szCs w:val="21"/>
        </w:rPr>
        <w:t>、本实验为课外分组实验，</w:t>
      </w:r>
      <w:r>
        <w:rPr>
          <w:rFonts w:cs="宋体"/>
          <w:bCs/>
          <w:snapToGrid w:val="0"/>
          <w:kern w:val="0"/>
          <w:szCs w:val="21"/>
        </w:rPr>
        <w:t>支撑课程目标1、</w:t>
      </w:r>
      <w:r>
        <w:rPr>
          <w:rFonts w:hint="eastAsia" w:cs="宋体"/>
          <w:bCs/>
          <w:snapToGrid w:val="0"/>
          <w:kern w:val="0"/>
          <w:szCs w:val="21"/>
        </w:rPr>
        <w:t>2、3。</w:t>
      </w:r>
      <w:r>
        <w:rPr>
          <w:rFonts w:hint="eastAsia"/>
          <w:kern w:val="0"/>
          <w:szCs w:val="21"/>
        </w:rPr>
        <w:t>2个学时用来提出实验要求并进行讲解，然后要求学生2或3人一组，分工明确；2个学时集中完成FPGA串行接收和发送程序调试；然后利用课后时间，协同完成实验的设计、仿真和验证。需要学生自己设计出验证方法。最后2个学时，教师要检查实际电路，测试其正确性，完成验收。最后每位学生独立提交规范的实验报告。</w:t>
      </w:r>
    </w:p>
    <w:p>
      <w:pPr>
        <w:adjustRightInd w:val="0"/>
        <w:snapToGrid w:val="0"/>
        <w:spacing w:line="360" w:lineRule="auto"/>
        <w:ind w:firstLine="420" w:firstLineChars="200"/>
        <w:rPr>
          <w:kern w:val="0"/>
          <w:szCs w:val="21"/>
        </w:rPr>
      </w:pPr>
    </w:p>
    <w:p>
      <w:pPr>
        <w:widowControl/>
        <w:adjustRightInd w:val="0"/>
        <w:snapToGrid w:val="0"/>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161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z w:val="18"/>
                <w:szCs w:val="18"/>
              </w:rPr>
            </w:pPr>
            <w:r>
              <w:rPr>
                <w:sz w:val="18"/>
                <w:szCs w:val="18"/>
              </w:rPr>
              <w:t>讲授的知识点及内容</w:t>
            </w:r>
          </w:p>
        </w:tc>
        <w:tc>
          <w:tcPr>
            <w:tcW w:w="972" w:type="pct"/>
            <w:shd w:val="clear" w:color="auto" w:fill="auto"/>
            <w:vAlign w:val="center"/>
          </w:tcPr>
          <w:p>
            <w:pPr>
              <w:adjustRightInd w:val="0"/>
              <w:snapToGrid w:val="0"/>
              <w:jc w:val="center"/>
              <w:rPr>
                <w:sz w:val="18"/>
                <w:szCs w:val="18"/>
              </w:rPr>
            </w:pPr>
            <w:r>
              <w:rPr>
                <w:sz w:val="18"/>
                <w:szCs w:val="18"/>
              </w:rPr>
              <w:t>讲授（学时）</w:t>
            </w:r>
          </w:p>
        </w:tc>
        <w:tc>
          <w:tcPr>
            <w:tcW w:w="983" w:type="pct"/>
            <w:shd w:val="clear" w:color="auto" w:fill="auto"/>
            <w:vAlign w:val="center"/>
          </w:tcPr>
          <w:p>
            <w:pPr>
              <w:adjustRightInd w:val="0"/>
              <w:snapToGrid w:val="0"/>
              <w:jc w:val="center"/>
              <w:rPr>
                <w:sz w:val="18"/>
                <w:szCs w:val="18"/>
              </w:rPr>
            </w:pPr>
            <w:r>
              <w:rPr>
                <w:sz w:val="18"/>
                <w:szCs w:val="18"/>
              </w:rPr>
              <w:t>实验（学时）</w:t>
            </w:r>
          </w:p>
        </w:tc>
        <w:tc>
          <w:tcPr>
            <w:tcW w:w="804"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1网络基础知识</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983" w:type="pct"/>
            <w:shd w:val="clear" w:color="auto" w:fill="auto"/>
            <w:vAlign w:val="center"/>
          </w:tcPr>
          <w:p>
            <w:pPr>
              <w:widowControl/>
              <w:adjustRightInd w:val="0"/>
              <w:snapToGrid w:val="0"/>
              <w:jc w:val="center"/>
              <w:rPr>
                <w:kern w:val="0"/>
                <w:sz w:val="18"/>
                <w:szCs w:val="18"/>
              </w:rPr>
            </w:pPr>
          </w:p>
        </w:tc>
        <w:tc>
          <w:tcPr>
            <w:tcW w:w="804" w:type="pct"/>
            <w:shd w:val="clear" w:color="auto" w:fill="auto"/>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2总线型网络的数据寻址</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6</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3 星型网络的数据寻址</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8</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6</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4 工业网络的专有特征</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983" w:type="pct"/>
            <w:shd w:val="clear" w:color="auto" w:fill="auto"/>
            <w:vAlign w:val="center"/>
          </w:tcPr>
          <w:p>
            <w:pPr>
              <w:widowControl/>
              <w:adjustRightInd w:val="0"/>
              <w:snapToGrid w:val="0"/>
              <w:jc w:val="center"/>
              <w:rPr>
                <w:kern w:val="0"/>
                <w:sz w:val="18"/>
                <w:szCs w:val="18"/>
              </w:rPr>
            </w:pPr>
          </w:p>
        </w:tc>
        <w:tc>
          <w:tcPr>
            <w:tcW w:w="804" w:type="pct"/>
            <w:shd w:val="clear" w:color="auto" w:fill="auto"/>
            <w:vAlign w:val="center"/>
          </w:tcPr>
          <w:p>
            <w:pPr>
              <w:widowControl/>
              <w:adjustRightInd w:val="0"/>
              <w:snapToGrid w:val="0"/>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5 网络设计的原则与规范</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983" w:type="pct"/>
            <w:shd w:val="clear" w:color="auto" w:fill="auto"/>
            <w:vAlign w:val="center"/>
          </w:tcPr>
          <w:p>
            <w:pPr>
              <w:widowControl/>
              <w:adjustRightInd w:val="0"/>
              <w:snapToGrid w:val="0"/>
              <w:jc w:val="center"/>
              <w:rPr>
                <w:kern w:val="0"/>
                <w:sz w:val="18"/>
                <w:szCs w:val="18"/>
              </w:rPr>
            </w:pPr>
          </w:p>
        </w:tc>
        <w:tc>
          <w:tcPr>
            <w:tcW w:w="804" w:type="pct"/>
            <w:shd w:val="clear" w:color="auto" w:fill="auto"/>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41" w:type="pct"/>
            <w:shd w:val="clear" w:color="auto" w:fill="auto"/>
            <w:vAlign w:val="center"/>
          </w:tcPr>
          <w:p>
            <w:pPr>
              <w:adjustRightInd w:val="0"/>
              <w:snapToGrid w:val="0"/>
              <w:jc w:val="center"/>
              <w:rPr>
                <w:snapToGrid w:val="0"/>
                <w:kern w:val="0"/>
                <w:sz w:val="18"/>
                <w:szCs w:val="18"/>
              </w:rPr>
            </w:pPr>
            <w:r>
              <w:rPr>
                <w:snapToGrid w:val="0"/>
                <w:kern w:val="0"/>
                <w:sz w:val="18"/>
                <w:szCs w:val="18"/>
              </w:rPr>
              <w:t>小计</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22</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10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32</w:t>
            </w:r>
          </w:p>
        </w:tc>
      </w:tr>
    </w:tbl>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eastAsia="黑体"/>
          <w:szCs w:val="24"/>
        </w:rPr>
        <w:t>七、教材、补充教材及参考资料</w:t>
      </w:r>
    </w:p>
    <w:p>
      <w:pPr>
        <w:adjustRightInd w:val="0"/>
        <w:snapToGrid w:val="0"/>
        <w:spacing w:line="360" w:lineRule="auto"/>
        <w:ind w:firstLine="420" w:firstLineChars="200"/>
        <w:rPr>
          <w:szCs w:val="21"/>
        </w:rPr>
      </w:pPr>
      <w:r>
        <w:rPr>
          <w:szCs w:val="21"/>
        </w:rPr>
        <w:t>1、（美）佛罗赞，（美）费根著，吴时霖等译，《数据通信与网络》，机械工业出版社，ISBN：9787111213543，2007.7。</w:t>
      </w:r>
    </w:p>
    <w:p>
      <w:pPr>
        <w:adjustRightInd w:val="0"/>
        <w:snapToGrid w:val="0"/>
        <w:spacing w:line="360" w:lineRule="auto"/>
        <w:ind w:firstLine="420" w:firstLineChars="200"/>
        <w:rPr>
          <w:szCs w:val="21"/>
        </w:rPr>
      </w:pPr>
      <w:r>
        <w:rPr>
          <w:szCs w:val="21"/>
        </w:rPr>
        <w:t>2、张曙光主编，《数据通信与计算机网络》，ISBN 9787560623047，人民邮电出版社，2011.3。</w:t>
      </w:r>
    </w:p>
    <w:p>
      <w:pPr>
        <w:adjustRightInd w:val="0"/>
        <w:snapToGrid w:val="0"/>
        <w:spacing w:line="360" w:lineRule="auto"/>
        <w:ind w:firstLine="420" w:firstLineChars="200"/>
        <w:rPr>
          <w:szCs w:val="21"/>
        </w:rPr>
      </w:pPr>
      <w:r>
        <w:rPr>
          <w:szCs w:val="21"/>
        </w:rPr>
        <w:t>3、（美）JerryFitzgerald，邓劲生译，《数据通信与网络技术大学教程》，</w:t>
      </w:r>
      <w:r>
        <w:fldChar w:fldCharType="begin"/>
      </w:r>
      <w:r>
        <w:instrText xml:space="preserve"> HYPERLINK "http://baike.baidu.com/view/20171.htm" \t "_blank" </w:instrText>
      </w:r>
      <w:r>
        <w:fldChar w:fldCharType="separate"/>
      </w:r>
      <w:r>
        <w:rPr>
          <w:szCs w:val="21"/>
        </w:rPr>
        <w:t>ISBN</w:t>
      </w:r>
      <w:r>
        <w:rPr>
          <w:szCs w:val="21"/>
        </w:rPr>
        <w:fldChar w:fldCharType="end"/>
      </w:r>
      <w:r>
        <w:rPr>
          <w:szCs w:val="21"/>
        </w:rPr>
        <w:t>: 9787302174509，</w:t>
      </w:r>
      <w:r>
        <w:fldChar w:fldCharType="begin"/>
      </w:r>
      <w:r>
        <w:instrText xml:space="preserve"> HYPERLINK "http://baike.baidu.com/view/49645.htm" \t "_blank" </w:instrText>
      </w:r>
      <w:r>
        <w:fldChar w:fldCharType="separate"/>
      </w:r>
      <w:r>
        <w:rPr>
          <w:szCs w:val="21"/>
        </w:rPr>
        <w:t>清华大学出版社</w:t>
      </w:r>
      <w:r>
        <w:rPr>
          <w:szCs w:val="21"/>
        </w:rPr>
        <w:fldChar w:fldCharType="end"/>
      </w:r>
      <w:r>
        <w:rPr>
          <w:szCs w:val="21"/>
        </w:rPr>
        <w:t>，2008.6。</w:t>
      </w:r>
    </w:p>
    <w:p>
      <w:pPr>
        <w:adjustRightInd w:val="0"/>
        <w:snapToGrid w:val="0"/>
        <w:spacing w:line="360" w:lineRule="auto"/>
        <w:ind w:firstLine="420" w:firstLineChars="200"/>
        <w:rPr>
          <w:szCs w:val="21"/>
        </w:rPr>
      </w:pPr>
      <w:r>
        <w:rPr>
          <w:szCs w:val="21"/>
        </w:rPr>
        <w:t>4、</w:t>
      </w:r>
      <w:r>
        <w:fldChar w:fldCharType="begin"/>
      </w:r>
      <w:r>
        <w:instrText xml:space="preserve"> HYPERLINK "http://www.chuanke.com/1894505-107101.html" </w:instrText>
      </w:r>
      <w:r>
        <w:fldChar w:fldCharType="separate"/>
      </w:r>
      <w:r>
        <w:rPr>
          <w:szCs w:val="21"/>
        </w:rPr>
        <w:t>http://www.chuanke.com/1894505-107101.html</w:t>
      </w:r>
      <w:r>
        <w:rPr>
          <w:szCs w:val="21"/>
        </w:rPr>
        <w:fldChar w:fldCharType="end"/>
      </w:r>
      <w:r>
        <w:rPr>
          <w:szCs w:val="21"/>
        </w:rPr>
        <w:t>，计算机网络原理（视频），百度传课网。</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八、课程目标达成的途径和措施</w:t>
      </w:r>
    </w:p>
    <w:p>
      <w:pPr>
        <w:adjustRightInd w:val="0"/>
        <w:snapToGrid w:val="0"/>
        <w:spacing w:line="360" w:lineRule="auto"/>
        <w:ind w:firstLine="420" w:firstLineChars="200"/>
        <w:rPr>
          <w:szCs w:val="21"/>
        </w:rPr>
      </w:pPr>
      <w:r>
        <w:rPr>
          <w:szCs w:val="21"/>
        </w:rPr>
        <w:t>1、考核目标：考核学生对网络概念和网络模型理解的程度，对不同拓扑的网络的优缺点的理解及优选情况，考核学生理解网络数据传输的原理和实现方式理解深度，设计两种结构网络的能力，对新学习网络的认知接受能力。</w:t>
      </w:r>
    </w:p>
    <w:p>
      <w:pPr>
        <w:adjustRightInd w:val="0"/>
        <w:snapToGrid w:val="0"/>
        <w:spacing w:line="360" w:lineRule="auto"/>
        <w:ind w:firstLine="420" w:firstLineChars="200"/>
        <w:rPr>
          <w:szCs w:val="21"/>
        </w:rPr>
      </w:pPr>
      <w:r>
        <w:rPr>
          <w:szCs w:val="21"/>
        </w:rPr>
        <w:t>2、考核方式：考试、课外综合实验、实验、作业。实验环节最后一个实验要采取课内课外相结合的方式来完成；要求教师在课堂讲授时要结合实验内容来讲解，并提供实验可参考的VHDL代码</w:t>
      </w:r>
      <w:r>
        <w:rPr>
          <w:rFonts w:hint="eastAsia"/>
          <w:szCs w:val="21"/>
        </w:rPr>
        <w:t>框架</w:t>
      </w:r>
      <w:r>
        <w:rPr>
          <w:szCs w:val="21"/>
        </w:rPr>
        <w:t>。这样处理的目的是便于学生“学习”，并在规定的时间内完成实验。</w:t>
      </w:r>
    </w:p>
    <w:p>
      <w:pPr>
        <w:adjustRightInd w:val="0"/>
        <w:snapToGrid w:val="0"/>
        <w:spacing w:line="360" w:lineRule="auto"/>
        <w:ind w:firstLine="420" w:firstLineChars="200"/>
        <w:rPr>
          <w:b/>
          <w:szCs w:val="21"/>
        </w:rPr>
      </w:pPr>
      <w:r>
        <w:rPr>
          <w:szCs w:val="21"/>
        </w:rPr>
        <w:t>3、评价环节对课程目标达成贡献率及支撑材料：</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2023"/>
        <w:gridCol w:w="2021"/>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50" w:type="pct"/>
            <w:tcBorders>
              <w:left w:val="nil"/>
            </w:tcBorders>
            <w:shd w:val="clear" w:color="auto" w:fill="auto"/>
            <w:vAlign w:val="center"/>
          </w:tcPr>
          <w:p>
            <w:pPr>
              <w:widowControl/>
              <w:jc w:val="center"/>
              <w:rPr>
                <w:kern w:val="0"/>
                <w:sz w:val="18"/>
                <w:szCs w:val="18"/>
              </w:rPr>
            </w:pPr>
            <w:r>
              <w:rPr>
                <w:kern w:val="0"/>
                <w:sz w:val="18"/>
                <w:szCs w:val="18"/>
              </w:rPr>
              <w:t>考察环节</w:t>
            </w:r>
          </w:p>
        </w:tc>
        <w:tc>
          <w:tcPr>
            <w:tcW w:w="1217" w:type="pct"/>
            <w:shd w:val="clear" w:color="auto" w:fill="auto"/>
            <w:vAlign w:val="center"/>
          </w:tcPr>
          <w:p>
            <w:pPr>
              <w:jc w:val="center"/>
              <w:rPr>
                <w:sz w:val="18"/>
                <w:szCs w:val="18"/>
              </w:rPr>
            </w:pPr>
            <w:r>
              <w:rPr>
                <w:sz w:val="18"/>
                <w:szCs w:val="18"/>
              </w:rPr>
              <w:t>作业</w:t>
            </w:r>
          </w:p>
        </w:tc>
        <w:tc>
          <w:tcPr>
            <w:tcW w:w="1216" w:type="pct"/>
            <w:shd w:val="clear" w:color="auto" w:fill="auto"/>
            <w:vAlign w:val="center"/>
          </w:tcPr>
          <w:p>
            <w:pPr>
              <w:jc w:val="center"/>
              <w:rPr>
                <w:sz w:val="18"/>
                <w:szCs w:val="18"/>
              </w:rPr>
            </w:pPr>
            <w:r>
              <w:rPr>
                <w:sz w:val="18"/>
                <w:szCs w:val="18"/>
              </w:rPr>
              <w:t>实验</w:t>
            </w:r>
          </w:p>
        </w:tc>
        <w:tc>
          <w:tcPr>
            <w:tcW w:w="1217" w:type="pct"/>
            <w:tcBorders>
              <w:right w:val="nil"/>
            </w:tcBorders>
            <w:shd w:val="clear" w:color="auto" w:fill="auto"/>
            <w:vAlign w:val="center"/>
          </w:tcPr>
          <w:p>
            <w:pPr>
              <w:jc w:val="center"/>
              <w:rPr>
                <w:sz w:val="18"/>
                <w:szCs w:val="18"/>
              </w:rPr>
            </w:pPr>
            <w:r>
              <w:rPr>
                <w:sz w:val="18"/>
                <w:szCs w:val="18"/>
              </w:rPr>
              <w:t>课外综合实验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0" w:type="pct"/>
            <w:tcBorders>
              <w:left w:val="nil"/>
            </w:tcBorders>
            <w:shd w:val="clear" w:color="auto" w:fill="auto"/>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121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0.22 </w:t>
            </w:r>
          </w:p>
        </w:tc>
        <w:tc>
          <w:tcPr>
            <w:tcW w:w="1216"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xml:space="preserve">0.30 </w:t>
            </w:r>
          </w:p>
        </w:tc>
        <w:tc>
          <w:tcPr>
            <w:tcW w:w="1217" w:type="pct"/>
            <w:tcBorders>
              <w:top w:val="nil"/>
              <w:left w:val="nil"/>
              <w:bottom w:val="single" w:color="auto" w:sz="4" w:space="0"/>
              <w:right w:val="nil"/>
            </w:tcBorders>
            <w:shd w:val="clear" w:color="auto" w:fill="auto"/>
            <w:vAlign w:val="center"/>
          </w:tcPr>
          <w:p>
            <w:pPr>
              <w:widowControl/>
              <w:jc w:val="center"/>
              <w:rPr>
                <w:kern w:val="0"/>
                <w:sz w:val="18"/>
                <w:szCs w:val="18"/>
              </w:rPr>
            </w:pPr>
            <w:r>
              <w:rPr>
                <w:kern w:val="0"/>
                <w:sz w:val="18"/>
                <w:szCs w:val="18"/>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350" w:type="pct"/>
            <w:tcBorders>
              <w:left w:val="nil"/>
            </w:tcBorders>
            <w:shd w:val="clear" w:color="auto" w:fill="auto"/>
            <w:vAlign w:val="center"/>
          </w:tcPr>
          <w:p>
            <w:pPr>
              <w:jc w:val="center"/>
              <w:rPr>
                <w:sz w:val="18"/>
                <w:szCs w:val="18"/>
              </w:rPr>
            </w:pPr>
            <w:r>
              <w:rPr>
                <w:kern w:val="0"/>
                <w:sz w:val="18"/>
                <w:szCs w:val="18"/>
              </w:rPr>
              <w:t>支撑材料</w:t>
            </w:r>
          </w:p>
        </w:tc>
        <w:tc>
          <w:tcPr>
            <w:tcW w:w="1217" w:type="pct"/>
            <w:shd w:val="clear" w:color="auto" w:fill="auto"/>
            <w:vAlign w:val="center"/>
          </w:tcPr>
          <w:p>
            <w:pPr>
              <w:widowControl/>
              <w:jc w:val="center"/>
              <w:rPr>
                <w:kern w:val="0"/>
                <w:sz w:val="18"/>
                <w:szCs w:val="18"/>
              </w:rPr>
            </w:pPr>
            <w:r>
              <w:rPr>
                <w:kern w:val="0"/>
                <w:sz w:val="18"/>
                <w:szCs w:val="18"/>
              </w:rPr>
              <w:t>作业评价标准，</w:t>
            </w:r>
          </w:p>
          <w:p>
            <w:pPr>
              <w:widowControl/>
              <w:jc w:val="center"/>
              <w:rPr>
                <w:kern w:val="0"/>
                <w:sz w:val="18"/>
                <w:szCs w:val="18"/>
              </w:rPr>
            </w:pPr>
            <w:r>
              <w:rPr>
                <w:kern w:val="0"/>
                <w:sz w:val="18"/>
                <w:szCs w:val="18"/>
              </w:rPr>
              <w:t>三~四次作业，</w:t>
            </w:r>
          </w:p>
          <w:p>
            <w:pPr>
              <w:widowControl/>
              <w:jc w:val="center"/>
              <w:rPr>
                <w:kern w:val="0"/>
                <w:sz w:val="18"/>
                <w:szCs w:val="18"/>
              </w:rPr>
            </w:pPr>
            <w:r>
              <w:rPr>
                <w:kern w:val="0"/>
                <w:sz w:val="18"/>
                <w:szCs w:val="18"/>
              </w:rPr>
              <w:t>典型作业拍照或电子版</w:t>
            </w:r>
          </w:p>
        </w:tc>
        <w:tc>
          <w:tcPr>
            <w:tcW w:w="1216" w:type="pct"/>
            <w:shd w:val="clear" w:color="auto" w:fill="auto"/>
            <w:vAlign w:val="center"/>
          </w:tcPr>
          <w:p>
            <w:pPr>
              <w:jc w:val="center"/>
              <w:rPr>
                <w:sz w:val="18"/>
                <w:szCs w:val="18"/>
              </w:rPr>
            </w:pPr>
            <w:r>
              <w:rPr>
                <w:sz w:val="18"/>
                <w:szCs w:val="18"/>
              </w:rPr>
              <w:t>课内实验评价标准</w:t>
            </w:r>
          </w:p>
          <w:p>
            <w:pPr>
              <w:jc w:val="center"/>
              <w:rPr>
                <w:sz w:val="18"/>
                <w:szCs w:val="18"/>
              </w:rPr>
            </w:pPr>
            <w:r>
              <w:rPr>
                <w:sz w:val="18"/>
                <w:szCs w:val="18"/>
              </w:rPr>
              <w:t>三个课内实验，</w:t>
            </w:r>
          </w:p>
          <w:p>
            <w:pPr>
              <w:jc w:val="center"/>
              <w:rPr>
                <w:sz w:val="18"/>
                <w:szCs w:val="18"/>
              </w:rPr>
            </w:pPr>
            <w:r>
              <w:rPr>
                <w:sz w:val="18"/>
                <w:szCs w:val="18"/>
              </w:rPr>
              <w:t>典型实验报告</w:t>
            </w:r>
          </w:p>
        </w:tc>
        <w:tc>
          <w:tcPr>
            <w:tcW w:w="1217" w:type="pct"/>
            <w:tcBorders>
              <w:right w:val="nil"/>
            </w:tcBorders>
            <w:shd w:val="clear" w:color="auto" w:fill="auto"/>
            <w:vAlign w:val="center"/>
          </w:tcPr>
          <w:p>
            <w:pPr>
              <w:jc w:val="center"/>
              <w:rPr>
                <w:sz w:val="18"/>
                <w:szCs w:val="18"/>
              </w:rPr>
            </w:pPr>
            <w:r>
              <w:rPr>
                <w:sz w:val="18"/>
                <w:szCs w:val="18"/>
              </w:rPr>
              <w:t>分组实验评价标准，</w:t>
            </w:r>
          </w:p>
          <w:p>
            <w:pPr>
              <w:jc w:val="center"/>
              <w:rPr>
                <w:sz w:val="18"/>
                <w:szCs w:val="18"/>
              </w:rPr>
            </w:pPr>
            <w:r>
              <w:rPr>
                <w:sz w:val="18"/>
                <w:szCs w:val="18"/>
              </w:rPr>
              <w:t>课外综合实验报告，</w:t>
            </w:r>
          </w:p>
          <w:p>
            <w:pPr>
              <w:jc w:val="center"/>
              <w:rPr>
                <w:sz w:val="18"/>
                <w:szCs w:val="18"/>
              </w:rPr>
            </w:pPr>
            <w:r>
              <w:rPr>
                <w:sz w:val="18"/>
                <w:szCs w:val="18"/>
              </w:rPr>
              <w:t>验收成绩</w:t>
            </w:r>
          </w:p>
        </w:tc>
      </w:tr>
    </w:tbl>
    <w:p>
      <w:pPr>
        <w:tabs>
          <w:tab w:val="left" w:pos="420"/>
        </w:tabs>
        <w:adjustRightInd w:val="0"/>
        <w:snapToGrid w:val="0"/>
        <w:spacing w:line="360" w:lineRule="auto"/>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jc w:val="center"/>
              <w:rPr>
                <w:kern w:val="0"/>
                <w:sz w:val="18"/>
                <w:szCs w:val="18"/>
                <w:highlight w:val="yellow"/>
              </w:rPr>
            </w:pPr>
            <w:r>
              <w:rPr>
                <w:kern w:val="0"/>
                <w:sz w:val="18"/>
                <w:szCs w:val="18"/>
              </w:rPr>
              <w:t>知识点</w:t>
            </w:r>
          </w:p>
        </w:tc>
        <w:tc>
          <w:tcPr>
            <w:tcW w:w="691" w:type="pct"/>
            <w:vAlign w:val="center"/>
          </w:tcPr>
          <w:p>
            <w:pPr>
              <w:jc w:val="center"/>
              <w:rPr>
                <w:kern w:val="0"/>
                <w:sz w:val="18"/>
                <w:szCs w:val="18"/>
              </w:rPr>
            </w:pPr>
            <w:r>
              <w:rPr>
                <w:kern w:val="0"/>
                <w:sz w:val="18"/>
                <w:szCs w:val="18"/>
              </w:rPr>
              <w:t>权重</w:t>
            </w:r>
          </w:p>
        </w:tc>
        <w:tc>
          <w:tcPr>
            <w:tcW w:w="1048" w:type="pct"/>
            <w:vAlign w:val="center"/>
          </w:tcPr>
          <w:p>
            <w:pPr>
              <w:jc w:val="center"/>
              <w:rPr>
                <w:kern w:val="0"/>
                <w:sz w:val="18"/>
                <w:szCs w:val="18"/>
              </w:rPr>
            </w:pPr>
            <w:r>
              <w:rPr>
                <w:kern w:val="0"/>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1、工业网络技术发展历程、发展现状及发展方向。</w:t>
            </w:r>
          </w:p>
        </w:tc>
        <w:tc>
          <w:tcPr>
            <w:tcW w:w="691" w:type="pct"/>
            <w:vAlign w:val="center"/>
          </w:tcPr>
          <w:p>
            <w:pPr>
              <w:widowControl/>
              <w:jc w:val="center"/>
              <w:rPr>
                <w:kern w:val="0"/>
                <w:sz w:val="18"/>
                <w:szCs w:val="18"/>
              </w:rPr>
            </w:pPr>
            <w:r>
              <w:rPr>
                <w:kern w:val="0"/>
                <w:sz w:val="18"/>
                <w:szCs w:val="18"/>
              </w:rPr>
              <w:t>0.05</w:t>
            </w:r>
          </w:p>
        </w:tc>
        <w:tc>
          <w:tcPr>
            <w:tcW w:w="1048" w:type="pct"/>
            <w:shd w:val="clear" w:color="auto" w:fill="auto"/>
            <w:vAlign w:val="center"/>
          </w:tcPr>
          <w:p>
            <w:pPr>
              <w:widowControl/>
              <w:jc w:val="center"/>
              <w:rPr>
                <w:kern w:val="0"/>
                <w:sz w:val="18"/>
                <w:szCs w:val="18"/>
              </w:rPr>
            </w:pPr>
            <w:r>
              <w:rPr>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2、总线网络的分类及特点及选用方法，ISO模型标准，参数；</w:t>
            </w:r>
          </w:p>
        </w:tc>
        <w:tc>
          <w:tcPr>
            <w:tcW w:w="691" w:type="pct"/>
            <w:vAlign w:val="center"/>
          </w:tcPr>
          <w:p>
            <w:pPr>
              <w:widowControl/>
              <w:jc w:val="center"/>
              <w:rPr>
                <w:kern w:val="0"/>
                <w:sz w:val="18"/>
                <w:szCs w:val="18"/>
              </w:rPr>
            </w:pPr>
            <w:r>
              <w:rPr>
                <w:kern w:val="0"/>
                <w:sz w:val="18"/>
                <w:szCs w:val="18"/>
              </w:rPr>
              <w:t>0.05</w:t>
            </w:r>
          </w:p>
        </w:tc>
        <w:tc>
          <w:tcPr>
            <w:tcW w:w="1048" w:type="pct"/>
            <w:shd w:val="clear" w:color="auto" w:fill="auto"/>
            <w:vAlign w:val="center"/>
          </w:tcPr>
          <w:p>
            <w:pPr>
              <w:widowControl/>
              <w:jc w:val="center"/>
              <w:rPr>
                <w:kern w:val="0"/>
                <w:sz w:val="18"/>
                <w:szCs w:val="18"/>
              </w:rPr>
            </w:pPr>
            <w:r>
              <w:rPr>
                <w:kern w:val="0"/>
                <w:sz w:val="18"/>
                <w:szCs w:val="18"/>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3、总线型网络原理、实现；</w:t>
            </w:r>
          </w:p>
        </w:tc>
        <w:tc>
          <w:tcPr>
            <w:tcW w:w="691" w:type="pct"/>
            <w:vAlign w:val="center"/>
          </w:tcPr>
          <w:p>
            <w:pPr>
              <w:widowControl/>
              <w:jc w:val="center"/>
              <w:rPr>
                <w:kern w:val="0"/>
                <w:sz w:val="18"/>
                <w:szCs w:val="18"/>
              </w:rPr>
            </w:pPr>
            <w:r>
              <w:rPr>
                <w:kern w:val="0"/>
                <w:sz w:val="18"/>
                <w:szCs w:val="18"/>
              </w:rPr>
              <w:t>0.35</w:t>
            </w:r>
          </w:p>
        </w:tc>
        <w:tc>
          <w:tcPr>
            <w:tcW w:w="1048" w:type="pct"/>
            <w:shd w:val="clear" w:color="auto" w:fill="auto"/>
            <w:vAlign w:val="center"/>
          </w:tcPr>
          <w:p>
            <w:pPr>
              <w:widowControl/>
              <w:jc w:val="center"/>
              <w:rPr>
                <w:kern w:val="0"/>
                <w:sz w:val="18"/>
                <w:szCs w:val="18"/>
              </w:rPr>
            </w:pPr>
            <w:r>
              <w:rPr>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4、星型网络原理、实现；</w:t>
            </w:r>
          </w:p>
        </w:tc>
        <w:tc>
          <w:tcPr>
            <w:tcW w:w="691" w:type="pct"/>
            <w:vAlign w:val="center"/>
          </w:tcPr>
          <w:p>
            <w:pPr>
              <w:widowControl/>
              <w:jc w:val="center"/>
              <w:rPr>
                <w:kern w:val="0"/>
                <w:sz w:val="18"/>
                <w:szCs w:val="18"/>
              </w:rPr>
            </w:pPr>
            <w:r>
              <w:rPr>
                <w:kern w:val="0"/>
                <w:sz w:val="18"/>
                <w:szCs w:val="18"/>
              </w:rPr>
              <w:t>0.33</w:t>
            </w:r>
          </w:p>
        </w:tc>
        <w:tc>
          <w:tcPr>
            <w:tcW w:w="1048" w:type="pct"/>
            <w:shd w:val="clear" w:color="auto" w:fill="auto"/>
            <w:vAlign w:val="center"/>
          </w:tcPr>
          <w:p>
            <w:pPr>
              <w:widowControl/>
              <w:jc w:val="center"/>
              <w:rPr>
                <w:kern w:val="0"/>
                <w:sz w:val="18"/>
                <w:szCs w:val="18"/>
              </w:rPr>
            </w:pPr>
            <w:r>
              <w:rPr>
                <w:kern w:val="0"/>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5、时间同步、时间触发机制、网络桥接原理；</w:t>
            </w:r>
          </w:p>
        </w:tc>
        <w:tc>
          <w:tcPr>
            <w:tcW w:w="691" w:type="pct"/>
            <w:vAlign w:val="center"/>
          </w:tcPr>
          <w:p>
            <w:pPr>
              <w:widowControl/>
              <w:jc w:val="center"/>
              <w:rPr>
                <w:kern w:val="0"/>
                <w:sz w:val="18"/>
                <w:szCs w:val="18"/>
              </w:rPr>
            </w:pPr>
            <w:r>
              <w:rPr>
                <w:kern w:val="0"/>
                <w:sz w:val="18"/>
                <w:szCs w:val="18"/>
              </w:rPr>
              <w:t>0.15</w:t>
            </w:r>
          </w:p>
        </w:tc>
        <w:tc>
          <w:tcPr>
            <w:tcW w:w="1048" w:type="pct"/>
            <w:shd w:val="clear" w:color="auto" w:fill="auto"/>
            <w:vAlign w:val="center"/>
          </w:tcPr>
          <w:p>
            <w:pPr>
              <w:widowControl/>
              <w:jc w:val="center"/>
              <w:rPr>
                <w:kern w:val="0"/>
                <w:sz w:val="18"/>
                <w:szCs w:val="18"/>
              </w:rPr>
            </w:pPr>
            <w:r>
              <w:rPr>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1" w:type="pct"/>
            <w:vAlign w:val="center"/>
          </w:tcPr>
          <w:p>
            <w:pPr>
              <w:ind w:left="174" w:leftChars="83"/>
              <w:rPr>
                <w:kern w:val="0"/>
                <w:sz w:val="18"/>
                <w:szCs w:val="18"/>
              </w:rPr>
            </w:pPr>
            <w:r>
              <w:rPr>
                <w:kern w:val="0"/>
                <w:sz w:val="18"/>
                <w:szCs w:val="18"/>
              </w:rPr>
              <w:t>6、网络设计相关规范。</w:t>
            </w:r>
          </w:p>
        </w:tc>
        <w:tc>
          <w:tcPr>
            <w:tcW w:w="691" w:type="pct"/>
            <w:vAlign w:val="center"/>
          </w:tcPr>
          <w:p>
            <w:pPr>
              <w:widowControl/>
              <w:jc w:val="center"/>
              <w:rPr>
                <w:kern w:val="0"/>
                <w:sz w:val="18"/>
                <w:szCs w:val="18"/>
              </w:rPr>
            </w:pPr>
            <w:r>
              <w:rPr>
                <w:kern w:val="0"/>
                <w:sz w:val="18"/>
                <w:szCs w:val="18"/>
              </w:rPr>
              <w:t>0.05</w:t>
            </w:r>
          </w:p>
        </w:tc>
        <w:tc>
          <w:tcPr>
            <w:tcW w:w="1048" w:type="pct"/>
            <w:shd w:val="clear" w:color="auto" w:fill="auto"/>
            <w:vAlign w:val="center"/>
          </w:tcPr>
          <w:p>
            <w:pPr>
              <w:widowControl/>
              <w:jc w:val="center"/>
              <w:rPr>
                <w:kern w:val="0"/>
                <w:sz w:val="18"/>
                <w:szCs w:val="18"/>
              </w:rPr>
            </w:pPr>
            <w:r>
              <w:rPr>
                <w:kern w:val="0"/>
                <w:sz w:val="18"/>
                <w:szCs w:val="18"/>
              </w:rPr>
              <w:t>1、3</w:t>
            </w:r>
          </w:p>
        </w:tc>
      </w:tr>
    </w:tbl>
    <w:p>
      <w:pPr>
        <w:spacing w:before="120" w:beforeLines="50" w:line="360" w:lineRule="auto"/>
        <w:ind w:firstLine="420" w:firstLineChars="200"/>
        <w:rPr>
          <w:rFonts w:ascii="宋体" w:hAnsi="宋体"/>
          <w:szCs w:val="21"/>
        </w:rPr>
        <w:sectPr>
          <w:headerReference r:id="rId118" w:type="first"/>
          <w:footerReference r:id="rId121" w:type="first"/>
          <w:headerReference r:id="rId116" w:type="default"/>
          <w:footerReference r:id="rId119" w:type="default"/>
          <w:headerReference r:id="rId117" w:type="even"/>
          <w:footerReference r:id="rId120" w:type="even"/>
          <w:pgSz w:w="11906" w:h="16838"/>
          <w:pgMar w:top="1440" w:right="1797" w:bottom="1440" w:left="1797" w:header="851" w:footer="992" w:gutter="0"/>
          <w:cols w:space="425" w:num="1"/>
          <w:docGrid w:linePitch="312" w:charSpace="0"/>
        </w:sectPr>
      </w:pPr>
      <w:r>
        <w:rPr>
          <w:rFonts w:ascii="宋体" w:hAnsi="宋体"/>
          <w:szCs w:val="21"/>
        </w:rPr>
        <w:t>学生可以依据仪器与电子学院相关文件，以允许的第二课堂成果（MOOC、科技论文、学科竞赛等）折算单项成绩，与对应知识点加权累计达到</w:t>
      </w:r>
      <w:r>
        <w:rPr>
          <w:rFonts w:hint="eastAsia" w:ascii="宋体" w:hAnsi="宋体"/>
          <w:szCs w:val="21"/>
        </w:rPr>
        <w:t>7</w:t>
      </w:r>
      <w:r>
        <w:rPr>
          <w:rFonts w:ascii="宋体" w:hAnsi="宋体"/>
          <w:szCs w:val="21"/>
        </w:rPr>
        <w:t>5</w:t>
      </w:r>
      <w:r>
        <w:rPr>
          <w:rFonts w:hint="eastAsia" w:ascii="宋体" w:hAnsi="宋体"/>
          <w:szCs w:val="21"/>
        </w:rPr>
        <w:t>（含）以上，且对所有课程目标的支撑不能有缺项，即可申请本门课程免修。</w:t>
      </w:r>
    </w:p>
    <w:p>
      <w:pPr>
        <w:tabs>
          <w:tab w:val="left" w:pos="420"/>
        </w:tabs>
        <w:adjustRightInd w:val="0"/>
        <w:snapToGrid w:val="0"/>
        <w:spacing w:line="360" w:lineRule="auto"/>
        <w:rPr>
          <w:rFonts w:eastAsia="黑体"/>
          <w:szCs w:val="24"/>
        </w:rPr>
      </w:pPr>
      <w:r>
        <w:rPr>
          <w:rFonts w:eastAsia="黑体"/>
          <w:szCs w:val="24"/>
        </w:rPr>
        <w:t>十、课程目标达成评价</w:t>
      </w:r>
    </w:p>
    <w:p>
      <w:pPr>
        <w:adjustRightInd w:val="0"/>
        <w:snapToGrid w:val="0"/>
        <w:spacing w:line="360" w:lineRule="auto"/>
      </w:pPr>
    </w:p>
    <w:p>
      <w:pPr>
        <w:spacing w:line="360" w:lineRule="auto"/>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933"/>
        <w:gridCol w:w="1371"/>
        <w:gridCol w:w="1267"/>
        <w:gridCol w:w="1266"/>
        <w:gridCol w:w="1286"/>
        <w:gridCol w:w="1266"/>
        <w:gridCol w:w="1266"/>
        <w:gridCol w:w="1280"/>
        <w:gridCol w:w="1266"/>
        <w:gridCol w:w="1481"/>
        <w:gridCol w:w="1266"/>
      </w:tblGrid>
      <w:tr>
        <w:tblPrEx>
          <w:tblCellMar>
            <w:top w:w="0" w:type="dxa"/>
            <w:left w:w="108" w:type="dxa"/>
            <w:bottom w:w="0" w:type="dxa"/>
            <w:right w:w="108" w:type="dxa"/>
          </w:tblCellMar>
        </w:tblPrEx>
        <w:trPr>
          <w:trHeight w:val="1266" w:hRule="atLeast"/>
          <w:jc w:val="center"/>
        </w:trPr>
        <w:tc>
          <w:tcPr>
            <w:tcW w:w="3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w:t>
            </w:r>
          </w:p>
          <w:p>
            <w:pPr>
              <w:widowControl/>
              <w:jc w:val="center"/>
              <w:rPr>
                <w:kern w:val="0"/>
                <w:sz w:val="18"/>
                <w:szCs w:val="18"/>
              </w:rPr>
            </w:pPr>
            <w:r>
              <w:rPr>
                <w:kern w:val="0"/>
                <w:sz w:val="18"/>
                <w:szCs w:val="18"/>
              </w:rPr>
              <w:t>目标</w:t>
            </w:r>
          </w:p>
        </w:tc>
        <w:tc>
          <w:tcPr>
            <w:tcW w:w="4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369"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367" w:type="pct"/>
            <w:gridSpan w:val="3"/>
            <w:tcBorders>
              <w:top w:val="single" w:color="auto" w:sz="4" w:space="0"/>
              <w:left w:val="nil"/>
              <w:bottom w:val="single" w:color="auto" w:sz="4" w:space="0"/>
              <w:right w:val="single" w:color="000000"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40" w:type="pct"/>
            <w:gridSpan w:val="3"/>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685" w:hRule="atLeast"/>
          <w:jc w:val="center"/>
        </w:trPr>
        <w:tc>
          <w:tcPr>
            <w:tcW w:w="3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4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45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5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课外综合实验</w:t>
            </w:r>
          </w:p>
        </w:tc>
        <w:tc>
          <w:tcPr>
            <w:tcW w:w="45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45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5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课外综合实验</w:t>
            </w:r>
          </w:p>
        </w:tc>
        <w:tc>
          <w:tcPr>
            <w:tcW w:w="45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531"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45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课外综合实验</w:t>
            </w:r>
          </w:p>
        </w:tc>
      </w:tr>
      <w:tr>
        <w:tblPrEx>
          <w:tblCellMar>
            <w:top w:w="0" w:type="dxa"/>
            <w:left w:w="108" w:type="dxa"/>
            <w:bottom w:w="0" w:type="dxa"/>
            <w:right w:w="108" w:type="dxa"/>
          </w:tblCellMar>
        </w:tblPrEx>
        <w:trPr>
          <w:trHeight w:val="411"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w:t>
            </w:r>
          </w:p>
        </w:tc>
        <w:tc>
          <w:tcPr>
            <w:tcW w:w="49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0.60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0.30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0.30 </w:t>
            </w:r>
          </w:p>
        </w:tc>
        <w:tc>
          <w:tcPr>
            <w:tcW w:w="46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0.40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0.18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0.18 </w:t>
            </w:r>
          </w:p>
        </w:tc>
        <w:tc>
          <w:tcPr>
            <w:tcW w:w="45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0.24 </w:t>
            </w:r>
          </w:p>
        </w:tc>
        <w:tc>
          <w:tcPr>
            <w:tcW w:w="454"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0.82 </w:t>
            </w:r>
          </w:p>
        </w:tc>
        <w:tc>
          <w:tcPr>
            <w:tcW w:w="531"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0.60 </w:t>
            </w:r>
          </w:p>
        </w:tc>
        <w:tc>
          <w:tcPr>
            <w:tcW w:w="455"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0.50 </w:t>
            </w:r>
          </w:p>
        </w:tc>
      </w:tr>
      <w:tr>
        <w:tblPrEx>
          <w:tblCellMar>
            <w:top w:w="0" w:type="dxa"/>
            <w:left w:w="108" w:type="dxa"/>
            <w:bottom w:w="0" w:type="dxa"/>
            <w:right w:w="108" w:type="dxa"/>
          </w:tblCellMar>
        </w:tblPrEx>
        <w:trPr>
          <w:trHeight w:val="389"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w:t>
            </w:r>
          </w:p>
        </w:tc>
        <w:tc>
          <w:tcPr>
            <w:tcW w:w="49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0.30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0.40 </w:t>
            </w:r>
          </w:p>
        </w:tc>
        <w:tc>
          <w:tcPr>
            <w:tcW w:w="46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0.60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0.12 </w:t>
            </w:r>
          </w:p>
        </w:tc>
        <w:tc>
          <w:tcPr>
            <w:tcW w:w="45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0.18 </w:t>
            </w:r>
          </w:p>
        </w:tc>
        <w:tc>
          <w:tcPr>
            <w:tcW w:w="454"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p>
        </w:tc>
        <w:tc>
          <w:tcPr>
            <w:tcW w:w="531"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0.40 </w:t>
            </w:r>
          </w:p>
        </w:tc>
        <w:tc>
          <w:tcPr>
            <w:tcW w:w="455"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0.38 </w:t>
            </w:r>
          </w:p>
        </w:tc>
      </w:tr>
      <w:tr>
        <w:tblPrEx>
          <w:tblCellMar>
            <w:top w:w="0" w:type="dxa"/>
            <w:left w:w="108" w:type="dxa"/>
            <w:bottom w:w="0" w:type="dxa"/>
            <w:right w:w="108" w:type="dxa"/>
          </w:tblCellMar>
        </w:tblPrEx>
        <w:trPr>
          <w:trHeight w:val="378" w:hRule="atLeast"/>
          <w:jc w:val="center"/>
        </w:trPr>
        <w:tc>
          <w:tcPr>
            <w:tcW w:w="334" w:type="pct"/>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3</w:t>
            </w:r>
          </w:p>
        </w:tc>
        <w:tc>
          <w:tcPr>
            <w:tcW w:w="49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0.10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0.40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w:t>
            </w:r>
          </w:p>
        </w:tc>
        <w:tc>
          <w:tcPr>
            <w:tcW w:w="460"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0.60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0.04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p>
        </w:tc>
        <w:tc>
          <w:tcPr>
            <w:tcW w:w="45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kern w:val="0"/>
                <w:sz w:val="18"/>
                <w:szCs w:val="18"/>
              </w:rPr>
            </w:pPr>
            <w:r>
              <w:rPr>
                <w:kern w:val="0"/>
                <w:sz w:val="18"/>
                <w:szCs w:val="18"/>
              </w:rPr>
              <w:t xml:space="preserve">0.06 </w:t>
            </w:r>
          </w:p>
        </w:tc>
        <w:tc>
          <w:tcPr>
            <w:tcW w:w="454"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0.18 </w:t>
            </w:r>
          </w:p>
        </w:tc>
        <w:tc>
          <w:tcPr>
            <w:tcW w:w="531"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p>
        </w:tc>
        <w:tc>
          <w:tcPr>
            <w:tcW w:w="455" w:type="pct"/>
            <w:tcBorders>
              <w:top w:val="nil"/>
              <w:left w:val="nil"/>
              <w:bottom w:val="single" w:color="auto" w:sz="4" w:space="0"/>
              <w:right w:val="single" w:color="auto" w:sz="4" w:space="0"/>
            </w:tcBorders>
            <w:shd w:val="clear" w:color="auto" w:fill="auto"/>
            <w:vAlign w:val="center"/>
          </w:tcPr>
          <w:p>
            <w:pPr>
              <w:widowControl/>
              <w:jc w:val="center"/>
              <w:textAlignment w:val="center"/>
              <w:rPr>
                <w:kern w:val="0"/>
                <w:sz w:val="18"/>
                <w:szCs w:val="18"/>
              </w:rPr>
            </w:pPr>
            <w:r>
              <w:rPr>
                <w:kern w:val="0"/>
                <w:sz w:val="18"/>
                <w:szCs w:val="18"/>
              </w:rPr>
              <w:t xml:space="preserve">0.13 </w:t>
            </w:r>
          </w:p>
        </w:tc>
      </w:tr>
      <w:tr>
        <w:tblPrEx>
          <w:tblCellMar>
            <w:top w:w="0" w:type="dxa"/>
            <w:left w:w="108" w:type="dxa"/>
            <w:bottom w:w="0" w:type="dxa"/>
            <w:right w:w="108" w:type="dxa"/>
          </w:tblCellMar>
        </w:tblPrEx>
        <w:trPr>
          <w:trHeight w:val="552" w:hRule="atLeast"/>
          <w:jc w:val="center"/>
        </w:trPr>
        <w:tc>
          <w:tcPr>
            <w:tcW w:w="2194"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iCs/>
                <w:kern w:val="0"/>
                <w:sz w:val="18"/>
                <w:szCs w:val="18"/>
              </w:rPr>
              <w:t>M</w:t>
            </w:r>
            <w:r>
              <w:rPr>
                <w:i/>
                <w:iCs/>
                <w:kern w:val="0"/>
                <w:sz w:val="18"/>
                <w:szCs w:val="18"/>
                <w:vertAlign w:val="subscript"/>
              </w:rPr>
              <w:t>k</w:t>
            </w:r>
            <w:r>
              <w:rPr>
                <w:kern w:val="0"/>
                <w:sz w:val="18"/>
                <w:szCs w:val="18"/>
              </w:rPr>
              <w:t>）</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0.22 </w:t>
            </w:r>
          </w:p>
        </w:tc>
        <w:tc>
          <w:tcPr>
            <w:tcW w:w="454"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0.30 </w:t>
            </w:r>
          </w:p>
        </w:tc>
        <w:tc>
          <w:tcPr>
            <w:tcW w:w="458" w:type="pct"/>
            <w:tcBorders>
              <w:top w:val="nil"/>
              <w:left w:val="nil"/>
              <w:bottom w:val="single" w:color="auto" w:sz="4" w:space="0"/>
              <w:right w:val="single" w:color="auto" w:sz="4" w:space="0"/>
            </w:tcBorders>
            <w:shd w:val="clear" w:color="auto" w:fill="auto"/>
            <w:noWrap/>
            <w:vAlign w:val="center"/>
          </w:tcPr>
          <w:p>
            <w:pPr>
              <w:widowControl/>
              <w:jc w:val="center"/>
              <w:rPr>
                <w:kern w:val="0"/>
                <w:sz w:val="18"/>
                <w:szCs w:val="18"/>
              </w:rPr>
            </w:pPr>
            <w:r>
              <w:rPr>
                <w:kern w:val="0"/>
                <w:sz w:val="18"/>
                <w:szCs w:val="18"/>
              </w:rPr>
              <w:t xml:space="preserve">0.48 </w:t>
            </w:r>
          </w:p>
        </w:tc>
        <w:tc>
          <w:tcPr>
            <w:tcW w:w="1440" w:type="pct"/>
            <w:gridSpan w:val="3"/>
            <w:tcBorders>
              <w:top w:val="single" w:color="auto" w:sz="4" w:space="0"/>
              <w:left w:val="nil"/>
              <w:bottom w:val="single" w:color="auto" w:sz="4" w:space="0"/>
              <w:right w:val="single" w:color="auto" w:sz="4" w:space="0"/>
            </w:tcBorders>
            <w:shd w:val="clear" w:color="auto" w:fill="auto"/>
            <w:vAlign w:val="center"/>
          </w:tcPr>
          <w:p>
            <w:pPr>
              <w:jc w:val="center"/>
              <w:rPr>
                <w:kern w:val="0"/>
                <w:sz w:val="18"/>
                <w:szCs w:val="18"/>
              </w:rPr>
            </w:pPr>
            <w:r>
              <w:rPr>
                <w:kern w:val="0"/>
                <w:sz w:val="18"/>
                <w:szCs w:val="18"/>
              </w:rPr>
              <w:t>教师出题或布置作业时要尽量做到按以上比例布局</w:t>
            </w:r>
          </w:p>
        </w:tc>
      </w:tr>
    </w:tbl>
    <w:p>
      <w:pPr>
        <w:spacing w:before="120" w:beforeLines="50" w:line="360" w:lineRule="auto"/>
        <w:ind w:firstLine="420" w:firstLineChars="200"/>
        <w:rPr>
          <w:szCs w:val="21"/>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10"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10" DrawAspect="Content" ObjectID="_1468075910" r:id="rId383">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11"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11" DrawAspect="Content" ObjectID="_1468075911" r:id="rId384">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12"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12" DrawAspect="Content" ObjectID="_1468075912" r:id="rId385">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13"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13" DrawAspect="Content" ObjectID="_1468075913" r:id="rId386">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14"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14" DrawAspect="Content" ObjectID="_1468075914" r:id="rId387">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15"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15" DrawAspect="Content" ObjectID="_1468075915" r:id="rId388">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rPr>
          <w:szCs w:val="21"/>
        </w:rPr>
        <w:t>。</w:t>
      </w:r>
      <w:r>
        <w:br w:type="page"/>
      </w:r>
    </w:p>
    <w:p>
      <w:pPr>
        <w:pStyle w:val="20"/>
        <w:spacing w:before="240" w:after="360"/>
      </w:pPr>
      <w:bookmarkStart w:id="240" w:name="_Toc46996584"/>
      <w:bookmarkStart w:id="241" w:name="_Toc7376"/>
      <w:r>
        <w:t>《</w:t>
      </w:r>
      <w:bookmarkStart w:id="242" w:name="OLE_LINK81"/>
      <w:bookmarkStart w:id="243" w:name="OLE_LINK82"/>
      <w:r>
        <w:t>Z06060205-无线传感网络设计</w:t>
      </w:r>
      <w:bookmarkEnd w:id="242"/>
      <w:bookmarkEnd w:id="243"/>
      <w:r>
        <w:t>》教学大纲</w:t>
      </w:r>
      <w:bookmarkEnd w:id="240"/>
      <w:bookmarkEnd w:id="241"/>
    </w:p>
    <w:p>
      <w:pPr>
        <w:adjustRightInd w:val="0"/>
        <w:snapToGrid w:val="0"/>
        <w:spacing w:line="360" w:lineRule="auto"/>
      </w:pPr>
      <w:r>
        <w:rPr>
          <w:rFonts w:eastAsia="黑体"/>
        </w:rPr>
        <w:t>课程编号：</w:t>
      </w:r>
      <w:r>
        <w:rPr>
          <w:rFonts w:hint="eastAsia"/>
        </w:rPr>
        <w:t>Z</w:t>
      </w:r>
      <w:r>
        <w:t>06060205</w:t>
      </w:r>
    </w:p>
    <w:p>
      <w:pPr>
        <w:adjustRightInd w:val="0"/>
        <w:snapToGrid w:val="0"/>
        <w:spacing w:line="360" w:lineRule="auto"/>
      </w:pPr>
      <w:r>
        <w:rPr>
          <w:rFonts w:eastAsia="黑体"/>
        </w:rPr>
        <w:t>课程名称：</w:t>
      </w:r>
      <w:r>
        <w:t>无线传感网络设计</w:t>
      </w:r>
      <w:r>
        <w:tab/>
      </w:r>
      <w:r>
        <w:tab/>
      </w:r>
      <w:r>
        <w:tab/>
      </w:r>
      <w:r>
        <w:tab/>
      </w:r>
      <w:r>
        <w:tab/>
      </w:r>
      <w:r>
        <w:tab/>
      </w:r>
      <w:r>
        <w:rPr>
          <w:rFonts w:eastAsia="黑体"/>
        </w:rPr>
        <w:t>开课单位：</w:t>
      </w:r>
      <w:r>
        <w:t>仪器与电子学院</w:t>
      </w:r>
    </w:p>
    <w:p>
      <w:pPr>
        <w:adjustRightInd w:val="0"/>
        <w:snapToGrid w:val="0"/>
        <w:spacing w:line="360" w:lineRule="auto"/>
        <w:rPr>
          <w:rFonts w:eastAsia="黑体"/>
        </w:rPr>
      </w:pPr>
      <w:r>
        <w:rPr>
          <w:rFonts w:eastAsia="黑体"/>
        </w:rPr>
        <w:t>总 学 时：32</w:t>
      </w:r>
      <w:r>
        <w:rPr>
          <w:szCs w:val="21"/>
        </w:rPr>
        <w:t>（实验0学时）</w:t>
      </w:r>
      <w:r>
        <w:rPr>
          <w:szCs w:val="21"/>
        </w:rPr>
        <w:tab/>
      </w:r>
      <w:r>
        <w:rPr>
          <w:szCs w:val="21"/>
        </w:rPr>
        <w:tab/>
      </w:r>
      <w:r>
        <w:rPr>
          <w:szCs w:val="21"/>
        </w:rPr>
        <w:tab/>
      </w:r>
      <w:r>
        <w:rPr>
          <w:szCs w:val="21"/>
        </w:rPr>
        <w:tab/>
      </w:r>
      <w:r>
        <w:rPr>
          <w:szCs w:val="21"/>
        </w:rPr>
        <w:tab/>
      </w:r>
      <w:r>
        <w:rPr>
          <w:szCs w:val="21"/>
        </w:rPr>
        <w:tab/>
      </w:r>
      <w:r>
        <w:rPr>
          <w:rFonts w:eastAsia="黑体"/>
        </w:rPr>
        <w:t>学    分：</w:t>
      </w:r>
      <w:r>
        <w:t>2</w:t>
      </w:r>
    </w:p>
    <w:p>
      <w:pPr>
        <w:adjustRightInd w:val="0"/>
        <w:snapToGrid w:val="0"/>
        <w:spacing w:line="360" w:lineRule="auto"/>
        <w:rPr>
          <w:rFonts w:eastAsia="黑体"/>
        </w:rPr>
      </w:pPr>
      <w:r>
        <w:rPr>
          <w:rFonts w:eastAsia="黑体"/>
        </w:rPr>
        <w:t>适用专业：</w:t>
      </w:r>
      <w:r>
        <w:rPr>
          <w:szCs w:val="21"/>
        </w:rPr>
        <w:t>电子科学与技术</w:t>
      </w:r>
      <w:r>
        <w:rPr>
          <w:rFonts w:hint="eastAsia"/>
          <w:szCs w:val="21"/>
        </w:rPr>
        <w:t>专业</w:t>
      </w:r>
    </w:p>
    <w:p>
      <w:pPr>
        <w:adjustRightInd w:val="0"/>
        <w:snapToGrid w:val="0"/>
        <w:spacing w:line="360" w:lineRule="auto"/>
      </w:pPr>
      <w:r>
        <w:rPr>
          <w:rFonts w:eastAsia="黑体"/>
        </w:rPr>
        <w:t>先修课程：</w:t>
      </w:r>
      <w:r>
        <w:t>C语言程序设计基础</w:t>
      </w:r>
      <w:r>
        <w:rPr>
          <w:rFonts w:hint="eastAsia"/>
        </w:rPr>
        <w:t>、</w:t>
      </w:r>
      <w:r>
        <w:t>单片机原理及应用</w:t>
      </w:r>
    </w:p>
    <w:p>
      <w:pPr>
        <w:adjustRightInd w:val="0"/>
        <w:snapToGrid w:val="0"/>
        <w:spacing w:line="360" w:lineRule="auto"/>
        <w:rPr>
          <w:rFonts w:eastAsia="黑体"/>
        </w:rPr>
      </w:pPr>
      <w:r>
        <w:rPr>
          <w:rFonts w:eastAsia="黑体"/>
        </w:rPr>
        <w:t>大纲撰写人：</w:t>
      </w:r>
      <w:r>
        <w:rPr>
          <w:rFonts w:ascii="宋体" w:hAnsi="宋体"/>
        </w:rPr>
        <w:t>陈建军</w:t>
      </w:r>
    </w:p>
    <w:p>
      <w:pPr>
        <w:adjustRightInd w:val="0"/>
        <w:snapToGrid w:val="0"/>
        <w:spacing w:line="360" w:lineRule="auto"/>
      </w:pPr>
      <w:r>
        <w:rPr>
          <w:rFonts w:eastAsia="黑体"/>
        </w:rPr>
        <w:t>大纲编写（修订）时间：</w:t>
      </w:r>
      <w:r>
        <w:t>201</w:t>
      </w:r>
      <w:r>
        <w:rPr>
          <w:rFonts w:hint="eastAsia"/>
        </w:rPr>
        <w:t>9</w:t>
      </w:r>
      <w:r>
        <w:t>年</w:t>
      </w:r>
      <w:r>
        <w:rPr>
          <w:rFonts w:hint="eastAsia"/>
        </w:rPr>
        <w:t>5</w:t>
      </w:r>
      <w:r>
        <w:t>月</w:t>
      </w:r>
    </w:p>
    <w:p>
      <w:pPr>
        <w:adjustRightInd w:val="0"/>
        <w:snapToGrid w:val="0"/>
        <w:spacing w:line="360" w:lineRule="auto"/>
      </w:pPr>
    </w:p>
    <w:p>
      <w:pPr>
        <w:tabs>
          <w:tab w:val="left" w:pos="420"/>
        </w:tabs>
        <w:adjustRightInd w:val="0"/>
        <w:snapToGrid w:val="0"/>
        <w:spacing w:line="360" w:lineRule="auto"/>
        <w:ind w:left="420" w:hanging="420"/>
        <w:rPr>
          <w:rFonts w:eastAsia="黑体"/>
          <w:szCs w:val="24"/>
        </w:rPr>
      </w:pPr>
      <w:r>
        <w:rPr>
          <w:rFonts w:eastAsia="黑体"/>
          <w:szCs w:val="24"/>
        </w:rPr>
        <w:t>一、课程在教学计划中的地位、作用</w:t>
      </w:r>
    </w:p>
    <w:p>
      <w:pPr>
        <w:adjustRightInd w:val="0"/>
        <w:snapToGrid w:val="0"/>
        <w:spacing w:line="360" w:lineRule="auto"/>
        <w:ind w:firstLine="420" w:firstLineChars="200"/>
        <w:rPr>
          <w:szCs w:val="21"/>
        </w:rPr>
      </w:pPr>
      <w:r>
        <w:rPr>
          <w:szCs w:val="21"/>
        </w:rPr>
        <w:t>本课程是</w:t>
      </w:r>
      <w:r>
        <w:rPr>
          <w:rFonts w:hint="eastAsia"/>
          <w:szCs w:val="21"/>
        </w:rPr>
        <w:t>一门</w:t>
      </w:r>
      <w:r>
        <w:rPr>
          <w:szCs w:val="21"/>
        </w:rPr>
        <w:t>物联网设计与应用方向</w:t>
      </w:r>
      <w:r>
        <w:rPr>
          <w:rFonts w:hint="eastAsia"/>
          <w:szCs w:val="21"/>
        </w:rPr>
        <w:t>的专业课程，是电子科学与技术专业的选修课程</w:t>
      </w:r>
      <w:r>
        <w:rPr>
          <w:szCs w:val="21"/>
        </w:rPr>
        <w:t>。无线传感网络（Wireless Sensor Networks-WSN）属于现代传感领域中的前沿技术，它集成了计算机、无线互联网络、微电子、MEMS、射频数字通信等多个学科的先进研究成果，在精准农业、机器人、智能感知、物联网等领域有着广泛的应用前景。目前，无线传感网络</w:t>
      </w:r>
      <w:r>
        <w:t>相关技术仍处于研究和发展阶段，</w:t>
      </w:r>
      <w:r>
        <w:rPr>
          <w:szCs w:val="21"/>
        </w:rPr>
        <w:t>本课程将有助于学生掌握无线传感网络系统的技术特征和节点软硬件体系结构设计技术，了解WSN在各个领域中的应用前景。通过本课程学习，学生将了解无线传感网络系统的基本概念，掌握节点系统组成、网络协议、支撑技术和软件开发方法，初步具备利用无线传感网络进行应用设计的能力。</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二、课程目标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341"/>
        <w:gridCol w:w="33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610" w:type="pct"/>
            <w:vAlign w:val="center"/>
          </w:tcPr>
          <w:p>
            <w:pPr>
              <w:spacing w:line="360" w:lineRule="auto"/>
              <w:jc w:val="center"/>
              <w:rPr>
                <w:sz w:val="18"/>
                <w:szCs w:val="18"/>
              </w:rPr>
            </w:pPr>
            <w:r>
              <w:rPr>
                <w:sz w:val="18"/>
                <w:szCs w:val="18"/>
              </w:rPr>
              <w:t>课程目标</w:t>
            </w:r>
          </w:p>
        </w:tc>
        <w:tc>
          <w:tcPr>
            <w:tcW w:w="2022"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610" w:type="pct"/>
          </w:tcPr>
          <w:p>
            <w:pPr>
              <w:spacing w:line="360" w:lineRule="auto"/>
              <w:rPr>
                <w:sz w:val="18"/>
                <w:szCs w:val="18"/>
              </w:rPr>
            </w:pPr>
            <w:r>
              <w:rPr>
                <w:rFonts w:hint="eastAsia"/>
                <w:sz w:val="18"/>
                <w:szCs w:val="18"/>
              </w:rPr>
              <w:t>能够通过分析将相关工程问题转化为技术问题，能够根据实际情况和</w:t>
            </w:r>
            <w:r>
              <w:rPr>
                <w:sz w:val="18"/>
                <w:szCs w:val="18"/>
              </w:rPr>
              <w:t>无线传感网络组网协议</w:t>
            </w:r>
            <w:r>
              <w:rPr>
                <w:rFonts w:hint="eastAsia"/>
                <w:sz w:val="18"/>
                <w:szCs w:val="18"/>
              </w:rPr>
              <w:t>设计无线传感器网络整体架构，并设计节点硬件，能够对无线传感器网络设备进行选型，能够形成解决方案并进行优化。</w:t>
            </w:r>
          </w:p>
        </w:tc>
        <w:tc>
          <w:tcPr>
            <w:tcW w:w="2022" w:type="pct"/>
          </w:tcPr>
          <w:p>
            <w:pPr>
              <w:spacing w:line="360" w:lineRule="auto"/>
              <w:rPr>
                <w:sz w:val="18"/>
                <w:szCs w:val="18"/>
              </w:rPr>
            </w:pPr>
            <w:r>
              <w:rPr>
                <w:rFonts w:hint="eastAsia"/>
                <w:b/>
                <w:sz w:val="18"/>
                <w:szCs w:val="18"/>
              </w:rPr>
              <w:t>指标点3-1 按需设计：</w:t>
            </w:r>
            <w:r>
              <w:rPr>
                <w:rFonts w:hint="eastAsia" w:ascii="宋体" w:hAnsi="宋体"/>
                <w:sz w:val="18"/>
                <w:szCs w:val="18"/>
              </w:rPr>
              <w:t>能够根据用户特定需求设计复杂工程问题的解决方案，设计相关的电路系统</w:t>
            </w:r>
            <w:r>
              <w:rPr>
                <w:rFonts w:hint="eastAsia"/>
                <w:sz w:val="18"/>
                <w:szCs w:val="18"/>
              </w:rPr>
              <w:t>及</w:t>
            </w:r>
            <w:r>
              <w:rPr>
                <w:rFonts w:hint="eastAsia" w:ascii="宋体" w:hAnsi="宋体"/>
                <w:sz w:val="18"/>
                <w:szCs w:val="18"/>
              </w:rPr>
              <w:t>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610" w:type="pct"/>
          </w:tcPr>
          <w:p>
            <w:pPr>
              <w:spacing w:line="360" w:lineRule="auto"/>
              <w:rPr>
                <w:sz w:val="18"/>
                <w:szCs w:val="18"/>
              </w:rPr>
            </w:pPr>
            <w:r>
              <w:rPr>
                <w:rFonts w:hint="eastAsia"/>
                <w:sz w:val="18"/>
                <w:szCs w:val="18"/>
              </w:rPr>
              <w:t>能够根据实际应用对无线传感器网络的设计方案进行分析，能够从健康、安全和环境的角度考虑无线传感器网络能耗、辐射和网络架构的设计，能够从社会、法律和文化的角度考虑无线传感器网络具体应用领域和安装部署的设计。</w:t>
            </w:r>
          </w:p>
        </w:tc>
        <w:tc>
          <w:tcPr>
            <w:tcW w:w="2022" w:type="pct"/>
          </w:tcPr>
          <w:p>
            <w:pPr>
              <w:spacing w:line="360" w:lineRule="auto"/>
              <w:rPr>
                <w:sz w:val="18"/>
                <w:szCs w:val="18"/>
              </w:rPr>
            </w:pPr>
            <w:r>
              <w:rPr>
                <w:rFonts w:hint="eastAsia"/>
                <w:b/>
                <w:sz w:val="18"/>
                <w:szCs w:val="18"/>
              </w:rPr>
              <w:t>指标点3-2 非技术因素：</w:t>
            </w:r>
            <w:r>
              <w:rPr>
                <w:rFonts w:hint="eastAsia"/>
                <w:sz w:val="18"/>
                <w:szCs w:val="18"/>
              </w:rPr>
              <w:t>设计方案的过程中，能够考虑并分析社会、健康、安全、法律、文化以及环境等因素的影响。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3</w:t>
            </w:r>
          </w:p>
        </w:tc>
        <w:tc>
          <w:tcPr>
            <w:tcW w:w="2610" w:type="pct"/>
          </w:tcPr>
          <w:p>
            <w:pPr>
              <w:spacing w:line="360" w:lineRule="auto"/>
              <w:rPr>
                <w:sz w:val="18"/>
                <w:szCs w:val="18"/>
              </w:rPr>
            </w:pPr>
            <w:r>
              <w:rPr>
                <w:rFonts w:hint="eastAsia"/>
                <w:sz w:val="18"/>
                <w:szCs w:val="18"/>
              </w:rPr>
              <w:t>能够利用</w:t>
            </w:r>
            <w:r>
              <w:rPr>
                <w:sz w:val="18"/>
                <w:szCs w:val="18"/>
              </w:rPr>
              <w:t>无线传感网络的支撑技术</w:t>
            </w:r>
            <w:r>
              <w:rPr>
                <w:rFonts w:hint="eastAsia"/>
                <w:sz w:val="18"/>
                <w:szCs w:val="18"/>
              </w:rPr>
              <w:t>在无线传感器网络设计中充分考虑低功耗和低辐射设计，能够在传感器节点设计中充分考虑低成本和低噪声设计。</w:t>
            </w:r>
          </w:p>
        </w:tc>
        <w:tc>
          <w:tcPr>
            <w:tcW w:w="2022" w:type="pct"/>
          </w:tcPr>
          <w:p>
            <w:pPr>
              <w:spacing w:line="360" w:lineRule="auto"/>
              <w:rPr>
                <w:sz w:val="18"/>
                <w:szCs w:val="18"/>
              </w:rPr>
            </w:pPr>
            <w:r>
              <w:rPr>
                <w:rFonts w:hint="eastAsia"/>
                <w:b/>
                <w:sz w:val="18"/>
                <w:szCs w:val="18"/>
              </w:rPr>
              <w:t>指标点7-1 环境影响评价：</w:t>
            </w:r>
            <w:r>
              <w:rPr>
                <w:rFonts w:hint="eastAsia"/>
                <w:sz w:val="18"/>
                <w:szCs w:val="18"/>
              </w:rPr>
              <w:t>充分了解本专业工程实践所使用的原材料、工艺、生产过程对各类资源的消耗情况，能合理评价生产试验和产品运行过程中可能产生的功耗、噪声、辐射、废料对环境的影响。</w:t>
            </w:r>
          </w:p>
        </w:tc>
      </w:tr>
    </w:tbl>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三、基本要求</w:t>
      </w:r>
    </w:p>
    <w:p>
      <w:pPr>
        <w:adjustRightInd w:val="0"/>
        <w:snapToGrid w:val="0"/>
        <w:spacing w:line="360" w:lineRule="auto"/>
        <w:ind w:firstLine="420" w:firstLineChars="200"/>
        <w:rPr>
          <w:szCs w:val="21"/>
        </w:rPr>
      </w:pPr>
      <w:r>
        <w:rPr>
          <w:szCs w:val="21"/>
        </w:rPr>
        <w:t>1、本课程为专业</w:t>
      </w:r>
      <w:r>
        <w:rPr>
          <w:rFonts w:hint="eastAsia"/>
          <w:szCs w:val="21"/>
        </w:rPr>
        <w:t>选修</w:t>
      </w:r>
      <w:r>
        <w:rPr>
          <w:szCs w:val="21"/>
        </w:rPr>
        <w:t>课，要求学生先修《C语言程序设计基础》及《单片机原理及应用》等课程。本课程的许多内容仍处于研究发展阶段，因此，在教学中重点以前沿技术介绍及课堂演示为主，指导学生了解无线传感器网络的体系结构、主要技术特征和</w:t>
      </w:r>
      <w:r>
        <w:rPr>
          <w:rFonts w:hint="eastAsia"/>
          <w:szCs w:val="21"/>
        </w:rPr>
        <w:t>支撑</w:t>
      </w:r>
      <w:r>
        <w:rPr>
          <w:szCs w:val="21"/>
        </w:rPr>
        <w:t>技术，培养利用无线传感网络技术手段解决工程问题的分析与设计能力。</w:t>
      </w:r>
    </w:p>
    <w:p>
      <w:pPr>
        <w:adjustRightInd w:val="0"/>
        <w:snapToGrid w:val="0"/>
        <w:spacing w:line="360" w:lineRule="auto"/>
        <w:ind w:firstLine="420" w:firstLineChars="200"/>
        <w:rPr>
          <w:szCs w:val="21"/>
        </w:rPr>
      </w:pPr>
      <w:r>
        <w:rPr>
          <w:szCs w:val="21"/>
        </w:rPr>
        <w:t>2、教师在教学中应注重基础知识、基本概念和思维方法的传授，同时结合应用实例开展类比式和启发式教学，让学生掌握基于无线传感器网络应用的基本设计方法，掌握其软硬件开发平台和仿真环境的使用。</w:t>
      </w:r>
    </w:p>
    <w:p>
      <w:pPr>
        <w:adjustRightInd w:val="0"/>
        <w:snapToGrid w:val="0"/>
        <w:spacing w:line="360" w:lineRule="auto"/>
        <w:ind w:firstLine="420" w:firstLineChars="200"/>
        <w:rPr>
          <w:szCs w:val="21"/>
        </w:rPr>
      </w:pPr>
      <w:r>
        <w:rPr>
          <w:szCs w:val="21"/>
        </w:rPr>
        <w:t>3、教师通过课堂演示教学，让学生了解无线传感器网络通信协议及相关国际标准、时间同步</w:t>
      </w:r>
      <w:r>
        <w:rPr>
          <w:rFonts w:hint="eastAsia"/>
          <w:szCs w:val="21"/>
        </w:rPr>
        <w:t>、</w:t>
      </w:r>
      <w:r>
        <w:rPr>
          <w:szCs w:val="21"/>
        </w:rPr>
        <w:t>节点定位和</w:t>
      </w:r>
      <w:r>
        <w:rPr>
          <w:rFonts w:hint="eastAsia"/>
          <w:szCs w:val="21"/>
        </w:rPr>
        <w:t>能量管理</w:t>
      </w:r>
      <w:r>
        <w:rPr>
          <w:szCs w:val="21"/>
        </w:rPr>
        <w:t>等支撑技术。</w:t>
      </w:r>
    </w:p>
    <w:p>
      <w:pPr>
        <w:adjustRightInd w:val="0"/>
        <w:snapToGrid w:val="0"/>
        <w:spacing w:line="360" w:lineRule="auto"/>
        <w:ind w:firstLine="420" w:firstLineChars="200"/>
        <w:rPr>
          <w:szCs w:val="21"/>
        </w:rPr>
      </w:pPr>
      <w:r>
        <w:rPr>
          <w:szCs w:val="21"/>
        </w:rPr>
        <w:t>4、教师结合经典的节点设计实例，让学生掌握无线传感网络节点硬件结构设计及控制软件开发方法。</w:t>
      </w:r>
    </w:p>
    <w:p>
      <w:pPr>
        <w:adjustRightInd w:val="0"/>
        <w:snapToGrid w:val="0"/>
        <w:spacing w:line="360" w:lineRule="auto"/>
        <w:ind w:firstLine="420" w:firstLineChars="200"/>
        <w:rPr>
          <w:szCs w:val="21"/>
        </w:rPr>
      </w:pPr>
      <w:r>
        <w:rPr>
          <w:szCs w:val="21"/>
        </w:rPr>
        <w:t>5、本课程要求学生通过演示教学环节把所学的内容巩固和掌握，需要在CAI教室进行授课。</w:t>
      </w:r>
    </w:p>
    <w:p>
      <w:pPr>
        <w:adjustRightInd w:val="0"/>
        <w:snapToGrid w:val="0"/>
        <w:spacing w:line="360" w:lineRule="auto"/>
        <w:ind w:firstLine="420" w:firstLineChars="200"/>
        <w:rPr>
          <w:szCs w:val="21"/>
        </w:rPr>
      </w:pPr>
      <w:r>
        <w:rPr>
          <w:rFonts w:hint="eastAsia"/>
          <w:szCs w:val="21"/>
        </w:rPr>
        <w:t>6、</w:t>
      </w:r>
      <w:r>
        <w:rPr>
          <w:szCs w:val="21"/>
        </w:rPr>
        <w:t>深度和广度说明：对基本概念、技术指标等只做简单介绍，对节点硬件结构设计、通信协议、支撑技术等要深入讲解。</w:t>
      </w:r>
      <w:r>
        <w:rPr>
          <w:rFonts w:hint="eastAsia"/>
          <w:szCs w:val="21"/>
        </w:rPr>
        <w:t>对WSN协议技术标准介绍涵盖广些。</w:t>
      </w:r>
      <w:r>
        <w:rPr>
          <w:szCs w:val="21"/>
        </w:rPr>
        <w:t>节点硬件系统设计、网络协议和支撑技术是重点。</w:t>
      </w:r>
    </w:p>
    <w:p>
      <w:pPr>
        <w:adjustRightInd w:val="0"/>
        <w:snapToGrid w:val="0"/>
        <w:spacing w:line="360" w:lineRule="auto"/>
        <w:ind w:firstLine="420" w:firstLineChars="200"/>
        <w:rPr>
          <w:szCs w:val="21"/>
        </w:rPr>
      </w:pPr>
      <w:r>
        <w:rPr>
          <w:rFonts w:hint="eastAsia"/>
          <w:szCs w:val="21"/>
        </w:rPr>
        <w:t>7、</w:t>
      </w:r>
      <w:r>
        <w:rPr>
          <w:szCs w:val="21"/>
        </w:rPr>
        <w:t>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4"/>
        </w:rPr>
      </w:pPr>
      <w:r>
        <w:rPr>
          <w:rFonts w:eastAsia="黑体"/>
          <w:szCs w:val="24"/>
        </w:rPr>
        <w:t>四、教学内容和教学方法</w:t>
      </w:r>
    </w:p>
    <w:p>
      <w:pPr>
        <w:adjustRightInd w:val="0"/>
        <w:snapToGrid w:val="0"/>
        <w:spacing w:line="360" w:lineRule="auto"/>
        <w:ind w:firstLine="420" w:firstLineChars="200"/>
        <w:rPr>
          <w:szCs w:val="21"/>
        </w:rPr>
      </w:pPr>
      <w:r>
        <w:rPr>
          <w:szCs w:val="21"/>
        </w:rPr>
        <w:t>本课程重点讲授的内容包括：无线传感网络系统的基本概念与结构、WSN节点硬件结构、WSN</w:t>
      </w:r>
      <w:r>
        <w:rPr>
          <w:rFonts w:hint="eastAsia"/>
          <w:szCs w:val="21"/>
        </w:rPr>
        <w:t>拓扑结构、</w:t>
      </w:r>
      <w:r>
        <w:rPr>
          <w:szCs w:val="21"/>
        </w:rPr>
        <w:t>节点通信与组网</w:t>
      </w:r>
      <w:r>
        <w:rPr>
          <w:rFonts w:hint="eastAsia"/>
          <w:szCs w:val="21"/>
        </w:rPr>
        <w:t>技术</w:t>
      </w:r>
      <w:r>
        <w:rPr>
          <w:szCs w:val="21"/>
        </w:rPr>
        <w:t>、无线传感网络支撑技术、无线传感网络协议相关国际标准及应用开发等。</w:t>
      </w:r>
    </w:p>
    <w:p>
      <w:pPr>
        <w:spacing w:line="360" w:lineRule="auto"/>
        <w:ind w:firstLine="420" w:firstLineChars="200"/>
        <w:rPr>
          <w:szCs w:val="21"/>
        </w:rPr>
      </w:pPr>
      <w:r>
        <w:rPr>
          <w:szCs w:val="21"/>
        </w:rPr>
        <w:t>本课程在教学方法上，充分利用各种媒体教学手段，采取课堂教学、多媒体课件、</w:t>
      </w:r>
      <w:r>
        <w:rPr>
          <w:rFonts w:hint="eastAsia"/>
          <w:szCs w:val="21"/>
        </w:rPr>
        <w:t>案例讲解、实物演示等教学方式</w:t>
      </w:r>
      <w:r>
        <w:rPr>
          <w:szCs w:val="21"/>
        </w:rPr>
        <w:t>，提高教学效率，使学生掌握无线传感网络系统</w:t>
      </w:r>
      <w:r>
        <w:rPr>
          <w:rFonts w:hint="eastAsia"/>
          <w:szCs w:val="21"/>
        </w:rPr>
        <w:t>的系统架构、工作原理和</w:t>
      </w:r>
      <w:r>
        <w:rPr>
          <w:szCs w:val="21"/>
        </w:rPr>
        <w:t>无线传感网络系统</w:t>
      </w:r>
      <w:r>
        <w:rPr>
          <w:rFonts w:hint="eastAsia"/>
          <w:szCs w:val="21"/>
        </w:rPr>
        <w:t>的</w:t>
      </w:r>
      <w:r>
        <w:rPr>
          <w:szCs w:val="21"/>
        </w:rPr>
        <w:t>设计方法及技能。</w:t>
      </w:r>
    </w:p>
    <w:p>
      <w:pPr>
        <w:adjustRightInd w:val="0"/>
        <w:snapToGrid w:val="0"/>
        <w:spacing w:line="360" w:lineRule="auto"/>
        <w:ind w:firstLine="420" w:firstLineChars="200"/>
        <w:rPr>
          <w:szCs w:val="21"/>
        </w:rPr>
      </w:pPr>
      <w:r>
        <w:rPr>
          <w:szCs w:val="21"/>
        </w:rPr>
        <w:t>为了提高学生的学习兴趣，并取得良好的教学效果，教师在知识讲解的过程中要充分利用问题引导、学生讨论</w:t>
      </w:r>
      <w:r>
        <w:rPr>
          <w:rFonts w:hint="eastAsia"/>
          <w:szCs w:val="21"/>
        </w:rPr>
        <w:t>和案例分析</w:t>
      </w:r>
      <w:r>
        <w:rPr>
          <w:szCs w:val="21"/>
        </w:rPr>
        <w:t>等多种教学方法，以进一步提高教学质量。</w:t>
      </w:r>
    </w:p>
    <w:p>
      <w:pPr>
        <w:pStyle w:val="52"/>
        <w:adjustRightInd w:val="0"/>
        <w:snapToGrid w:val="0"/>
        <w:spacing w:line="360" w:lineRule="auto"/>
        <w:ind w:firstLine="420" w:firstLineChars="200"/>
        <w:rPr>
          <w:rFonts w:eastAsia="黑体"/>
        </w:rPr>
      </w:pPr>
      <w:r>
        <w:rPr>
          <w:rFonts w:eastAsia="黑体"/>
        </w:rPr>
        <w:t>1 无线传感网络概述（2学时）</w:t>
      </w:r>
    </w:p>
    <w:p>
      <w:pPr>
        <w:pStyle w:val="52"/>
        <w:adjustRightInd w:val="0"/>
        <w:snapToGrid w:val="0"/>
        <w:spacing w:line="360" w:lineRule="auto"/>
        <w:ind w:firstLine="420" w:firstLineChars="200"/>
      </w:pPr>
      <w:r>
        <w:t>1.1 了解无线传感网络的基本概念与系统构成（重点）</w:t>
      </w:r>
    </w:p>
    <w:p>
      <w:pPr>
        <w:pStyle w:val="52"/>
        <w:adjustRightInd w:val="0"/>
        <w:snapToGrid w:val="0"/>
        <w:spacing w:line="360" w:lineRule="auto"/>
        <w:ind w:firstLine="420" w:firstLineChars="200"/>
      </w:pPr>
      <w:r>
        <w:t xml:space="preserve">1.2 </w:t>
      </w:r>
      <w:r>
        <w:rPr>
          <w:rFonts w:hint="eastAsia"/>
        </w:rPr>
        <w:t>熟练</w:t>
      </w:r>
      <w:r>
        <w:t>掌握无线传感网络的技术特征与技术指标（重点难点）</w:t>
      </w:r>
    </w:p>
    <w:p>
      <w:pPr>
        <w:pStyle w:val="52"/>
        <w:adjustRightInd w:val="0"/>
        <w:snapToGrid w:val="0"/>
        <w:spacing w:line="360" w:lineRule="auto"/>
        <w:ind w:firstLine="420" w:firstLineChars="200"/>
      </w:pPr>
      <w:r>
        <w:t>1.3 了解无线传感网络在各个领域中的应用</w:t>
      </w:r>
    </w:p>
    <w:p>
      <w:pPr>
        <w:pStyle w:val="52"/>
        <w:adjustRightInd w:val="0"/>
        <w:snapToGrid w:val="0"/>
        <w:spacing w:line="360" w:lineRule="auto"/>
        <w:ind w:firstLine="420" w:firstLineChars="200"/>
      </w:pPr>
      <w:r>
        <w:t>1.4 了解无线传感网络的发展历程及现状</w:t>
      </w:r>
    </w:p>
    <w:p>
      <w:pPr>
        <w:pStyle w:val="52"/>
        <w:adjustRightInd w:val="0"/>
        <w:snapToGrid w:val="0"/>
        <w:spacing w:line="360" w:lineRule="auto"/>
        <w:ind w:firstLine="420" w:firstLineChars="200"/>
      </w:pPr>
      <w:r>
        <w:t>本章内容支撑课程目标</w:t>
      </w:r>
      <w:r>
        <w:rPr>
          <w:rFonts w:hint="eastAsia"/>
        </w:rPr>
        <w:t>1。</w:t>
      </w:r>
    </w:p>
    <w:p>
      <w:pPr>
        <w:pStyle w:val="52"/>
        <w:adjustRightInd w:val="0"/>
        <w:snapToGrid w:val="0"/>
        <w:spacing w:line="360" w:lineRule="auto"/>
        <w:ind w:firstLine="420" w:firstLineChars="200"/>
        <w:rPr>
          <w:rFonts w:eastAsia="黑体"/>
        </w:rPr>
      </w:pPr>
      <w:r>
        <w:rPr>
          <w:rFonts w:eastAsia="黑体"/>
        </w:rPr>
        <w:t>2 无线传感网络节点设计（4学时）</w:t>
      </w:r>
    </w:p>
    <w:p>
      <w:pPr>
        <w:pStyle w:val="52"/>
        <w:adjustRightInd w:val="0"/>
        <w:snapToGrid w:val="0"/>
        <w:spacing w:line="360" w:lineRule="auto"/>
        <w:ind w:firstLine="420" w:firstLineChars="200"/>
      </w:pPr>
      <w:r>
        <w:t>2.1、</w:t>
      </w:r>
      <w:r>
        <w:rPr>
          <w:rFonts w:hint="eastAsia"/>
        </w:rPr>
        <w:t>熟练</w:t>
      </w:r>
      <w:r>
        <w:t>掌握节点的工作机制（难点）</w:t>
      </w:r>
    </w:p>
    <w:p>
      <w:pPr>
        <w:pStyle w:val="52"/>
        <w:adjustRightInd w:val="0"/>
        <w:snapToGrid w:val="0"/>
        <w:spacing w:line="360" w:lineRule="auto"/>
        <w:ind w:firstLine="420" w:firstLineChars="200"/>
      </w:pPr>
      <w:r>
        <w:t>2.2、掌握节点硬件结构（重点）</w:t>
      </w:r>
    </w:p>
    <w:p>
      <w:pPr>
        <w:pStyle w:val="52"/>
        <w:adjustRightInd w:val="0"/>
        <w:snapToGrid w:val="0"/>
        <w:spacing w:line="360" w:lineRule="auto"/>
        <w:ind w:firstLine="420" w:firstLineChars="200"/>
      </w:pPr>
      <w:r>
        <w:t>2.3、掌握节点硬件设计方法（难点）</w:t>
      </w:r>
    </w:p>
    <w:p>
      <w:pPr>
        <w:pStyle w:val="52"/>
        <w:adjustRightInd w:val="0"/>
        <w:snapToGrid w:val="0"/>
        <w:spacing w:line="360" w:lineRule="auto"/>
        <w:ind w:firstLine="420" w:firstLineChars="200"/>
      </w:pPr>
      <w:r>
        <w:t>2.4、了解节点硬件系统的最新发展动态</w:t>
      </w:r>
    </w:p>
    <w:p>
      <w:pPr>
        <w:pStyle w:val="52"/>
        <w:adjustRightInd w:val="0"/>
        <w:snapToGrid w:val="0"/>
        <w:spacing w:line="360" w:lineRule="auto"/>
        <w:ind w:firstLine="420" w:firstLineChars="200"/>
      </w:pPr>
      <w:r>
        <w:t>本章内容支撑课程目标</w:t>
      </w:r>
      <w:r>
        <w:rPr>
          <w:rFonts w:hint="eastAsia"/>
        </w:rPr>
        <w:t>1。</w:t>
      </w:r>
    </w:p>
    <w:p>
      <w:pPr>
        <w:pStyle w:val="52"/>
        <w:adjustRightInd w:val="0"/>
        <w:snapToGrid w:val="0"/>
        <w:spacing w:line="360" w:lineRule="auto"/>
        <w:ind w:firstLine="420" w:firstLineChars="200"/>
        <w:rPr>
          <w:rFonts w:eastAsia="黑体"/>
        </w:rPr>
      </w:pPr>
      <w:r>
        <w:rPr>
          <w:rFonts w:eastAsia="黑体"/>
        </w:rPr>
        <w:t>3 无线传感网络的通信与组网技术（6学时）</w:t>
      </w:r>
    </w:p>
    <w:p>
      <w:pPr>
        <w:pStyle w:val="52"/>
        <w:adjustRightInd w:val="0"/>
        <w:snapToGrid w:val="0"/>
        <w:spacing w:line="360" w:lineRule="auto"/>
        <w:ind w:firstLine="420" w:firstLineChars="200"/>
      </w:pPr>
      <w:r>
        <w:t>3.1了解无线传感网络通信的基本概念与方法（重点）</w:t>
      </w:r>
    </w:p>
    <w:p>
      <w:pPr>
        <w:pStyle w:val="52"/>
        <w:adjustRightInd w:val="0"/>
        <w:snapToGrid w:val="0"/>
        <w:spacing w:line="360" w:lineRule="auto"/>
        <w:ind w:firstLine="420" w:firstLineChars="200"/>
      </w:pPr>
      <w:r>
        <w:t xml:space="preserve">3.2 </w:t>
      </w:r>
      <w:r>
        <w:rPr>
          <w:rFonts w:hint="eastAsia"/>
        </w:rPr>
        <w:t>熟练</w:t>
      </w:r>
      <w:r>
        <w:t>掌握无线传感网络MAC层协议（难点）</w:t>
      </w:r>
    </w:p>
    <w:p>
      <w:pPr>
        <w:pStyle w:val="52"/>
        <w:adjustRightInd w:val="0"/>
        <w:snapToGrid w:val="0"/>
        <w:spacing w:line="360" w:lineRule="auto"/>
        <w:ind w:firstLine="420" w:firstLineChars="200"/>
      </w:pPr>
      <w:r>
        <w:t>3.3 掌握节点路由协议（难点）</w:t>
      </w:r>
    </w:p>
    <w:p>
      <w:pPr>
        <w:pStyle w:val="52"/>
        <w:adjustRightInd w:val="0"/>
        <w:snapToGrid w:val="0"/>
        <w:spacing w:line="360" w:lineRule="auto"/>
        <w:ind w:firstLine="420" w:firstLineChars="200"/>
      </w:pPr>
      <w:r>
        <w:t>3.4 了解无线传感网络协议的研究进展</w:t>
      </w:r>
    </w:p>
    <w:p>
      <w:pPr>
        <w:pStyle w:val="52"/>
        <w:adjustRightInd w:val="0"/>
        <w:snapToGrid w:val="0"/>
        <w:spacing w:line="360" w:lineRule="auto"/>
        <w:ind w:firstLine="420" w:firstLineChars="200"/>
      </w:pPr>
      <w:r>
        <w:t>本章内容支撑课程目标</w:t>
      </w:r>
      <w:r>
        <w:rPr>
          <w:rFonts w:hint="eastAsia"/>
        </w:rPr>
        <w:t>1。</w:t>
      </w:r>
    </w:p>
    <w:p>
      <w:pPr>
        <w:pStyle w:val="52"/>
        <w:adjustRightInd w:val="0"/>
        <w:snapToGrid w:val="0"/>
        <w:spacing w:line="360" w:lineRule="auto"/>
        <w:ind w:firstLine="420" w:firstLineChars="200"/>
        <w:rPr>
          <w:rFonts w:eastAsia="黑体"/>
        </w:rPr>
      </w:pPr>
      <w:r>
        <w:rPr>
          <w:rFonts w:eastAsia="黑体"/>
        </w:rPr>
        <w:t>4 无线传感器网络的支撑技术（8学时）</w:t>
      </w:r>
    </w:p>
    <w:p>
      <w:pPr>
        <w:pStyle w:val="52"/>
        <w:adjustRightInd w:val="0"/>
        <w:snapToGrid w:val="0"/>
        <w:spacing w:line="360" w:lineRule="auto"/>
        <w:ind w:firstLine="420" w:firstLineChars="200"/>
      </w:pPr>
      <w:r>
        <w:t>4.1掌握节点时间同步机制（难点）</w:t>
      </w:r>
    </w:p>
    <w:p>
      <w:pPr>
        <w:pStyle w:val="52"/>
        <w:adjustRightInd w:val="0"/>
        <w:snapToGrid w:val="0"/>
        <w:spacing w:line="360" w:lineRule="auto"/>
        <w:ind w:firstLine="420" w:firstLineChars="200"/>
      </w:pPr>
      <w:r>
        <w:t>4.2 掌握节点定位技术（难点）</w:t>
      </w:r>
    </w:p>
    <w:p>
      <w:pPr>
        <w:pStyle w:val="52"/>
        <w:adjustRightInd w:val="0"/>
        <w:snapToGrid w:val="0"/>
        <w:spacing w:line="360" w:lineRule="auto"/>
        <w:ind w:firstLine="420" w:firstLineChars="200"/>
      </w:pPr>
      <w:r>
        <w:t xml:space="preserve">4.3 </w:t>
      </w:r>
      <w:r>
        <w:rPr>
          <w:rFonts w:hint="eastAsia"/>
        </w:rPr>
        <w:t>熟练</w:t>
      </w:r>
      <w:r>
        <w:t>掌握节点能量管理技术（重点）</w:t>
      </w:r>
    </w:p>
    <w:p>
      <w:pPr>
        <w:pStyle w:val="52"/>
        <w:adjustRightInd w:val="0"/>
        <w:snapToGrid w:val="0"/>
        <w:spacing w:line="360" w:lineRule="auto"/>
        <w:ind w:firstLine="420" w:firstLineChars="200"/>
      </w:pPr>
      <w:r>
        <w:t>4.4 了解无线传感网络安全机制（重点）</w:t>
      </w:r>
    </w:p>
    <w:p>
      <w:pPr>
        <w:pStyle w:val="52"/>
        <w:adjustRightInd w:val="0"/>
        <w:snapToGrid w:val="0"/>
        <w:spacing w:line="360" w:lineRule="auto"/>
        <w:ind w:firstLine="420" w:firstLineChars="200"/>
      </w:pPr>
      <w:r>
        <w:t>本章内容支撑课程目标</w:t>
      </w:r>
      <w:r>
        <w:rPr>
          <w:rFonts w:hint="eastAsia"/>
        </w:rPr>
        <w:t>2、3。</w:t>
      </w:r>
    </w:p>
    <w:p>
      <w:pPr>
        <w:pStyle w:val="52"/>
        <w:adjustRightInd w:val="0"/>
        <w:snapToGrid w:val="0"/>
        <w:spacing w:line="360" w:lineRule="auto"/>
        <w:ind w:firstLine="420" w:firstLineChars="200"/>
        <w:rPr>
          <w:rFonts w:eastAsia="黑体"/>
        </w:rPr>
      </w:pPr>
      <w:r>
        <w:rPr>
          <w:rFonts w:eastAsia="黑体"/>
        </w:rPr>
        <w:t>5 无线传感网络协议的技术标准（6学时）</w:t>
      </w:r>
      <w:r>
        <w:rPr>
          <w:rFonts w:eastAsia="黑体"/>
        </w:rPr>
        <w:tab/>
      </w:r>
    </w:p>
    <w:p>
      <w:pPr>
        <w:pStyle w:val="52"/>
        <w:adjustRightInd w:val="0"/>
        <w:snapToGrid w:val="0"/>
        <w:spacing w:line="360" w:lineRule="auto"/>
        <w:ind w:firstLine="420" w:firstLineChars="200"/>
      </w:pPr>
      <w:r>
        <w:t>5.1 了解 WSN网络协议IEEE相关技术标准</w:t>
      </w:r>
    </w:p>
    <w:p>
      <w:pPr>
        <w:pStyle w:val="52"/>
        <w:adjustRightInd w:val="0"/>
        <w:snapToGrid w:val="0"/>
        <w:spacing w:line="360" w:lineRule="auto"/>
        <w:ind w:firstLine="420" w:firstLineChars="200"/>
      </w:pPr>
      <w:r>
        <w:t>5.</w:t>
      </w:r>
      <w:r>
        <w:fldChar w:fldCharType="begin"/>
      </w:r>
      <w:r>
        <w:instrText xml:space="preserve"> HYPERLINK \l "_Toc196055535" </w:instrText>
      </w:r>
      <w:r>
        <w:fldChar w:fldCharType="separate"/>
      </w:r>
      <w:r>
        <w:t xml:space="preserve">2 </w:t>
      </w:r>
      <w:r>
        <w:rPr>
          <w:rFonts w:hint="eastAsia"/>
        </w:rPr>
        <w:t>掌握</w:t>
      </w:r>
      <w:r>
        <w:rPr>
          <w:rFonts w:hint="eastAsia"/>
        </w:rPr>
        <w:fldChar w:fldCharType="end"/>
      </w:r>
      <w:r>
        <w:t>ZigBee协议标准（重点）</w:t>
      </w:r>
    </w:p>
    <w:p>
      <w:pPr>
        <w:pStyle w:val="52"/>
        <w:adjustRightInd w:val="0"/>
        <w:snapToGrid w:val="0"/>
        <w:spacing w:line="360" w:lineRule="auto"/>
        <w:ind w:firstLine="420" w:firstLineChars="200"/>
      </w:pPr>
      <w:r>
        <w:t>5.</w:t>
      </w:r>
      <w:r>
        <w:fldChar w:fldCharType="begin"/>
      </w:r>
      <w:r>
        <w:instrText xml:space="preserve"> HYPERLINK \l "_Toc196055535" </w:instrText>
      </w:r>
      <w:r>
        <w:fldChar w:fldCharType="separate"/>
      </w:r>
      <w:r>
        <w:t>3 了解</w:t>
      </w:r>
      <w:r>
        <w:fldChar w:fldCharType="end"/>
      </w:r>
      <w:r>
        <w:t>蓝牙协议标准（重点）</w:t>
      </w:r>
    </w:p>
    <w:p>
      <w:pPr>
        <w:pStyle w:val="52"/>
        <w:adjustRightInd w:val="0"/>
        <w:snapToGrid w:val="0"/>
        <w:spacing w:line="360" w:lineRule="auto"/>
        <w:ind w:firstLine="420" w:firstLineChars="200"/>
      </w:pPr>
      <w:r>
        <w:t>本章内容支撑课程目标</w:t>
      </w:r>
      <w:r>
        <w:rPr>
          <w:rFonts w:hint="eastAsia"/>
        </w:rPr>
        <w:t>1、2。</w:t>
      </w:r>
    </w:p>
    <w:p>
      <w:pPr>
        <w:pStyle w:val="52"/>
        <w:adjustRightInd w:val="0"/>
        <w:snapToGrid w:val="0"/>
        <w:spacing w:line="360" w:lineRule="auto"/>
        <w:ind w:firstLine="420" w:firstLineChars="200"/>
        <w:rPr>
          <w:rFonts w:eastAsia="黑体"/>
        </w:rPr>
      </w:pPr>
      <w:r>
        <w:rPr>
          <w:rFonts w:eastAsia="黑体"/>
        </w:rPr>
        <w:t>6 无线传感网络的应用开发基础（4学时）</w:t>
      </w:r>
    </w:p>
    <w:p>
      <w:pPr>
        <w:pStyle w:val="52"/>
        <w:adjustRightInd w:val="0"/>
        <w:snapToGrid w:val="0"/>
        <w:spacing w:line="360" w:lineRule="auto"/>
        <w:ind w:firstLine="420" w:firstLineChars="200"/>
      </w:pPr>
      <w:r>
        <w:rPr>
          <w:rFonts w:hint="eastAsia"/>
        </w:rPr>
        <w:t>6</w:t>
      </w:r>
      <w:r>
        <w:t>.1了解节点用微操作系统</w:t>
      </w:r>
    </w:p>
    <w:p>
      <w:pPr>
        <w:pStyle w:val="52"/>
        <w:adjustRightInd w:val="0"/>
        <w:snapToGrid w:val="0"/>
        <w:spacing w:line="360" w:lineRule="auto"/>
        <w:ind w:firstLine="420" w:firstLineChars="200"/>
      </w:pPr>
      <w:r>
        <w:rPr>
          <w:rFonts w:hint="eastAsia"/>
        </w:rPr>
        <w:t>6</w:t>
      </w:r>
      <w:r>
        <w:t>.2掌握WSN节点软件功能及开发方法（重点难点）</w:t>
      </w:r>
    </w:p>
    <w:p>
      <w:pPr>
        <w:pStyle w:val="52"/>
        <w:adjustRightInd w:val="0"/>
        <w:snapToGrid w:val="0"/>
        <w:spacing w:line="360" w:lineRule="auto"/>
        <w:ind w:firstLine="420" w:firstLineChars="200"/>
      </w:pPr>
      <w:r>
        <w:rPr>
          <w:rFonts w:hint="eastAsia"/>
        </w:rPr>
        <w:t>6</w:t>
      </w:r>
      <w:r>
        <w:t>.3 了解常用的WSN仿真软件</w:t>
      </w:r>
    </w:p>
    <w:p>
      <w:pPr>
        <w:pStyle w:val="52"/>
        <w:adjustRightInd w:val="0"/>
        <w:snapToGrid w:val="0"/>
        <w:spacing w:line="360" w:lineRule="auto"/>
        <w:ind w:firstLine="420" w:firstLineChars="200"/>
      </w:pPr>
      <w:r>
        <w:t>本章内容支撑课程目标</w:t>
      </w:r>
      <w:r>
        <w:rPr>
          <w:rFonts w:hint="eastAsia"/>
        </w:rPr>
        <w:t>1。</w:t>
      </w:r>
    </w:p>
    <w:p>
      <w:pPr>
        <w:pStyle w:val="52"/>
        <w:adjustRightInd w:val="0"/>
        <w:snapToGrid w:val="0"/>
        <w:spacing w:line="360" w:lineRule="auto"/>
        <w:ind w:firstLine="420" w:firstLineChars="200"/>
        <w:rPr>
          <w:rFonts w:eastAsia="黑体"/>
        </w:rPr>
      </w:pPr>
      <w:r>
        <w:rPr>
          <w:rFonts w:eastAsia="黑体"/>
        </w:rPr>
        <w:t>7 无线传感网络典型应用介绍（2学时）</w:t>
      </w:r>
    </w:p>
    <w:p>
      <w:pPr>
        <w:pStyle w:val="52"/>
        <w:adjustRightInd w:val="0"/>
        <w:snapToGrid w:val="0"/>
        <w:spacing w:line="360" w:lineRule="auto"/>
        <w:ind w:firstLine="420" w:firstLineChars="200"/>
      </w:pPr>
      <w:r>
        <w:t>7.1 了解WSN的典型应用领域</w:t>
      </w:r>
    </w:p>
    <w:p>
      <w:pPr>
        <w:pStyle w:val="52"/>
        <w:adjustRightInd w:val="0"/>
        <w:snapToGrid w:val="0"/>
        <w:spacing w:line="360" w:lineRule="auto"/>
        <w:ind w:firstLine="420" w:firstLineChars="200"/>
      </w:pPr>
      <w:r>
        <w:t>7.</w:t>
      </w:r>
      <w:r>
        <w:rPr>
          <w:rFonts w:hint="eastAsia"/>
        </w:rPr>
        <w:t>2</w:t>
      </w:r>
      <w:r>
        <w:t>掌握WSN典型应用的系统设计方法（难点）</w:t>
      </w:r>
    </w:p>
    <w:p>
      <w:pPr>
        <w:pStyle w:val="52"/>
        <w:adjustRightInd w:val="0"/>
        <w:snapToGrid w:val="0"/>
        <w:spacing w:line="360" w:lineRule="auto"/>
        <w:ind w:firstLine="420" w:firstLineChars="200"/>
      </w:pPr>
      <w:r>
        <w:t>本章内容支撑课程目标</w:t>
      </w:r>
      <w:r>
        <w:rPr>
          <w:rFonts w:hint="eastAsia"/>
        </w:rPr>
        <w:t>1、2。</w:t>
      </w:r>
    </w:p>
    <w:p>
      <w:pPr>
        <w:pStyle w:val="52"/>
        <w:adjustRightInd w:val="0"/>
        <w:snapToGrid w:val="0"/>
        <w:spacing w:line="360" w:lineRule="auto"/>
        <w:ind w:firstLine="420" w:firstLineChars="200"/>
      </w:pPr>
    </w:p>
    <w:p>
      <w:pPr>
        <w:tabs>
          <w:tab w:val="left" w:pos="420"/>
        </w:tabs>
        <w:adjustRightInd w:val="0"/>
        <w:snapToGrid w:val="0"/>
        <w:spacing w:line="360" w:lineRule="auto"/>
        <w:ind w:left="420" w:hanging="420"/>
        <w:rPr>
          <w:rFonts w:eastAsia="黑体"/>
          <w:szCs w:val="24"/>
        </w:rPr>
      </w:pPr>
      <w:r>
        <w:rPr>
          <w:rFonts w:eastAsia="黑体"/>
          <w:szCs w:val="24"/>
        </w:rPr>
        <w:t>五、实验内容</w:t>
      </w:r>
    </w:p>
    <w:p>
      <w:pPr>
        <w:adjustRightInd w:val="0"/>
        <w:snapToGrid w:val="0"/>
        <w:spacing w:line="360" w:lineRule="auto"/>
        <w:ind w:firstLine="420"/>
        <w:rPr>
          <w:szCs w:val="21"/>
        </w:rPr>
      </w:pPr>
      <w:r>
        <w:rPr>
          <w:rFonts w:hint="eastAsia"/>
          <w:szCs w:val="21"/>
        </w:rPr>
        <w:t>无</w:t>
      </w:r>
    </w:p>
    <w:p>
      <w:pPr>
        <w:adjustRightInd w:val="0"/>
        <w:snapToGrid w:val="0"/>
        <w:spacing w:line="360" w:lineRule="auto"/>
        <w:ind w:left="422" w:leftChars="201" w:firstLine="420" w:firstLineChars="200"/>
        <w:rPr>
          <w:szCs w:val="21"/>
        </w:rPr>
      </w:pPr>
    </w:p>
    <w:p>
      <w:pPr>
        <w:widowControl/>
        <w:adjustRightInd w:val="0"/>
        <w:snapToGrid w:val="0"/>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161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adjustRightInd w:val="0"/>
              <w:snapToGrid w:val="0"/>
              <w:jc w:val="center"/>
              <w:rPr>
                <w:sz w:val="18"/>
                <w:szCs w:val="18"/>
              </w:rPr>
            </w:pPr>
            <w:r>
              <w:rPr>
                <w:sz w:val="18"/>
                <w:szCs w:val="18"/>
              </w:rPr>
              <w:t>讲授的知识点及内容</w:t>
            </w:r>
          </w:p>
        </w:tc>
        <w:tc>
          <w:tcPr>
            <w:tcW w:w="972" w:type="pct"/>
            <w:shd w:val="clear" w:color="auto" w:fill="auto"/>
            <w:vAlign w:val="center"/>
          </w:tcPr>
          <w:p>
            <w:pPr>
              <w:adjustRightInd w:val="0"/>
              <w:snapToGrid w:val="0"/>
              <w:jc w:val="center"/>
              <w:rPr>
                <w:sz w:val="18"/>
                <w:szCs w:val="18"/>
              </w:rPr>
            </w:pPr>
            <w:r>
              <w:rPr>
                <w:sz w:val="18"/>
                <w:szCs w:val="18"/>
              </w:rPr>
              <w:t>讲授（学时）</w:t>
            </w:r>
          </w:p>
        </w:tc>
        <w:tc>
          <w:tcPr>
            <w:tcW w:w="983" w:type="pct"/>
            <w:shd w:val="clear" w:color="auto" w:fill="auto"/>
            <w:vAlign w:val="center"/>
          </w:tcPr>
          <w:p>
            <w:pPr>
              <w:adjustRightInd w:val="0"/>
              <w:snapToGrid w:val="0"/>
              <w:jc w:val="center"/>
              <w:rPr>
                <w:sz w:val="18"/>
                <w:szCs w:val="18"/>
              </w:rPr>
            </w:pPr>
            <w:r>
              <w:rPr>
                <w:sz w:val="18"/>
                <w:szCs w:val="18"/>
              </w:rPr>
              <w:t>实验（学时）</w:t>
            </w:r>
          </w:p>
        </w:tc>
        <w:tc>
          <w:tcPr>
            <w:tcW w:w="804"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1 无线传感网络概述</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2 无线传感网络节点设计</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3 无线传感网络的通信与组网技术</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6</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4 无线传感器网络的支撑技术</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8</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5 无线传感网络协议的技术标准</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6</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6 无线传感网络的应用开发基础</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7 无线传感网络典型应用介绍</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41" w:type="pct"/>
            <w:shd w:val="clear" w:color="auto" w:fill="auto"/>
            <w:vAlign w:val="center"/>
          </w:tcPr>
          <w:p>
            <w:pPr>
              <w:widowControl/>
              <w:adjustRightInd w:val="0"/>
              <w:snapToGrid w:val="0"/>
              <w:jc w:val="center"/>
              <w:rPr>
                <w:snapToGrid w:val="0"/>
                <w:kern w:val="0"/>
                <w:sz w:val="18"/>
                <w:szCs w:val="18"/>
              </w:rPr>
            </w:pPr>
            <w:r>
              <w:rPr>
                <w:rFonts w:hint="eastAsia"/>
                <w:snapToGrid w:val="0"/>
                <w:kern w:val="0"/>
                <w:sz w:val="18"/>
                <w:szCs w:val="18"/>
              </w:rPr>
              <w:t>合</w:t>
            </w:r>
            <w:r>
              <w:rPr>
                <w:snapToGrid w:val="0"/>
                <w:kern w:val="0"/>
                <w:sz w:val="18"/>
                <w:szCs w:val="18"/>
              </w:rPr>
              <w:t>计</w:t>
            </w:r>
          </w:p>
        </w:tc>
        <w:tc>
          <w:tcPr>
            <w:tcW w:w="972" w:type="pct"/>
            <w:shd w:val="clear" w:color="auto" w:fill="auto"/>
            <w:vAlign w:val="center"/>
          </w:tcPr>
          <w:p>
            <w:pPr>
              <w:widowControl/>
              <w:adjustRightInd w:val="0"/>
              <w:snapToGrid w:val="0"/>
              <w:jc w:val="center"/>
              <w:rPr>
                <w:kern w:val="0"/>
                <w:sz w:val="18"/>
                <w:szCs w:val="18"/>
              </w:rPr>
            </w:pPr>
            <w:r>
              <w:rPr>
                <w:kern w:val="0"/>
                <w:sz w:val="18"/>
                <w:szCs w:val="18"/>
              </w:rPr>
              <w:t>32</w:t>
            </w:r>
          </w:p>
        </w:tc>
        <w:tc>
          <w:tcPr>
            <w:tcW w:w="983" w:type="pct"/>
            <w:shd w:val="clear" w:color="auto" w:fill="auto"/>
            <w:vAlign w:val="center"/>
          </w:tcPr>
          <w:p>
            <w:pPr>
              <w:widowControl/>
              <w:adjustRightInd w:val="0"/>
              <w:snapToGrid w:val="0"/>
              <w:jc w:val="center"/>
              <w:rPr>
                <w:kern w:val="0"/>
                <w:sz w:val="18"/>
                <w:szCs w:val="18"/>
              </w:rPr>
            </w:pPr>
            <w:r>
              <w:rPr>
                <w:kern w:val="0"/>
                <w:sz w:val="18"/>
                <w:szCs w:val="18"/>
              </w:rPr>
              <w:t>0</w:t>
            </w:r>
          </w:p>
        </w:tc>
        <w:tc>
          <w:tcPr>
            <w:tcW w:w="804" w:type="pct"/>
            <w:shd w:val="clear" w:color="auto" w:fill="auto"/>
            <w:vAlign w:val="center"/>
          </w:tcPr>
          <w:p>
            <w:pPr>
              <w:widowControl/>
              <w:adjustRightInd w:val="0"/>
              <w:snapToGrid w:val="0"/>
              <w:jc w:val="center"/>
              <w:rPr>
                <w:kern w:val="0"/>
                <w:sz w:val="18"/>
                <w:szCs w:val="18"/>
              </w:rPr>
            </w:pPr>
            <w:r>
              <w:rPr>
                <w:kern w:val="0"/>
                <w:sz w:val="18"/>
                <w:szCs w:val="18"/>
              </w:rPr>
              <w:t>32</w:t>
            </w:r>
          </w:p>
        </w:tc>
      </w:tr>
    </w:tbl>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eastAsia="黑体"/>
          <w:szCs w:val="24"/>
        </w:rPr>
        <w:t>七、教材、补充教材及参考资料</w:t>
      </w:r>
    </w:p>
    <w:p>
      <w:pPr>
        <w:adjustRightInd w:val="0"/>
        <w:snapToGrid w:val="0"/>
        <w:spacing w:line="360" w:lineRule="auto"/>
        <w:ind w:firstLine="420" w:firstLineChars="200"/>
        <w:rPr>
          <w:szCs w:val="21"/>
        </w:rPr>
      </w:pPr>
      <w:r>
        <w:rPr>
          <w:szCs w:val="21"/>
        </w:rPr>
        <w:t>1、</w:t>
      </w:r>
      <w:r>
        <w:fldChar w:fldCharType="begin"/>
      </w:r>
      <w:r>
        <w:instrText xml:space="preserve"> HYPERLINK "http://www.dangdang.com/author/%D0%ED%D2%E3_1" \t "http://product.dangdang.com/_blank" </w:instrText>
      </w:r>
      <w:r>
        <w:fldChar w:fldCharType="separate"/>
      </w:r>
      <w:r>
        <w:rPr>
          <w:szCs w:val="21"/>
        </w:rPr>
        <w:t>许毅</w:t>
      </w:r>
      <w:r>
        <w:rPr>
          <w:szCs w:val="21"/>
        </w:rPr>
        <w:fldChar w:fldCharType="end"/>
      </w:r>
      <w:r>
        <w:rPr>
          <w:szCs w:val="21"/>
        </w:rPr>
        <w:t>，《无线传感器网络原理及方法》，ISBN：9787302261414，</w:t>
      </w:r>
      <w:r>
        <w:fldChar w:fldCharType="begin"/>
      </w:r>
      <w:r>
        <w:instrText xml:space="preserve"> HYPERLINK "http://www.dangdang.com/publish/%C7%E5%BB%AA%B4%F3%D1%A7%B3%F6%B0%E6%C9%E7_1" \t "http://product.dangdang.com/_blank" </w:instrText>
      </w:r>
      <w:r>
        <w:fldChar w:fldCharType="separate"/>
      </w:r>
      <w:r>
        <w:rPr>
          <w:szCs w:val="21"/>
        </w:rPr>
        <w:t>清华大学出版社</w:t>
      </w:r>
      <w:r>
        <w:rPr>
          <w:szCs w:val="21"/>
        </w:rPr>
        <w:fldChar w:fldCharType="end"/>
      </w:r>
      <w:r>
        <w:rPr>
          <w:szCs w:val="21"/>
        </w:rPr>
        <w:t>。</w:t>
      </w:r>
    </w:p>
    <w:p>
      <w:pPr>
        <w:adjustRightInd w:val="0"/>
        <w:snapToGrid w:val="0"/>
        <w:spacing w:line="360" w:lineRule="auto"/>
        <w:ind w:firstLine="420" w:firstLineChars="200"/>
        <w:rPr>
          <w:szCs w:val="21"/>
        </w:rPr>
      </w:pPr>
      <w:r>
        <w:rPr>
          <w:szCs w:val="21"/>
        </w:rPr>
        <w:t>2、</w:t>
      </w:r>
      <w:r>
        <w:fldChar w:fldCharType="begin"/>
      </w:r>
      <w:r>
        <w:instrText xml:space="preserve"> HYPERLINK "http://www.dangdang.com/author/%CB%EF%C0%FB%C3%F1_1" \t "http://product.dangdang.com/_blank" </w:instrText>
      </w:r>
      <w:r>
        <w:fldChar w:fldCharType="separate"/>
      </w:r>
      <w:r>
        <w:rPr>
          <w:szCs w:val="21"/>
        </w:rPr>
        <w:t>孙利民</w:t>
      </w:r>
      <w:r>
        <w:rPr>
          <w:szCs w:val="21"/>
        </w:rPr>
        <w:fldChar w:fldCharType="end"/>
      </w:r>
      <w:r>
        <w:rPr>
          <w:szCs w:val="21"/>
        </w:rPr>
        <w:t>等，《无线传感器网络》，ISBN：9787302106937，</w:t>
      </w:r>
      <w:r>
        <w:fldChar w:fldCharType="begin"/>
      </w:r>
      <w:r>
        <w:instrText xml:space="preserve"> HYPERLINK "http://www.dangdang.com/publish/%C7%E5%BB%AA%B4%F3%D1%A7%B3%F6%B0%E6%C9%E7_1" \t "http://product.dangdang.com/_blank" </w:instrText>
      </w:r>
      <w:r>
        <w:fldChar w:fldCharType="separate"/>
      </w:r>
      <w:r>
        <w:rPr>
          <w:szCs w:val="21"/>
        </w:rPr>
        <w:t>清华大学出版社</w:t>
      </w:r>
      <w:r>
        <w:rPr>
          <w:szCs w:val="21"/>
        </w:rPr>
        <w:fldChar w:fldCharType="end"/>
      </w:r>
      <w:r>
        <w:rPr>
          <w:szCs w:val="21"/>
        </w:rPr>
        <w:t>。</w:t>
      </w:r>
    </w:p>
    <w:p>
      <w:pPr>
        <w:adjustRightInd w:val="0"/>
        <w:snapToGrid w:val="0"/>
        <w:spacing w:line="360" w:lineRule="auto"/>
        <w:ind w:firstLine="420" w:firstLineChars="200"/>
        <w:rPr>
          <w:szCs w:val="21"/>
        </w:rPr>
      </w:pPr>
      <w:r>
        <w:rPr>
          <w:szCs w:val="21"/>
        </w:rPr>
        <w:t>3、</w:t>
      </w:r>
      <w:r>
        <w:fldChar w:fldCharType="begin"/>
      </w:r>
      <w:r>
        <w:instrText xml:space="preserve"> HYPERLINK "http://www.dangdang.com/author/%D0%EC%C6%BD%C6%BD_1" \t "http://product.dangdang.com/_blank" </w:instrText>
      </w:r>
      <w:r>
        <w:fldChar w:fldCharType="separate"/>
      </w:r>
      <w:r>
        <w:rPr>
          <w:szCs w:val="21"/>
        </w:rPr>
        <w:t>徐平平</w:t>
      </w:r>
      <w:r>
        <w:rPr>
          <w:szCs w:val="21"/>
        </w:rPr>
        <w:fldChar w:fldCharType="end"/>
      </w:r>
      <w:r>
        <w:rPr>
          <w:szCs w:val="21"/>
        </w:rPr>
        <w:t>等译，《无线传感器网络》，ISBN：9787121191602，</w:t>
      </w:r>
      <w:r>
        <w:fldChar w:fldCharType="begin"/>
      </w:r>
      <w:r>
        <w:instrText xml:space="preserve"> HYPERLINK "http://www.dangdang.com/publish/%B5%E7%D7%D3%B9%A4%D2%B5%B3%F6%B0%E6%C9%E7_1" \t "http://product.dangdang.com/_blank" </w:instrText>
      </w:r>
      <w:r>
        <w:fldChar w:fldCharType="separate"/>
      </w:r>
      <w:r>
        <w:rPr>
          <w:szCs w:val="21"/>
        </w:rPr>
        <w:t>电子工业出版社</w:t>
      </w:r>
      <w:r>
        <w:rPr>
          <w:szCs w:val="21"/>
        </w:rPr>
        <w:fldChar w:fldCharType="end"/>
      </w:r>
      <w:r>
        <w:rPr>
          <w:szCs w:val="21"/>
        </w:rPr>
        <w:t>。</w:t>
      </w:r>
    </w:p>
    <w:p>
      <w:pPr>
        <w:tabs>
          <w:tab w:val="left" w:pos="420"/>
        </w:tabs>
        <w:adjustRightInd w:val="0"/>
        <w:snapToGrid w:val="0"/>
        <w:spacing w:line="360" w:lineRule="auto"/>
        <w:ind w:left="105" w:leftChars="50" w:firstLine="315" w:firstLineChars="150"/>
        <w:rPr>
          <w:rFonts w:eastAsia="黑体"/>
          <w:szCs w:val="24"/>
        </w:rPr>
      </w:pPr>
      <w:r>
        <w:rPr>
          <w:rFonts w:hint="eastAsia"/>
          <w:szCs w:val="21"/>
        </w:rPr>
        <w:t>4、视频资料：《无线传感网技术》，中国大学MOOC，资料链接： https://www.icourse163.org/spoc/course/081001WHUT076S-1002469008。</w:t>
      </w:r>
    </w:p>
    <w:p>
      <w:pPr>
        <w:tabs>
          <w:tab w:val="left" w:pos="420"/>
        </w:tabs>
        <w:adjustRightInd w:val="0"/>
        <w:snapToGrid w:val="0"/>
        <w:spacing w:line="360" w:lineRule="auto"/>
        <w:ind w:left="420" w:hanging="420"/>
        <w:rPr>
          <w:rFonts w:eastAsia="黑体"/>
          <w:szCs w:val="24"/>
        </w:rPr>
      </w:pPr>
      <w:r>
        <w:rPr>
          <w:rFonts w:eastAsia="黑体"/>
          <w:szCs w:val="24"/>
        </w:rPr>
        <w:t>八、课程目标达成的途径和措施</w:t>
      </w:r>
    </w:p>
    <w:p>
      <w:pPr>
        <w:adjustRightInd w:val="0"/>
        <w:snapToGrid w:val="0"/>
        <w:spacing w:line="360" w:lineRule="auto"/>
        <w:ind w:firstLine="420" w:firstLineChars="200"/>
        <w:rPr>
          <w:szCs w:val="21"/>
        </w:rPr>
      </w:pPr>
      <w:r>
        <w:rPr>
          <w:szCs w:val="21"/>
        </w:rPr>
        <w:t>1、考核目标：在考核学生对WSN系统基本知识、基本原理和方法理解基础上，重点考核学生的WSN节点硬件结构设计的掌握程度、WSN</w:t>
      </w:r>
      <w:r>
        <w:rPr>
          <w:rFonts w:hint="eastAsia"/>
          <w:szCs w:val="21"/>
        </w:rPr>
        <w:t>支撑技术</w:t>
      </w:r>
      <w:r>
        <w:rPr>
          <w:szCs w:val="21"/>
        </w:rPr>
        <w:t>的掌握程度和WSN</w:t>
      </w:r>
      <w:r>
        <w:rPr>
          <w:rFonts w:hint="eastAsia"/>
          <w:szCs w:val="21"/>
        </w:rPr>
        <w:t>整体架构</w:t>
      </w:r>
      <w:r>
        <w:rPr>
          <w:rFonts w:hint="eastAsia"/>
        </w:rPr>
        <w:t>设计</w:t>
      </w:r>
      <w:r>
        <w:rPr>
          <w:szCs w:val="21"/>
        </w:rPr>
        <w:t>能力。</w:t>
      </w:r>
    </w:p>
    <w:p>
      <w:pPr>
        <w:adjustRightInd w:val="0"/>
        <w:snapToGrid w:val="0"/>
        <w:spacing w:line="360" w:lineRule="auto"/>
        <w:ind w:firstLine="420" w:firstLineChars="200"/>
        <w:rPr>
          <w:szCs w:val="21"/>
        </w:rPr>
      </w:pPr>
      <w:r>
        <w:rPr>
          <w:szCs w:val="21"/>
        </w:rPr>
        <w:t>2、考核方式：考试、作业及课堂提问。</w:t>
      </w:r>
    </w:p>
    <w:p>
      <w:pPr>
        <w:adjustRightInd w:val="0"/>
        <w:snapToGrid w:val="0"/>
        <w:spacing w:line="360" w:lineRule="auto"/>
        <w:ind w:firstLine="420" w:firstLineChars="200"/>
        <w:rPr>
          <w:szCs w:val="21"/>
        </w:rPr>
      </w:pPr>
      <w:r>
        <w:rPr>
          <w:szCs w:val="21"/>
        </w:rPr>
        <w:t>3、评价环节对课程目标达成贡献率及支撑材料：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041"/>
        <w:gridCol w:w="2136"/>
        <w:gridCol w:w="1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344" w:type="pct"/>
            <w:shd w:val="clear" w:color="auto" w:fill="auto"/>
            <w:vAlign w:val="center"/>
          </w:tcPr>
          <w:p>
            <w:pPr>
              <w:widowControl/>
              <w:jc w:val="center"/>
              <w:rPr>
                <w:kern w:val="0"/>
                <w:sz w:val="18"/>
                <w:szCs w:val="18"/>
              </w:rPr>
            </w:pPr>
            <w:r>
              <w:rPr>
                <w:kern w:val="0"/>
                <w:sz w:val="18"/>
                <w:szCs w:val="18"/>
              </w:rPr>
              <w:t>考察环节</w:t>
            </w:r>
          </w:p>
        </w:tc>
        <w:tc>
          <w:tcPr>
            <w:tcW w:w="1228" w:type="pct"/>
            <w:shd w:val="clear" w:color="auto" w:fill="auto"/>
            <w:vAlign w:val="center"/>
          </w:tcPr>
          <w:p>
            <w:pPr>
              <w:widowControl/>
              <w:jc w:val="center"/>
              <w:rPr>
                <w:kern w:val="0"/>
                <w:sz w:val="18"/>
                <w:szCs w:val="18"/>
              </w:rPr>
            </w:pPr>
            <w:r>
              <w:rPr>
                <w:kern w:val="0"/>
                <w:sz w:val="18"/>
                <w:szCs w:val="18"/>
              </w:rPr>
              <w:t>课堂情况</w:t>
            </w:r>
          </w:p>
        </w:tc>
        <w:tc>
          <w:tcPr>
            <w:tcW w:w="1285" w:type="pct"/>
            <w:shd w:val="clear" w:color="auto" w:fill="auto"/>
            <w:vAlign w:val="center"/>
          </w:tcPr>
          <w:p>
            <w:pPr>
              <w:widowControl/>
              <w:jc w:val="center"/>
              <w:rPr>
                <w:kern w:val="0"/>
                <w:sz w:val="18"/>
                <w:szCs w:val="18"/>
              </w:rPr>
            </w:pPr>
            <w:r>
              <w:rPr>
                <w:kern w:val="0"/>
                <w:sz w:val="18"/>
                <w:szCs w:val="18"/>
              </w:rPr>
              <w:t>作业</w:t>
            </w:r>
          </w:p>
        </w:tc>
        <w:tc>
          <w:tcPr>
            <w:tcW w:w="1143" w:type="pct"/>
            <w:shd w:val="clear" w:color="auto" w:fill="auto"/>
            <w:vAlign w:val="center"/>
          </w:tcPr>
          <w:p>
            <w:pPr>
              <w:widowControl/>
              <w:jc w:val="center"/>
              <w:rPr>
                <w:kern w:val="0"/>
                <w:sz w:val="18"/>
                <w:szCs w:val="18"/>
              </w:rPr>
            </w:pPr>
            <w:r>
              <w:rPr>
                <w:kern w:val="0"/>
                <w:sz w:val="18"/>
                <w:szCs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pct"/>
            <w:shd w:val="clear" w:color="auto" w:fill="auto"/>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1228" w:type="pct"/>
            <w:shd w:val="clear" w:color="auto" w:fill="auto"/>
            <w:vAlign w:val="center"/>
          </w:tcPr>
          <w:p>
            <w:pPr>
              <w:widowControl/>
              <w:jc w:val="center"/>
              <w:rPr>
                <w:kern w:val="0"/>
                <w:sz w:val="18"/>
                <w:szCs w:val="18"/>
              </w:rPr>
            </w:pPr>
            <w:r>
              <w:rPr>
                <w:kern w:val="0"/>
                <w:sz w:val="18"/>
                <w:szCs w:val="18"/>
              </w:rPr>
              <w:t>0.</w:t>
            </w:r>
            <w:r>
              <w:rPr>
                <w:rFonts w:hint="eastAsia"/>
                <w:kern w:val="0"/>
                <w:sz w:val="18"/>
                <w:szCs w:val="18"/>
              </w:rPr>
              <w:t>1</w:t>
            </w:r>
          </w:p>
        </w:tc>
        <w:tc>
          <w:tcPr>
            <w:tcW w:w="1285" w:type="pct"/>
            <w:shd w:val="clear" w:color="auto" w:fill="auto"/>
            <w:vAlign w:val="center"/>
          </w:tcPr>
          <w:p>
            <w:pPr>
              <w:widowControl/>
              <w:jc w:val="center"/>
              <w:rPr>
                <w:kern w:val="0"/>
                <w:sz w:val="18"/>
                <w:szCs w:val="18"/>
              </w:rPr>
            </w:pPr>
            <w:r>
              <w:rPr>
                <w:kern w:val="0"/>
                <w:sz w:val="18"/>
                <w:szCs w:val="18"/>
              </w:rPr>
              <w:t>0.</w:t>
            </w:r>
            <w:r>
              <w:rPr>
                <w:rFonts w:hint="eastAsia"/>
                <w:kern w:val="0"/>
                <w:sz w:val="18"/>
                <w:szCs w:val="18"/>
              </w:rPr>
              <w:t>2</w:t>
            </w:r>
          </w:p>
        </w:tc>
        <w:tc>
          <w:tcPr>
            <w:tcW w:w="1143" w:type="pct"/>
            <w:shd w:val="clear" w:color="auto" w:fill="auto"/>
            <w:vAlign w:val="center"/>
          </w:tcPr>
          <w:p>
            <w:pPr>
              <w:widowControl/>
              <w:jc w:val="center"/>
              <w:rPr>
                <w:kern w:val="0"/>
                <w:sz w:val="18"/>
                <w:szCs w:val="18"/>
              </w:rPr>
            </w:pPr>
            <w:r>
              <w:rPr>
                <w:kern w:val="0"/>
                <w:sz w:val="18"/>
                <w:szCs w:val="18"/>
              </w:rPr>
              <w:t>0.</w:t>
            </w:r>
            <w:r>
              <w:rPr>
                <w:rFonts w:hint="eastAsia"/>
                <w:kern w:val="0"/>
                <w:sz w:val="18"/>
                <w:szCs w:val="18"/>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44" w:type="pct"/>
            <w:shd w:val="clear" w:color="auto" w:fill="auto"/>
            <w:vAlign w:val="center"/>
          </w:tcPr>
          <w:p>
            <w:pPr>
              <w:widowControl/>
              <w:jc w:val="center"/>
              <w:rPr>
                <w:kern w:val="0"/>
                <w:sz w:val="18"/>
                <w:szCs w:val="18"/>
              </w:rPr>
            </w:pPr>
            <w:r>
              <w:rPr>
                <w:kern w:val="0"/>
                <w:sz w:val="18"/>
                <w:szCs w:val="18"/>
              </w:rPr>
              <w:t>支撑材料</w:t>
            </w:r>
          </w:p>
        </w:tc>
        <w:tc>
          <w:tcPr>
            <w:tcW w:w="1228" w:type="pct"/>
            <w:shd w:val="clear" w:color="auto" w:fill="auto"/>
            <w:vAlign w:val="center"/>
          </w:tcPr>
          <w:p>
            <w:pPr>
              <w:widowControl/>
              <w:jc w:val="center"/>
              <w:rPr>
                <w:kern w:val="0"/>
                <w:sz w:val="18"/>
                <w:szCs w:val="18"/>
              </w:rPr>
            </w:pPr>
            <w:r>
              <w:rPr>
                <w:kern w:val="0"/>
                <w:sz w:val="18"/>
                <w:szCs w:val="18"/>
              </w:rPr>
              <w:t>课堂评价标准，课堂提问记录或随堂考试，结合出勤率等</w:t>
            </w:r>
          </w:p>
        </w:tc>
        <w:tc>
          <w:tcPr>
            <w:tcW w:w="1285" w:type="pct"/>
            <w:shd w:val="clear" w:color="auto" w:fill="auto"/>
            <w:vAlign w:val="center"/>
          </w:tcPr>
          <w:p>
            <w:pPr>
              <w:widowControl/>
              <w:jc w:val="center"/>
              <w:rPr>
                <w:kern w:val="0"/>
                <w:sz w:val="18"/>
                <w:szCs w:val="18"/>
              </w:rPr>
            </w:pPr>
            <w:r>
              <w:rPr>
                <w:kern w:val="0"/>
                <w:sz w:val="18"/>
                <w:szCs w:val="18"/>
              </w:rPr>
              <w:t>作业评价标准，典型作业拍照，或电子版</w:t>
            </w:r>
          </w:p>
        </w:tc>
        <w:tc>
          <w:tcPr>
            <w:tcW w:w="1143" w:type="pct"/>
            <w:shd w:val="clear" w:color="auto" w:fill="auto"/>
            <w:vAlign w:val="center"/>
          </w:tcPr>
          <w:p>
            <w:pPr>
              <w:widowControl/>
              <w:jc w:val="center"/>
              <w:rPr>
                <w:kern w:val="0"/>
                <w:sz w:val="18"/>
                <w:szCs w:val="18"/>
              </w:rPr>
            </w:pPr>
            <w:r>
              <w:rPr>
                <w:kern w:val="0"/>
                <w:sz w:val="18"/>
                <w:szCs w:val="18"/>
              </w:rPr>
              <w:t>试题评分标准，试卷</w:t>
            </w:r>
          </w:p>
        </w:tc>
      </w:tr>
    </w:tbl>
    <w:p>
      <w:pPr>
        <w:adjustRightInd w:val="0"/>
        <w:snapToGrid w:val="0"/>
        <w:spacing w:line="360" w:lineRule="auto"/>
        <w:ind w:firstLine="420" w:firstLineChars="200"/>
        <w:rPr>
          <w:szCs w:val="21"/>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jc w:val="center"/>
              <w:rPr>
                <w:sz w:val="18"/>
                <w:szCs w:val="18"/>
                <w:highlight w:val="yellow"/>
              </w:rPr>
            </w:pPr>
            <w:r>
              <w:rPr>
                <w:sz w:val="18"/>
                <w:szCs w:val="18"/>
              </w:rPr>
              <w:t>知识点</w:t>
            </w:r>
          </w:p>
        </w:tc>
        <w:tc>
          <w:tcPr>
            <w:tcW w:w="691" w:type="pct"/>
            <w:vAlign w:val="center"/>
          </w:tcPr>
          <w:p>
            <w:pPr>
              <w:jc w:val="center"/>
              <w:rPr>
                <w:sz w:val="18"/>
                <w:szCs w:val="18"/>
              </w:rPr>
            </w:pPr>
            <w:r>
              <w:rPr>
                <w:sz w:val="18"/>
                <w:szCs w:val="18"/>
              </w:rPr>
              <w:t>权重</w:t>
            </w:r>
          </w:p>
        </w:tc>
        <w:tc>
          <w:tcPr>
            <w:tcW w:w="1048"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b/>
                <w:sz w:val="18"/>
                <w:szCs w:val="18"/>
              </w:rPr>
            </w:pPr>
            <w:r>
              <w:rPr>
                <w:rFonts w:hint="eastAsia"/>
                <w:sz w:val="18"/>
                <w:szCs w:val="18"/>
              </w:rPr>
              <w:t>1、WSN节点的工作机制、硬件结构、硬件设计方法。</w:t>
            </w:r>
          </w:p>
        </w:tc>
        <w:tc>
          <w:tcPr>
            <w:tcW w:w="691" w:type="pct"/>
            <w:vAlign w:val="center"/>
          </w:tcPr>
          <w:p>
            <w:pPr>
              <w:jc w:val="center"/>
              <w:rPr>
                <w:sz w:val="18"/>
                <w:szCs w:val="18"/>
              </w:rPr>
            </w:pPr>
            <w:r>
              <w:rPr>
                <w:rFonts w:hint="eastAsia"/>
                <w:sz w:val="18"/>
                <w:szCs w:val="18"/>
              </w:rPr>
              <w:t>0.13</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sz w:val="18"/>
                <w:szCs w:val="18"/>
              </w:rPr>
            </w:pPr>
            <w:r>
              <w:rPr>
                <w:rFonts w:hint="eastAsia"/>
                <w:sz w:val="18"/>
                <w:szCs w:val="18"/>
              </w:rPr>
              <w:t>2、无线传感网络通信的基本概念与方法、无线传感网络MAC层协议、节点路由协议。</w:t>
            </w:r>
          </w:p>
        </w:tc>
        <w:tc>
          <w:tcPr>
            <w:tcW w:w="691" w:type="pct"/>
            <w:vAlign w:val="center"/>
          </w:tcPr>
          <w:p>
            <w:pPr>
              <w:jc w:val="center"/>
              <w:rPr>
                <w:sz w:val="18"/>
                <w:szCs w:val="18"/>
              </w:rPr>
            </w:pPr>
            <w:r>
              <w:rPr>
                <w:rFonts w:hint="eastAsia"/>
                <w:sz w:val="18"/>
                <w:szCs w:val="18"/>
              </w:rPr>
              <w:t>0.20</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sz w:val="18"/>
                <w:szCs w:val="18"/>
              </w:rPr>
            </w:pPr>
            <w:r>
              <w:rPr>
                <w:rFonts w:hint="eastAsia"/>
                <w:sz w:val="18"/>
                <w:szCs w:val="18"/>
              </w:rPr>
              <w:t>3、节点时间同步机制、节点定位技术、节点能量管理技术、无线传感网络安全机制。</w:t>
            </w:r>
          </w:p>
        </w:tc>
        <w:tc>
          <w:tcPr>
            <w:tcW w:w="691" w:type="pct"/>
            <w:vAlign w:val="center"/>
          </w:tcPr>
          <w:p>
            <w:pPr>
              <w:jc w:val="center"/>
              <w:rPr>
                <w:sz w:val="18"/>
                <w:szCs w:val="18"/>
              </w:rPr>
            </w:pPr>
            <w:r>
              <w:rPr>
                <w:rFonts w:hint="eastAsia"/>
                <w:sz w:val="18"/>
                <w:szCs w:val="18"/>
              </w:rPr>
              <w:t>0.27</w:t>
            </w:r>
          </w:p>
        </w:tc>
        <w:tc>
          <w:tcPr>
            <w:tcW w:w="1048" w:type="pct"/>
            <w:vAlign w:val="center"/>
          </w:tcPr>
          <w:p>
            <w:pPr>
              <w:jc w:val="center"/>
              <w:rPr>
                <w:sz w:val="18"/>
                <w:szCs w:val="18"/>
              </w:rPr>
            </w:pPr>
            <w:r>
              <w:rPr>
                <w:rFonts w:hint="eastAsia"/>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sz w:val="18"/>
                <w:szCs w:val="18"/>
              </w:rPr>
            </w:pPr>
            <w:r>
              <w:rPr>
                <w:rFonts w:hint="eastAsia"/>
                <w:sz w:val="18"/>
                <w:szCs w:val="18"/>
              </w:rPr>
              <w:t>4、WSN网络协议IEEE相关技术标准、ZigBee协议标准、蓝牙协议标准。</w:t>
            </w:r>
          </w:p>
        </w:tc>
        <w:tc>
          <w:tcPr>
            <w:tcW w:w="691" w:type="pct"/>
            <w:vAlign w:val="center"/>
          </w:tcPr>
          <w:p>
            <w:pPr>
              <w:jc w:val="center"/>
              <w:rPr>
                <w:sz w:val="18"/>
                <w:szCs w:val="18"/>
              </w:rPr>
            </w:pPr>
            <w:r>
              <w:rPr>
                <w:rFonts w:hint="eastAsia"/>
                <w:sz w:val="18"/>
                <w:szCs w:val="18"/>
              </w:rPr>
              <w:t>0.2</w:t>
            </w:r>
            <w:r>
              <w:rPr>
                <w:sz w:val="18"/>
                <w:szCs w:val="18"/>
              </w:rPr>
              <w:t>0</w:t>
            </w:r>
          </w:p>
        </w:tc>
        <w:tc>
          <w:tcPr>
            <w:tcW w:w="1048" w:type="pct"/>
            <w:vAlign w:val="center"/>
          </w:tcPr>
          <w:p>
            <w:pPr>
              <w:jc w:val="center"/>
              <w:rPr>
                <w:sz w:val="18"/>
                <w:szCs w:val="18"/>
              </w:rPr>
            </w:pPr>
            <w:r>
              <w:rPr>
                <w:rFonts w:hint="eastAsia"/>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sz w:val="18"/>
                <w:szCs w:val="18"/>
              </w:rPr>
            </w:pPr>
            <w:r>
              <w:rPr>
                <w:rFonts w:hint="eastAsia"/>
                <w:sz w:val="18"/>
                <w:szCs w:val="18"/>
              </w:rPr>
              <w:t>5、节点用微操作系统、WSN节点软件功能及开发方法、常用的WSN仿真软件。</w:t>
            </w:r>
          </w:p>
        </w:tc>
        <w:tc>
          <w:tcPr>
            <w:tcW w:w="691" w:type="pct"/>
            <w:vAlign w:val="center"/>
          </w:tcPr>
          <w:p>
            <w:pPr>
              <w:jc w:val="center"/>
              <w:rPr>
                <w:sz w:val="18"/>
                <w:szCs w:val="18"/>
              </w:rPr>
            </w:pPr>
            <w:r>
              <w:rPr>
                <w:rFonts w:hint="eastAsia"/>
                <w:sz w:val="18"/>
                <w:szCs w:val="18"/>
              </w:rPr>
              <w:t>0.1</w:t>
            </w:r>
            <w:r>
              <w:rPr>
                <w:sz w:val="18"/>
                <w:szCs w:val="18"/>
              </w:rPr>
              <w:t>3</w:t>
            </w:r>
          </w:p>
        </w:tc>
        <w:tc>
          <w:tcPr>
            <w:tcW w:w="1048" w:type="pct"/>
            <w:vAlign w:val="center"/>
          </w:tcPr>
          <w:p>
            <w:pPr>
              <w:jc w:val="center"/>
              <w:rPr>
                <w:sz w:val="18"/>
                <w:szCs w:val="18"/>
              </w:rPr>
            </w:pPr>
            <w:r>
              <w:rPr>
                <w:rFonts w:hint="eastAsia"/>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pct"/>
            <w:vAlign w:val="center"/>
          </w:tcPr>
          <w:p>
            <w:pPr>
              <w:ind w:left="174" w:leftChars="83"/>
              <w:rPr>
                <w:sz w:val="18"/>
                <w:szCs w:val="18"/>
              </w:rPr>
            </w:pPr>
            <w:r>
              <w:rPr>
                <w:rFonts w:hint="eastAsia"/>
                <w:sz w:val="18"/>
                <w:szCs w:val="18"/>
              </w:rPr>
              <w:t>6、WSN的典型应用领域、WSN典型应用的系统设计方法。</w:t>
            </w:r>
          </w:p>
        </w:tc>
        <w:tc>
          <w:tcPr>
            <w:tcW w:w="691" w:type="pct"/>
            <w:vAlign w:val="center"/>
          </w:tcPr>
          <w:p>
            <w:pPr>
              <w:jc w:val="center"/>
              <w:rPr>
                <w:sz w:val="18"/>
                <w:szCs w:val="18"/>
              </w:rPr>
            </w:pPr>
            <w:r>
              <w:rPr>
                <w:rFonts w:hint="eastAsia"/>
                <w:sz w:val="18"/>
                <w:szCs w:val="18"/>
              </w:rPr>
              <w:t>0.07</w:t>
            </w:r>
          </w:p>
        </w:tc>
        <w:tc>
          <w:tcPr>
            <w:tcW w:w="1048" w:type="pct"/>
            <w:vAlign w:val="center"/>
          </w:tcPr>
          <w:p>
            <w:pPr>
              <w:jc w:val="center"/>
              <w:rPr>
                <w:sz w:val="18"/>
                <w:szCs w:val="18"/>
              </w:rPr>
            </w:pPr>
            <w:r>
              <w:rPr>
                <w:rFonts w:hint="eastAsia"/>
                <w:sz w:val="18"/>
                <w:szCs w:val="18"/>
              </w:rPr>
              <w:t>1、2</w:t>
            </w:r>
          </w:p>
        </w:tc>
      </w:tr>
    </w:tbl>
    <w:p>
      <w:pPr>
        <w:spacing w:line="360" w:lineRule="auto"/>
        <w:ind w:firstLine="420" w:firstLineChars="200"/>
        <w:rPr>
          <w:color w:val="0000FF"/>
          <w:szCs w:val="21"/>
        </w:rPr>
      </w:pPr>
    </w:p>
    <w:p>
      <w:pPr>
        <w:spacing w:line="360" w:lineRule="auto"/>
        <w:ind w:firstLine="420" w:firstLineChars="200"/>
        <w:rPr>
          <w:szCs w:val="21"/>
        </w:rPr>
      </w:pPr>
      <w:r>
        <w:rPr>
          <w:rFonts w:hint="eastAsia"/>
          <w:szCs w:val="21"/>
        </w:rPr>
        <w:t>本课程不可以申请免修。</w:t>
      </w:r>
    </w:p>
    <w:p>
      <w:pPr>
        <w:spacing w:line="360" w:lineRule="auto"/>
        <w:ind w:firstLine="420" w:firstLineChars="200"/>
        <w:rPr>
          <w:szCs w:val="21"/>
        </w:rPr>
        <w:sectPr>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75"/>
        <w:gridCol w:w="943"/>
        <w:gridCol w:w="1361"/>
        <w:gridCol w:w="1442"/>
        <w:gridCol w:w="1395"/>
        <w:gridCol w:w="1347"/>
        <w:gridCol w:w="1732"/>
        <w:gridCol w:w="1283"/>
        <w:gridCol w:w="1356"/>
        <w:gridCol w:w="1183"/>
        <w:gridCol w:w="1331"/>
      </w:tblGrid>
      <w:tr>
        <w:tblPrEx>
          <w:tblCellMar>
            <w:top w:w="0" w:type="dxa"/>
            <w:left w:w="108" w:type="dxa"/>
            <w:bottom w:w="0" w:type="dxa"/>
            <w:right w:w="108" w:type="dxa"/>
          </w:tblCellMar>
        </w:tblPrEx>
        <w:trPr>
          <w:trHeight w:val="1015" w:hRule="atLeast"/>
          <w:jc w:val="center"/>
        </w:trPr>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课程目标</w:t>
            </w:r>
          </w:p>
        </w:tc>
        <w:tc>
          <w:tcPr>
            <w:tcW w:w="33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知识面比例</w:t>
            </w:r>
          </w:p>
          <w:p>
            <w:pPr>
              <w:widowControl/>
              <w:jc w:val="center"/>
              <w:rPr>
                <w:rFonts w:ascii="宋体" w:hAnsi="宋体"/>
                <w:kern w:val="0"/>
                <w:sz w:val="18"/>
                <w:szCs w:val="18"/>
              </w:rPr>
            </w:pPr>
            <w:r>
              <w:rPr>
                <w:rFonts w:hint="eastAsia" w:ascii="宋体" w:hAnsi="宋体"/>
                <w:kern w:val="0"/>
                <w:sz w:val="18"/>
                <w:szCs w:val="18"/>
              </w:rPr>
              <w:t>（本列总和为1）</w:t>
            </w:r>
          </w:p>
          <w:p>
            <w:pPr>
              <w:widowControl/>
              <w:jc w:val="center"/>
              <w:rPr>
                <w:rFonts w:ascii="宋体" w:hAnsi="宋体"/>
                <w:i/>
                <w:kern w:val="0"/>
                <w:sz w:val="18"/>
                <w:szCs w:val="18"/>
              </w:rPr>
            </w:pPr>
            <w:r>
              <w:rPr>
                <w:rFonts w:ascii="宋体" w:hAnsi="宋体"/>
                <w:i/>
                <w:kern w:val="0"/>
                <w:sz w:val="18"/>
                <w:szCs w:val="18"/>
              </w:rPr>
              <w:t>P</w:t>
            </w:r>
            <w:r>
              <w:rPr>
                <w:rFonts w:ascii="宋体" w:hAnsi="宋体"/>
                <w:i/>
                <w:kern w:val="0"/>
                <w:sz w:val="18"/>
                <w:szCs w:val="18"/>
                <w:vertAlign w:val="subscript"/>
              </w:rPr>
              <w:t>i</w:t>
            </w:r>
          </w:p>
        </w:tc>
        <w:tc>
          <w:tcPr>
            <w:tcW w:w="15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sz w:val="18"/>
                <w:szCs w:val="18"/>
              </w:rPr>
              <w:t>各环节评价比例分配</w:t>
            </w:r>
            <w:r>
              <w:rPr>
                <w:rFonts w:hint="eastAsia" w:ascii="宋体" w:hAnsi="宋体"/>
                <w:sz w:val="18"/>
                <w:szCs w:val="18"/>
              </w:rPr>
              <w:br w:type="textWrapping"/>
            </w:r>
            <w:r>
              <w:rPr>
                <w:rFonts w:hint="eastAsia" w:ascii="宋体" w:hAnsi="宋体"/>
                <w:sz w:val="18"/>
                <w:szCs w:val="18"/>
              </w:rPr>
              <w:t>（每行总和为1）</w:t>
            </w:r>
            <w:r>
              <w:rPr>
                <w:rFonts w:hint="eastAsia" w:ascii="宋体" w:hAnsi="宋体"/>
                <w:sz w:val="18"/>
                <w:szCs w:val="18"/>
              </w:rPr>
              <w:br w:type="textWrapping"/>
            </w:r>
            <w:r>
              <w:rPr>
                <w:rFonts w:hint="eastAsia" w:ascii="宋体" w:hAnsi="宋体"/>
                <w:i/>
                <w:sz w:val="18"/>
                <w:szCs w:val="18"/>
              </w:rPr>
              <w:t>W</w:t>
            </w:r>
            <w:r>
              <w:rPr>
                <w:rFonts w:hint="eastAsia" w:ascii="宋体" w:hAnsi="宋体"/>
                <w:i/>
                <w:sz w:val="18"/>
                <w:szCs w:val="18"/>
                <w:vertAlign w:val="subscript"/>
              </w:rPr>
              <w:t>ik</w:t>
            </w:r>
          </w:p>
        </w:tc>
        <w:tc>
          <w:tcPr>
            <w:tcW w:w="1564"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各环节在课程达成中的占比</w:t>
            </w:r>
            <w:r>
              <w:rPr>
                <w:rFonts w:hint="eastAsia" w:ascii="宋体" w:hAnsi="宋体"/>
                <w:sz w:val="18"/>
                <w:szCs w:val="18"/>
              </w:rPr>
              <w:br w:type="textWrapping"/>
            </w:r>
            <w:r>
              <w:rPr>
                <w:rFonts w:hint="eastAsia" w:ascii="宋体" w:hAnsi="宋体"/>
                <w:sz w:val="18"/>
                <w:szCs w:val="18"/>
              </w:rPr>
              <w:t>（所有行列总和为1）</w:t>
            </w:r>
            <w:r>
              <w:rPr>
                <w:rFonts w:hint="eastAsia" w:ascii="宋体" w:hAnsi="宋体"/>
                <w:sz w:val="18"/>
                <w:szCs w:val="18"/>
              </w:rPr>
              <w:br w:type="textWrapping"/>
            </w:r>
            <w:r>
              <w:rPr>
                <w:rFonts w:hint="eastAsia" w:ascii="宋体" w:hAnsi="宋体"/>
                <w:i/>
                <w:sz w:val="18"/>
                <w:szCs w:val="18"/>
              </w:rPr>
              <w:t>S</w:t>
            </w:r>
            <w:r>
              <w:rPr>
                <w:rFonts w:hint="eastAsia" w:ascii="宋体" w:hAnsi="宋体"/>
                <w:i/>
                <w:sz w:val="18"/>
                <w:szCs w:val="18"/>
                <w:vertAlign w:val="subscript"/>
              </w:rPr>
              <w:t>ik</w:t>
            </w:r>
            <w:r>
              <w:rPr>
                <w:rFonts w:hint="eastAsia" w:ascii="宋体" w:hAnsi="宋体"/>
                <w:i/>
                <w:sz w:val="18"/>
                <w:szCs w:val="18"/>
              </w:rPr>
              <w:t>=P</w:t>
            </w:r>
            <w:r>
              <w:rPr>
                <w:rFonts w:hint="eastAsia" w:ascii="宋体" w:hAnsi="宋体"/>
                <w:i/>
                <w:sz w:val="18"/>
                <w:szCs w:val="18"/>
                <w:vertAlign w:val="subscript"/>
              </w:rPr>
              <w:t>i</w:t>
            </w:r>
            <w:r>
              <w:rPr>
                <w:rFonts w:hint="eastAsia" w:ascii="宋体" w:hAnsi="宋体"/>
                <w:i/>
                <w:sz w:val="18"/>
                <w:szCs w:val="18"/>
              </w:rPr>
              <w:t>*W</w:t>
            </w:r>
            <w:r>
              <w:rPr>
                <w:rFonts w:hint="eastAsia" w:ascii="宋体" w:hAnsi="宋体"/>
                <w:i/>
                <w:sz w:val="18"/>
                <w:szCs w:val="18"/>
                <w:vertAlign w:val="subscript"/>
              </w:rPr>
              <w:t>ik</w:t>
            </w:r>
          </w:p>
        </w:tc>
        <w:tc>
          <w:tcPr>
            <w:tcW w:w="13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各环节课程目标考核权重分布</w:t>
            </w:r>
          </w:p>
          <w:p>
            <w:pPr>
              <w:jc w:val="center"/>
              <w:rPr>
                <w:rFonts w:ascii="宋体" w:hAnsi="宋体"/>
                <w:sz w:val="18"/>
                <w:szCs w:val="18"/>
              </w:rPr>
            </w:pPr>
            <w:r>
              <w:rPr>
                <w:rFonts w:ascii="宋体" w:hAnsi="宋体"/>
                <w:sz w:val="18"/>
                <w:szCs w:val="18"/>
              </w:rPr>
              <w:t>（每一列总和为</w:t>
            </w:r>
            <w:r>
              <w:rPr>
                <w:rFonts w:hint="eastAsia" w:ascii="宋体" w:hAnsi="宋体"/>
                <w:sz w:val="18"/>
                <w:szCs w:val="18"/>
              </w:rPr>
              <w:t>1</w:t>
            </w:r>
            <w:r>
              <w:rPr>
                <w:rFonts w:ascii="宋体" w:hAnsi="宋体"/>
                <w:sz w:val="18"/>
                <w:szCs w:val="18"/>
              </w:rPr>
              <w:t>）</w:t>
            </w:r>
          </w:p>
          <w:p>
            <w:pPr>
              <w:jc w:val="center"/>
              <w:rPr>
                <w:rFonts w:ascii="宋体" w:hAnsi="宋体"/>
                <w:i/>
                <w:sz w:val="18"/>
                <w:szCs w:val="18"/>
              </w:rPr>
            </w:pPr>
            <w:r>
              <w:rPr>
                <w:rFonts w:hint="eastAsia" w:ascii="宋体" w:hAnsi="宋体"/>
                <w:i/>
                <w:sz w:val="18"/>
                <w:szCs w:val="18"/>
              </w:rPr>
              <w:t>E</w:t>
            </w:r>
            <w:r>
              <w:rPr>
                <w:rFonts w:hint="eastAsia" w:ascii="宋体" w:hAnsi="宋体"/>
                <w:i/>
                <w:sz w:val="18"/>
                <w:szCs w:val="18"/>
                <w:vertAlign w:val="subscript"/>
              </w:rPr>
              <w:t>ik</w:t>
            </w:r>
            <w:r>
              <w:rPr>
                <w:rFonts w:hint="eastAsia" w:ascii="宋体" w:hAnsi="宋体"/>
                <w:i/>
                <w:sz w:val="18"/>
                <w:szCs w:val="18"/>
              </w:rPr>
              <w:t>=</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p>
        </w:tc>
        <w:tc>
          <w:tcPr>
            <w:tcW w:w="33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p>
        </w:tc>
        <w:tc>
          <w:tcPr>
            <w:tcW w:w="48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课堂</w:t>
            </w:r>
          </w:p>
          <w:p>
            <w:pPr>
              <w:widowControl/>
              <w:jc w:val="center"/>
              <w:rPr>
                <w:rFonts w:ascii="宋体" w:hAnsi="宋体"/>
                <w:kern w:val="0"/>
                <w:sz w:val="18"/>
                <w:szCs w:val="18"/>
              </w:rPr>
            </w:pPr>
            <w:r>
              <w:rPr>
                <w:rFonts w:hint="eastAsia" w:ascii="宋体" w:hAnsi="宋体"/>
                <w:kern w:val="0"/>
                <w:sz w:val="18"/>
                <w:szCs w:val="18"/>
              </w:rPr>
              <w:t>情况</w:t>
            </w:r>
          </w:p>
        </w:tc>
        <w:tc>
          <w:tcPr>
            <w:tcW w:w="51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作业</w:t>
            </w:r>
          </w:p>
        </w:tc>
        <w:tc>
          <w:tcPr>
            <w:tcW w:w="499"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期末</w:t>
            </w:r>
          </w:p>
          <w:p>
            <w:pPr>
              <w:widowControl/>
              <w:jc w:val="center"/>
              <w:rPr>
                <w:rFonts w:ascii="宋体" w:hAnsi="宋体"/>
                <w:kern w:val="0"/>
                <w:sz w:val="18"/>
                <w:szCs w:val="18"/>
              </w:rPr>
            </w:pPr>
            <w:r>
              <w:rPr>
                <w:rFonts w:hint="eastAsia" w:ascii="宋体" w:hAnsi="宋体"/>
                <w:kern w:val="0"/>
                <w:sz w:val="18"/>
                <w:szCs w:val="18"/>
              </w:rPr>
              <w:t>考试</w:t>
            </w:r>
          </w:p>
        </w:tc>
        <w:tc>
          <w:tcPr>
            <w:tcW w:w="48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课堂</w:t>
            </w:r>
          </w:p>
          <w:p>
            <w:pPr>
              <w:widowControl/>
              <w:jc w:val="center"/>
              <w:rPr>
                <w:rFonts w:ascii="宋体" w:hAnsi="宋体"/>
                <w:kern w:val="0"/>
                <w:sz w:val="18"/>
                <w:szCs w:val="18"/>
              </w:rPr>
            </w:pPr>
            <w:r>
              <w:rPr>
                <w:rFonts w:hint="eastAsia" w:ascii="宋体" w:hAnsi="宋体"/>
                <w:kern w:val="0"/>
                <w:sz w:val="18"/>
                <w:szCs w:val="18"/>
              </w:rPr>
              <w:t>情况</w:t>
            </w:r>
          </w:p>
        </w:tc>
        <w:tc>
          <w:tcPr>
            <w:tcW w:w="6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作业</w:t>
            </w:r>
          </w:p>
        </w:tc>
        <w:tc>
          <w:tcPr>
            <w:tcW w:w="46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期末</w:t>
            </w:r>
          </w:p>
          <w:p>
            <w:pPr>
              <w:widowControl/>
              <w:jc w:val="center"/>
              <w:rPr>
                <w:rFonts w:ascii="宋体" w:hAnsi="宋体"/>
                <w:kern w:val="0"/>
                <w:sz w:val="18"/>
                <w:szCs w:val="18"/>
              </w:rPr>
            </w:pPr>
            <w:r>
              <w:rPr>
                <w:rFonts w:hint="eastAsia" w:ascii="宋体" w:hAnsi="宋体"/>
                <w:kern w:val="0"/>
                <w:sz w:val="18"/>
                <w:szCs w:val="18"/>
              </w:rPr>
              <w:t>考试</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课堂</w:t>
            </w:r>
          </w:p>
          <w:p>
            <w:pPr>
              <w:widowControl/>
              <w:jc w:val="center"/>
              <w:rPr>
                <w:rFonts w:ascii="宋体" w:hAnsi="宋体"/>
                <w:kern w:val="0"/>
                <w:sz w:val="18"/>
                <w:szCs w:val="18"/>
              </w:rPr>
            </w:pPr>
            <w:r>
              <w:rPr>
                <w:rFonts w:hint="eastAsia" w:ascii="宋体" w:hAnsi="宋体"/>
                <w:kern w:val="0"/>
                <w:sz w:val="18"/>
                <w:szCs w:val="18"/>
              </w:rPr>
              <w:t>情况</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作业</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期末</w:t>
            </w:r>
          </w:p>
          <w:p>
            <w:pPr>
              <w:widowControl/>
              <w:jc w:val="center"/>
              <w:rPr>
                <w:rFonts w:ascii="宋体" w:hAnsi="宋体"/>
                <w:kern w:val="0"/>
                <w:sz w:val="18"/>
                <w:szCs w:val="18"/>
              </w:rPr>
            </w:pPr>
            <w:r>
              <w:rPr>
                <w:rFonts w:hint="eastAsia" w:ascii="宋体" w:hAnsi="宋体"/>
                <w:kern w:val="0"/>
                <w:sz w:val="18"/>
                <w:szCs w:val="18"/>
              </w:rPr>
              <w:t>考试</w:t>
            </w:r>
          </w:p>
        </w:tc>
      </w:tr>
      <w:tr>
        <w:tblPrEx>
          <w:tblCellMar>
            <w:top w:w="0" w:type="dxa"/>
            <w:left w:w="108" w:type="dxa"/>
            <w:bottom w:w="0" w:type="dxa"/>
            <w:right w:w="108" w:type="dxa"/>
          </w:tblCellMar>
        </w:tblPrEx>
        <w:trPr>
          <w:trHeight w:val="702"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33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0.6</w:t>
            </w:r>
          </w:p>
        </w:tc>
        <w:tc>
          <w:tcPr>
            <w:tcW w:w="48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517"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0.8</w:t>
            </w:r>
          </w:p>
        </w:tc>
        <w:tc>
          <w:tcPr>
            <w:tcW w:w="48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6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4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0.48</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0.6</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0.3</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0.69</w:t>
            </w:r>
          </w:p>
        </w:tc>
      </w:tr>
      <w:tr>
        <w:tblPrEx>
          <w:tblCellMar>
            <w:top w:w="0" w:type="dxa"/>
            <w:left w:w="108" w:type="dxa"/>
            <w:bottom w:w="0" w:type="dxa"/>
            <w:right w:w="108" w:type="dxa"/>
          </w:tblCellMar>
        </w:tblPrEx>
        <w:trPr>
          <w:trHeight w:val="694"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48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517"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49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w:t>
            </w:r>
          </w:p>
        </w:tc>
        <w:tc>
          <w:tcPr>
            <w:tcW w:w="48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0.03</w:t>
            </w:r>
          </w:p>
        </w:tc>
        <w:tc>
          <w:tcPr>
            <w:tcW w:w="6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0.09</w:t>
            </w:r>
          </w:p>
        </w:tc>
        <w:tc>
          <w:tcPr>
            <w:tcW w:w="4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0.18</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0.3</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0.5</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0.24</w:t>
            </w:r>
          </w:p>
        </w:tc>
      </w:tr>
      <w:tr>
        <w:tblPrEx>
          <w:tblCellMar>
            <w:top w:w="0" w:type="dxa"/>
            <w:left w:w="108" w:type="dxa"/>
            <w:bottom w:w="0" w:type="dxa"/>
            <w:right w:w="108" w:type="dxa"/>
          </w:tblCellMar>
        </w:tblPrEx>
        <w:trPr>
          <w:trHeight w:val="690" w:hRule="atLeast"/>
          <w:jc w:val="center"/>
        </w:trPr>
        <w:tc>
          <w:tcPr>
            <w:tcW w:w="20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338"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48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517"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49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0.5</w:t>
            </w:r>
          </w:p>
        </w:tc>
        <w:tc>
          <w:tcPr>
            <w:tcW w:w="48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w:t>
            </w:r>
          </w:p>
        </w:tc>
        <w:tc>
          <w:tcPr>
            <w:tcW w:w="621"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46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0.05</w:t>
            </w:r>
          </w:p>
        </w:tc>
        <w:tc>
          <w:tcPr>
            <w:tcW w:w="4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0.1</w:t>
            </w:r>
          </w:p>
        </w:tc>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0.2</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0.07</w:t>
            </w:r>
          </w:p>
        </w:tc>
      </w:tr>
      <w:tr>
        <w:tblPrEx>
          <w:tblCellMar>
            <w:top w:w="0" w:type="dxa"/>
            <w:left w:w="108" w:type="dxa"/>
            <w:bottom w:w="0" w:type="dxa"/>
            <w:right w:w="108" w:type="dxa"/>
          </w:tblCellMar>
        </w:tblPrEx>
        <w:trPr>
          <w:trHeight w:val="704" w:hRule="atLeast"/>
          <w:jc w:val="center"/>
        </w:trPr>
        <w:tc>
          <w:tcPr>
            <w:tcW w:w="2049" w:type="pct"/>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bCs/>
                <w:kern w:val="0"/>
                <w:sz w:val="18"/>
                <w:szCs w:val="18"/>
              </w:rPr>
            </w:pPr>
            <w:r>
              <w:rPr>
                <w:bCs/>
                <w:kern w:val="0"/>
                <w:sz w:val="18"/>
                <w:szCs w:val="18"/>
              </w:rPr>
              <w:t>各环节对课程目标达成的贡献率（</w:t>
            </w:r>
            <w:r>
              <w:rPr>
                <w:bCs/>
                <w:i/>
                <w:kern w:val="0"/>
                <w:sz w:val="18"/>
                <w:szCs w:val="18"/>
              </w:rPr>
              <w:t>M</w:t>
            </w:r>
            <w:r>
              <w:rPr>
                <w:bCs/>
                <w:i/>
                <w:kern w:val="0"/>
                <w:sz w:val="18"/>
                <w:szCs w:val="18"/>
                <w:vertAlign w:val="subscript"/>
              </w:rPr>
              <w:t>k</w:t>
            </w:r>
            <w:r>
              <w:rPr>
                <w:bCs/>
                <w:kern w:val="0"/>
                <w:sz w:val="18"/>
                <w:szCs w:val="18"/>
              </w:rPr>
              <w:t>）</w:t>
            </w:r>
          </w:p>
        </w:tc>
        <w:tc>
          <w:tcPr>
            <w:tcW w:w="483"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w:t>
            </w:r>
          </w:p>
        </w:tc>
        <w:tc>
          <w:tcPr>
            <w:tcW w:w="621"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w:t>
            </w:r>
          </w:p>
        </w:tc>
        <w:tc>
          <w:tcPr>
            <w:tcW w:w="46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0.7</w:t>
            </w:r>
          </w:p>
        </w:tc>
        <w:tc>
          <w:tcPr>
            <w:tcW w:w="13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16"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16" DrawAspect="Content" ObjectID="_1468075916" r:id="rId389">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17"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17" DrawAspect="Content" ObjectID="_1468075917" r:id="rId390">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18"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18" DrawAspect="Content" ObjectID="_1468075918" r:id="rId391">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19"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19" DrawAspect="Content" ObjectID="_1468075919" r:id="rId392">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20"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20" DrawAspect="Content" ObjectID="_1468075920" r:id="rId393">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21"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21" DrawAspect="Content" ObjectID="_1468075921" r:id="rId394">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r>
        <w:br w:type="page"/>
      </w:r>
    </w:p>
    <w:p>
      <w:pPr>
        <w:pStyle w:val="20"/>
        <w:spacing w:before="240" w:after="360"/>
      </w:pPr>
      <w:bookmarkStart w:id="244" w:name="_Toc46996585"/>
      <w:bookmarkStart w:id="245" w:name="_Toc19164"/>
      <w:r>
        <w:rPr>
          <w:rFonts w:hint="eastAsia"/>
        </w:rPr>
        <w:t>《</w:t>
      </w:r>
      <w:r>
        <w:t>Z06060207-</w:t>
      </w:r>
      <w:r>
        <w:rPr>
          <w:rFonts w:hint="eastAsia"/>
        </w:rPr>
        <w:t>模拟采集设计》教学大纲</w:t>
      </w:r>
      <w:bookmarkEnd w:id="244"/>
      <w:bookmarkEnd w:id="245"/>
    </w:p>
    <w:p>
      <w:pPr>
        <w:adjustRightInd w:val="0"/>
        <w:snapToGrid w:val="0"/>
        <w:spacing w:line="360" w:lineRule="auto"/>
        <w:rPr>
          <w:bCs/>
          <w:kern w:val="0"/>
        </w:rPr>
      </w:pPr>
      <w:r>
        <w:rPr>
          <w:rFonts w:hint="eastAsia" w:eastAsia="黑体"/>
          <w:szCs w:val="21"/>
        </w:rPr>
        <w:t>课程编号：</w:t>
      </w:r>
      <w:r>
        <w:rPr>
          <w:rFonts w:eastAsia="黑体"/>
          <w:szCs w:val="21"/>
        </w:rPr>
        <w:t>Z06060207</w:t>
      </w:r>
    </w:p>
    <w:p>
      <w:pPr>
        <w:adjustRightInd w:val="0"/>
        <w:snapToGrid w:val="0"/>
        <w:spacing w:line="360" w:lineRule="auto"/>
        <w:rPr>
          <w:snapToGrid w:val="0"/>
          <w:kern w:val="0"/>
          <w:szCs w:val="21"/>
        </w:rPr>
      </w:pPr>
      <w:r>
        <w:rPr>
          <w:rFonts w:hint="eastAsia" w:eastAsia="黑体"/>
          <w:szCs w:val="21"/>
        </w:rPr>
        <w:t>课程名称：</w:t>
      </w:r>
      <w:r>
        <w:rPr>
          <w:rFonts w:hint="eastAsia" w:ascii="宋体" w:hAnsi="宋体"/>
          <w:szCs w:val="21"/>
        </w:rPr>
        <w:t>模拟采集设计</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 xml:space="preserve">总 学 时：16              </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分：1</w:t>
      </w:r>
    </w:p>
    <w:p>
      <w:pPr>
        <w:adjustRightInd w:val="0"/>
        <w:snapToGrid w:val="0"/>
        <w:spacing w:line="360" w:lineRule="auto"/>
        <w:rPr>
          <w:szCs w:val="21"/>
        </w:rPr>
      </w:pPr>
      <w:r>
        <w:rPr>
          <w:rFonts w:hint="eastAsia" w:eastAsia="黑体"/>
          <w:szCs w:val="21"/>
        </w:rPr>
        <w:t>适用专业：</w:t>
      </w:r>
      <w:r>
        <w:rPr>
          <w:rFonts w:hint="eastAsia" w:ascii="宋体" w:hAnsi="宋体"/>
          <w:szCs w:val="21"/>
        </w:rPr>
        <w:t>电子科学与技术</w:t>
      </w:r>
      <w:r>
        <w:rPr>
          <w:rFonts w:hint="eastAsia"/>
          <w:szCs w:val="21"/>
        </w:rPr>
        <w:t>专业</w:t>
      </w:r>
    </w:p>
    <w:p>
      <w:pPr>
        <w:adjustRightInd w:val="0"/>
        <w:snapToGrid w:val="0"/>
        <w:spacing w:line="360" w:lineRule="auto"/>
        <w:rPr>
          <w:szCs w:val="21"/>
        </w:rPr>
      </w:pPr>
      <w:r>
        <w:rPr>
          <w:rFonts w:hint="eastAsia" w:eastAsia="黑体"/>
          <w:szCs w:val="21"/>
        </w:rPr>
        <w:t>先修课程：</w:t>
      </w:r>
      <w:r>
        <w:rPr>
          <w:rFonts w:hint="eastAsia"/>
          <w:szCs w:val="21"/>
        </w:rPr>
        <w:t>数字电子技术、模拟电子技术</w:t>
      </w:r>
    </w:p>
    <w:p>
      <w:pPr>
        <w:adjustRightInd w:val="0"/>
        <w:snapToGrid w:val="0"/>
        <w:spacing w:line="360" w:lineRule="auto"/>
        <w:rPr>
          <w:rFonts w:eastAsia="黑体"/>
          <w:szCs w:val="21"/>
        </w:rPr>
      </w:pPr>
      <w:r>
        <w:rPr>
          <w:rFonts w:hint="eastAsia" w:eastAsia="黑体"/>
          <w:szCs w:val="21"/>
        </w:rPr>
        <w:t>大纲撰写人</w:t>
      </w:r>
      <w:r>
        <w:rPr>
          <w:rFonts w:hint="eastAsia" w:ascii="宋体" w:hAnsi="宋体"/>
          <w:szCs w:val="21"/>
        </w:rPr>
        <w:t>：</w:t>
      </w:r>
      <w:r>
        <w:rPr>
          <w:rFonts w:ascii="宋体" w:hAnsi="宋体"/>
          <w:szCs w:val="21"/>
        </w:rPr>
        <w:t>闫晓燕</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rPr>
          <w:b/>
          <w:szCs w:val="21"/>
        </w:rPr>
      </w:pPr>
    </w:p>
    <w:p>
      <w:pPr>
        <w:numPr>
          <w:ilvl w:val="0"/>
          <w:numId w:val="37"/>
        </w:numPr>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rFonts w:hint="eastAsia"/>
          <w:szCs w:val="21"/>
        </w:rPr>
        <w:t>本课程是电子科学与技术等相关专业的硬件设计类重要选修课程，是电子技术理论到实践具体体现的课程。通过本课程的学习，使学生掌握模拟量信号的采集的原理和方法；正确设计模拟采集电路,掌握评价模拟采集的性能指标；获得设计模拟采集的基础知识和基本技能，能自己动手设计、制作模拟采集电路；能为后续的课程设计、毕业设计环节及以后的工作打下相应的基础。</w:t>
      </w:r>
    </w:p>
    <w:p>
      <w:pPr>
        <w:spacing w:line="360" w:lineRule="auto"/>
        <w:ind w:firstLine="420" w:firstLineChars="200"/>
        <w:rPr>
          <w:szCs w:val="21"/>
        </w:rPr>
      </w:pPr>
    </w:p>
    <w:p>
      <w:pPr>
        <w:tabs>
          <w:tab w:val="left" w:pos="420"/>
        </w:tabs>
        <w:adjustRightInd w:val="0"/>
        <w:snapToGrid w:val="0"/>
        <w:spacing w:line="360" w:lineRule="auto"/>
        <w:ind w:left="420" w:hanging="420"/>
        <w:rPr>
          <w:szCs w:val="21"/>
        </w:rPr>
      </w:pPr>
      <w:r>
        <w:rPr>
          <w:rFonts w:hint="eastAsia" w:eastAsia="黑体"/>
          <w:szCs w:val="21"/>
        </w:rPr>
        <w:t>二、课程目标</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7" w:type="pct"/>
            <w:vAlign w:val="center"/>
          </w:tcPr>
          <w:p>
            <w:pPr>
              <w:spacing w:line="360" w:lineRule="auto"/>
              <w:jc w:val="center"/>
              <w:rPr>
                <w:sz w:val="18"/>
                <w:szCs w:val="18"/>
              </w:rPr>
            </w:pPr>
            <w:r>
              <w:rPr>
                <w:sz w:val="18"/>
                <w:szCs w:val="18"/>
              </w:rPr>
              <w:t>序号</w:t>
            </w:r>
          </w:p>
        </w:tc>
        <w:tc>
          <w:tcPr>
            <w:tcW w:w="2345" w:type="pct"/>
            <w:vAlign w:val="center"/>
          </w:tcPr>
          <w:p>
            <w:pPr>
              <w:spacing w:line="360" w:lineRule="auto"/>
              <w:jc w:val="center"/>
              <w:rPr>
                <w:sz w:val="18"/>
                <w:szCs w:val="18"/>
              </w:rPr>
            </w:pPr>
            <w:r>
              <w:rPr>
                <w:sz w:val="18"/>
                <w:szCs w:val="18"/>
              </w:rPr>
              <w:t>课程目标</w:t>
            </w:r>
          </w:p>
        </w:tc>
        <w:tc>
          <w:tcPr>
            <w:tcW w:w="2288"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367" w:type="pct"/>
            <w:vAlign w:val="center"/>
          </w:tcPr>
          <w:p>
            <w:pPr>
              <w:spacing w:line="360" w:lineRule="auto"/>
              <w:jc w:val="center"/>
              <w:rPr>
                <w:sz w:val="18"/>
                <w:szCs w:val="18"/>
              </w:rPr>
            </w:pPr>
            <w:r>
              <w:rPr>
                <w:rFonts w:hint="eastAsia"/>
                <w:sz w:val="18"/>
                <w:szCs w:val="18"/>
              </w:rPr>
              <w:t>1</w:t>
            </w:r>
          </w:p>
        </w:tc>
        <w:tc>
          <w:tcPr>
            <w:tcW w:w="2345" w:type="pct"/>
          </w:tcPr>
          <w:p>
            <w:pPr>
              <w:spacing w:line="360" w:lineRule="auto"/>
              <w:rPr>
                <w:sz w:val="18"/>
                <w:szCs w:val="18"/>
              </w:rPr>
            </w:pPr>
            <w:r>
              <w:rPr>
                <w:rFonts w:hint="eastAsia"/>
                <w:sz w:val="18"/>
                <w:szCs w:val="18"/>
              </w:rPr>
              <w:t>能够理解模拟信号的特点和处理方式，掌握模拟信号采集电路的设计方法，并通过对分析将相关复杂工程问题转化为技术问题。</w:t>
            </w:r>
          </w:p>
        </w:tc>
        <w:tc>
          <w:tcPr>
            <w:tcW w:w="2288" w:type="pct"/>
          </w:tcPr>
          <w:p>
            <w:pPr>
              <w:spacing w:line="360" w:lineRule="auto"/>
              <w:rPr>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pPr>
              <w:spacing w:line="360" w:lineRule="auto"/>
              <w:jc w:val="center"/>
              <w:rPr>
                <w:sz w:val="18"/>
                <w:szCs w:val="18"/>
              </w:rPr>
            </w:pPr>
            <w:r>
              <w:rPr>
                <w:rFonts w:hint="eastAsia"/>
                <w:sz w:val="18"/>
                <w:szCs w:val="18"/>
              </w:rPr>
              <w:t>2</w:t>
            </w:r>
          </w:p>
        </w:tc>
        <w:tc>
          <w:tcPr>
            <w:tcW w:w="2345" w:type="pct"/>
          </w:tcPr>
          <w:p>
            <w:pPr>
              <w:spacing w:line="360" w:lineRule="auto"/>
              <w:rPr>
                <w:sz w:val="18"/>
                <w:szCs w:val="18"/>
              </w:rPr>
            </w:pPr>
            <w:r>
              <w:rPr>
                <w:sz w:val="18"/>
                <w:szCs w:val="18"/>
              </w:rPr>
              <w:t>能够基于恩奎斯特采样定理</w:t>
            </w:r>
            <w:r>
              <w:rPr>
                <w:rFonts w:hint="eastAsia"/>
                <w:sz w:val="18"/>
                <w:szCs w:val="18"/>
              </w:rPr>
              <w:t>，</w:t>
            </w:r>
            <w:r>
              <w:rPr>
                <w:sz w:val="18"/>
                <w:szCs w:val="18"/>
              </w:rPr>
              <w:t>针对不同的模拟信号采用合理的</w:t>
            </w:r>
            <w:r>
              <w:rPr>
                <w:rFonts w:hint="eastAsia"/>
                <w:sz w:val="18"/>
                <w:szCs w:val="18"/>
              </w:rPr>
              <w:t>降噪、滤波、调理、放大以及转换，对相关工程问题进行研究，设计可行的实验方案，搭建合理的实验平台。</w:t>
            </w:r>
          </w:p>
        </w:tc>
        <w:tc>
          <w:tcPr>
            <w:tcW w:w="2288" w:type="pct"/>
          </w:tcPr>
          <w:p>
            <w:pPr>
              <w:spacing w:line="360" w:lineRule="auto"/>
              <w:rPr>
                <w:b/>
                <w:sz w:val="18"/>
                <w:szCs w:val="18"/>
              </w:rPr>
            </w:pPr>
            <w:r>
              <w:rPr>
                <w:rFonts w:hint="eastAsia"/>
                <w:b/>
                <w:sz w:val="18"/>
                <w:szCs w:val="18"/>
              </w:rPr>
              <w:t>指标点4-2实验设计能力</w:t>
            </w:r>
            <w:r>
              <w:rPr>
                <w:rFonts w:hint="eastAsia"/>
                <w:sz w:val="18"/>
                <w:szCs w:val="18"/>
              </w:rPr>
              <w:t>：能够基于专业理论，根据所面对的复杂问题特征，选择研究路线，设计可行的实验方案，并选用或搭建实验装置，开展研究。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7" w:type="pct"/>
            <w:vAlign w:val="center"/>
          </w:tcPr>
          <w:p>
            <w:pPr>
              <w:spacing w:line="360" w:lineRule="auto"/>
              <w:jc w:val="center"/>
              <w:rPr>
                <w:sz w:val="18"/>
                <w:szCs w:val="18"/>
              </w:rPr>
            </w:pPr>
            <w:r>
              <w:rPr>
                <w:rFonts w:hint="eastAsia"/>
                <w:sz w:val="18"/>
                <w:szCs w:val="18"/>
              </w:rPr>
              <w:t>3</w:t>
            </w:r>
          </w:p>
        </w:tc>
        <w:tc>
          <w:tcPr>
            <w:tcW w:w="2345" w:type="pct"/>
          </w:tcPr>
          <w:p>
            <w:pPr>
              <w:spacing w:line="360" w:lineRule="auto"/>
              <w:rPr>
                <w:sz w:val="18"/>
                <w:szCs w:val="18"/>
              </w:rPr>
            </w:pPr>
            <w:r>
              <w:rPr>
                <w:sz w:val="18"/>
                <w:szCs w:val="18"/>
              </w:rPr>
              <w:t>能够熟练应用通用仪器来搭建实验平台</w:t>
            </w:r>
            <w:r>
              <w:rPr>
                <w:rFonts w:hint="eastAsia"/>
                <w:sz w:val="18"/>
                <w:szCs w:val="18"/>
              </w:rPr>
              <w:t>，</w:t>
            </w:r>
            <w:r>
              <w:rPr>
                <w:sz w:val="18"/>
                <w:szCs w:val="18"/>
              </w:rPr>
              <w:t>对不同类型的模拟信号采样结果进行分析</w:t>
            </w:r>
            <w:r>
              <w:rPr>
                <w:rFonts w:hint="eastAsia"/>
                <w:sz w:val="18"/>
                <w:szCs w:val="18"/>
              </w:rPr>
              <w:t>及处理，应用误差理论、信息融合等方法对实验数据进行</w:t>
            </w:r>
            <w:r>
              <w:rPr>
                <w:sz w:val="18"/>
                <w:szCs w:val="18"/>
              </w:rPr>
              <w:t>评估</w:t>
            </w:r>
            <w:r>
              <w:rPr>
                <w:rFonts w:hint="eastAsia"/>
                <w:sz w:val="18"/>
                <w:szCs w:val="18"/>
              </w:rPr>
              <w:t>，做出优化改进。</w:t>
            </w:r>
          </w:p>
        </w:tc>
        <w:tc>
          <w:tcPr>
            <w:tcW w:w="2288" w:type="pct"/>
          </w:tcPr>
          <w:p>
            <w:pPr>
              <w:spacing w:line="360" w:lineRule="auto"/>
              <w:rPr>
                <w:sz w:val="18"/>
                <w:szCs w:val="18"/>
              </w:rPr>
            </w:pPr>
            <w:r>
              <w:rPr>
                <w:rFonts w:hint="eastAsia"/>
                <w:b/>
                <w:sz w:val="18"/>
                <w:szCs w:val="18"/>
              </w:rPr>
              <w:t>指标点4-3 实验结果分析：</w:t>
            </w:r>
            <w:r>
              <w:rPr>
                <w:rFonts w:hint="eastAsia"/>
                <w:sz w:val="18"/>
                <w:szCs w:val="18"/>
              </w:rPr>
              <w:t>能正确采集、整理、综合实验数据及相关信息，对多因素实验结果进行关联处理，得到有效结论，提出优化方案。</w:t>
            </w:r>
          </w:p>
        </w:tc>
      </w:tr>
    </w:tbl>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szCs w:val="21"/>
        </w:rPr>
        <w:t>1</w:t>
      </w:r>
      <w:r>
        <w:rPr>
          <w:rFonts w:hint="eastAsia"/>
          <w:szCs w:val="21"/>
        </w:rPr>
        <w:t>、本课程为专业选修课，要求先修模拟电子技术、数字电子技术等课程，在教学中应注意培养专业知识的贯通、活学活用和系统设计的思维方法的传授，同时运用实际的例子启发学生，使其能够对所学专业知识的总结及应用，培养分析能力和解决问题的能力；</w:t>
      </w:r>
    </w:p>
    <w:p>
      <w:pPr>
        <w:spacing w:line="360" w:lineRule="auto"/>
        <w:ind w:firstLine="420" w:firstLineChars="200"/>
        <w:rPr>
          <w:szCs w:val="21"/>
        </w:rPr>
      </w:pPr>
      <w:r>
        <w:rPr>
          <w:szCs w:val="21"/>
        </w:rPr>
        <w:t>2</w:t>
      </w:r>
      <w:r>
        <w:rPr>
          <w:rFonts w:hint="eastAsia"/>
          <w:szCs w:val="21"/>
        </w:rPr>
        <w:t>、通过模拟信号采集的各部分内容，让学生了解各模块参数意义；</w:t>
      </w:r>
    </w:p>
    <w:p>
      <w:pPr>
        <w:spacing w:line="360" w:lineRule="auto"/>
        <w:ind w:firstLine="420" w:firstLineChars="200"/>
        <w:rPr>
          <w:szCs w:val="21"/>
        </w:rPr>
      </w:pPr>
      <w:r>
        <w:rPr>
          <w:szCs w:val="21"/>
        </w:rPr>
        <w:t>3</w:t>
      </w:r>
      <w:r>
        <w:rPr>
          <w:rFonts w:hint="eastAsia"/>
          <w:szCs w:val="21"/>
        </w:rPr>
        <w:t>、本课程系统性和实践性较强，大纲中强调对设计规则和原理的掌握，课后需做大量的实际练习以强化学习效果。</w:t>
      </w:r>
    </w:p>
    <w:p>
      <w:pPr>
        <w:spacing w:line="360" w:lineRule="auto"/>
        <w:ind w:firstLine="420" w:firstLineChars="200"/>
        <w:rPr>
          <w:szCs w:val="21"/>
          <w:lang w:val="zh-CN"/>
        </w:rPr>
      </w:pPr>
      <w:r>
        <w:rPr>
          <w:szCs w:val="21"/>
        </w:rPr>
        <w:t>4</w:t>
      </w:r>
      <w:r>
        <w:rPr>
          <w:rFonts w:hint="eastAsia"/>
          <w:szCs w:val="21"/>
        </w:rPr>
        <w:t>、深度和广度说明：</w:t>
      </w:r>
      <w:r>
        <w:rPr>
          <w:rFonts w:hint="eastAsia"/>
        </w:rPr>
        <w:t>简单介绍</w:t>
      </w:r>
      <w:r>
        <w:rPr>
          <w:rFonts w:hint="eastAsia"/>
          <w:szCs w:val="21"/>
          <w:lang w:val="zh-CN"/>
        </w:rPr>
        <w:t>A</w:t>
      </w:r>
      <w:r>
        <w:rPr>
          <w:szCs w:val="21"/>
          <w:lang w:val="zh-CN"/>
        </w:rPr>
        <w:t>D采样</w:t>
      </w:r>
      <w:r>
        <w:rPr>
          <w:rFonts w:hint="eastAsia"/>
          <w:szCs w:val="21"/>
          <w:lang w:val="zh-CN"/>
        </w:rPr>
        <w:t>和相关器件的</w:t>
      </w:r>
      <w:r>
        <w:rPr>
          <w:rFonts w:hint="eastAsia"/>
        </w:rPr>
        <w:t>使用，对各公司的产品介绍应涵盖广些，器件内部结构了解即可，深入讲解</w:t>
      </w:r>
      <w:r>
        <w:rPr>
          <w:rFonts w:hint="eastAsia"/>
          <w:szCs w:val="21"/>
          <w:lang w:val="zh-CN"/>
        </w:rPr>
        <w:t>模拟信号调理、多通道A</w:t>
      </w:r>
      <w:r>
        <w:rPr>
          <w:szCs w:val="21"/>
          <w:lang w:val="zh-CN"/>
        </w:rPr>
        <w:t>D采样技术</w:t>
      </w:r>
      <w:r>
        <w:rPr>
          <w:rFonts w:hint="eastAsia"/>
          <w:szCs w:val="21"/>
          <w:lang w:val="zh-CN"/>
        </w:rPr>
        <w:t>，</w:t>
      </w:r>
      <w:r>
        <w:rPr>
          <w:szCs w:val="21"/>
          <w:lang w:val="zh-CN"/>
        </w:rPr>
        <w:t>以及模拟信号采集系统的搭建</w:t>
      </w:r>
      <w:r>
        <w:rPr>
          <w:rFonts w:hint="eastAsia"/>
          <w:szCs w:val="21"/>
          <w:lang w:val="zh-CN"/>
        </w:rPr>
        <w:t>。</w:t>
      </w:r>
    </w:p>
    <w:p>
      <w:pPr>
        <w:spacing w:line="360" w:lineRule="auto"/>
        <w:ind w:firstLine="420" w:firstLineChars="200"/>
        <w:rPr>
          <w:szCs w:val="21"/>
        </w:rPr>
      </w:pPr>
      <w:r>
        <w:rPr>
          <w:szCs w:val="21"/>
        </w:rPr>
        <w:t>5</w:t>
      </w:r>
      <w:r>
        <w:rPr>
          <w:rFonts w:hint="eastAsia"/>
          <w:szCs w:val="21"/>
        </w:rPr>
        <w:t>、偏差说明：为了鼓励教师引入个人授课风格或者适应技术发展的紧迫性，本课程允许教师授课内容做适当调整，最大正偏差为</w:t>
      </w:r>
      <w:r>
        <w:rPr>
          <w:szCs w:val="21"/>
        </w:rPr>
        <w:t>10%</w:t>
      </w:r>
      <w:r>
        <w:rPr>
          <w:rFonts w:hint="eastAsia"/>
          <w:szCs w:val="21"/>
        </w:rPr>
        <w:t>，不允许负偏差。正偏差通过压缩同等内容的学时数来完成。特殊情况，最大正偏差和置换偏差累计可达到</w:t>
      </w:r>
      <w:r>
        <w:rPr>
          <w:szCs w:val="21"/>
        </w:rPr>
        <w:t>20%</w:t>
      </w:r>
      <w:r>
        <w:rPr>
          <w:rFonts w:hint="eastAsia"/>
          <w:szCs w:val="21"/>
        </w:rPr>
        <w:t>，但在开课前要申请专业责任人批准。（正偏差指大纲知识点不变，新增知识点；负偏差是大纲知识点减少；置换偏差是指大纲中部分知识点被其它类似知识点替换。）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widowControl/>
        <w:spacing w:line="360" w:lineRule="auto"/>
        <w:ind w:firstLine="420" w:firstLineChars="200"/>
        <w:jc w:val="left"/>
        <w:rPr>
          <w:szCs w:val="21"/>
        </w:rPr>
      </w:pPr>
      <w:r>
        <w:rPr>
          <w:rFonts w:hint="eastAsia"/>
          <w:szCs w:val="21"/>
        </w:rPr>
        <w:t>本课程重点讲授的内容包括：数据的采集，数据的处理、数据的转换和数据输出，模拟采集系统的设计方法及相关器件的参数指标；</w:t>
      </w:r>
    </w:p>
    <w:p>
      <w:pPr>
        <w:widowControl/>
        <w:spacing w:line="360" w:lineRule="auto"/>
        <w:ind w:firstLine="420" w:firstLineChars="200"/>
        <w:jc w:val="left"/>
        <w:rPr>
          <w:szCs w:val="21"/>
        </w:rPr>
      </w:pPr>
      <w:r>
        <w:rPr>
          <w:rFonts w:hint="eastAsia"/>
          <w:szCs w:val="21"/>
        </w:rPr>
        <w:t>深度和广度说明：本课程通过典型案例为线索，围绕特定电路引导学生设计相关电路为本课程重要传授知识要点，从数据的输入、调理、电源及外围电路要深入讲解，对各公司芯片产品介绍应涵盖广些；器件内部结构了解即可，系统整体设计是重点。</w:t>
      </w:r>
    </w:p>
    <w:p>
      <w:pPr>
        <w:widowControl/>
        <w:snapToGrid w:val="0"/>
        <w:spacing w:line="440" w:lineRule="exact"/>
        <w:ind w:firstLine="420" w:firstLineChars="200"/>
        <w:jc w:val="left"/>
        <w:rPr>
          <w:kern w:val="0"/>
          <w:sz w:val="24"/>
        </w:rPr>
      </w:pPr>
      <w:r>
        <w:rPr>
          <w:rFonts w:eastAsia="黑体"/>
          <w:szCs w:val="21"/>
          <w:lang w:val="zh-CN"/>
        </w:rPr>
        <w:t xml:space="preserve">1 </w:t>
      </w:r>
      <w:r>
        <w:rPr>
          <w:snapToGrid w:val="0"/>
          <w:kern w:val="0"/>
          <w:sz w:val="14"/>
          <w:szCs w:val="14"/>
        </w:rPr>
        <w:t>  </w:t>
      </w:r>
      <w:r>
        <w:rPr>
          <w:rFonts w:eastAsia="黑体"/>
          <w:szCs w:val="21"/>
          <w:lang w:val="zh-CN"/>
        </w:rPr>
        <w:t>绪论（2学时）</w:t>
      </w:r>
    </w:p>
    <w:p>
      <w:pPr>
        <w:tabs>
          <w:tab w:val="left" w:pos="0"/>
        </w:tabs>
        <w:autoSpaceDE w:val="0"/>
        <w:autoSpaceDN w:val="0"/>
        <w:spacing w:line="440" w:lineRule="exact"/>
        <w:ind w:left="420" w:leftChars="200"/>
        <w:rPr>
          <w:szCs w:val="21"/>
          <w:lang w:val="zh-CN"/>
        </w:rPr>
      </w:pPr>
      <w:r>
        <w:rPr>
          <w:snapToGrid w:val="0"/>
          <w:kern w:val="0"/>
          <w:szCs w:val="21"/>
        </w:rPr>
        <w:t>1.1、</w:t>
      </w:r>
      <w:r>
        <w:rPr>
          <w:szCs w:val="21"/>
          <w:lang w:val="zh-CN"/>
        </w:rPr>
        <w:t>模拟信号的来源</w:t>
      </w:r>
      <w:r>
        <w:rPr>
          <w:szCs w:val="21"/>
        </w:rPr>
        <w:t>以及</w:t>
      </w:r>
      <w:r>
        <w:rPr>
          <w:szCs w:val="21"/>
          <w:lang w:val="zh-CN"/>
        </w:rPr>
        <w:t>数据采集的意义和任务</w:t>
      </w:r>
    </w:p>
    <w:p>
      <w:pPr>
        <w:tabs>
          <w:tab w:val="left" w:pos="0"/>
        </w:tabs>
        <w:autoSpaceDE w:val="0"/>
        <w:autoSpaceDN w:val="0"/>
        <w:spacing w:line="440" w:lineRule="exact"/>
        <w:ind w:left="420" w:leftChars="200"/>
        <w:rPr>
          <w:szCs w:val="21"/>
        </w:rPr>
      </w:pPr>
      <w:r>
        <w:rPr>
          <w:szCs w:val="21"/>
          <w:lang w:val="zh-CN"/>
        </w:rPr>
        <w:t>1.2、</w:t>
      </w:r>
      <w:r>
        <w:rPr>
          <w:szCs w:val="21"/>
        </w:rPr>
        <w:t>模拟</w:t>
      </w:r>
      <w:r>
        <w:rPr>
          <w:szCs w:val="21"/>
          <w:lang w:val="zh-CN"/>
        </w:rPr>
        <w:t>采集系统的基本功能</w:t>
      </w:r>
      <w:r>
        <w:rPr>
          <w:szCs w:val="21"/>
        </w:rPr>
        <w:t>和</w:t>
      </w:r>
      <w:r>
        <w:rPr>
          <w:szCs w:val="21"/>
          <w:lang w:val="zh-CN"/>
        </w:rPr>
        <w:t>结构形式（</w:t>
      </w:r>
      <w:r>
        <w:rPr>
          <w:szCs w:val="21"/>
        </w:rPr>
        <w:t>重点、难点</w:t>
      </w:r>
      <w:r>
        <w:rPr>
          <w:szCs w:val="21"/>
          <w:lang w:val="zh-CN"/>
        </w:rPr>
        <w:t>）</w:t>
      </w:r>
    </w:p>
    <w:p>
      <w:pPr>
        <w:tabs>
          <w:tab w:val="left" w:pos="0"/>
        </w:tabs>
        <w:autoSpaceDE w:val="0"/>
        <w:autoSpaceDN w:val="0"/>
        <w:spacing w:line="440" w:lineRule="exact"/>
        <w:ind w:left="420" w:leftChars="200"/>
        <w:rPr>
          <w:szCs w:val="21"/>
          <w:lang w:val="zh-CN"/>
        </w:rPr>
      </w:pPr>
      <w:r>
        <w:rPr>
          <w:szCs w:val="21"/>
          <w:lang w:val="zh-CN"/>
        </w:rPr>
        <w:t>1.3、数据采集系统的软件</w:t>
      </w:r>
    </w:p>
    <w:p>
      <w:pPr>
        <w:tabs>
          <w:tab w:val="left" w:pos="0"/>
        </w:tabs>
        <w:autoSpaceDE w:val="0"/>
        <w:autoSpaceDN w:val="0"/>
        <w:spacing w:line="440" w:lineRule="exact"/>
        <w:ind w:left="420" w:leftChars="200"/>
        <w:rPr>
          <w:szCs w:val="21"/>
          <w:lang w:val="zh-CN"/>
        </w:rPr>
      </w:pPr>
      <w:r>
        <w:rPr>
          <w:szCs w:val="21"/>
        </w:rPr>
        <w:t>1.4、</w:t>
      </w:r>
      <w:r>
        <w:rPr>
          <w:szCs w:val="21"/>
          <w:lang w:val="zh-CN"/>
        </w:rPr>
        <w:t>数据处理的类型和任务</w:t>
      </w:r>
    </w:p>
    <w:p>
      <w:pPr>
        <w:tabs>
          <w:tab w:val="left" w:pos="0"/>
        </w:tabs>
        <w:autoSpaceDE w:val="0"/>
        <w:autoSpaceDN w:val="0"/>
        <w:spacing w:line="440" w:lineRule="exact"/>
        <w:ind w:left="420" w:leftChars="200"/>
        <w:rPr>
          <w:szCs w:val="21"/>
          <w:lang w:val="zh-CN"/>
        </w:rPr>
      </w:pPr>
      <w:r>
        <w:rPr>
          <w:szCs w:val="21"/>
          <w:lang w:val="zh-CN"/>
        </w:rPr>
        <w:t>本章内容支撑课程目标1、2。</w:t>
      </w:r>
    </w:p>
    <w:p>
      <w:pPr>
        <w:widowControl/>
        <w:snapToGrid w:val="0"/>
        <w:spacing w:line="440" w:lineRule="exact"/>
        <w:ind w:left="420" w:leftChars="200"/>
        <w:jc w:val="left"/>
        <w:rPr>
          <w:kern w:val="0"/>
          <w:sz w:val="24"/>
        </w:rPr>
      </w:pPr>
      <w:r>
        <w:rPr>
          <w:rFonts w:eastAsia="黑体"/>
          <w:szCs w:val="21"/>
          <w:lang w:val="zh-CN"/>
        </w:rPr>
        <w:t>2信号调理电路（4学时）</w:t>
      </w:r>
    </w:p>
    <w:p>
      <w:pPr>
        <w:tabs>
          <w:tab w:val="left" w:pos="0"/>
        </w:tabs>
        <w:autoSpaceDE w:val="0"/>
        <w:autoSpaceDN w:val="0"/>
        <w:spacing w:line="440" w:lineRule="exact"/>
        <w:ind w:left="420" w:leftChars="200"/>
        <w:rPr>
          <w:szCs w:val="21"/>
        </w:rPr>
      </w:pPr>
      <w:r>
        <w:rPr>
          <w:szCs w:val="21"/>
          <w:lang w:val="zh-CN"/>
        </w:rPr>
        <w:t>2.1、</w:t>
      </w:r>
      <w:r>
        <w:rPr>
          <w:szCs w:val="21"/>
        </w:rPr>
        <w:t>高精度低漂移缓冲放大器（重点、难点）</w:t>
      </w:r>
    </w:p>
    <w:p>
      <w:pPr>
        <w:tabs>
          <w:tab w:val="left" w:pos="0"/>
        </w:tabs>
        <w:autoSpaceDE w:val="0"/>
        <w:autoSpaceDN w:val="0"/>
        <w:spacing w:line="440" w:lineRule="exact"/>
        <w:ind w:left="420" w:leftChars="200"/>
        <w:rPr>
          <w:szCs w:val="21"/>
          <w:lang w:val="zh-CN"/>
        </w:rPr>
      </w:pPr>
      <w:r>
        <w:rPr>
          <w:szCs w:val="21"/>
          <w:lang w:val="zh-CN"/>
        </w:rPr>
        <w:t>2.2、测量放大器</w:t>
      </w:r>
    </w:p>
    <w:p>
      <w:pPr>
        <w:tabs>
          <w:tab w:val="left" w:pos="0"/>
        </w:tabs>
        <w:autoSpaceDE w:val="0"/>
        <w:autoSpaceDN w:val="0"/>
        <w:spacing w:line="440" w:lineRule="exact"/>
        <w:ind w:left="420" w:leftChars="200"/>
        <w:rPr>
          <w:szCs w:val="21"/>
          <w:lang w:val="zh-CN"/>
        </w:rPr>
      </w:pPr>
      <w:r>
        <w:rPr>
          <w:szCs w:val="21"/>
        </w:rPr>
        <w:t>2.3、</w:t>
      </w:r>
      <w:r>
        <w:rPr>
          <w:szCs w:val="21"/>
          <w:lang w:val="zh-CN"/>
        </w:rPr>
        <w:t>隔离放大器</w:t>
      </w:r>
    </w:p>
    <w:p>
      <w:pPr>
        <w:tabs>
          <w:tab w:val="left" w:pos="0"/>
        </w:tabs>
        <w:autoSpaceDE w:val="0"/>
        <w:autoSpaceDN w:val="0"/>
        <w:spacing w:line="440" w:lineRule="exact"/>
        <w:ind w:left="420" w:leftChars="200"/>
        <w:rPr>
          <w:szCs w:val="21"/>
          <w:lang w:val="zh-CN"/>
        </w:rPr>
      </w:pPr>
      <w:r>
        <w:rPr>
          <w:szCs w:val="21"/>
        </w:rPr>
        <w:t>2.4、</w:t>
      </w:r>
      <w:r>
        <w:rPr>
          <w:szCs w:val="21"/>
          <w:lang w:val="zh-CN"/>
        </w:rPr>
        <w:t>非线性函数放大器</w:t>
      </w:r>
    </w:p>
    <w:p>
      <w:pPr>
        <w:tabs>
          <w:tab w:val="left" w:pos="0"/>
        </w:tabs>
        <w:autoSpaceDE w:val="0"/>
        <w:autoSpaceDN w:val="0"/>
        <w:spacing w:line="440" w:lineRule="exact"/>
        <w:ind w:left="420" w:leftChars="200"/>
        <w:rPr>
          <w:szCs w:val="21"/>
          <w:lang w:val="zh-CN"/>
        </w:rPr>
      </w:pPr>
      <w:r>
        <w:rPr>
          <w:szCs w:val="21"/>
        </w:rPr>
        <w:t>2.5、</w:t>
      </w:r>
      <w:r>
        <w:rPr>
          <w:szCs w:val="21"/>
          <w:lang w:val="zh-CN"/>
        </w:rPr>
        <w:t>电荷放大器</w:t>
      </w:r>
    </w:p>
    <w:p>
      <w:pPr>
        <w:tabs>
          <w:tab w:val="left" w:pos="0"/>
        </w:tabs>
        <w:autoSpaceDE w:val="0"/>
        <w:autoSpaceDN w:val="0"/>
        <w:spacing w:line="440" w:lineRule="exact"/>
        <w:ind w:left="420" w:leftChars="200"/>
        <w:rPr>
          <w:szCs w:val="21"/>
          <w:lang w:val="zh-CN"/>
        </w:rPr>
      </w:pPr>
      <w:r>
        <w:rPr>
          <w:szCs w:val="21"/>
        </w:rPr>
        <w:t>2.6、</w:t>
      </w:r>
      <w:r>
        <w:rPr>
          <w:szCs w:val="21"/>
          <w:lang w:val="zh-CN"/>
        </w:rPr>
        <w:t>积分器</w:t>
      </w:r>
    </w:p>
    <w:p>
      <w:pPr>
        <w:tabs>
          <w:tab w:val="left" w:pos="0"/>
        </w:tabs>
        <w:autoSpaceDE w:val="0"/>
        <w:autoSpaceDN w:val="0"/>
        <w:spacing w:line="440" w:lineRule="exact"/>
        <w:ind w:left="420" w:leftChars="200"/>
        <w:rPr>
          <w:szCs w:val="21"/>
          <w:lang w:val="zh-CN"/>
        </w:rPr>
      </w:pPr>
      <w:r>
        <w:rPr>
          <w:szCs w:val="21"/>
        </w:rPr>
        <w:t>2.7、</w:t>
      </w:r>
      <w:r>
        <w:rPr>
          <w:szCs w:val="21"/>
          <w:lang w:val="zh-CN"/>
        </w:rPr>
        <w:t>模拟乘法器</w:t>
      </w:r>
    </w:p>
    <w:p>
      <w:pPr>
        <w:tabs>
          <w:tab w:val="left" w:pos="0"/>
        </w:tabs>
        <w:autoSpaceDE w:val="0"/>
        <w:autoSpaceDN w:val="0"/>
        <w:spacing w:line="440" w:lineRule="exact"/>
        <w:ind w:left="420" w:leftChars="200"/>
        <w:rPr>
          <w:szCs w:val="21"/>
          <w:lang w:val="zh-CN"/>
        </w:rPr>
      </w:pPr>
      <w:r>
        <w:rPr>
          <w:szCs w:val="21"/>
        </w:rPr>
        <w:t>2.8、</w:t>
      </w:r>
      <w:r>
        <w:rPr>
          <w:szCs w:val="21"/>
          <w:lang w:val="zh-CN"/>
        </w:rPr>
        <w:t>线性检波电路</w:t>
      </w:r>
      <w:r>
        <w:rPr>
          <w:szCs w:val="21"/>
        </w:rPr>
        <w:t>（重点、难点）</w:t>
      </w:r>
    </w:p>
    <w:p>
      <w:pPr>
        <w:tabs>
          <w:tab w:val="left" w:pos="0"/>
        </w:tabs>
        <w:autoSpaceDE w:val="0"/>
        <w:autoSpaceDN w:val="0"/>
        <w:spacing w:line="440" w:lineRule="exact"/>
        <w:ind w:left="420" w:leftChars="200"/>
        <w:rPr>
          <w:szCs w:val="21"/>
          <w:lang w:val="zh-CN"/>
        </w:rPr>
      </w:pPr>
      <w:r>
        <w:rPr>
          <w:szCs w:val="21"/>
        </w:rPr>
        <w:t>2.9、</w:t>
      </w:r>
      <w:r>
        <w:rPr>
          <w:szCs w:val="21"/>
          <w:lang w:val="zh-CN"/>
        </w:rPr>
        <w:t>电压比较器</w:t>
      </w:r>
    </w:p>
    <w:p>
      <w:pPr>
        <w:tabs>
          <w:tab w:val="left" w:pos="0"/>
        </w:tabs>
        <w:autoSpaceDE w:val="0"/>
        <w:autoSpaceDN w:val="0"/>
        <w:spacing w:line="440" w:lineRule="exact"/>
        <w:ind w:left="420" w:leftChars="200"/>
        <w:rPr>
          <w:szCs w:val="21"/>
        </w:rPr>
      </w:pPr>
      <w:r>
        <w:rPr>
          <w:szCs w:val="21"/>
        </w:rPr>
        <w:t>2.10、</w:t>
      </w:r>
      <w:r>
        <w:rPr>
          <w:szCs w:val="21"/>
          <w:lang w:val="zh-CN"/>
        </w:rPr>
        <w:t>有源滤波器</w:t>
      </w:r>
      <w:r>
        <w:rPr>
          <w:szCs w:val="21"/>
        </w:rPr>
        <w:t>（重点、难点）</w:t>
      </w:r>
    </w:p>
    <w:p>
      <w:pPr>
        <w:widowControl/>
        <w:snapToGrid w:val="0"/>
        <w:spacing w:line="440" w:lineRule="exact"/>
        <w:ind w:left="420" w:leftChars="200"/>
        <w:jc w:val="left"/>
        <w:rPr>
          <w:szCs w:val="21"/>
          <w:lang w:val="zh-CN"/>
        </w:rPr>
      </w:pPr>
      <w:r>
        <w:rPr>
          <w:szCs w:val="21"/>
          <w:lang w:val="zh-CN"/>
        </w:rPr>
        <w:t>本章内容支撑课程目标1、2。</w:t>
      </w:r>
    </w:p>
    <w:p>
      <w:pPr>
        <w:widowControl/>
        <w:snapToGrid w:val="0"/>
        <w:spacing w:line="440" w:lineRule="exact"/>
        <w:ind w:left="420" w:leftChars="200"/>
        <w:jc w:val="left"/>
        <w:rPr>
          <w:rFonts w:eastAsia="黑体"/>
          <w:szCs w:val="21"/>
        </w:rPr>
      </w:pPr>
      <w:r>
        <w:rPr>
          <w:rFonts w:eastAsia="黑体"/>
          <w:szCs w:val="21"/>
        </w:rPr>
        <w:t>3  模拟开关和</w:t>
      </w:r>
      <w:r>
        <w:rPr>
          <w:rFonts w:eastAsia="黑体"/>
          <w:szCs w:val="21"/>
          <w:lang w:val="zh-CN"/>
        </w:rPr>
        <w:t>采样</w:t>
      </w:r>
      <w:r>
        <w:rPr>
          <w:rFonts w:eastAsia="黑体"/>
          <w:szCs w:val="21"/>
        </w:rPr>
        <w:t>/</w:t>
      </w:r>
      <w:r>
        <w:rPr>
          <w:rFonts w:eastAsia="黑体"/>
          <w:szCs w:val="21"/>
          <w:lang w:val="zh-CN"/>
        </w:rPr>
        <w:t>保持器（</w:t>
      </w:r>
      <w:r>
        <w:rPr>
          <w:rFonts w:eastAsia="黑体"/>
          <w:szCs w:val="21"/>
        </w:rPr>
        <w:t>4学时</w:t>
      </w:r>
      <w:r>
        <w:rPr>
          <w:rFonts w:eastAsia="黑体"/>
          <w:szCs w:val="21"/>
          <w:lang w:val="zh-CN"/>
        </w:rPr>
        <w:t>）</w:t>
      </w:r>
    </w:p>
    <w:p>
      <w:pPr>
        <w:tabs>
          <w:tab w:val="left" w:pos="0"/>
        </w:tabs>
        <w:autoSpaceDE w:val="0"/>
        <w:autoSpaceDN w:val="0"/>
        <w:spacing w:line="440" w:lineRule="exact"/>
        <w:ind w:left="420" w:leftChars="200"/>
        <w:rPr>
          <w:szCs w:val="21"/>
        </w:rPr>
      </w:pPr>
      <w:r>
        <w:rPr>
          <w:szCs w:val="21"/>
        </w:rPr>
        <w:t>3.1、采样/保持器的工作原理、类型和主要性能参数</w:t>
      </w:r>
    </w:p>
    <w:p>
      <w:pPr>
        <w:tabs>
          <w:tab w:val="left" w:pos="0"/>
        </w:tabs>
        <w:autoSpaceDE w:val="0"/>
        <w:autoSpaceDN w:val="0"/>
        <w:spacing w:line="440" w:lineRule="exact"/>
        <w:ind w:left="420" w:leftChars="200"/>
        <w:rPr>
          <w:szCs w:val="21"/>
        </w:rPr>
      </w:pPr>
      <w:r>
        <w:rPr>
          <w:szCs w:val="21"/>
        </w:rPr>
        <w:t>3.2、系统采集速率与采样/保持器的关系</w:t>
      </w:r>
    </w:p>
    <w:p>
      <w:pPr>
        <w:tabs>
          <w:tab w:val="left" w:pos="0"/>
        </w:tabs>
        <w:autoSpaceDE w:val="0"/>
        <w:autoSpaceDN w:val="0"/>
        <w:spacing w:line="440" w:lineRule="exact"/>
        <w:ind w:left="420" w:leftChars="200"/>
        <w:rPr>
          <w:szCs w:val="21"/>
        </w:rPr>
      </w:pPr>
      <w:r>
        <w:rPr>
          <w:szCs w:val="21"/>
        </w:rPr>
        <w:t>3.3、采样/保持器的集成芯片（重点、难点）</w:t>
      </w:r>
    </w:p>
    <w:p>
      <w:pPr>
        <w:tabs>
          <w:tab w:val="left" w:pos="0"/>
        </w:tabs>
        <w:autoSpaceDE w:val="0"/>
        <w:autoSpaceDN w:val="0"/>
        <w:spacing w:line="440" w:lineRule="exact"/>
        <w:ind w:left="420" w:leftChars="200"/>
        <w:rPr>
          <w:szCs w:val="21"/>
        </w:rPr>
      </w:pPr>
      <w:r>
        <w:rPr>
          <w:szCs w:val="21"/>
        </w:rPr>
        <w:t>3.4、采样/保持器使用中应注意的问题</w:t>
      </w:r>
    </w:p>
    <w:p>
      <w:pPr>
        <w:tabs>
          <w:tab w:val="left" w:pos="0"/>
        </w:tabs>
        <w:autoSpaceDE w:val="0"/>
        <w:autoSpaceDN w:val="0"/>
        <w:spacing w:line="440" w:lineRule="exact"/>
        <w:ind w:left="420" w:leftChars="200"/>
        <w:rPr>
          <w:szCs w:val="21"/>
        </w:rPr>
      </w:pPr>
      <w:r>
        <w:rPr>
          <w:szCs w:val="21"/>
        </w:rPr>
        <w:t>3.5、模拟开关</w:t>
      </w:r>
    </w:p>
    <w:p>
      <w:pPr>
        <w:widowControl/>
        <w:snapToGrid w:val="0"/>
        <w:spacing w:line="440" w:lineRule="exact"/>
        <w:ind w:left="420" w:leftChars="200"/>
        <w:jc w:val="left"/>
        <w:rPr>
          <w:szCs w:val="21"/>
          <w:lang w:val="zh-CN"/>
        </w:rPr>
      </w:pPr>
      <w:r>
        <w:rPr>
          <w:szCs w:val="21"/>
          <w:lang w:val="zh-CN"/>
        </w:rPr>
        <w:t>本章内容支撑课程目标1、2。</w:t>
      </w:r>
    </w:p>
    <w:p>
      <w:pPr>
        <w:widowControl/>
        <w:snapToGrid w:val="0"/>
        <w:spacing w:line="440" w:lineRule="exact"/>
        <w:ind w:left="420" w:leftChars="200"/>
        <w:jc w:val="left"/>
        <w:rPr>
          <w:rFonts w:eastAsia="黑体"/>
          <w:szCs w:val="21"/>
          <w:lang w:val="zh-CN"/>
        </w:rPr>
      </w:pPr>
      <w:r>
        <w:rPr>
          <w:rFonts w:eastAsia="黑体"/>
          <w:szCs w:val="21"/>
          <w:lang w:val="zh-CN"/>
        </w:rPr>
        <w:t>4 数模转换及单片机外围电路（</w:t>
      </w:r>
      <w:r>
        <w:rPr>
          <w:rFonts w:eastAsia="黑体"/>
          <w:szCs w:val="21"/>
        </w:rPr>
        <w:t>4</w:t>
      </w:r>
      <w:r>
        <w:rPr>
          <w:rFonts w:eastAsia="黑体"/>
          <w:szCs w:val="21"/>
          <w:lang w:val="zh-CN"/>
        </w:rPr>
        <w:t>学时）</w:t>
      </w:r>
    </w:p>
    <w:p>
      <w:pPr>
        <w:tabs>
          <w:tab w:val="left" w:pos="0"/>
        </w:tabs>
        <w:autoSpaceDE w:val="0"/>
        <w:autoSpaceDN w:val="0"/>
        <w:spacing w:line="440" w:lineRule="exact"/>
        <w:ind w:left="420" w:leftChars="200"/>
        <w:rPr>
          <w:szCs w:val="21"/>
        </w:rPr>
      </w:pPr>
      <w:r>
        <w:rPr>
          <w:szCs w:val="21"/>
        </w:rPr>
        <w:t>4.1、</w:t>
      </w:r>
      <w:r>
        <w:rPr>
          <w:szCs w:val="21"/>
          <w:lang w:val="zh-CN"/>
        </w:rPr>
        <w:t>数模转换原理</w:t>
      </w:r>
      <w:r>
        <w:rPr>
          <w:szCs w:val="21"/>
        </w:rPr>
        <w:t>和分类</w:t>
      </w:r>
    </w:p>
    <w:p>
      <w:pPr>
        <w:tabs>
          <w:tab w:val="left" w:pos="0"/>
        </w:tabs>
        <w:autoSpaceDE w:val="0"/>
        <w:autoSpaceDN w:val="0"/>
        <w:spacing w:line="440" w:lineRule="exact"/>
        <w:ind w:left="420" w:leftChars="200"/>
        <w:rPr>
          <w:szCs w:val="21"/>
        </w:rPr>
      </w:pPr>
      <w:r>
        <w:rPr>
          <w:szCs w:val="21"/>
        </w:rPr>
        <w:t>4.2、数模转换器的主要技术指标及其测试（难点、重点）</w:t>
      </w:r>
    </w:p>
    <w:p>
      <w:pPr>
        <w:tabs>
          <w:tab w:val="left" w:pos="0"/>
        </w:tabs>
        <w:autoSpaceDE w:val="0"/>
        <w:autoSpaceDN w:val="0"/>
        <w:spacing w:line="440" w:lineRule="exact"/>
        <w:ind w:left="420" w:leftChars="200"/>
        <w:rPr>
          <w:szCs w:val="21"/>
        </w:rPr>
      </w:pPr>
      <w:r>
        <w:rPr>
          <w:szCs w:val="21"/>
        </w:rPr>
        <w:t>4.3、在设计中如何选择和使用数模转换器（难点、重点）</w:t>
      </w:r>
    </w:p>
    <w:p>
      <w:pPr>
        <w:tabs>
          <w:tab w:val="left" w:pos="0"/>
        </w:tabs>
        <w:autoSpaceDE w:val="0"/>
        <w:autoSpaceDN w:val="0"/>
        <w:spacing w:line="440" w:lineRule="exact"/>
        <w:ind w:left="420" w:leftChars="200"/>
        <w:rPr>
          <w:szCs w:val="21"/>
        </w:rPr>
      </w:pPr>
      <w:r>
        <w:rPr>
          <w:szCs w:val="21"/>
        </w:rPr>
        <w:t>4.4、数模转换器与单片机的接口（难点、重点）</w:t>
      </w:r>
    </w:p>
    <w:p>
      <w:pPr>
        <w:tabs>
          <w:tab w:val="left" w:pos="0"/>
        </w:tabs>
        <w:autoSpaceDE w:val="0"/>
        <w:autoSpaceDN w:val="0"/>
        <w:spacing w:line="440" w:lineRule="exact"/>
        <w:ind w:left="420" w:leftChars="200"/>
        <w:rPr>
          <w:szCs w:val="21"/>
        </w:rPr>
      </w:pPr>
      <w:r>
        <w:rPr>
          <w:szCs w:val="21"/>
        </w:rPr>
        <w:t>4.5、单片机外围电路设计</w:t>
      </w:r>
    </w:p>
    <w:p>
      <w:pPr>
        <w:tabs>
          <w:tab w:val="left" w:pos="0"/>
        </w:tabs>
        <w:autoSpaceDE w:val="0"/>
        <w:autoSpaceDN w:val="0"/>
        <w:spacing w:line="440" w:lineRule="exact"/>
        <w:ind w:left="420" w:leftChars="200"/>
        <w:rPr>
          <w:szCs w:val="21"/>
          <w:lang w:val="zh-CN"/>
        </w:rPr>
      </w:pPr>
      <w:r>
        <w:rPr>
          <w:szCs w:val="21"/>
          <w:lang w:val="zh-CN"/>
        </w:rPr>
        <w:t>本章内容支撑课程目标1、2、</w:t>
      </w:r>
      <w:r>
        <w:rPr>
          <w:szCs w:val="21"/>
        </w:rPr>
        <w:t>3</w:t>
      </w:r>
      <w:r>
        <w:rPr>
          <w:szCs w:val="21"/>
          <w:lang w:val="zh-CN"/>
        </w:rPr>
        <w:t>。</w:t>
      </w:r>
    </w:p>
    <w:p>
      <w:pPr>
        <w:widowControl/>
        <w:snapToGrid w:val="0"/>
        <w:spacing w:line="440" w:lineRule="exact"/>
        <w:ind w:left="420" w:leftChars="200"/>
        <w:jc w:val="left"/>
        <w:rPr>
          <w:rFonts w:eastAsia="黑体"/>
          <w:szCs w:val="21"/>
        </w:rPr>
      </w:pPr>
      <w:r>
        <w:rPr>
          <w:rFonts w:eastAsia="黑体"/>
          <w:szCs w:val="21"/>
        </w:rPr>
        <w:t>5  模拟信号采集系统设计（2学时）</w:t>
      </w:r>
    </w:p>
    <w:p>
      <w:pPr>
        <w:tabs>
          <w:tab w:val="left" w:pos="0"/>
        </w:tabs>
        <w:autoSpaceDE w:val="0"/>
        <w:autoSpaceDN w:val="0"/>
        <w:spacing w:line="440" w:lineRule="exact"/>
        <w:ind w:left="420" w:leftChars="200"/>
        <w:rPr>
          <w:szCs w:val="21"/>
        </w:rPr>
      </w:pPr>
      <w:r>
        <w:rPr>
          <w:szCs w:val="21"/>
        </w:rPr>
        <w:t>5.1、模拟信号采集系统结构的搭建（难点、重点）</w:t>
      </w:r>
    </w:p>
    <w:p>
      <w:pPr>
        <w:tabs>
          <w:tab w:val="left" w:pos="0"/>
        </w:tabs>
        <w:autoSpaceDE w:val="0"/>
        <w:autoSpaceDN w:val="0"/>
        <w:spacing w:line="440" w:lineRule="exact"/>
        <w:ind w:left="420" w:leftChars="200"/>
        <w:rPr>
          <w:szCs w:val="21"/>
        </w:rPr>
      </w:pPr>
      <w:r>
        <w:rPr>
          <w:szCs w:val="21"/>
        </w:rPr>
        <w:t>5.2、模拟信号采集系统应用举例（难点、重点）</w:t>
      </w:r>
    </w:p>
    <w:p>
      <w:pPr>
        <w:tabs>
          <w:tab w:val="left" w:pos="0"/>
        </w:tabs>
        <w:autoSpaceDE w:val="0"/>
        <w:autoSpaceDN w:val="0"/>
        <w:spacing w:line="440" w:lineRule="exact"/>
        <w:ind w:left="420" w:leftChars="200"/>
        <w:rPr>
          <w:szCs w:val="21"/>
        </w:rPr>
      </w:pPr>
      <w:r>
        <w:rPr>
          <w:szCs w:val="21"/>
        </w:rPr>
        <w:t>5.3、标准总线与自动测量的控制系统</w:t>
      </w:r>
    </w:p>
    <w:p>
      <w:pPr>
        <w:tabs>
          <w:tab w:val="left" w:pos="0"/>
        </w:tabs>
        <w:autoSpaceDE w:val="0"/>
        <w:autoSpaceDN w:val="0"/>
        <w:spacing w:line="360" w:lineRule="auto"/>
        <w:ind w:left="420" w:leftChars="200"/>
        <w:rPr>
          <w:szCs w:val="21"/>
          <w:lang w:val="zh-CN"/>
        </w:rPr>
      </w:pPr>
      <w:r>
        <w:rPr>
          <w:szCs w:val="21"/>
          <w:lang w:val="zh-CN"/>
        </w:rPr>
        <w:t>本章内容支撑课程目标1、2、</w:t>
      </w:r>
      <w:r>
        <w:rPr>
          <w:szCs w:val="21"/>
        </w:rPr>
        <w:t>3</w:t>
      </w:r>
      <w:r>
        <w:rPr>
          <w:szCs w:val="21"/>
          <w:lang w:val="zh-CN"/>
        </w:rPr>
        <w:t>。</w:t>
      </w:r>
    </w:p>
    <w:p>
      <w:pPr>
        <w:tabs>
          <w:tab w:val="left" w:pos="0"/>
        </w:tabs>
        <w:autoSpaceDE w:val="0"/>
        <w:autoSpaceDN w:val="0"/>
        <w:spacing w:line="360" w:lineRule="auto"/>
        <w:ind w:left="420" w:leftChars="200"/>
        <w:rPr>
          <w:rFonts w:ascii="宋体" w:cs="宋体"/>
          <w:szCs w:val="21"/>
          <w:lang w:val="zh-CN"/>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 xml:space="preserve">五、实验内容   </w:t>
      </w:r>
    </w:p>
    <w:p>
      <w:pPr>
        <w:tabs>
          <w:tab w:val="left" w:pos="0"/>
        </w:tabs>
        <w:autoSpaceDE w:val="0"/>
        <w:autoSpaceDN w:val="0"/>
        <w:spacing w:line="360" w:lineRule="auto"/>
        <w:ind w:left="420" w:leftChars="200"/>
        <w:rPr>
          <w:rFonts w:ascii="宋体" w:cs="宋体"/>
          <w:szCs w:val="21"/>
          <w:lang w:val="zh-CN"/>
        </w:rPr>
      </w:pPr>
      <w:r>
        <w:rPr>
          <w:rFonts w:hint="eastAsia" w:ascii="宋体" w:cs="宋体"/>
          <w:szCs w:val="21"/>
          <w:lang w:val="zh-CN"/>
        </w:rPr>
        <w:t>无</w:t>
      </w:r>
    </w:p>
    <w:p>
      <w:pPr>
        <w:tabs>
          <w:tab w:val="left" w:pos="0"/>
        </w:tabs>
        <w:autoSpaceDE w:val="0"/>
        <w:autoSpaceDN w:val="0"/>
        <w:spacing w:line="360" w:lineRule="auto"/>
        <w:ind w:left="420" w:leftChars="200"/>
        <w:rPr>
          <w:rFonts w:ascii="宋体" w:cs="宋体"/>
          <w:szCs w:val="21"/>
          <w:lang w:val="zh-CN"/>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932"/>
        <w:gridCol w:w="1634"/>
        <w:gridCol w:w="16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73" w:type="pct"/>
            <w:vAlign w:val="center"/>
          </w:tcPr>
          <w:p>
            <w:pPr>
              <w:adjustRightInd w:val="0"/>
              <w:snapToGrid w:val="0"/>
              <w:jc w:val="center"/>
              <w:rPr>
                <w:sz w:val="18"/>
                <w:szCs w:val="18"/>
              </w:rPr>
            </w:pPr>
            <w:r>
              <w:rPr>
                <w:sz w:val="18"/>
                <w:szCs w:val="18"/>
              </w:rPr>
              <w:t>讲授的知识点及内容</w:t>
            </w:r>
          </w:p>
        </w:tc>
        <w:tc>
          <w:tcPr>
            <w:tcW w:w="1162" w:type="pct"/>
            <w:vAlign w:val="center"/>
          </w:tcPr>
          <w:p>
            <w:pPr>
              <w:adjustRightInd w:val="0"/>
              <w:snapToGrid w:val="0"/>
              <w:jc w:val="center"/>
              <w:rPr>
                <w:sz w:val="18"/>
                <w:szCs w:val="18"/>
              </w:rPr>
            </w:pPr>
            <w:r>
              <w:rPr>
                <w:sz w:val="18"/>
                <w:szCs w:val="18"/>
              </w:rPr>
              <w:t>讲授（学时）</w:t>
            </w:r>
          </w:p>
        </w:tc>
        <w:tc>
          <w:tcPr>
            <w:tcW w:w="983" w:type="pct"/>
            <w:vAlign w:val="center"/>
          </w:tcPr>
          <w:p>
            <w:pPr>
              <w:adjustRightInd w:val="0"/>
              <w:snapToGrid w:val="0"/>
              <w:jc w:val="center"/>
              <w:rPr>
                <w:sz w:val="18"/>
                <w:szCs w:val="18"/>
              </w:rPr>
            </w:pPr>
            <w:r>
              <w:rPr>
                <w:sz w:val="18"/>
                <w:szCs w:val="18"/>
              </w:rPr>
              <w:t>实验（学时）</w:t>
            </w:r>
          </w:p>
        </w:tc>
        <w:tc>
          <w:tcPr>
            <w:tcW w:w="983" w:type="pct"/>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ind w:left="174" w:leftChars="83"/>
              <w:jc w:val="left"/>
              <w:rPr>
                <w:snapToGrid w:val="0"/>
                <w:kern w:val="0"/>
                <w:sz w:val="18"/>
                <w:szCs w:val="18"/>
              </w:rPr>
            </w:pPr>
            <w:r>
              <w:rPr>
                <w:snapToGrid w:val="0"/>
                <w:kern w:val="0"/>
                <w:sz w:val="18"/>
                <w:szCs w:val="18"/>
              </w:rPr>
              <w:t>1、绪论</w:t>
            </w:r>
          </w:p>
        </w:tc>
        <w:tc>
          <w:tcPr>
            <w:tcW w:w="1162" w:type="pct"/>
            <w:vAlign w:val="center"/>
          </w:tcPr>
          <w:p>
            <w:pPr>
              <w:adjustRightInd w:val="0"/>
              <w:snapToGrid w:val="0"/>
              <w:jc w:val="center"/>
              <w:rPr>
                <w:sz w:val="18"/>
                <w:szCs w:val="18"/>
              </w:rPr>
            </w:pPr>
            <w:r>
              <w:rPr>
                <w:sz w:val="18"/>
                <w:szCs w:val="18"/>
              </w:rPr>
              <w:t>2</w:t>
            </w:r>
          </w:p>
        </w:tc>
        <w:tc>
          <w:tcPr>
            <w:tcW w:w="983" w:type="pct"/>
            <w:vAlign w:val="center"/>
          </w:tcPr>
          <w:p>
            <w:pPr>
              <w:widowControl/>
              <w:adjustRightInd w:val="0"/>
              <w:snapToGrid w:val="0"/>
              <w:ind w:firstLine="21" w:firstLineChars="12"/>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ind w:left="174" w:leftChars="83"/>
              <w:jc w:val="left"/>
              <w:rPr>
                <w:snapToGrid w:val="0"/>
                <w:kern w:val="0"/>
                <w:sz w:val="18"/>
                <w:szCs w:val="18"/>
              </w:rPr>
            </w:pPr>
            <w:r>
              <w:rPr>
                <w:snapToGrid w:val="0"/>
                <w:kern w:val="0"/>
                <w:sz w:val="18"/>
                <w:szCs w:val="18"/>
              </w:rPr>
              <w:t>2、信号调理电路</w:t>
            </w:r>
          </w:p>
        </w:tc>
        <w:tc>
          <w:tcPr>
            <w:tcW w:w="1162" w:type="pct"/>
            <w:vAlign w:val="center"/>
          </w:tcPr>
          <w:p>
            <w:pPr>
              <w:adjustRightInd w:val="0"/>
              <w:snapToGrid w:val="0"/>
              <w:jc w:val="center"/>
              <w:rPr>
                <w:sz w:val="18"/>
                <w:szCs w:val="18"/>
              </w:rPr>
            </w:pPr>
            <w:r>
              <w:rPr>
                <w:sz w:val="18"/>
                <w:szCs w:val="18"/>
              </w:rPr>
              <w:t>4</w:t>
            </w:r>
          </w:p>
        </w:tc>
        <w:tc>
          <w:tcPr>
            <w:tcW w:w="983" w:type="pct"/>
            <w:vAlign w:val="center"/>
          </w:tcPr>
          <w:p>
            <w:pPr>
              <w:adjustRightInd w:val="0"/>
              <w:snapToGrid w:val="0"/>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ind w:left="174" w:leftChars="83"/>
              <w:jc w:val="left"/>
              <w:rPr>
                <w:snapToGrid w:val="0"/>
                <w:kern w:val="0"/>
                <w:sz w:val="18"/>
                <w:szCs w:val="18"/>
              </w:rPr>
            </w:pPr>
            <w:r>
              <w:rPr>
                <w:snapToGrid w:val="0"/>
                <w:kern w:val="0"/>
                <w:sz w:val="18"/>
                <w:szCs w:val="18"/>
              </w:rPr>
              <w:t>3、模拟开关和</w:t>
            </w:r>
            <w:r>
              <w:rPr>
                <w:snapToGrid w:val="0"/>
                <w:kern w:val="0"/>
                <w:sz w:val="18"/>
                <w:szCs w:val="18"/>
                <w:lang w:val="zh-CN"/>
              </w:rPr>
              <w:t>采样</w:t>
            </w:r>
            <w:r>
              <w:rPr>
                <w:snapToGrid w:val="0"/>
                <w:kern w:val="0"/>
                <w:sz w:val="18"/>
                <w:szCs w:val="18"/>
              </w:rPr>
              <w:t>/</w:t>
            </w:r>
            <w:r>
              <w:rPr>
                <w:snapToGrid w:val="0"/>
                <w:kern w:val="0"/>
                <w:sz w:val="18"/>
                <w:szCs w:val="18"/>
                <w:lang w:val="zh-CN"/>
              </w:rPr>
              <w:t>保持器</w:t>
            </w:r>
          </w:p>
        </w:tc>
        <w:tc>
          <w:tcPr>
            <w:tcW w:w="1162" w:type="pct"/>
            <w:vAlign w:val="center"/>
          </w:tcPr>
          <w:p>
            <w:pPr>
              <w:adjustRightInd w:val="0"/>
              <w:snapToGrid w:val="0"/>
              <w:jc w:val="center"/>
              <w:rPr>
                <w:sz w:val="18"/>
                <w:szCs w:val="18"/>
              </w:rPr>
            </w:pPr>
            <w:r>
              <w:rPr>
                <w:sz w:val="18"/>
                <w:szCs w:val="18"/>
              </w:rPr>
              <w:t>4</w:t>
            </w:r>
          </w:p>
        </w:tc>
        <w:tc>
          <w:tcPr>
            <w:tcW w:w="983" w:type="pct"/>
            <w:vAlign w:val="center"/>
          </w:tcPr>
          <w:p>
            <w:pPr>
              <w:adjustRightInd w:val="0"/>
              <w:snapToGrid w:val="0"/>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ind w:left="174" w:leftChars="83"/>
              <w:jc w:val="left"/>
              <w:rPr>
                <w:snapToGrid w:val="0"/>
                <w:kern w:val="0"/>
                <w:sz w:val="18"/>
                <w:szCs w:val="18"/>
              </w:rPr>
            </w:pPr>
            <w:r>
              <w:rPr>
                <w:snapToGrid w:val="0"/>
                <w:kern w:val="0"/>
                <w:sz w:val="18"/>
                <w:szCs w:val="18"/>
              </w:rPr>
              <w:t>4、数模转换及单片机外围电路</w:t>
            </w:r>
          </w:p>
        </w:tc>
        <w:tc>
          <w:tcPr>
            <w:tcW w:w="1162" w:type="pct"/>
            <w:vAlign w:val="center"/>
          </w:tcPr>
          <w:p>
            <w:pPr>
              <w:adjustRightInd w:val="0"/>
              <w:snapToGrid w:val="0"/>
              <w:jc w:val="center"/>
              <w:rPr>
                <w:sz w:val="18"/>
                <w:szCs w:val="18"/>
              </w:rPr>
            </w:pPr>
            <w:r>
              <w:rPr>
                <w:sz w:val="18"/>
                <w:szCs w:val="18"/>
              </w:rPr>
              <w:t>4</w:t>
            </w:r>
          </w:p>
        </w:tc>
        <w:tc>
          <w:tcPr>
            <w:tcW w:w="983" w:type="pct"/>
            <w:vAlign w:val="center"/>
          </w:tcPr>
          <w:p>
            <w:pPr>
              <w:adjustRightInd w:val="0"/>
              <w:snapToGrid w:val="0"/>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ind w:left="174" w:leftChars="83"/>
              <w:jc w:val="left"/>
              <w:rPr>
                <w:snapToGrid w:val="0"/>
                <w:kern w:val="0"/>
                <w:sz w:val="18"/>
                <w:szCs w:val="18"/>
              </w:rPr>
            </w:pPr>
            <w:r>
              <w:rPr>
                <w:snapToGrid w:val="0"/>
                <w:kern w:val="0"/>
                <w:sz w:val="18"/>
                <w:szCs w:val="18"/>
              </w:rPr>
              <w:t>5、模拟信号采集系统设计</w:t>
            </w:r>
          </w:p>
        </w:tc>
        <w:tc>
          <w:tcPr>
            <w:tcW w:w="1162" w:type="pct"/>
            <w:vAlign w:val="center"/>
          </w:tcPr>
          <w:p>
            <w:pPr>
              <w:adjustRightInd w:val="0"/>
              <w:snapToGrid w:val="0"/>
              <w:jc w:val="center"/>
              <w:rPr>
                <w:sz w:val="18"/>
                <w:szCs w:val="18"/>
              </w:rPr>
            </w:pPr>
            <w:r>
              <w:rPr>
                <w:sz w:val="18"/>
                <w:szCs w:val="18"/>
              </w:rPr>
              <w:t>2</w:t>
            </w:r>
          </w:p>
        </w:tc>
        <w:tc>
          <w:tcPr>
            <w:tcW w:w="983" w:type="pct"/>
            <w:vAlign w:val="center"/>
          </w:tcPr>
          <w:p>
            <w:pPr>
              <w:adjustRightInd w:val="0"/>
              <w:snapToGrid w:val="0"/>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73" w:type="pct"/>
            <w:vAlign w:val="center"/>
          </w:tcPr>
          <w:p>
            <w:pPr>
              <w:adjustRightInd w:val="0"/>
              <w:snapToGrid w:val="0"/>
              <w:jc w:val="center"/>
              <w:rPr>
                <w:sz w:val="18"/>
                <w:szCs w:val="18"/>
              </w:rPr>
            </w:pPr>
            <w:r>
              <w:rPr>
                <w:sz w:val="18"/>
                <w:szCs w:val="18"/>
              </w:rPr>
              <w:t>合计</w:t>
            </w:r>
          </w:p>
        </w:tc>
        <w:tc>
          <w:tcPr>
            <w:tcW w:w="1162" w:type="pct"/>
            <w:vAlign w:val="center"/>
          </w:tcPr>
          <w:p>
            <w:pPr>
              <w:adjustRightInd w:val="0"/>
              <w:snapToGrid w:val="0"/>
              <w:jc w:val="center"/>
              <w:rPr>
                <w:sz w:val="18"/>
                <w:szCs w:val="18"/>
              </w:rPr>
            </w:pPr>
            <w:r>
              <w:rPr>
                <w:sz w:val="18"/>
                <w:szCs w:val="18"/>
              </w:rPr>
              <w:t>16</w:t>
            </w:r>
          </w:p>
        </w:tc>
        <w:tc>
          <w:tcPr>
            <w:tcW w:w="983" w:type="pct"/>
            <w:vAlign w:val="center"/>
          </w:tcPr>
          <w:p>
            <w:pPr>
              <w:adjustRightInd w:val="0"/>
              <w:snapToGrid w:val="0"/>
              <w:jc w:val="center"/>
              <w:rPr>
                <w:sz w:val="18"/>
                <w:szCs w:val="18"/>
              </w:rPr>
            </w:pPr>
            <w:r>
              <w:rPr>
                <w:sz w:val="18"/>
                <w:szCs w:val="18"/>
              </w:rPr>
              <w:t>0</w:t>
            </w:r>
          </w:p>
        </w:tc>
        <w:tc>
          <w:tcPr>
            <w:tcW w:w="983" w:type="pct"/>
            <w:vAlign w:val="center"/>
          </w:tcPr>
          <w:p>
            <w:pPr>
              <w:adjustRightInd w:val="0"/>
              <w:snapToGrid w:val="0"/>
              <w:jc w:val="center"/>
              <w:rPr>
                <w:sz w:val="18"/>
                <w:szCs w:val="18"/>
              </w:rPr>
            </w:pPr>
            <w:r>
              <w:rPr>
                <w:sz w:val="18"/>
                <w:szCs w:val="18"/>
              </w:rPr>
              <w:t>16</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spacing w:line="360" w:lineRule="auto"/>
        <w:ind w:firstLine="420" w:firstLineChars="200"/>
        <w:rPr>
          <w:szCs w:val="21"/>
        </w:rPr>
      </w:pPr>
      <w:r>
        <w:rPr>
          <w:rFonts w:hint="eastAsia"/>
          <w:szCs w:val="21"/>
        </w:rPr>
        <w:t>1、杨建国，《你好，放大器》，ISBN：9787030454324，</w:t>
      </w:r>
      <w:r>
        <w:fldChar w:fldCharType="begin"/>
      </w:r>
      <w:r>
        <w:instrText xml:space="preserve"> HYPERLINK "http://book.jd.com/publish/%E7%A7%91%E5%AD%A6%E5%87%BA%E7%89%88%E7%A4%BE_1.html" \t "_blank" \o "科学出版社" </w:instrText>
      </w:r>
      <w:r>
        <w:fldChar w:fldCharType="separate"/>
      </w:r>
      <w:r>
        <w:rPr>
          <w:szCs w:val="21"/>
        </w:rPr>
        <w:t>科学出版社</w:t>
      </w:r>
      <w:r>
        <w:rPr>
          <w:szCs w:val="21"/>
        </w:rPr>
        <w:fldChar w:fldCharType="end"/>
      </w:r>
    </w:p>
    <w:p>
      <w:pPr>
        <w:spacing w:line="360" w:lineRule="auto"/>
        <w:ind w:firstLine="420" w:firstLineChars="200"/>
        <w:rPr>
          <w:szCs w:val="21"/>
        </w:rPr>
      </w:pPr>
      <w:r>
        <w:rPr>
          <w:rFonts w:hint="eastAsia"/>
          <w:szCs w:val="21"/>
        </w:rPr>
        <w:t>2、</w:t>
      </w:r>
      <w:r>
        <w:rPr>
          <w:szCs w:val="21"/>
        </w:rPr>
        <w:t>郑君里</w:t>
      </w:r>
      <w:r>
        <w:rPr>
          <w:rFonts w:hint="eastAsia"/>
          <w:szCs w:val="21"/>
        </w:rPr>
        <w:t>，《信号与系统（上册）（第3版）》，ISBN：9787040315196，高等教育出版社</w:t>
      </w:r>
    </w:p>
    <w:p>
      <w:pPr>
        <w:spacing w:line="360" w:lineRule="auto"/>
        <w:ind w:firstLine="420" w:firstLineChars="200"/>
        <w:rPr>
          <w:szCs w:val="21"/>
        </w:rPr>
      </w:pPr>
      <w:r>
        <w:rPr>
          <w:rFonts w:hint="eastAsia"/>
          <w:szCs w:val="21"/>
        </w:rPr>
        <w:t>3、毕满清，《模拟电子技术基础》，ISBN：9787121066009，</w:t>
      </w:r>
      <w:r>
        <w:rPr>
          <w:szCs w:val="21"/>
        </w:rPr>
        <w:t> </w:t>
      </w:r>
      <w:r>
        <w:fldChar w:fldCharType="begin"/>
      </w:r>
      <w:r>
        <w:instrText xml:space="preserve"> HYPERLINK "http://book.jd.com/publish/%E7%94%B5%E5%AD%90%E5%B7%A5%E4%B8%9A%E5%87%BA%E7%89%88%E7%A4%BE_1.html" \t "_blank" \o "电子工业出版社" </w:instrText>
      </w:r>
      <w:r>
        <w:fldChar w:fldCharType="separate"/>
      </w:r>
      <w:r>
        <w:rPr>
          <w:szCs w:val="21"/>
        </w:rPr>
        <w:t>电子工业出版社</w:t>
      </w:r>
      <w:r>
        <w:rPr>
          <w:szCs w:val="21"/>
        </w:rPr>
        <w:fldChar w:fldCharType="end"/>
      </w:r>
    </w:p>
    <w:p>
      <w:pPr>
        <w:spacing w:line="360" w:lineRule="auto"/>
        <w:ind w:firstLine="420" w:firstLineChars="200"/>
        <w:rPr>
          <w:szCs w:val="21"/>
        </w:rPr>
      </w:pPr>
      <w:r>
        <w:rPr>
          <w:rFonts w:hint="eastAsia"/>
          <w:szCs w:val="21"/>
        </w:rPr>
        <w:t>4、</w:t>
      </w:r>
      <w:r>
        <w:rPr>
          <w:szCs w:val="21"/>
        </w:rPr>
        <w:t>卡特</w:t>
      </w:r>
      <w:r>
        <w:rPr>
          <w:rFonts w:hint="eastAsia"/>
          <w:szCs w:val="21"/>
        </w:rPr>
        <w:t>，《运算放大器权威指南-(第4版)》，ISBN：9787115354044，</w:t>
      </w:r>
      <w:r>
        <w:rPr>
          <w:szCs w:val="21"/>
        </w:rPr>
        <w:t>人民邮电出版社</w:t>
      </w:r>
    </w:p>
    <w:p>
      <w:pPr>
        <w:spacing w:line="360" w:lineRule="auto"/>
        <w:ind w:firstLine="420" w:firstLineChars="200"/>
        <w:rPr>
          <w:szCs w:val="21"/>
        </w:rPr>
      </w:pPr>
      <w:r>
        <w:rPr>
          <w:rFonts w:hint="eastAsia"/>
          <w:szCs w:val="21"/>
        </w:rPr>
        <w:t>5、</w:t>
      </w:r>
      <w:r>
        <w:rPr>
          <w:szCs w:val="21"/>
        </w:rPr>
        <w:t>赛尔吉欧·佛朗歌（SERGIO FRANCO）</w:t>
      </w:r>
      <w:r>
        <w:rPr>
          <w:rFonts w:hint="eastAsia"/>
          <w:szCs w:val="21"/>
        </w:rPr>
        <w:t>，《基于运算放大器和模拟集成电路的电路设计（第3版）》，ISBN：9787560530390，</w:t>
      </w:r>
      <w:r>
        <w:rPr>
          <w:szCs w:val="21"/>
        </w:rPr>
        <w:t> </w:t>
      </w:r>
      <w:r>
        <w:fldChar w:fldCharType="begin"/>
      </w:r>
      <w:r>
        <w:instrText xml:space="preserve"> HYPERLINK "http://book.jd.com/publish/%E8%A5%BF%E5%AE%89%E4%BA%A4%E9%80%9A%E5%A4%A7%E5%AD%A6%E5%87%BA%E7%89%88%E7%A4%BE_1.html" \t "_blank" \o "西安交通大学出版社" </w:instrText>
      </w:r>
      <w:r>
        <w:fldChar w:fldCharType="separate"/>
      </w:r>
      <w:r>
        <w:rPr>
          <w:szCs w:val="21"/>
        </w:rPr>
        <w:t>西安交通大学出版社</w:t>
      </w:r>
      <w:r>
        <w:rPr>
          <w:szCs w:val="21"/>
        </w:rPr>
        <w:fldChar w:fldCharType="end"/>
      </w:r>
    </w:p>
    <w:p>
      <w:pPr>
        <w:spacing w:line="360" w:lineRule="auto"/>
        <w:ind w:firstLine="420" w:firstLineChars="200"/>
        <w:rPr>
          <w:szCs w:val="21"/>
        </w:rPr>
      </w:pPr>
      <w:r>
        <w:rPr>
          <w:rFonts w:hint="eastAsia"/>
          <w:szCs w:val="21"/>
        </w:rPr>
        <w:t>6、阎石，《数字电子技术基础（第5版）》，ISBN：9787040193831，高等教育出版社</w:t>
      </w:r>
    </w:p>
    <w:p>
      <w:pPr>
        <w:spacing w:line="360" w:lineRule="auto"/>
        <w:ind w:firstLine="420" w:firstLineChars="200"/>
        <w:rPr>
          <w:szCs w:val="21"/>
        </w:rPr>
      </w:pPr>
      <w:r>
        <w:rPr>
          <w:rFonts w:hint="eastAsia"/>
          <w:szCs w:val="21"/>
        </w:rPr>
        <w:t>7、视频资料：</w:t>
      </w:r>
      <w:r>
        <w:rPr>
          <w:szCs w:val="21"/>
        </w:rPr>
        <w:t>http://v.youku.com/v_show/id_XNDc1MjY3NTA4.html?from=s1.8-1-1.2</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rFonts w:hint="eastAsia"/>
          <w:szCs w:val="21"/>
        </w:rPr>
        <w:t>1、考核目标：在考核学生在特定电路的引导下，在对所学基本知识、基本原理和方法的活学活用，重点考核学生对整个模拟采集系统设计的能力、查阅手册能力、自学能力、分析电路和工具使用方法的掌握程度。</w:t>
      </w:r>
    </w:p>
    <w:p>
      <w:pPr>
        <w:spacing w:line="360" w:lineRule="auto"/>
        <w:ind w:firstLine="420" w:firstLineChars="200"/>
        <w:rPr>
          <w:szCs w:val="21"/>
        </w:rPr>
      </w:pPr>
      <w:r>
        <w:rPr>
          <w:rFonts w:hint="eastAsia"/>
          <w:szCs w:val="21"/>
        </w:rPr>
        <w:t>2、考核方式：课外实验仿真、作业及课堂提问</w:t>
      </w:r>
    </w:p>
    <w:p>
      <w:pPr>
        <w:spacing w:line="360" w:lineRule="auto"/>
        <w:ind w:firstLine="420" w:firstLineChars="200"/>
        <w:rPr>
          <w:szCs w:val="21"/>
        </w:rPr>
      </w:pPr>
      <w:r>
        <w:rPr>
          <w:rFonts w:hint="eastAsia"/>
          <w:szCs w:val="21"/>
        </w:rPr>
        <w:t>3、评价环节对课程目标达成贡献率及支撑材料：</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626"/>
        <w:gridCol w:w="1626"/>
        <w:gridCol w:w="162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086" w:type="pct"/>
            <w:tcBorders>
              <w:left w:val="nil"/>
            </w:tcBorders>
            <w:shd w:val="clear" w:color="auto" w:fill="auto"/>
            <w:vAlign w:val="center"/>
          </w:tcPr>
          <w:p>
            <w:pPr>
              <w:widowControl/>
              <w:jc w:val="center"/>
              <w:rPr>
                <w:kern w:val="0"/>
                <w:sz w:val="18"/>
                <w:szCs w:val="18"/>
              </w:rPr>
            </w:pPr>
            <w:r>
              <w:rPr>
                <w:kern w:val="0"/>
                <w:sz w:val="18"/>
                <w:szCs w:val="18"/>
              </w:rPr>
              <w:t>考察环节</w:t>
            </w:r>
          </w:p>
        </w:tc>
        <w:tc>
          <w:tcPr>
            <w:tcW w:w="978" w:type="pct"/>
            <w:shd w:val="clear" w:color="auto" w:fill="auto"/>
            <w:vAlign w:val="center"/>
          </w:tcPr>
          <w:p>
            <w:pPr>
              <w:jc w:val="center"/>
              <w:rPr>
                <w:sz w:val="18"/>
                <w:szCs w:val="18"/>
              </w:rPr>
            </w:pPr>
            <w:r>
              <w:rPr>
                <w:bCs/>
                <w:sz w:val="18"/>
                <w:szCs w:val="18"/>
              </w:rPr>
              <w:t>课堂情况</w:t>
            </w:r>
          </w:p>
        </w:tc>
        <w:tc>
          <w:tcPr>
            <w:tcW w:w="978" w:type="pct"/>
            <w:shd w:val="clear" w:color="auto" w:fill="auto"/>
            <w:vAlign w:val="center"/>
          </w:tcPr>
          <w:p>
            <w:pPr>
              <w:jc w:val="center"/>
              <w:rPr>
                <w:sz w:val="18"/>
                <w:szCs w:val="18"/>
              </w:rPr>
            </w:pPr>
            <w:r>
              <w:rPr>
                <w:sz w:val="18"/>
                <w:szCs w:val="18"/>
              </w:rPr>
              <w:t>作业</w:t>
            </w:r>
          </w:p>
        </w:tc>
        <w:tc>
          <w:tcPr>
            <w:tcW w:w="979" w:type="pct"/>
            <w:shd w:val="clear" w:color="auto" w:fill="auto"/>
            <w:vAlign w:val="center"/>
          </w:tcPr>
          <w:p>
            <w:pPr>
              <w:widowControl/>
              <w:jc w:val="center"/>
              <w:rPr>
                <w:color w:val="000000"/>
                <w:kern w:val="0"/>
                <w:sz w:val="18"/>
                <w:szCs w:val="18"/>
              </w:rPr>
            </w:pPr>
            <w:r>
              <w:rPr>
                <w:color w:val="000000"/>
                <w:kern w:val="0"/>
                <w:sz w:val="18"/>
                <w:szCs w:val="18"/>
              </w:rPr>
              <w:t>综合设计</w:t>
            </w:r>
          </w:p>
          <w:p>
            <w:pPr>
              <w:widowControl/>
              <w:jc w:val="center"/>
              <w:rPr>
                <w:sz w:val="18"/>
                <w:szCs w:val="18"/>
              </w:rPr>
            </w:pPr>
            <w:r>
              <w:rPr>
                <w:color w:val="000000"/>
                <w:kern w:val="0"/>
                <w:sz w:val="18"/>
                <w:szCs w:val="18"/>
              </w:rPr>
              <w:t>报告</w:t>
            </w:r>
          </w:p>
        </w:tc>
        <w:tc>
          <w:tcPr>
            <w:tcW w:w="980" w:type="pct"/>
            <w:tcBorders>
              <w:right w:val="nil"/>
            </w:tcBorders>
            <w:shd w:val="clear" w:color="auto" w:fill="auto"/>
            <w:vAlign w:val="center"/>
          </w:tcPr>
          <w:p>
            <w:pPr>
              <w:widowControl/>
              <w:jc w:val="center"/>
              <w:rPr>
                <w:sz w:val="18"/>
                <w:szCs w:val="18"/>
              </w:rPr>
            </w:pPr>
            <w:r>
              <w:rPr>
                <w:color w:val="000000"/>
                <w:kern w:val="0"/>
                <w:sz w:val="18"/>
                <w:szCs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86" w:type="pct"/>
            <w:tcBorders>
              <w:left w:val="nil"/>
            </w:tcBorders>
            <w:shd w:val="clear" w:color="auto" w:fill="auto"/>
            <w:vAlign w:val="center"/>
          </w:tcPr>
          <w:p>
            <w:pPr>
              <w:widowControl/>
              <w:jc w:val="center"/>
              <w:rPr>
                <w:kern w:val="0"/>
                <w:sz w:val="18"/>
                <w:szCs w:val="18"/>
              </w:rPr>
            </w:pPr>
            <w:r>
              <w:rPr>
                <w:kern w:val="0"/>
                <w:sz w:val="18"/>
                <w:szCs w:val="18"/>
              </w:rPr>
              <w:t>课程目标达成</w:t>
            </w:r>
          </w:p>
          <w:p>
            <w:pPr>
              <w:widowControl/>
              <w:jc w:val="center"/>
              <w:rPr>
                <w:kern w:val="0"/>
                <w:sz w:val="18"/>
                <w:szCs w:val="18"/>
              </w:rPr>
            </w:pPr>
            <w:r>
              <w:rPr>
                <w:kern w:val="0"/>
                <w:sz w:val="18"/>
                <w:szCs w:val="18"/>
              </w:rPr>
              <w:t>的贡献率</w:t>
            </w:r>
          </w:p>
        </w:tc>
        <w:tc>
          <w:tcPr>
            <w:tcW w:w="978" w:type="pct"/>
            <w:tcBorders>
              <w:top w:val="nil"/>
              <w:left w:val="nil"/>
              <w:bottom w:val="single" w:color="auto" w:sz="4" w:space="0"/>
              <w:right w:val="single" w:color="auto" w:sz="4" w:space="0"/>
            </w:tcBorders>
            <w:shd w:val="clear" w:color="auto" w:fill="auto"/>
            <w:vAlign w:val="center"/>
          </w:tcPr>
          <w:p>
            <w:pPr>
              <w:jc w:val="center"/>
              <w:rPr>
                <w:b/>
                <w:bCs/>
                <w:kern w:val="0"/>
                <w:sz w:val="18"/>
                <w:szCs w:val="18"/>
              </w:rPr>
            </w:pPr>
            <w:r>
              <w:rPr>
                <w:sz w:val="18"/>
                <w:szCs w:val="18"/>
              </w:rPr>
              <w:t>0.1</w:t>
            </w:r>
          </w:p>
        </w:tc>
        <w:tc>
          <w:tcPr>
            <w:tcW w:w="978" w:type="pct"/>
            <w:tcBorders>
              <w:top w:val="nil"/>
              <w:left w:val="nil"/>
              <w:bottom w:val="single" w:color="auto" w:sz="4" w:space="0"/>
              <w:right w:val="single" w:color="auto" w:sz="4" w:space="0"/>
            </w:tcBorders>
            <w:shd w:val="clear" w:color="auto" w:fill="auto"/>
            <w:vAlign w:val="center"/>
          </w:tcPr>
          <w:p>
            <w:pPr>
              <w:jc w:val="center"/>
              <w:rPr>
                <w:b/>
                <w:bCs/>
                <w:kern w:val="0"/>
                <w:sz w:val="18"/>
                <w:szCs w:val="18"/>
              </w:rPr>
            </w:pPr>
            <w:r>
              <w:rPr>
                <w:sz w:val="18"/>
                <w:szCs w:val="18"/>
              </w:rPr>
              <w:t>0.24</w:t>
            </w:r>
          </w:p>
        </w:tc>
        <w:tc>
          <w:tcPr>
            <w:tcW w:w="979" w:type="pct"/>
            <w:tcBorders>
              <w:top w:val="nil"/>
              <w:left w:val="nil"/>
              <w:bottom w:val="single" w:color="auto" w:sz="4" w:space="0"/>
              <w:right w:val="single" w:color="auto" w:sz="4" w:space="0"/>
            </w:tcBorders>
            <w:shd w:val="clear" w:color="auto" w:fill="auto"/>
            <w:vAlign w:val="center"/>
          </w:tcPr>
          <w:p>
            <w:pPr>
              <w:jc w:val="center"/>
              <w:rPr>
                <w:b/>
                <w:bCs/>
                <w:kern w:val="0"/>
                <w:sz w:val="18"/>
                <w:szCs w:val="18"/>
              </w:rPr>
            </w:pPr>
            <w:r>
              <w:rPr>
                <w:sz w:val="18"/>
                <w:szCs w:val="18"/>
              </w:rPr>
              <w:t>0.24</w:t>
            </w:r>
          </w:p>
        </w:tc>
        <w:tc>
          <w:tcPr>
            <w:tcW w:w="980" w:type="pct"/>
            <w:tcBorders>
              <w:top w:val="nil"/>
              <w:left w:val="nil"/>
              <w:bottom w:val="single" w:color="auto" w:sz="4" w:space="0"/>
              <w:right w:val="nil"/>
            </w:tcBorders>
            <w:shd w:val="clear" w:color="auto" w:fill="auto"/>
            <w:vAlign w:val="center"/>
          </w:tcPr>
          <w:p>
            <w:pPr>
              <w:jc w:val="center"/>
              <w:rPr>
                <w:b/>
                <w:bCs/>
                <w:kern w:val="0"/>
                <w:sz w:val="18"/>
                <w:szCs w:val="18"/>
              </w:rPr>
            </w:pPr>
            <w:r>
              <w:rPr>
                <w:sz w:val="18"/>
                <w:szCs w:val="18"/>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086" w:type="pct"/>
            <w:tcBorders>
              <w:left w:val="nil"/>
            </w:tcBorders>
            <w:shd w:val="clear" w:color="auto" w:fill="auto"/>
            <w:vAlign w:val="center"/>
          </w:tcPr>
          <w:p>
            <w:pPr>
              <w:jc w:val="center"/>
              <w:rPr>
                <w:sz w:val="18"/>
                <w:szCs w:val="18"/>
              </w:rPr>
            </w:pPr>
            <w:r>
              <w:rPr>
                <w:kern w:val="0"/>
                <w:sz w:val="18"/>
                <w:szCs w:val="18"/>
              </w:rPr>
              <w:t>支撑材料</w:t>
            </w:r>
          </w:p>
        </w:tc>
        <w:tc>
          <w:tcPr>
            <w:tcW w:w="978" w:type="pct"/>
            <w:shd w:val="clear" w:color="auto" w:fill="auto"/>
            <w:vAlign w:val="center"/>
          </w:tcPr>
          <w:p>
            <w:pPr>
              <w:widowControl/>
              <w:jc w:val="center"/>
              <w:rPr>
                <w:kern w:val="0"/>
                <w:sz w:val="18"/>
                <w:szCs w:val="18"/>
              </w:rPr>
            </w:pPr>
            <w:r>
              <w:rPr>
                <w:color w:val="000000"/>
                <w:kern w:val="0"/>
                <w:sz w:val="18"/>
                <w:szCs w:val="18"/>
              </w:rPr>
              <w:t>课堂评价标准，课堂提问记录或随堂考试，结合出勤率等</w:t>
            </w:r>
          </w:p>
        </w:tc>
        <w:tc>
          <w:tcPr>
            <w:tcW w:w="978" w:type="pct"/>
            <w:shd w:val="clear" w:color="auto" w:fill="auto"/>
            <w:vAlign w:val="center"/>
          </w:tcPr>
          <w:p>
            <w:pPr>
              <w:widowControl/>
              <w:jc w:val="center"/>
              <w:rPr>
                <w:kern w:val="0"/>
                <w:sz w:val="18"/>
                <w:szCs w:val="18"/>
              </w:rPr>
            </w:pPr>
            <w:r>
              <w:rPr>
                <w:kern w:val="0"/>
                <w:sz w:val="18"/>
                <w:szCs w:val="18"/>
              </w:rPr>
              <w:t>作业评价标准，</w:t>
            </w:r>
          </w:p>
          <w:p>
            <w:pPr>
              <w:widowControl/>
              <w:jc w:val="center"/>
              <w:rPr>
                <w:kern w:val="0"/>
                <w:sz w:val="18"/>
                <w:szCs w:val="18"/>
              </w:rPr>
            </w:pPr>
            <w:r>
              <w:rPr>
                <w:kern w:val="0"/>
                <w:sz w:val="18"/>
                <w:szCs w:val="18"/>
              </w:rPr>
              <w:t>三~四次作业，</w:t>
            </w:r>
          </w:p>
          <w:p>
            <w:pPr>
              <w:widowControl/>
              <w:jc w:val="center"/>
              <w:rPr>
                <w:kern w:val="0"/>
                <w:sz w:val="18"/>
                <w:szCs w:val="18"/>
              </w:rPr>
            </w:pPr>
            <w:r>
              <w:rPr>
                <w:kern w:val="0"/>
                <w:sz w:val="18"/>
                <w:szCs w:val="18"/>
              </w:rPr>
              <w:t>典型作业拍照或电子版</w:t>
            </w:r>
          </w:p>
        </w:tc>
        <w:tc>
          <w:tcPr>
            <w:tcW w:w="979" w:type="pct"/>
            <w:shd w:val="clear" w:color="auto" w:fill="auto"/>
            <w:vAlign w:val="center"/>
          </w:tcPr>
          <w:p>
            <w:pPr>
              <w:widowControl/>
              <w:jc w:val="center"/>
              <w:rPr>
                <w:sz w:val="18"/>
                <w:szCs w:val="18"/>
              </w:rPr>
            </w:pPr>
            <w:r>
              <w:rPr>
                <w:color w:val="000000"/>
                <w:kern w:val="0"/>
                <w:sz w:val="18"/>
                <w:szCs w:val="18"/>
              </w:rPr>
              <w:t>综合设计报告评价标准，综合设计报告</w:t>
            </w:r>
          </w:p>
        </w:tc>
        <w:tc>
          <w:tcPr>
            <w:tcW w:w="980" w:type="pct"/>
            <w:tcBorders>
              <w:right w:val="nil"/>
            </w:tcBorders>
            <w:shd w:val="clear" w:color="auto" w:fill="auto"/>
            <w:vAlign w:val="center"/>
          </w:tcPr>
          <w:p>
            <w:pPr>
              <w:widowControl/>
              <w:jc w:val="center"/>
              <w:rPr>
                <w:sz w:val="18"/>
                <w:szCs w:val="18"/>
              </w:rPr>
            </w:pPr>
            <w:r>
              <w:rPr>
                <w:color w:val="000000"/>
                <w:kern w:val="0"/>
                <w:sz w:val="18"/>
                <w:szCs w:val="18"/>
              </w:rPr>
              <w:t>试题评分标准，试卷</w:t>
            </w:r>
          </w:p>
        </w:tc>
      </w:tr>
    </w:tbl>
    <w:p>
      <w:pPr>
        <w:tabs>
          <w:tab w:val="left" w:pos="420"/>
        </w:tabs>
        <w:spacing w:line="360" w:lineRule="auto"/>
        <w:rPr>
          <w:rFonts w:eastAsia="黑体"/>
          <w:szCs w:val="24"/>
        </w:rPr>
      </w:pPr>
    </w:p>
    <w:p>
      <w:pPr>
        <w:numPr>
          <w:ilvl w:val="0"/>
          <w:numId w:val="8"/>
        </w:numPr>
        <w:tabs>
          <w:tab w:val="left" w:pos="420"/>
        </w:tabs>
        <w:spacing w:line="360" w:lineRule="auto"/>
        <w:ind w:left="420" w:hanging="420"/>
        <w:rPr>
          <w:rFonts w:eastAsia="黑体"/>
          <w:szCs w:val="24"/>
        </w:rPr>
      </w:pPr>
      <w:r>
        <w:rPr>
          <w:rFonts w:hint="eastAsia" w:eastAsia="黑体"/>
          <w:szCs w:val="24"/>
        </w:rPr>
        <w:t>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37"/>
        <w:gridCol w:w="1079"/>
        <w:gridCol w:w="16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jc w:val="center"/>
              <w:rPr>
                <w:sz w:val="18"/>
                <w:szCs w:val="18"/>
              </w:rPr>
            </w:pPr>
            <w:r>
              <w:rPr>
                <w:sz w:val="18"/>
                <w:szCs w:val="18"/>
              </w:rPr>
              <w:t>知识点</w:t>
            </w:r>
          </w:p>
        </w:tc>
        <w:tc>
          <w:tcPr>
            <w:tcW w:w="649" w:type="pct"/>
            <w:vAlign w:val="center"/>
          </w:tcPr>
          <w:p>
            <w:pPr>
              <w:adjustRightInd w:val="0"/>
              <w:snapToGrid w:val="0"/>
              <w:jc w:val="center"/>
              <w:rPr>
                <w:sz w:val="18"/>
                <w:szCs w:val="18"/>
              </w:rPr>
            </w:pPr>
            <w:r>
              <w:rPr>
                <w:sz w:val="18"/>
                <w:szCs w:val="18"/>
              </w:rPr>
              <w:t>权重</w:t>
            </w:r>
          </w:p>
        </w:tc>
        <w:tc>
          <w:tcPr>
            <w:tcW w:w="1020" w:type="pct"/>
            <w:vAlign w:val="center"/>
          </w:tcPr>
          <w:p>
            <w:pPr>
              <w:adjustRightInd w:val="0"/>
              <w:snapToGrid w:val="0"/>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ind w:left="174" w:leftChars="83"/>
              <w:jc w:val="left"/>
              <w:rPr>
                <w:kern w:val="0"/>
                <w:sz w:val="18"/>
                <w:szCs w:val="18"/>
              </w:rPr>
            </w:pPr>
            <w:r>
              <w:rPr>
                <w:kern w:val="0"/>
                <w:sz w:val="18"/>
                <w:szCs w:val="18"/>
              </w:rPr>
              <w:t>1、模拟信号器件的特点、分类，基本结构和原理，选用原则</w:t>
            </w:r>
          </w:p>
        </w:tc>
        <w:tc>
          <w:tcPr>
            <w:tcW w:w="649" w:type="pct"/>
            <w:vAlign w:val="center"/>
          </w:tcPr>
          <w:p>
            <w:pPr>
              <w:widowControl/>
              <w:adjustRightInd w:val="0"/>
              <w:snapToGrid w:val="0"/>
              <w:jc w:val="center"/>
              <w:rPr>
                <w:kern w:val="0"/>
                <w:sz w:val="18"/>
                <w:szCs w:val="18"/>
              </w:rPr>
            </w:pPr>
            <w:r>
              <w:rPr>
                <w:kern w:val="0"/>
                <w:sz w:val="18"/>
                <w:szCs w:val="18"/>
              </w:rPr>
              <w:t>0.1</w:t>
            </w:r>
          </w:p>
        </w:tc>
        <w:tc>
          <w:tcPr>
            <w:tcW w:w="1020" w:type="pct"/>
            <w:vAlign w:val="center"/>
          </w:tcPr>
          <w:p>
            <w:pPr>
              <w:widowControl/>
              <w:adjustRightInd w:val="0"/>
              <w:snapToGrid w:val="0"/>
              <w:jc w:val="center"/>
              <w:rPr>
                <w:kern w:val="0"/>
                <w:sz w:val="18"/>
                <w:szCs w:val="18"/>
              </w:rPr>
            </w:pPr>
            <w:r>
              <w:rPr>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ind w:left="174" w:leftChars="83"/>
              <w:jc w:val="left"/>
              <w:rPr>
                <w:kern w:val="0"/>
                <w:sz w:val="18"/>
                <w:szCs w:val="18"/>
              </w:rPr>
            </w:pPr>
            <w:r>
              <w:rPr>
                <w:kern w:val="0"/>
                <w:sz w:val="18"/>
                <w:szCs w:val="18"/>
              </w:rPr>
              <w:t>2、信号调理电路的原理及相关器件参数介绍</w:t>
            </w:r>
          </w:p>
        </w:tc>
        <w:tc>
          <w:tcPr>
            <w:tcW w:w="649" w:type="pct"/>
            <w:vAlign w:val="center"/>
          </w:tcPr>
          <w:p>
            <w:pPr>
              <w:widowControl/>
              <w:adjustRightInd w:val="0"/>
              <w:snapToGrid w:val="0"/>
              <w:jc w:val="center"/>
              <w:rPr>
                <w:kern w:val="0"/>
                <w:sz w:val="18"/>
                <w:szCs w:val="18"/>
              </w:rPr>
            </w:pPr>
            <w:r>
              <w:rPr>
                <w:kern w:val="0"/>
                <w:sz w:val="18"/>
                <w:szCs w:val="18"/>
              </w:rPr>
              <w:t>0.2</w:t>
            </w:r>
          </w:p>
        </w:tc>
        <w:tc>
          <w:tcPr>
            <w:tcW w:w="1020" w:type="pct"/>
            <w:vAlign w:val="center"/>
          </w:tcPr>
          <w:p>
            <w:pPr>
              <w:widowControl/>
              <w:adjustRightInd w:val="0"/>
              <w:snapToGrid w:val="0"/>
              <w:jc w:val="center"/>
              <w:rPr>
                <w:kern w:val="0"/>
                <w:sz w:val="18"/>
                <w:szCs w:val="18"/>
              </w:rPr>
            </w:pPr>
            <w:r>
              <w:rPr>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ind w:left="174" w:leftChars="83"/>
              <w:jc w:val="left"/>
              <w:rPr>
                <w:kern w:val="0"/>
                <w:sz w:val="18"/>
                <w:szCs w:val="18"/>
              </w:rPr>
            </w:pPr>
            <w:r>
              <w:rPr>
                <w:kern w:val="0"/>
                <w:sz w:val="18"/>
                <w:szCs w:val="18"/>
              </w:rPr>
              <w:t>3、模拟开关和</w:t>
            </w:r>
            <w:r>
              <w:rPr>
                <w:kern w:val="0"/>
                <w:sz w:val="18"/>
                <w:szCs w:val="18"/>
                <w:lang w:val="zh-CN"/>
              </w:rPr>
              <w:t>采样</w:t>
            </w:r>
            <w:r>
              <w:rPr>
                <w:kern w:val="0"/>
                <w:sz w:val="18"/>
                <w:szCs w:val="18"/>
              </w:rPr>
              <w:t>/</w:t>
            </w:r>
            <w:r>
              <w:rPr>
                <w:kern w:val="0"/>
                <w:sz w:val="18"/>
                <w:szCs w:val="18"/>
                <w:lang w:val="zh-CN"/>
              </w:rPr>
              <w:t>保持器</w:t>
            </w:r>
          </w:p>
        </w:tc>
        <w:tc>
          <w:tcPr>
            <w:tcW w:w="649" w:type="pct"/>
            <w:vAlign w:val="center"/>
          </w:tcPr>
          <w:p>
            <w:pPr>
              <w:widowControl/>
              <w:adjustRightInd w:val="0"/>
              <w:snapToGrid w:val="0"/>
              <w:jc w:val="center"/>
              <w:rPr>
                <w:kern w:val="0"/>
                <w:sz w:val="18"/>
                <w:szCs w:val="18"/>
              </w:rPr>
            </w:pPr>
            <w:r>
              <w:rPr>
                <w:kern w:val="0"/>
                <w:sz w:val="18"/>
                <w:szCs w:val="18"/>
              </w:rPr>
              <w:t>0.2</w:t>
            </w:r>
          </w:p>
        </w:tc>
        <w:tc>
          <w:tcPr>
            <w:tcW w:w="1020" w:type="pct"/>
            <w:vAlign w:val="center"/>
          </w:tcPr>
          <w:p>
            <w:pPr>
              <w:widowControl/>
              <w:adjustRightInd w:val="0"/>
              <w:snapToGrid w:val="0"/>
              <w:jc w:val="center"/>
              <w:rPr>
                <w:kern w:val="0"/>
                <w:sz w:val="18"/>
                <w:szCs w:val="18"/>
              </w:rPr>
            </w:pPr>
            <w:r>
              <w:rPr>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ind w:left="174" w:leftChars="83"/>
              <w:jc w:val="left"/>
              <w:rPr>
                <w:kern w:val="0"/>
                <w:sz w:val="18"/>
                <w:szCs w:val="18"/>
              </w:rPr>
            </w:pPr>
            <w:r>
              <w:rPr>
                <w:kern w:val="0"/>
                <w:sz w:val="18"/>
                <w:szCs w:val="18"/>
              </w:rPr>
              <w:t>4、数模转换及外围电路的设计介绍</w:t>
            </w:r>
          </w:p>
        </w:tc>
        <w:tc>
          <w:tcPr>
            <w:tcW w:w="649" w:type="pct"/>
            <w:vAlign w:val="center"/>
          </w:tcPr>
          <w:p>
            <w:pPr>
              <w:widowControl/>
              <w:adjustRightInd w:val="0"/>
              <w:snapToGrid w:val="0"/>
              <w:jc w:val="center"/>
              <w:rPr>
                <w:kern w:val="0"/>
                <w:sz w:val="18"/>
                <w:szCs w:val="18"/>
              </w:rPr>
            </w:pPr>
            <w:r>
              <w:rPr>
                <w:kern w:val="0"/>
                <w:sz w:val="18"/>
                <w:szCs w:val="18"/>
              </w:rPr>
              <w:t>0.2</w:t>
            </w:r>
          </w:p>
        </w:tc>
        <w:tc>
          <w:tcPr>
            <w:tcW w:w="1020" w:type="pct"/>
            <w:vAlign w:val="center"/>
          </w:tcPr>
          <w:p>
            <w:pPr>
              <w:widowControl/>
              <w:adjustRightInd w:val="0"/>
              <w:snapToGrid w:val="0"/>
              <w:jc w:val="center"/>
              <w:rPr>
                <w:kern w:val="0"/>
                <w:sz w:val="18"/>
                <w:szCs w:val="18"/>
              </w:rPr>
            </w:pPr>
            <w:r>
              <w:rPr>
                <w:kern w:val="0"/>
                <w:sz w:val="18"/>
                <w:szCs w:val="18"/>
              </w:rPr>
              <w:t>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31" w:type="pct"/>
            <w:vAlign w:val="center"/>
          </w:tcPr>
          <w:p>
            <w:pPr>
              <w:adjustRightInd w:val="0"/>
              <w:snapToGrid w:val="0"/>
              <w:ind w:left="174" w:leftChars="83"/>
              <w:jc w:val="left"/>
              <w:rPr>
                <w:kern w:val="0"/>
                <w:sz w:val="18"/>
                <w:szCs w:val="18"/>
              </w:rPr>
            </w:pPr>
            <w:r>
              <w:rPr>
                <w:kern w:val="0"/>
                <w:sz w:val="18"/>
                <w:szCs w:val="18"/>
              </w:rPr>
              <w:t>5、模拟信号采集系统设计</w:t>
            </w:r>
          </w:p>
        </w:tc>
        <w:tc>
          <w:tcPr>
            <w:tcW w:w="649" w:type="pct"/>
            <w:vAlign w:val="center"/>
          </w:tcPr>
          <w:p>
            <w:pPr>
              <w:widowControl/>
              <w:adjustRightInd w:val="0"/>
              <w:snapToGrid w:val="0"/>
              <w:jc w:val="center"/>
              <w:rPr>
                <w:kern w:val="0"/>
                <w:sz w:val="18"/>
                <w:szCs w:val="18"/>
              </w:rPr>
            </w:pPr>
            <w:r>
              <w:rPr>
                <w:kern w:val="0"/>
                <w:sz w:val="18"/>
                <w:szCs w:val="18"/>
              </w:rPr>
              <w:t>0.3</w:t>
            </w:r>
          </w:p>
        </w:tc>
        <w:tc>
          <w:tcPr>
            <w:tcW w:w="1020" w:type="pct"/>
            <w:vAlign w:val="center"/>
          </w:tcPr>
          <w:p>
            <w:pPr>
              <w:widowControl/>
              <w:adjustRightInd w:val="0"/>
              <w:snapToGrid w:val="0"/>
              <w:jc w:val="center"/>
              <w:rPr>
                <w:kern w:val="0"/>
                <w:sz w:val="18"/>
                <w:szCs w:val="18"/>
              </w:rPr>
            </w:pPr>
            <w:r>
              <w:rPr>
                <w:kern w:val="0"/>
                <w:sz w:val="18"/>
                <w:szCs w:val="18"/>
              </w:rPr>
              <w:t>1、2、3</w:t>
            </w:r>
          </w:p>
        </w:tc>
      </w:tr>
    </w:tbl>
    <w:p>
      <w:pPr>
        <w:spacing w:before="120" w:beforeLines="50" w:line="360" w:lineRule="auto"/>
        <w:ind w:firstLine="420" w:firstLineChars="200"/>
        <w:rPr>
          <w:rFonts w:ascii="宋体" w:hAnsi="宋体"/>
          <w:szCs w:val="21"/>
        </w:rPr>
        <w:sectPr>
          <w:headerReference r:id="rId124" w:type="first"/>
          <w:footerReference r:id="rId127" w:type="first"/>
          <w:headerReference r:id="rId122" w:type="default"/>
          <w:footerReference r:id="rId125" w:type="default"/>
          <w:headerReference r:id="rId123" w:type="even"/>
          <w:footerReference r:id="rId126" w:type="even"/>
          <w:pgSz w:w="11906" w:h="16838"/>
          <w:pgMar w:top="1440" w:right="1797" w:bottom="1440" w:left="1797" w:header="851" w:footer="992" w:gutter="0"/>
          <w:cols w:space="720" w:num="1"/>
          <w:docGrid w:linePitch="312" w:charSpace="0"/>
        </w:sectPr>
      </w:pPr>
      <w:r>
        <w:rPr>
          <w:rFonts w:ascii="宋体" w:hAnsi="宋体"/>
          <w:szCs w:val="21"/>
        </w:rPr>
        <w:t>学生可以依据仪器与电子学院相关文件，以允许的第二课堂成果（MOOC、科技论文、学科竞赛等）折算单项成绩，与对应知识点加权累计达到</w:t>
      </w:r>
      <w:r>
        <w:rPr>
          <w:rFonts w:hint="eastAsia" w:ascii="宋体" w:hAnsi="宋体"/>
          <w:szCs w:val="21"/>
        </w:rPr>
        <w:t>7</w:t>
      </w:r>
      <w:r>
        <w:rPr>
          <w:rFonts w:ascii="宋体" w:hAnsi="宋体"/>
          <w:szCs w:val="21"/>
        </w:rPr>
        <w:t>5</w:t>
      </w:r>
      <w:r>
        <w:rPr>
          <w:rFonts w:hint="eastAsia" w:ascii="宋体" w:hAnsi="宋体"/>
          <w:szCs w:val="21"/>
        </w:rPr>
        <w:t>（含）以上，且对所有课程目标的支撑不能有缺项，即可申请本门课程免修。</w:t>
      </w:r>
    </w:p>
    <w:p>
      <w:pPr>
        <w:tabs>
          <w:tab w:val="left" w:pos="420"/>
        </w:tabs>
        <w:adjustRightInd w:val="0"/>
        <w:snapToGrid w:val="0"/>
        <w:spacing w:line="360" w:lineRule="auto"/>
        <w:rPr>
          <w:rFonts w:eastAsia="黑体"/>
        </w:rPr>
      </w:pPr>
      <w:r>
        <w:rPr>
          <w:rFonts w:hint="eastAsia" w:eastAsia="黑体"/>
        </w:rPr>
        <w:t>十、课程目标达成评价</w:t>
      </w:r>
    </w:p>
    <w:p>
      <w:pPr>
        <w:spacing w:line="360" w:lineRule="auto"/>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907"/>
        <w:gridCol w:w="1372"/>
        <w:gridCol w:w="948"/>
        <w:gridCol w:w="971"/>
        <w:gridCol w:w="1054"/>
        <w:gridCol w:w="918"/>
        <w:gridCol w:w="1024"/>
        <w:gridCol w:w="921"/>
        <w:gridCol w:w="918"/>
        <w:gridCol w:w="948"/>
        <w:gridCol w:w="773"/>
        <w:gridCol w:w="1141"/>
        <w:gridCol w:w="918"/>
        <w:gridCol w:w="1135"/>
      </w:tblGrid>
      <w:tr>
        <w:tblPrEx>
          <w:tblCellMar>
            <w:top w:w="0" w:type="dxa"/>
            <w:left w:w="108" w:type="dxa"/>
            <w:bottom w:w="0" w:type="dxa"/>
            <w:right w:w="108" w:type="dxa"/>
          </w:tblCellMar>
        </w:tblPrEx>
        <w:trPr>
          <w:trHeight w:val="1015" w:hRule="atLeast"/>
          <w:jc w:val="center"/>
        </w:trPr>
        <w:tc>
          <w:tcPr>
            <w:tcW w:w="3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4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39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366" w:type="pct"/>
            <w:gridSpan w:val="4"/>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2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34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4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设计</w:t>
            </w:r>
          </w:p>
          <w:p>
            <w:pPr>
              <w:widowControl/>
              <w:jc w:val="center"/>
              <w:rPr>
                <w:kern w:val="0"/>
                <w:sz w:val="18"/>
                <w:szCs w:val="18"/>
              </w:rPr>
            </w:pPr>
            <w:r>
              <w:rPr>
                <w:kern w:val="0"/>
                <w:sz w:val="18"/>
                <w:szCs w:val="18"/>
              </w:rPr>
              <w:t>报告</w:t>
            </w:r>
          </w:p>
        </w:tc>
        <w:tc>
          <w:tcPr>
            <w:tcW w:w="329"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367"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33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29"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设计</w:t>
            </w:r>
          </w:p>
          <w:p>
            <w:pPr>
              <w:widowControl/>
              <w:jc w:val="center"/>
              <w:rPr>
                <w:kern w:val="0"/>
                <w:sz w:val="18"/>
                <w:szCs w:val="18"/>
              </w:rPr>
            </w:pPr>
            <w:r>
              <w:rPr>
                <w:kern w:val="0"/>
                <w:sz w:val="18"/>
                <w:szCs w:val="18"/>
              </w:rPr>
              <w:t>报告</w:t>
            </w:r>
          </w:p>
        </w:tc>
        <w:tc>
          <w:tcPr>
            <w:tcW w:w="34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综合</w:t>
            </w:r>
          </w:p>
          <w:p>
            <w:pPr>
              <w:widowControl/>
              <w:jc w:val="center"/>
              <w:rPr>
                <w:kern w:val="0"/>
                <w:sz w:val="18"/>
                <w:szCs w:val="18"/>
              </w:rPr>
            </w:pPr>
            <w:r>
              <w:rPr>
                <w:kern w:val="0"/>
                <w:sz w:val="18"/>
                <w:szCs w:val="18"/>
              </w:rPr>
              <w:t>设计</w:t>
            </w:r>
          </w:p>
          <w:p>
            <w:pPr>
              <w:widowControl/>
              <w:jc w:val="center"/>
              <w:rPr>
                <w:kern w:val="0"/>
                <w:sz w:val="18"/>
                <w:szCs w:val="18"/>
              </w:rPr>
            </w:pPr>
            <w:r>
              <w:rPr>
                <w:kern w:val="0"/>
                <w:sz w:val="18"/>
                <w:szCs w:val="18"/>
              </w:rPr>
              <w:t>报告</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考试</w:t>
            </w:r>
          </w:p>
        </w:tc>
      </w:tr>
      <w:tr>
        <w:tblPrEx>
          <w:tblCellMar>
            <w:top w:w="0" w:type="dxa"/>
            <w:left w:w="108" w:type="dxa"/>
            <w:bottom w:w="0" w:type="dxa"/>
            <w:right w:w="108" w:type="dxa"/>
          </w:tblCellMar>
        </w:tblPrEx>
        <w:trPr>
          <w:trHeight w:val="561" w:hRule="atLeast"/>
          <w:jc w:val="center"/>
        </w:trPr>
        <w:tc>
          <w:tcPr>
            <w:tcW w:w="32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49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34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0.25</w:t>
            </w:r>
          </w:p>
        </w:tc>
        <w:tc>
          <w:tcPr>
            <w:tcW w:w="34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0.45</w:t>
            </w:r>
          </w:p>
        </w:tc>
        <w:tc>
          <w:tcPr>
            <w:tcW w:w="36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3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0.06</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0.06</w:t>
            </w:r>
          </w:p>
        </w:tc>
        <w:tc>
          <w:tcPr>
            <w:tcW w:w="34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0.18</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1.0</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0.25</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0.25</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0.46</w:t>
            </w:r>
          </w:p>
        </w:tc>
      </w:tr>
      <w:tr>
        <w:tblPrEx>
          <w:tblCellMar>
            <w:top w:w="0" w:type="dxa"/>
            <w:left w:w="108" w:type="dxa"/>
            <w:bottom w:w="0" w:type="dxa"/>
            <w:right w:w="108" w:type="dxa"/>
          </w:tblCellMar>
        </w:tblPrEx>
        <w:trPr>
          <w:trHeight w:val="555" w:hRule="atLeast"/>
          <w:jc w:val="center"/>
        </w:trPr>
        <w:tc>
          <w:tcPr>
            <w:tcW w:w="32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492"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　</w:t>
            </w:r>
          </w:p>
        </w:tc>
        <w:tc>
          <w:tcPr>
            <w:tcW w:w="34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w:t>
            </w:r>
          </w:p>
        </w:tc>
        <w:tc>
          <w:tcPr>
            <w:tcW w:w="37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w:t>
            </w:r>
          </w:p>
        </w:tc>
        <w:tc>
          <w:tcPr>
            <w:tcW w:w="32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w:t>
            </w:r>
          </w:p>
        </w:tc>
        <w:tc>
          <w:tcPr>
            <w:tcW w:w="367"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0.00　</w:t>
            </w:r>
          </w:p>
        </w:tc>
        <w:tc>
          <w:tcPr>
            <w:tcW w:w="33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2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0.03</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0.12</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0.0　</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0.63</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0.12</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0.27</w:t>
            </w:r>
          </w:p>
        </w:tc>
      </w:tr>
      <w:tr>
        <w:tblPrEx>
          <w:tblCellMar>
            <w:top w:w="0" w:type="dxa"/>
            <w:left w:w="108" w:type="dxa"/>
            <w:bottom w:w="0" w:type="dxa"/>
            <w:right w:w="108" w:type="dxa"/>
          </w:tblCellMar>
        </w:tblPrEx>
        <w:trPr>
          <w:trHeight w:val="563" w:hRule="atLeast"/>
          <w:jc w:val="center"/>
        </w:trPr>
        <w:tc>
          <w:tcPr>
            <w:tcW w:w="325"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492"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　</w:t>
            </w:r>
          </w:p>
        </w:tc>
        <w:tc>
          <w:tcPr>
            <w:tcW w:w="34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w:t>
            </w:r>
          </w:p>
        </w:tc>
        <w:tc>
          <w:tcPr>
            <w:tcW w:w="37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w:t>
            </w:r>
          </w:p>
        </w:tc>
        <w:tc>
          <w:tcPr>
            <w:tcW w:w="32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w:t>
            </w:r>
          </w:p>
        </w:tc>
        <w:tc>
          <w:tcPr>
            <w:tcW w:w="367"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0.00　</w:t>
            </w:r>
          </w:p>
        </w:tc>
        <w:tc>
          <w:tcPr>
            <w:tcW w:w="33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0.03</w:t>
            </w:r>
          </w:p>
        </w:tc>
        <w:tc>
          <w:tcPr>
            <w:tcW w:w="32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40"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0.12</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0.0　</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0.12</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0.63</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 w:val="18"/>
                <w:szCs w:val="18"/>
              </w:rPr>
            </w:pPr>
            <w:r>
              <w:rPr>
                <w:bCs/>
                <w:kern w:val="0"/>
                <w:sz w:val="18"/>
                <w:szCs w:val="18"/>
              </w:rPr>
              <w:t>0.27</w:t>
            </w:r>
          </w:p>
        </w:tc>
      </w:tr>
      <w:tr>
        <w:tblPrEx>
          <w:tblCellMar>
            <w:top w:w="0" w:type="dxa"/>
            <w:left w:w="108" w:type="dxa"/>
            <w:bottom w:w="0" w:type="dxa"/>
            <w:right w:w="108" w:type="dxa"/>
          </w:tblCellMar>
        </w:tblPrEx>
        <w:trPr>
          <w:trHeight w:val="1026" w:hRule="atLeast"/>
          <w:jc w:val="center"/>
        </w:trPr>
        <w:tc>
          <w:tcPr>
            <w:tcW w:w="2212"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bCs/>
                <w:kern w:val="0"/>
                <w:sz w:val="18"/>
                <w:szCs w:val="18"/>
              </w:rPr>
            </w:pPr>
            <w:r>
              <w:rPr>
                <w:bCs/>
                <w:kern w:val="0"/>
                <w:sz w:val="18"/>
                <w:szCs w:val="18"/>
              </w:rPr>
              <w:t>各环节对课程目标达成的贡献率（</w:t>
            </w:r>
            <w:r>
              <w:rPr>
                <w:bCs/>
                <w:i/>
                <w:kern w:val="0"/>
                <w:sz w:val="18"/>
                <w:szCs w:val="18"/>
              </w:rPr>
              <w:t>M</w:t>
            </w:r>
            <w:r>
              <w:rPr>
                <w:bCs/>
                <w:i/>
                <w:kern w:val="0"/>
                <w:sz w:val="18"/>
                <w:szCs w:val="18"/>
                <w:vertAlign w:val="subscript"/>
              </w:rPr>
              <w:t>k</w:t>
            </w:r>
            <w:r>
              <w:rPr>
                <w:bCs/>
                <w:kern w:val="0"/>
                <w:sz w:val="18"/>
                <w:szCs w:val="18"/>
              </w:rPr>
              <w:t>）</w:t>
            </w:r>
          </w:p>
        </w:tc>
        <w:tc>
          <w:tcPr>
            <w:tcW w:w="36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0.10</w:t>
            </w:r>
          </w:p>
        </w:tc>
        <w:tc>
          <w:tcPr>
            <w:tcW w:w="33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0.24</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0.24</w:t>
            </w:r>
          </w:p>
        </w:tc>
        <w:tc>
          <w:tcPr>
            <w:tcW w:w="34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0.42</w:t>
            </w:r>
          </w:p>
        </w:tc>
        <w:tc>
          <w:tcPr>
            <w:tcW w:w="142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kern w:val="0"/>
                <w:sz w:val="18"/>
                <w:szCs w:val="18"/>
              </w:rPr>
            </w:pPr>
            <w:r>
              <w:rPr>
                <w:bCs/>
                <w:sz w:val="18"/>
                <w:szCs w:val="18"/>
              </w:rPr>
              <w:t>教师出题或布置作业时要尽量做到按照以上比例布局</w:t>
            </w:r>
          </w:p>
        </w:tc>
      </w:tr>
    </w:tbl>
    <w:p>
      <w:pPr>
        <w:spacing w:before="120" w:beforeLines="50" w:line="360" w:lineRule="auto"/>
        <w:ind w:firstLine="420" w:firstLineChars="200"/>
        <w:rPr>
          <w:color w:val="000000"/>
          <w:sz w:val="24"/>
          <w:szCs w:val="24"/>
        </w:rPr>
      </w:pPr>
      <w:r>
        <w:rPr>
          <w:rFonts w:hint="eastAsia" w:ascii="宋体" w:hAnsi="宋体" w:cs="宋体"/>
          <w:szCs w:val="21"/>
        </w:rPr>
        <w:t>本课程不可以申请免修。</w:t>
      </w:r>
    </w:p>
    <w:p>
      <w:pPr>
        <w:spacing w:before="120" w:beforeLines="50" w:line="360" w:lineRule="auto"/>
        <w:rPr>
          <w:sz w:val="18"/>
          <w:szCs w:val="18"/>
        </w:rPr>
        <w:sectPr>
          <w:pgSz w:w="16838" w:h="11906" w:orient="landscape"/>
          <w:pgMar w:top="1797" w:right="1440" w:bottom="1797" w:left="1440" w:header="851" w:footer="992" w:gutter="0"/>
          <w:cols w:space="720"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2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22" DrawAspect="Content" ObjectID="_1468075922" r:id="rId395">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2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23" DrawAspect="Content" ObjectID="_1468075923" r:id="rId396">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2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24" DrawAspect="Content" ObjectID="_1468075924" r:id="rId397">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2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25" DrawAspect="Content" ObjectID="_1468075925" r:id="rId398">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2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26" DrawAspect="Content" ObjectID="_1468075926" r:id="rId399">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2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27" DrawAspect="Content" ObjectID="_1468075927" r:id="rId400">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46" w:name="_Toc23988"/>
      <w:bookmarkStart w:id="247" w:name="_Toc46996586"/>
      <w:r>
        <w:rPr>
          <w:rFonts w:hint="eastAsia"/>
        </w:rPr>
        <w:t>《</w:t>
      </w:r>
      <w:r>
        <w:t>Z06060208-</w:t>
      </w:r>
      <w:r>
        <w:rPr>
          <w:rFonts w:hint="eastAsia"/>
        </w:rPr>
        <w:t>信号源设计》教学大纲</w:t>
      </w:r>
      <w:bookmarkEnd w:id="246"/>
      <w:bookmarkEnd w:id="247"/>
    </w:p>
    <w:p>
      <w:pPr>
        <w:adjustRightInd w:val="0"/>
        <w:snapToGrid w:val="0"/>
        <w:spacing w:line="360" w:lineRule="auto"/>
        <w:rPr>
          <w:rFonts w:ascii="宋体" w:cs="宋体"/>
          <w:snapToGrid w:val="0"/>
          <w:kern w:val="0"/>
          <w:szCs w:val="21"/>
        </w:rPr>
      </w:pPr>
      <w:r>
        <w:rPr>
          <w:rFonts w:hint="eastAsia" w:ascii="黑体" w:eastAsia="黑体"/>
        </w:rPr>
        <w:t>课程编号：</w:t>
      </w:r>
      <w:r>
        <w:rPr>
          <w:snapToGrid w:val="0"/>
          <w:kern w:val="0"/>
          <w:szCs w:val="21"/>
        </w:rPr>
        <w:t>Z06060208</w:t>
      </w:r>
    </w:p>
    <w:p>
      <w:pPr>
        <w:adjustRightInd w:val="0"/>
        <w:snapToGrid w:val="0"/>
        <w:spacing w:line="360" w:lineRule="auto"/>
        <w:rPr>
          <w:rFonts w:ascii="黑体" w:eastAsia="黑体"/>
        </w:rPr>
      </w:pPr>
      <w:r>
        <w:rPr>
          <w:rFonts w:hint="eastAsia" w:ascii="黑体" w:eastAsia="黑体"/>
        </w:rPr>
        <w:t>课程名称：</w:t>
      </w:r>
      <w:r>
        <w:rPr>
          <w:rFonts w:hint="eastAsia" w:ascii="宋体" w:hAnsi="宋体"/>
        </w:rPr>
        <w:t>信号源设计</w:t>
      </w:r>
      <w:r>
        <w:rPr>
          <w:rFonts w:ascii="宋体"/>
        </w:rPr>
        <w:tab/>
      </w:r>
      <w:r>
        <w:rPr>
          <w:rFonts w:ascii="宋体"/>
        </w:rPr>
        <w:tab/>
      </w:r>
      <w:r>
        <w:rPr>
          <w:rFonts w:ascii="宋体"/>
        </w:rPr>
        <w:tab/>
      </w:r>
      <w:r>
        <w:rPr>
          <w:rFonts w:ascii="宋体"/>
        </w:rPr>
        <w:tab/>
      </w:r>
      <w:r>
        <w:rPr>
          <w:rFonts w:ascii="宋体"/>
        </w:rPr>
        <w:tab/>
      </w:r>
      <w:r>
        <w:rPr>
          <w:rFonts w:ascii="宋体"/>
        </w:rPr>
        <w:tab/>
      </w:r>
      <w:r>
        <w:rPr>
          <w:rFonts w:hint="eastAsia" w:ascii="黑体" w:eastAsia="黑体"/>
        </w:rPr>
        <w:t>开课单位：</w:t>
      </w:r>
      <w:r>
        <w:rPr>
          <w:rFonts w:hint="eastAsia" w:ascii="宋体" w:hAnsi="宋体"/>
        </w:rPr>
        <w:t>仪器与电子学院</w:t>
      </w:r>
    </w:p>
    <w:p>
      <w:pPr>
        <w:adjustRightInd w:val="0"/>
        <w:snapToGrid w:val="0"/>
        <w:spacing w:line="360" w:lineRule="auto"/>
        <w:rPr>
          <w:rFonts w:ascii="黑体" w:eastAsia="黑体"/>
        </w:rPr>
      </w:pPr>
      <w:r>
        <w:rPr>
          <w:rFonts w:hint="eastAsia" w:ascii="黑体" w:eastAsia="黑体"/>
        </w:rPr>
        <w:t>总 学 时：</w:t>
      </w:r>
      <w:r>
        <w:t>16</w:t>
      </w:r>
      <w:r>
        <w:rPr>
          <w:rFonts w:eastAsia="黑体"/>
        </w:rPr>
        <w:tab/>
      </w:r>
      <w:r>
        <w:rPr>
          <w:rFonts w:ascii="黑体" w:eastAsia="黑体"/>
        </w:rPr>
        <w:tab/>
      </w:r>
      <w:r>
        <w:rPr>
          <w:rFonts w:ascii="黑体" w:eastAsia="黑体"/>
        </w:rPr>
        <w:tab/>
      </w:r>
      <w:r>
        <w:rPr>
          <w:rFonts w:ascii="黑体" w:eastAsia="黑体"/>
        </w:rPr>
        <w:tab/>
      </w:r>
      <w:r>
        <w:rPr>
          <w:rFonts w:ascii="黑体" w:eastAsia="黑体"/>
        </w:rPr>
        <w:tab/>
      </w:r>
      <w:r>
        <w:rPr>
          <w:rFonts w:ascii="黑体" w:eastAsia="黑体"/>
        </w:rPr>
        <w:tab/>
      </w:r>
      <w:r>
        <w:rPr>
          <w:rFonts w:ascii="黑体" w:eastAsia="黑体"/>
        </w:rPr>
        <w:tab/>
      </w:r>
      <w:r>
        <w:rPr>
          <w:rFonts w:ascii="黑体" w:eastAsia="黑体"/>
        </w:rPr>
        <w:tab/>
      </w:r>
      <w:r>
        <w:rPr>
          <w:rFonts w:hint="eastAsia" w:ascii="黑体" w:eastAsia="黑体"/>
        </w:rPr>
        <w:t>学    分：</w:t>
      </w:r>
      <w:r>
        <w:t>1</w:t>
      </w:r>
    </w:p>
    <w:p>
      <w:pPr>
        <w:adjustRightInd w:val="0"/>
        <w:snapToGrid w:val="0"/>
        <w:spacing w:line="360" w:lineRule="auto"/>
        <w:rPr>
          <w:rFonts w:ascii="宋体"/>
        </w:rPr>
      </w:pPr>
      <w:r>
        <w:rPr>
          <w:rFonts w:hint="eastAsia" w:ascii="黑体" w:eastAsia="黑体"/>
        </w:rPr>
        <w:t>适用专业：</w:t>
      </w:r>
      <w:r>
        <w:rPr>
          <w:rFonts w:hint="eastAsia" w:ascii="宋体" w:hAnsi="宋体"/>
        </w:rPr>
        <w:t>电子科学与技术</w:t>
      </w:r>
      <w:r>
        <w:rPr>
          <w:rFonts w:hint="eastAsia"/>
        </w:rPr>
        <w:t>专业</w:t>
      </w:r>
    </w:p>
    <w:p>
      <w:pPr>
        <w:adjustRightInd w:val="0"/>
        <w:snapToGrid w:val="0"/>
        <w:spacing w:line="360" w:lineRule="auto"/>
        <w:rPr>
          <w:rFonts w:ascii="宋体"/>
        </w:rPr>
      </w:pPr>
      <w:r>
        <w:rPr>
          <w:rFonts w:hint="eastAsia" w:ascii="黑体" w:eastAsia="黑体"/>
        </w:rPr>
        <w:t>先修课程：</w:t>
      </w:r>
      <w:r>
        <w:rPr>
          <w:rFonts w:hint="eastAsia" w:ascii="宋体" w:hAnsi="宋体"/>
        </w:rPr>
        <w:t>模拟电子技术、数字电子技术、可编程逻辑器件应用、单片机原理及应用</w:t>
      </w:r>
    </w:p>
    <w:p>
      <w:pPr>
        <w:adjustRightInd w:val="0"/>
        <w:snapToGrid w:val="0"/>
        <w:spacing w:line="360" w:lineRule="auto"/>
        <w:rPr>
          <w:rFonts w:ascii="黑体" w:hAnsi="黑体" w:eastAsia="黑体"/>
        </w:rPr>
      </w:pPr>
      <w:r>
        <w:rPr>
          <w:rFonts w:hint="eastAsia" w:eastAsia="黑体"/>
        </w:rPr>
        <w:t>大纲撰写人：</w:t>
      </w:r>
      <w:r>
        <w:rPr>
          <w:rFonts w:hint="eastAsia" w:ascii="宋体" w:hAnsi="宋体"/>
        </w:rPr>
        <w:t>崔永俊</w:t>
      </w:r>
    </w:p>
    <w:p>
      <w:pPr>
        <w:adjustRightInd w:val="0"/>
        <w:snapToGrid w:val="0"/>
        <w:spacing w:line="360" w:lineRule="auto"/>
        <w:rPr>
          <w:rFonts w:ascii="宋体"/>
        </w:rPr>
      </w:pPr>
      <w:r>
        <w:rPr>
          <w:rFonts w:hint="eastAsia" w:ascii="黑体" w:hAnsi="黑体" w:eastAsia="黑体"/>
        </w:rPr>
        <w:t>大纲编写（修订）时间：</w:t>
      </w:r>
      <w:r>
        <w:t>2019年5月</w:t>
      </w:r>
    </w:p>
    <w:p>
      <w:pPr>
        <w:rPr>
          <w:b/>
          <w:sz w:val="24"/>
          <w:szCs w:val="24"/>
        </w:rPr>
      </w:pPr>
    </w:p>
    <w:p>
      <w:pPr>
        <w:tabs>
          <w:tab w:val="left" w:pos="420"/>
        </w:tabs>
        <w:adjustRightInd w:val="0"/>
        <w:snapToGrid w:val="0"/>
        <w:spacing w:line="360" w:lineRule="auto"/>
        <w:rPr>
          <w:rFonts w:eastAsia="黑体"/>
        </w:rPr>
      </w:pPr>
      <w:r>
        <w:rPr>
          <w:rFonts w:hint="eastAsia" w:eastAsia="黑体"/>
        </w:rPr>
        <w:t>一、课程在教学计划中的地位、作用</w:t>
      </w:r>
    </w:p>
    <w:p>
      <w:pPr>
        <w:spacing w:line="360" w:lineRule="auto"/>
        <w:ind w:firstLine="420" w:firstLineChars="200"/>
        <w:rPr>
          <w:szCs w:val="21"/>
        </w:rPr>
      </w:pPr>
      <w:r>
        <w:rPr>
          <w:rFonts w:hint="eastAsia"/>
          <w:szCs w:val="21"/>
        </w:rPr>
        <w:t>本课程是电子科学与技术专业物联网设计与应用类重要选修课程，是电子系统设计从理论到实践的具体应用的课程。通过本课程的学习，能够掌握设计、校准、选用信号源的基础知识和基本技能，能够正确理解特定参数的电量测试信号的产生原理和方法，正确选择电子系统特性测量时所需信号源的参数，能够设计常用的信号源测试仪器，为被测设备提供符合技术条件的电激励信号，为后续的课程设计、毕业设计环节打下坚实的基础。</w:t>
      </w:r>
    </w:p>
    <w:p>
      <w:pPr>
        <w:spacing w:line="360" w:lineRule="auto"/>
        <w:ind w:firstLine="420" w:firstLineChars="200"/>
        <w:rPr>
          <w:szCs w:val="21"/>
        </w:rPr>
      </w:pPr>
    </w:p>
    <w:p>
      <w:pPr>
        <w:tabs>
          <w:tab w:val="left" w:pos="420"/>
        </w:tabs>
        <w:adjustRightInd w:val="0"/>
        <w:snapToGrid w:val="0"/>
        <w:spacing w:line="360" w:lineRule="auto"/>
        <w:rPr>
          <w:rFonts w:eastAsia="黑体"/>
          <w:szCs w:val="24"/>
        </w:rPr>
      </w:pPr>
      <w:r>
        <w:rPr>
          <w:rFonts w:hint="eastAsia" w:eastAsia="黑体"/>
          <w:szCs w:val="24"/>
        </w:rPr>
        <w:t>二、课程目标</w:t>
      </w:r>
    </w:p>
    <w:tbl>
      <w:tblPr>
        <w:tblStyle w:val="2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3898"/>
        <w:gridCol w:w="38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序号</w:t>
            </w:r>
          </w:p>
        </w:tc>
        <w:tc>
          <w:tcPr>
            <w:tcW w:w="2345" w:type="pct"/>
            <w:vAlign w:val="center"/>
          </w:tcPr>
          <w:p>
            <w:pPr>
              <w:spacing w:line="360" w:lineRule="auto"/>
              <w:jc w:val="center"/>
              <w:rPr>
                <w:sz w:val="18"/>
                <w:szCs w:val="18"/>
              </w:rPr>
            </w:pPr>
            <w:r>
              <w:rPr>
                <w:rFonts w:hint="eastAsia"/>
                <w:sz w:val="18"/>
                <w:szCs w:val="18"/>
              </w:rPr>
              <w:t>课程目标</w:t>
            </w:r>
          </w:p>
        </w:tc>
        <w:tc>
          <w:tcPr>
            <w:tcW w:w="2288" w:type="pct"/>
            <w:vAlign w:val="center"/>
          </w:tcPr>
          <w:p>
            <w:pPr>
              <w:spacing w:line="360" w:lineRule="auto"/>
              <w:jc w:val="center"/>
              <w:rPr>
                <w:sz w:val="18"/>
                <w:szCs w:val="18"/>
              </w:rPr>
            </w:pPr>
            <w:r>
              <w:rPr>
                <w:rFonts w:hint="eastAsia"/>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1</w:t>
            </w:r>
          </w:p>
        </w:tc>
        <w:tc>
          <w:tcPr>
            <w:tcW w:w="2345" w:type="pct"/>
          </w:tcPr>
          <w:p>
            <w:pPr>
              <w:spacing w:line="360" w:lineRule="auto"/>
              <w:rPr>
                <w:sz w:val="18"/>
                <w:szCs w:val="18"/>
              </w:rPr>
            </w:pPr>
            <w:r>
              <w:rPr>
                <w:rFonts w:hint="eastAsia"/>
                <w:sz w:val="18"/>
                <w:szCs w:val="18"/>
              </w:rPr>
              <w:t>能够了解信号源的分类、技术指标含义，理解信号源的实现机理，掌握基本的信号产生方法和质量评价方法。</w:t>
            </w:r>
          </w:p>
        </w:tc>
        <w:tc>
          <w:tcPr>
            <w:tcW w:w="2288" w:type="pct"/>
          </w:tcPr>
          <w:p>
            <w:pPr>
              <w:spacing w:line="360" w:lineRule="auto"/>
              <w:rPr>
                <w:sz w:val="18"/>
                <w:szCs w:val="18"/>
              </w:rPr>
            </w:pPr>
            <w:r>
              <w:rPr>
                <w:rFonts w:hint="eastAsia"/>
                <w:b/>
                <w:sz w:val="18"/>
                <w:szCs w:val="18"/>
              </w:rPr>
              <w:t>指标点</w:t>
            </w:r>
            <w:r>
              <w:rPr>
                <w:b/>
                <w:sz w:val="18"/>
                <w:szCs w:val="18"/>
              </w:rPr>
              <w:t xml:space="preserve">2-2 </w:t>
            </w:r>
            <w:r>
              <w:rPr>
                <w:rFonts w:hint="eastAsia"/>
                <w:b/>
                <w:bCs/>
                <w:sz w:val="18"/>
                <w:szCs w:val="18"/>
              </w:rPr>
              <w:t>问题表达：</w:t>
            </w:r>
            <w:r>
              <w:rPr>
                <w:rFonts w:hint="eastAsia"/>
                <w:sz w:val="18"/>
                <w:szCs w:val="18"/>
              </w:rPr>
              <w:t>能够应用科学原理对本专业复杂工程问题的识别结果进行有效表达，将工程问题转化为技术问题。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2</w:t>
            </w:r>
          </w:p>
        </w:tc>
        <w:tc>
          <w:tcPr>
            <w:tcW w:w="2345" w:type="pct"/>
          </w:tcPr>
          <w:p>
            <w:pPr>
              <w:spacing w:line="360" w:lineRule="auto"/>
              <w:rPr>
                <w:sz w:val="18"/>
                <w:szCs w:val="18"/>
              </w:rPr>
            </w:pPr>
            <w:r>
              <w:rPr>
                <w:rFonts w:hint="eastAsia"/>
                <w:sz w:val="18"/>
                <w:szCs w:val="18"/>
              </w:rPr>
              <w:t>能够掌握信号源系统的构建方法与使用器件的选型，并在单片机或</w:t>
            </w:r>
            <w:r>
              <w:rPr>
                <w:sz w:val="18"/>
                <w:szCs w:val="18"/>
              </w:rPr>
              <w:t>FPGA</w:t>
            </w:r>
            <w:r>
              <w:rPr>
                <w:rFonts w:hint="eastAsia"/>
                <w:sz w:val="18"/>
                <w:szCs w:val="18"/>
              </w:rPr>
              <w:t>搭建的硬件平台上，掌握应用程序设计控制输出信号的波形、频率、幅值、相位等参数的方法。</w:t>
            </w:r>
          </w:p>
        </w:tc>
        <w:tc>
          <w:tcPr>
            <w:tcW w:w="2288" w:type="pct"/>
          </w:tcPr>
          <w:p>
            <w:pPr>
              <w:spacing w:line="360" w:lineRule="auto"/>
              <w:rPr>
                <w:b/>
                <w:sz w:val="18"/>
                <w:szCs w:val="18"/>
              </w:rPr>
            </w:pPr>
            <w:r>
              <w:rPr>
                <w:rFonts w:hint="eastAsia"/>
                <w:b/>
                <w:sz w:val="18"/>
                <w:szCs w:val="18"/>
              </w:rPr>
              <w:t>指标点</w:t>
            </w:r>
            <w:r>
              <w:rPr>
                <w:b/>
                <w:sz w:val="18"/>
                <w:szCs w:val="18"/>
              </w:rPr>
              <w:t xml:space="preserve">4-2 </w:t>
            </w:r>
            <w:r>
              <w:rPr>
                <w:rFonts w:hint="eastAsia"/>
                <w:b/>
                <w:sz w:val="18"/>
                <w:szCs w:val="18"/>
              </w:rPr>
              <w:t>实验设计能力：</w:t>
            </w:r>
            <w:r>
              <w:rPr>
                <w:rFonts w:hint="eastAsia"/>
                <w:bCs/>
                <w:sz w:val="18"/>
                <w:szCs w:val="18"/>
              </w:rPr>
              <w:t>能够基于专业理论，根据所面对的复杂问题特征，选择研究路线，设计可行的实验方案，并选用或搭建实验装置，开展研究。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3</w:t>
            </w:r>
          </w:p>
        </w:tc>
        <w:tc>
          <w:tcPr>
            <w:tcW w:w="2345" w:type="pct"/>
          </w:tcPr>
          <w:p>
            <w:pPr>
              <w:spacing w:line="360" w:lineRule="auto"/>
              <w:rPr>
                <w:sz w:val="18"/>
                <w:szCs w:val="18"/>
              </w:rPr>
            </w:pPr>
            <w:r>
              <w:rPr>
                <w:rFonts w:hint="eastAsia"/>
                <w:sz w:val="18"/>
                <w:szCs w:val="18"/>
              </w:rPr>
              <w:t>能够熟练应用测试仪器搭建测试系统，对信号源输出的信号的波形、频率、幅值、相位等参数进行测量，并给出评价，用于设计改进。</w:t>
            </w:r>
          </w:p>
        </w:tc>
        <w:tc>
          <w:tcPr>
            <w:tcW w:w="2288" w:type="pct"/>
          </w:tcPr>
          <w:p>
            <w:pPr>
              <w:spacing w:line="360" w:lineRule="auto"/>
              <w:rPr>
                <w:sz w:val="18"/>
                <w:szCs w:val="18"/>
              </w:rPr>
            </w:pPr>
            <w:r>
              <w:rPr>
                <w:rFonts w:hint="eastAsia"/>
                <w:b/>
                <w:sz w:val="18"/>
                <w:szCs w:val="18"/>
              </w:rPr>
              <w:t>指标点</w:t>
            </w:r>
            <w:r>
              <w:rPr>
                <w:b/>
                <w:sz w:val="18"/>
                <w:szCs w:val="18"/>
              </w:rPr>
              <w:t xml:space="preserve">4-3 </w:t>
            </w:r>
            <w:r>
              <w:rPr>
                <w:rFonts w:hint="eastAsia"/>
                <w:b/>
                <w:sz w:val="18"/>
                <w:szCs w:val="18"/>
              </w:rPr>
              <w:t>实验结果分析：</w:t>
            </w:r>
            <w:r>
              <w:rPr>
                <w:rFonts w:hint="eastAsia"/>
                <w:sz w:val="18"/>
                <w:szCs w:val="18"/>
              </w:rPr>
              <w:t>能正确采集、整理、综合实验数据及相关信息，对多因素实验结果进行关联处理，得到有效结论，提出优化方案。</w:t>
            </w:r>
          </w:p>
        </w:tc>
      </w:tr>
    </w:tbl>
    <w:p>
      <w:pPr>
        <w:tabs>
          <w:tab w:val="left" w:pos="420"/>
        </w:tabs>
        <w:adjustRightInd w:val="0"/>
        <w:snapToGrid w:val="0"/>
        <w:spacing w:line="360" w:lineRule="auto"/>
        <w:rPr>
          <w:szCs w:val="21"/>
        </w:rPr>
      </w:pPr>
    </w:p>
    <w:p>
      <w:pPr>
        <w:spacing w:line="360" w:lineRule="auto"/>
        <w:rPr>
          <w:rFonts w:ascii="黑体" w:hAnsi="黑体" w:eastAsia="黑体"/>
        </w:rPr>
      </w:pPr>
      <w:r>
        <w:rPr>
          <w:rFonts w:hint="eastAsia" w:ascii="黑体" w:hAnsi="黑体" w:eastAsia="黑体"/>
        </w:rPr>
        <w:t>三、基本要求</w:t>
      </w:r>
    </w:p>
    <w:p>
      <w:pPr>
        <w:spacing w:line="360" w:lineRule="auto"/>
        <w:ind w:firstLine="420" w:firstLineChars="200"/>
        <w:rPr>
          <w:szCs w:val="21"/>
        </w:rPr>
      </w:pPr>
      <w:r>
        <w:rPr>
          <w:szCs w:val="21"/>
        </w:rPr>
        <w:t>1</w:t>
      </w:r>
      <w:r>
        <w:rPr>
          <w:rFonts w:hint="eastAsia"/>
          <w:szCs w:val="21"/>
        </w:rPr>
        <w:t>、本课程为专业选修课，要求先修</w:t>
      </w:r>
      <w:r>
        <w:rPr>
          <w:rFonts w:hint="eastAsia" w:ascii="宋体" w:hAnsi="宋体"/>
        </w:rPr>
        <w:t>模拟电子技术、数字电子技术、可编程逻辑器件应用和单片机原理及应用</w:t>
      </w:r>
      <w:r>
        <w:rPr>
          <w:rFonts w:hint="eastAsia"/>
          <w:szCs w:val="21"/>
        </w:rPr>
        <w:t>课程，应在教学中注重信号源电路设计技术的基本理论、基本知识、基本方法的讲授，对数字合成技术及原理有一个完整和系统的概念。</w:t>
      </w:r>
    </w:p>
    <w:p>
      <w:pPr>
        <w:spacing w:line="360" w:lineRule="auto"/>
        <w:ind w:firstLine="420" w:firstLineChars="200"/>
        <w:rPr>
          <w:szCs w:val="21"/>
        </w:rPr>
      </w:pPr>
      <w:r>
        <w:rPr>
          <w:szCs w:val="21"/>
        </w:rPr>
        <w:t>2</w:t>
      </w:r>
      <w:r>
        <w:rPr>
          <w:rFonts w:hint="eastAsia"/>
          <w:szCs w:val="21"/>
        </w:rPr>
        <w:t>、熟悉信号源设计的新技术、新方法，使学生具有一定电路分析和设计以及解决具体工程问题的能力。</w:t>
      </w:r>
    </w:p>
    <w:p>
      <w:pPr>
        <w:spacing w:line="360" w:lineRule="auto"/>
        <w:ind w:firstLine="420" w:firstLineChars="200"/>
        <w:rPr>
          <w:szCs w:val="21"/>
        </w:rPr>
      </w:pPr>
      <w:r>
        <w:rPr>
          <w:szCs w:val="21"/>
        </w:rPr>
        <w:t>3</w:t>
      </w:r>
      <w:r>
        <w:rPr>
          <w:rFonts w:hint="eastAsia"/>
          <w:szCs w:val="21"/>
        </w:rPr>
        <w:t>、本课程系统性和实践性较强，大纲中强调对设计规则和原理的掌握，课后需做大量的实际练习以强化学习效果。</w:t>
      </w:r>
    </w:p>
    <w:p>
      <w:pPr>
        <w:spacing w:line="360" w:lineRule="auto"/>
        <w:ind w:firstLine="420" w:firstLineChars="200"/>
        <w:rPr>
          <w:szCs w:val="21"/>
          <w:lang w:val="zh-CN"/>
        </w:rPr>
      </w:pPr>
      <w:r>
        <w:rPr>
          <w:szCs w:val="21"/>
        </w:rPr>
        <w:t>4</w:t>
      </w:r>
      <w:r>
        <w:rPr>
          <w:rFonts w:hint="eastAsia"/>
          <w:szCs w:val="21"/>
        </w:rPr>
        <w:t>、深度和广度说明：</w:t>
      </w:r>
      <w:r>
        <w:rPr>
          <w:rFonts w:hint="eastAsia"/>
        </w:rPr>
        <w:t>简单介绍</w:t>
      </w:r>
      <w:r>
        <w:rPr>
          <w:rFonts w:hint="eastAsia"/>
          <w:szCs w:val="21"/>
          <w:lang w:val="zh-CN"/>
        </w:rPr>
        <w:t>频率合成技术和相关器件的</w:t>
      </w:r>
      <w:r>
        <w:rPr>
          <w:rFonts w:hint="eastAsia"/>
        </w:rPr>
        <w:t>使用，对各公司的产品介绍应涵盖广些，器件内部结构了解即可，深入讲解</w:t>
      </w:r>
      <w:r>
        <w:rPr>
          <w:rFonts w:hint="eastAsia"/>
          <w:szCs w:val="21"/>
          <w:lang w:val="zh-CN"/>
        </w:rPr>
        <w:t>以单片机或</w:t>
      </w:r>
      <w:r>
        <w:rPr>
          <w:szCs w:val="21"/>
          <w:lang w:val="zh-CN"/>
        </w:rPr>
        <w:t>FPGA</w:t>
      </w:r>
      <w:r>
        <w:rPr>
          <w:rFonts w:hint="eastAsia"/>
          <w:szCs w:val="21"/>
          <w:lang w:val="zh-CN"/>
        </w:rPr>
        <w:t>为核心的信号源硬件电路设计，以及使用</w:t>
      </w:r>
      <w:r>
        <w:rPr>
          <w:szCs w:val="21"/>
          <w:lang w:val="zh-CN"/>
        </w:rPr>
        <w:t>DDS</w:t>
      </w:r>
      <w:r>
        <w:rPr>
          <w:rFonts w:hint="eastAsia"/>
          <w:szCs w:val="21"/>
          <w:lang w:val="zh-CN"/>
        </w:rPr>
        <w:t>技术进行信号源的设计。</w:t>
      </w:r>
    </w:p>
    <w:p>
      <w:pPr>
        <w:spacing w:line="360" w:lineRule="auto"/>
        <w:ind w:firstLine="420" w:firstLineChars="200"/>
        <w:rPr>
          <w:szCs w:val="21"/>
        </w:rPr>
      </w:pPr>
      <w:r>
        <w:rPr>
          <w:szCs w:val="21"/>
        </w:rPr>
        <w:t>5</w:t>
      </w:r>
      <w:r>
        <w:rPr>
          <w:rFonts w:hint="eastAsia"/>
          <w:szCs w:val="21"/>
        </w:rPr>
        <w:t>、偏差说明：为了鼓励教师引入个人授课风格或者适应技术发展的紧迫性，本课程允许教师授课内容做适当调整，最大正偏差为</w:t>
      </w:r>
      <w:r>
        <w:rPr>
          <w:szCs w:val="21"/>
        </w:rPr>
        <w:t>10%</w:t>
      </w:r>
      <w:r>
        <w:rPr>
          <w:rFonts w:hint="eastAsia"/>
          <w:szCs w:val="21"/>
        </w:rPr>
        <w:t>，不允许负偏差。正偏差通过压缩同等内容的学时数来完成。特殊情况，最大正偏差和置换偏差累计可达到</w:t>
      </w:r>
      <w:r>
        <w:rPr>
          <w:szCs w:val="21"/>
        </w:rPr>
        <w:t>20%</w:t>
      </w:r>
      <w:r>
        <w:rPr>
          <w:rFonts w:hint="eastAsia"/>
          <w:szCs w:val="21"/>
        </w:rPr>
        <w:t>，但在开课前要申请专业责任人批准。（正偏差指大纲知识点不变，新增知识点；负偏差是大纲知识点减少；置换偏差是指大纲中部分知识点被其它类似知识点替换。）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rFonts w:ascii="宋体"/>
          <w:szCs w:val="21"/>
        </w:rPr>
      </w:pPr>
    </w:p>
    <w:p>
      <w:pPr>
        <w:spacing w:line="360" w:lineRule="auto"/>
        <w:rPr>
          <w:rFonts w:ascii="黑体" w:hAnsi="黑体" w:eastAsia="黑体"/>
        </w:rPr>
      </w:pPr>
      <w:r>
        <w:rPr>
          <w:rFonts w:hint="eastAsia" w:ascii="黑体" w:hAnsi="黑体" w:eastAsia="黑体"/>
        </w:rPr>
        <w:t>四、教学内容和教学方法</w:t>
      </w:r>
    </w:p>
    <w:p>
      <w:pPr>
        <w:spacing w:line="360" w:lineRule="auto"/>
        <w:ind w:firstLine="420" w:firstLineChars="200"/>
        <w:rPr>
          <w:szCs w:val="21"/>
        </w:rPr>
      </w:pPr>
      <w:r>
        <w:rPr>
          <w:rFonts w:hint="eastAsia"/>
          <w:szCs w:val="21"/>
        </w:rPr>
        <w:t>本课程重点讲授的内容包括：</w:t>
      </w:r>
      <w:r>
        <w:rPr>
          <w:rFonts w:hint="eastAsia"/>
          <w:szCs w:val="21"/>
          <w:lang w:val="zh-CN"/>
        </w:rPr>
        <w:t>信号源的分类以及设计过程；单片机或</w:t>
      </w:r>
      <w:r>
        <w:rPr>
          <w:szCs w:val="21"/>
          <w:lang w:val="zh-CN"/>
        </w:rPr>
        <w:t>FPGA</w:t>
      </w:r>
      <w:r>
        <w:rPr>
          <w:rFonts w:hint="eastAsia"/>
          <w:szCs w:val="21"/>
          <w:lang w:val="zh-CN"/>
        </w:rPr>
        <w:t>控制输出信号的波形、频率、幅值、相位；基于</w:t>
      </w:r>
      <w:r>
        <w:rPr>
          <w:szCs w:val="21"/>
          <w:lang w:val="zh-CN"/>
        </w:rPr>
        <w:t>DDS</w:t>
      </w:r>
      <w:r>
        <w:rPr>
          <w:rFonts w:hint="eastAsia"/>
          <w:szCs w:val="21"/>
          <w:lang w:val="zh-CN"/>
        </w:rPr>
        <w:t>的信号源的实现方法。</w:t>
      </w:r>
    </w:p>
    <w:p>
      <w:pPr>
        <w:spacing w:line="360" w:lineRule="auto"/>
        <w:ind w:firstLine="420" w:firstLineChars="200"/>
        <w:rPr>
          <w:szCs w:val="21"/>
        </w:rPr>
      </w:pPr>
      <w:r>
        <w:rPr>
          <w:rFonts w:hint="eastAsia"/>
          <w:szCs w:val="21"/>
        </w:rPr>
        <w:t>本课程在教学方法上，充分利用各种媒体教学手段，采取课堂教学、多媒体课件等方式有机结合，提高教学效率。</w:t>
      </w:r>
    </w:p>
    <w:p>
      <w:pPr>
        <w:widowControl/>
        <w:snapToGrid w:val="0"/>
        <w:spacing w:line="440" w:lineRule="exact"/>
        <w:ind w:left="420" w:leftChars="200"/>
        <w:jc w:val="left"/>
        <w:rPr>
          <w:kern w:val="0"/>
          <w:sz w:val="24"/>
        </w:rPr>
      </w:pPr>
      <w:r>
        <w:rPr>
          <w:rFonts w:eastAsia="黑体"/>
          <w:szCs w:val="21"/>
          <w:lang w:val="zh-CN"/>
        </w:rPr>
        <w:t xml:space="preserve">1  </w:t>
      </w:r>
      <w:r>
        <w:rPr>
          <w:rFonts w:hint="eastAsia" w:eastAsia="黑体"/>
          <w:szCs w:val="21"/>
          <w:lang w:val="zh-CN"/>
        </w:rPr>
        <w:t>绪论（</w:t>
      </w:r>
      <w:r>
        <w:rPr>
          <w:rFonts w:eastAsia="黑体"/>
          <w:szCs w:val="21"/>
          <w:lang w:val="zh-CN"/>
        </w:rPr>
        <w:t>2</w:t>
      </w:r>
      <w:r>
        <w:rPr>
          <w:rFonts w:hint="eastAsia" w:eastAsia="黑体"/>
          <w:szCs w:val="21"/>
          <w:lang w:val="zh-CN"/>
        </w:rPr>
        <w:t>学时）</w:t>
      </w:r>
    </w:p>
    <w:p>
      <w:pPr>
        <w:tabs>
          <w:tab w:val="left" w:pos="0"/>
        </w:tabs>
        <w:autoSpaceDE w:val="0"/>
        <w:autoSpaceDN w:val="0"/>
        <w:adjustRightInd w:val="0"/>
        <w:spacing w:line="440" w:lineRule="exact"/>
        <w:ind w:left="420" w:leftChars="200"/>
        <w:rPr>
          <w:szCs w:val="21"/>
          <w:lang w:val="zh-CN"/>
        </w:rPr>
      </w:pPr>
      <w:r>
        <w:rPr>
          <w:szCs w:val="21"/>
          <w:lang w:val="zh-CN"/>
        </w:rPr>
        <w:t>1.1</w:t>
      </w:r>
      <w:r>
        <w:rPr>
          <w:rFonts w:hint="eastAsia"/>
          <w:szCs w:val="21"/>
          <w:lang w:val="zh-CN"/>
        </w:rPr>
        <w:t>、信号源仪器的功能、组成和设计过程；</w:t>
      </w:r>
    </w:p>
    <w:p>
      <w:pPr>
        <w:tabs>
          <w:tab w:val="left" w:pos="0"/>
        </w:tabs>
        <w:autoSpaceDE w:val="0"/>
        <w:autoSpaceDN w:val="0"/>
        <w:adjustRightInd w:val="0"/>
        <w:spacing w:line="440" w:lineRule="exact"/>
        <w:ind w:left="420" w:leftChars="200"/>
        <w:rPr>
          <w:szCs w:val="21"/>
          <w:lang w:val="zh-CN"/>
        </w:rPr>
      </w:pPr>
      <w:r>
        <w:rPr>
          <w:szCs w:val="21"/>
          <w:lang w:val="zh-CN"/>
        </w:rPr>
        <w:t>1.2</w:t>
      </w:r>
      <w:r>
        <w:rPr>
          <w:rFonts w:hint="eastAsia"/>
          <w:szCs w:val="21"/>
          <w:lang w:val="zh-CN"/>
        </w:rPr>
        <w:t>、信号源的发展趋势，课程的内容、性质与学习方法；</w:t>
      </w:r>
    </w:p>
    <w:p>
      <w:pPr>
        <w:tabs>
          <w:tab w:val="left" w:pos="0"/>
        </w:tabs>
        <w:autoSpaceDE w:val="0"/>
        <w:autoSpaceDN w:val="0"/>
        <w:adjustRightInd w:val="0"/>
        <w:spacing w:line="440" w:lineRule="exact"/>
        <w:ind w:left="420" w:leftChars="200"/>
        <w:rPr>
          <w:szCs w:val="21"/>
          <w:lang w:val="zh-CN"/>
        </w:rPr>
      </w:pPr>
      <w:r>
        <w:rPr>
          <w:szCs w:val="21"/>
          <w:lang w:val="zh-CN"/>
        </w:rPr>
        <w:t>1.3</w:t>
      </w:r>
      <w:r>
        <w:rPr>
          <w:rFonts w:hint="eastAsia"/>
          <w:szCs w:val="21"/>
          <w:lang w:val="zh-CN"/>
        </w:rPr>
        <w:t>、信号源的分类；</w:t>
      </w:r>
    </w:p>
    <w:p>
      <w:pPr>
        <w:tabs>
          <w:tab w:val="left" w:pos="0"/>
        </w:tabs>
        <w:autoSpaceDE w:val="0"/>
        <w:autoSpaceDN w:val="0"/>
        <w:adjustRightInd w:val="0"/>
        <w:spacing w:line="440" w:lineRule="exact"/>
        <w:ind w:left="420" w:leftChars="200"/>
        <w:rPr>
          <w:szCs w:val="21"/>
          <w:lang w:val="zh-CN"/>
        </w:rPr>
      </w:pPr>
      <w:r>
        <w:rPr>
          <w:szCs w:val="21"/>
          <w:lang w:val="zh-CN"/>
        </w:rPr>
        <w:t>1.4</w:t>
      </w:r>
      <w:r>
        <w:rPr>
          <w:rFonts w:hint="eastAsia"/>
          <w:szCs w:val="21"/>
          <w:lang w:val="zh-CN"/>
        </w:rPr>
        <w:t>、信号源设计的技术指标要求。（重点）</w:t>
      </w:r>
    </w:p>
    <w:p>
      <w:pPr>
        <w:tabs>
          <w:tab w:val="left" w:pos="0"/>
        </w:tabs>
        <w:autoSpaceDE w:val="0"/>
        <w:autoSpaceDN w:val="0"/>
        <w:adjustRightInd w:val="0"/>
        <w:spacing w:line="440" w:lineRule="exact"/>
        <w:ind w:left="420" w:leftChars="200"/>
        <w:rPr>
          <w:szCs w:val="21"/>
          <w:lang w:val="zh-CN"/>
        </w:rPr>
      </w:pPr>
      <w:r>
        <w:rPr>
          <w:rFonts w:hint="eastAsia"/>
          <w:bCs/>
          <w:snapToGrid w:val="0"/>
          <w:kern w:val="0"/>
          <w:szCs w:val="21"/>
        </w:rPr>
        <w:t>本章内容支撑课程目标</w:t>
      </w:r>
      <w:r>
        <w:rPr>
          <w:bCs/>
          <w:snapToGrid w:val="0"/>
          <w:kern w:val="0"/>
          <w:szCs w:val="21"/>
        </w:rPr>
        <w:t>1</w:t>
      </w:r>
      <w:r>
        <w:rPr>
          <w:rFonts w:hint="eastAsia"/>
          <w:bCs/>
          <w:snapToGrid w:val="0"/>
          <w:kern w:val="0"/>
          <w:szCs w:val="21"/>
        </w:rPr>
        <w:t>。</w:t>
      </w:r>
      <w:r>
        <w:rPr>
          <w:bCs/>
          <w:snapToGrid w:val="0"/>
          <w:kern w:val="0"/>
          <w:szCs w:val="21"/>
        </w:rPr>
        <w:tab/>
      </w:r>
    </w:p>
    <w:p>
      <w:pPr>
        <w:widowControl/>
        <w:snapToGrid w:val="0"/>
        <w:spacing w:line="440" w:lineRule="exact"/>
        <w:ind w:left="420" w:leftChars="200"/>
        <w:jc w:val="left"/>
        <w:rPr>
          <w:rFonts w:eastAsia="黑体"/>
          <w:szCs w:val="21"/>
          <w:lang w:val="zh-CN"/>
        </w:rPr>
      </w:pPr>
      <w:r>
        <w:rPr>
          <w:rFonts w:eastAsia="黑体"/>
          <w:szCs w:val="21"/>
          <w:lang w:val="zh-CN"/>
        </w:rPr>
        <w:t xml:space="preserve">2  </w:t>
      </w:r>
      <w:r>
        <w:rPr>
          <w:rFonts w:hint="eastAsia" w:eastAsia="黑体"/>
          <w:szCs w:val="21"/>
          <w:lang w:val="zh-CN"/>
        </w:rPr>
        <w:t>信号源设计基础（</w:t>
      </w:r>
      <w:r>
        <w:rPr>
          <w:rFonts w:eastAsia="黑体"/>
          <w:szCs w:val="21"/>
          <w:lang w:val="zh-CN"/>
        </w:rPr>
        <w:t>6</w:t>
      </w:r>
      <w:r>
        <w:rPr>
          <w:rFonts w:hint="eastAsia" w:eastAsia="黑体"/>
          <w:szCs w:val="21"/>
          <w:lang w:val="zh-CN"/>
        </w:rPr>
        <w:t>学时）</w:t>
      </w:r>
    </w:p>
    <w:p>
      <w:pPr>
        <w:tabs>
          <w:tab w:val="left" w:pos="0"/>
        </w:tabs>
        <w:autoSpaceDE w:val="0"/>
        <w:autoSpaceDN w:val="0"/>
        <w:adjustRightInd w:val="0"/>
        <w:spacing w:line="440" w:lineRule="exact"/>
        <w:ind w:left="420" w:leftChars="200"/>
        <w:rPr>
          <w:szCs w:val="21"/>
          <w:lang w:val="zh-CN"/>
        </w:rPr>
      </w:pPr>
      <w:r>
        <w:rPr>
          <w:szCs w:val="21"/>
          <w:lang w:val="zh-CN"/>
        </w:rPr>
        <w:t>2.1</w:t>
      </w:r>
      <w:r>
        <w:rPr>
          <w:rFonts w:hint="eastAsia"/>
          <w:szCs w:val="21"/>
          <w:lang w:val="zh-CN"/>
        </w:rPr>
        <w:t>、正弦波信号的特性及正弦波信号质量评价方法；</w:t>
      </w:r>
    </w:p>
    <w:p>
      <w:pPr>
        <w:tabs>
          <w:tab w:val="left" w:pos="0"/>
        </w:tabs>
        <w:autoSpaceDE w:val="0"/>
        <w:autoSpaceDN w:val="0"/>
        <w:adjustRightInd w:val="0"/>
        <w:spacing w:line="440" w:lineRule="exact"/>
        <w:ind w:left="420" w:leftChars="200"/>
        <w:rPr>
          <w:szCs w:val="21"/>
          <w:lang w:val="zh-CN"/>
        </w:rPr>
      </w:pPr>
      <w:r>
        <w:rPr>
          <w:szCs w:val="21"/>
          <w:lang w:val="zh-CN"/>
        </w:rPr>
        <w:t>2.2</w:t>
      </w:r>
      <w:r>
        <w:rPr>
          <w:rFonts w:hint="eastAsia"/>
          <w:szCs w:val="21"/>
          <w:lang w:val="zh-CN"/>
        </w:rPr>
        <w:t>、数字信号源的特征：码型、码率、帧结构等；</w:t>
      </w:r>
    </w:p>
    <w:p>
      <w:pPr>
        <w:tabs>
          <w:tab w:val="left" w:pos="0"/>
        </w:tabs>
        <w:autoSpaceDE w:val="0"/>
        <w:autoSpaceDN w:val="0"/>
        <w:adjustRightInd w:val="0"/>
        <w:spacing w:line="440" w:lineRule="exact"/>
        <w:ind w:left="420" w:leftChars="200"/>
        <w:rPr>
          <w:szCs w:val="21"/>
          <w:lang w:val="zh-CN"/>
        </w:rPr>
      </w:pPr>
      <w:r>
        <w:rPr>
          <w:szCs w:val="21"/>
          <w:lang w:val="zh-CN"/>
        </w:rPr>
        <w:t>2.3</w:t>
      </w:r>
      <w:r>
        <w:rPr>
          <w:rFonts w:hint="eastAsia"/>
          <w:szCs w:val="21"/>
          <w:lang w:val="zh-CN"/>
        </w:rPr>
        <w:t>、频率合成原理及方法，包括用直接频率合成技术、间接频率合成技术、直接数字频率合成技术，射频、微波频率合成方法；（重点）</w:t>
      </w:r>
    </w:p>
    <w:p>
      <w:pPr>
        <w:tabs>
          <w:tab w:val="left" w:pos="0"/>
        </w:tabs>
        <w:autoSpaceDE w:val="0"/>
        <w:autoSpaceDN w:val="0"/>
        <w:adjustRightInd w:val="0"/>
        <w:spacing w:line="440" w:lineRule="exact"/>
        <w:ind w:left="420" w:leftChars="200"/>
        <w:rPr>
          <w:szCs w:val="21"/>
          <w:lang w:val="zh-CN"/>
        </w:rPr>
      </w:pPr>
      <w:r>
        <w:rPr>
          <w:szCs w:val="21"/>
          <w:lang w:val="zh-CN"/>
        </w:rPr>
        <w:t>2.4</w:t>
      </w:r>
      <w:r>
        <w:rPr>
          <w:rFonts w:hint="eastAsia"/>
          <w:szCs w:val="21"/>
          <w:lang w:val="zh-CN"/>
        </w:rPr>
        <w:t>、频率合成专用芯片使用方法，典型芯片</w:t>
      </w:r>
      <w:r>
        <w:rPr>
          <w:szCs w:val="21"/>
          <w:lang w:val="zh-CN"/>
        </w:rPr>
        <w:t>AD7008</w:t>
      </w:r>
      <w:r>
        <w:rPr>
          <w:rFonts w:hint="eastAsia"/>
          <w:szCs w:val="21"/>
          <w:lang w:val="zh-CN"/>
        </w:rPr>
        <w:t>、</w:t>
      </w:r>
      <w:r>
        <w:rPr>
          <w:szCs w:val="21"/>
          <w:lang w:val="zh-CN"/>
        </w:rPr>
        <w:t>AD9850</w:t>
      </w:r>
      <w:r>
        <w:rPr>
          <w:rFonts w:hint="eastAsia"/>
          <w:szCs w:val="21"/>
          <w:lang w:val="zh-CN"/>
        </w:rPr>
        <w:t>、</w:t>
      </w:r>
      <w:r>
        <w:rPr>
          <w:szCs w:val="21"/>
          <w:lang w:val="zh-CN"/>
        </w:rPr>
        <w:t>AD9851</w:t>
      </w:r>
      <w:r>
        <w:rPr>
          <w:rFonts w:hint="eastAsia"/>
          <w:szCs w:val="21"/>
          <w:lang w:val="zh-CN"/>
        </w:rPr>
        <w:t>、</w:t>
      </w:r>
      <w:r>
        <w:rPr>
          <w:szCs w:val="21"/>
          <w:lang w:val="zh-CN"/>
        </w:rPr>
        <w:t>AD9852</w:t>
      </w:r>
      <w:r>
        <w:rPr>
          <w:rFonts w:hint="eastAsia"/>
          <w:szCs w:val="21"/>
          <w:lang w:val="zh-CN"/>
        </w:rPr>
        <w:t>、</w:t>
      </w:r>
      <w:r>
        <w:rPr>
          <w:szCs w:val="21"/>
          <w:lang w:val="zh-CN"/>
        </w:rPr>
        <w:t>AD9858</w:t>
      </w:r>
      <w:r>
        <w:rPr>
          <w:rFonts w:hint="eastAsia"/>
          <w:szCs w:val="21"/>
          <w:lang w:val="zh-CN"/>
        </w:rPr>
        <w:t>。</w:t>
      </w:r>
    </w:p>
    <w:p>
      <w:pPr>
        <w:tabs>
          <w:tab w:val="left" w:pos="0"/>
        </w:tabs>
        <w:autoSpaceDE w:val="0"/>
        <w:autoSpaceDN w:val="0"/>
        <w:adjustRightInd w:val="0"/>
        <w:spacing w:line="440" w:lineRule="exact"/>
        <w:ind w:left="420" w:leftChars="200"/>
        <w:rPr>
          <w:szCs w:val="21"/>
          <w:lang w:val="zh-CN"/>
        </w:rPr>
      </w:pPr>
      <w:r>
        <w:rPr>
          <w:rFonts w:hint="eastAsia"/>
          <w:bCs/>
          <w:snapToGrid w:val="0"/>
          <w:kern w:val="0"/>
          <w:szCs w:val="21"/>
        </w:rPr>
        <w:t>本章内容支撑课程目标</w:t>
      </w:r>
      <w:r>
        <w:rPr>
          <w:bCs/>
          <w:snapToGrid w:val="0"/>
          <w:kern w:val="0"/>
          <w:szCs w:val="21"/>
        </w:rPr>
        <w:t>1</w:t>
      </w:r>
      <w:r>
        <w:rPr>
          <w:rFonts w:hint="eastAsia"/>
          <w:bCs/>
          <w:snapToGrid w:val="0"/>
          <w:kern w:val="0"/>
          <w:szCs w:val="21"/>
        </w:rPr>
        <w:t>、</w:t>
      </w:r>
      <w:r>
        <w:rPr>
          <w:bCs/>
          <w:snapToGrid w:val="0"/>
          <w:kern w:val="0"/>
          <w:szCs w:val="21"/>
        </w:rPr>
        <w:t>2</w:t>
      </w:r>
      <w:r>
        <w:rPr>
          <w:rFonts w:hint="eastAsia"/>
          <w:bCs/>
          <w:snapToGrid w:val="0"/>
          <w:kern w:val="0"/>
          <w:szCs w:val="21"/>
        </w:rPr>
        <w:t>。</w:t>
      </w:r>
      <w:r>
        <w:rPr>
          <w:bCs/>
          <w:snapToGrid w:val="0"/>
          <w:kern w:val="0"/>
          <w:szCs w:val="21"/>
        </w:rPr>
        <w:tab/>
      </w:r>
    </w:p>
    <w:p>
      <w:pPr>
        <w:widowControl/>
        <w:snapToGrid w:val="0"/>
        <w:spacing w:line="440" w:lineRule="exact"/>
        <w:ind w:left="420" w:leftChars="200"/>
        <w:jc w:val="left"/>
        <w:rPr>
          <w:kern w:val="0"/>
          <w:sz w:val="24"/>
        </w:rPr>
      </w:pPr>
      <w:r>
        <w:rPr>
          <w:rFonts w:eastAsia="黑体"/>
          <w:szCs w:val="21"/>
          <w:lang w:val="zh-CN"/>
        </w:rPr>
        <w:t xml:space="preserve">3  </w:t>
      </w:r>
      <w:r>
        <w:rPr>
          <w:rFonts w:hint="eastAsia" w:eastAsia="黑体"/>
          <w:szCs w:val="21"/>
          <w:lang w:val="zh-CN"/>
        </w:rPr>
        <w:t>函数信号发生器设计（</w:t>
      </w:r>
      <w:r>
        <w:rPr>
          <w:rFonts w:eastAsia="黑体"/>
          <w:szCs w:val="21"/>
          <w:lang w:val="zh-CN"/>
        </w:rPr>
        <w:t>8</w:t>
      </w:r>
      <w:r>
        <w:rPr>
          <w:rFonts w:hint="eastAsia" w:eastAsia="黑体"/>
          <w:szCs w:val="21"/>
          <w:lang w:val="zh-CN"/>
        </w:rPr>
        <w:t>学时）</w:t>
      </w:r>
    </w:p>
    <w:p>
      <w:pPr>
        <w:tabs>
          <w:tab w:val="left" w:pos="0"/>
        </w:tabs>
        <w:autoSpaceDE w:val="0"/>
        <w:autoSpaceDN w:val="0"/>
        <w:adjustRightInd w:val="0"/>
        <w:spacing w:line="440" w:lineRule="exact"/>
        <w:ind w:left="420" w:leftChars="200"/>
        <w:rPr>
          <w:szCs w:val="21"/>
          <w:lang w:val="zh-CN"/>
        </w:rPr>
      </w:pPr>
      <w:r>
        <w:rPr>
          <w:szCs w:val="21"/>
          <w:lang w:val="zh-CN"/>
        </w:rPr>
        <w:t>3.1</w:t>
      </w:r>
      <w:r>
        <w:rPr>
          <w:rFonts w:hint="eastAsia"/>
          <w:szCs w:val="21"/>
          <w:lang w:val="zh-CN"/>
        </w:rPr>
        <w:t>、频率合成电路设计，能够根据信号源的使用要求，设计满足频率范围、精度、分辨率的输出信号；（重点）</w:t>
      </w:r>
    </w:p>
    <w:p>
      <w:pPr>
        <w:tabs>
          <w:tab w:val="left" w:pos="0"/>
        </w:tabs>
        <w:autoSpaceDE w:val="0"/>
        <w:autoSpaceDN w:val="0"/>
        <w:adjustRightInd w:val="0"/>
        <w:spacing w:line="440" w:lineRule="exact"/>
        <w:ind w:left="420" w:leftChars="200"/>
        <w:rPr>
          <w:szCs w:val="21"/>
          <w:lang w:val="zh-CN"/>
        </w:rPr>
      </w:pPr>
      <w:r>
        <w:rPr>
          <w:szCs w:val="21"/>
          <w:lang w:val="zh-CN"/>
        </w:rPr>
        <w:t>3.2</w:t>
      </w:r>
      <w:r>
        <w:rPr>
          <w:rFonts w:hint="eastAsia"/>
          <w:szCs w:val="21"/>
          <w:lang w:val="zh-CN"/>
        </w:rPr>
        <w:t>、</w:t>
      </w:r>
      <w:r>
        <w:rPr>
          <w:szCs w:val="21"/>
          <w:lang w:val="zh-CN"/>
        </w:rPr>
        <w:t>D/A</w:t>
      </w:r>
      <w:r>
        <w:rPr>
          <w:rFonts w:hint="eastAsia"/>
          <w:szCs w:val="21"/>
          <w:lang w:val="zh-CN"/>
        </w:rPr>
        <w:t>转换技术、信号调理技术、滤波技术，设计满足信号幅值范围、精度的输出信号；（重点）</w:t>
      </w:r>
    </w:p>
    <w:p>
      <w:pPr>
        <w:tabs>
          <w:tab w:val="left" w:pos="0"/>
        </w:tabs>
        <w:autoSpaceDE w:val="0"/>
        <w:autoSpaceDN w:val="0"/>
        <w:adjustRightInd w:val="0"/>
        <w:spacing w:line="440" w:lineRule="exact"/>
        <w:ind w:left="420" w:leftChars="200"/>
        <w:rPr>
          <w:b/>
          <w:szCs w:val="21"/>
          <w:lang w:val="zh-CN"/>
        </w:rPr>
      </w:pPr>
      <w:r>
        <w:rPr>
          <w:szCs w:val="21"/>
          <w:lang w:val="zh-CN"/>
        </w:rPr>
        <w:t>3.3</w:t>
      </w:r>
      <w:r>
        <w:rPr>
          <w:rFonts w:hint="eastAsia"/>
          <w:szCs w:val="21"/>
          <w:lang w:val="zh-CN"/>
        </w:rPr>
        <w:t>、利用单片机或</w:t>
      </w:r>
      <w:r>
        <w:rPr>
          <w:szCs w:val="21"/>
          <w:lang w:val="zh-CN"/>
        </w:rPr>
        <w:t>FPGA</w:t>
      </w:r>
      <w:r>
        <w:rPr>
          <w:rFonts w:hint="eastAsia"/>
          <w:szCs w:val="21"/>
          <w:lang w:val="zh-CN"/>
        </w:rPr>
        <w:t>控制输出信号的波形、频率、幅值、相位。（难点）</w:t>
      </w:r>
    </w:p>
    <w:p>
      <w:pPr>
        <w:tabs>
          <w:tab w:val="left" w:pos="0"/>
        </w:tabs>
        <w:autoSpaceDE w:val="0"/>
        <w:autoSpaceDN w:val="0"/>
        <w:adjustRightInd w:val="0"/>
        <w:spacing w:line="440" w:lineRule="exact"/>
        <w:ind w:left="420" w:leftChars="200"/>
        <w:rPr>
          <w:szCs w:val="21"/>
          <w:lang w:val="zh-CN"/>
        </w:rPr>
      </w:pPr>
      <w:r>
        <w:rPr>
          <w:rFonts w:hint="eastAsia"/>
          <w:bCs/>
          <w:snapToGrid w:val="0"/>
          <w:kern w:val="0"/>
          <w:szCs w:val="21"/>
        </w:rPr>
        <w:t>本章内容支撑课程目标</w:t>
      </w:r>
      <w:r>
        <w:rPr>
          <w:bCs/>
          <w:snapToGrid w:val="0"/>
          <w:kern w:val="0"/>
          <w:szCs w:val="21"/>
        </w:rPr>
        <w:t>2</w:t>
      </w:r>
      <w:r>
        <w:rPr>
          <w:rFonts w:hint="eastAsia"/>
          <w:bCs/>
          <w:snapToGrid w:val="0"/>
          <w:kern w:val="0"/>
          <w:szCs w:val="21"/>
        </w:rPr>
        <w:t>、</w:t>
      </w:r>
      <w:r>
        <w:rPr>
          <w:bCs/>
          <w:snapToGrid w:val="0"/>
          <w:kern w:val="0"/>
          <w:szCs w:val="21"/>
        </w:rPr>
        <w:t>3</w:t>
      </w:r>
      <w:r>
        <w:rPr>
          <w:rFonts w:hint="eastAsia"/>
          <w:bCs/>
          <w:snapToGrid w:val="0"/>
          <w:kern w:val="0"/>
          <w:szCs w:val="21"/>
        </w:rPr>
        <w:t>。</w:t>
      </w:r>
      <w:r>
        <w:rPr>
          <w:bCs/>
          <w:snapToGrid w:val="0"/>
          <w:kern w:val="0"/>
          <w:szCs w:val="21"/>
        </w:rPr>
        <w:tab/>
      </w:r>
    </w:p>
    <w:p>
      <w:pPr>
        <w:tabs>
          <w:tab w:val="left" w:pos="0"/>
        </w:tabs>
        <w:autoSpaceDE w:val="0"/>
        <w:autoSpaceDN w:val="0"/>
        <w:adjustRightInd w:val="0"/>
        <w:spacing w:line="440" w:lineRule="exact"/>
        <w:ind w:left="420" w:leftChars="200"/>
        <w:rPr>
          <w:rFonts w:ascii="宋体" w:cs="宋体"/>
          <w:szCs w:val="21"/>
          <w:lang w:val="zh-CN"/>
        </w:rPr>
      </w:pPr>
    </w:p>
    <w:p>
      <w:pPr>
        <w:tabs>
          <w:tab w:val="left" w:pos="0"/>
        </w:tabs>
        <w:autoSpaceDE w:val="0"/>
        <w:autoSpaceDN w:val="0"/>
        <w:adjustRightInd w:val="0"/>
        <w:spacing w:line="440" w:lineRule="exact"/>
        <w:rPr>
          <w:rFonts w:ascii="宋体" w:cs="宋体"/>
          <w:szCs w:val="21"/>
          <w:lang w:val="zh-CN"/>
        </w:rPr>
      </w:pPr>
      <w:r>
        <w:rPr>
          <w:rFonts w:hint="eastAsia" w:eastAsia="黑体"/>
          <w:szCs w:val="24"/>
        </w:rPr>
        <w:t>五、实验内容</w:t>
      </w:r>
    </w:p>
    <w:p>
      <w:pPr>
        <w:tabs>
          <w:tab w:val="left" w:pos="0"/>
        </w:tabs>
        <w:autoSpaceDE w:val="0"/>
        <w:autoSpaceDN w:val="0"/>
        <w:adjustRightInd w:val="0"/>
        <w:spacing w:line="440" w:lineRule="exact"/>
        <w:ind w:left="420" w:leftChars="200"/>
        <w:rPr>
          <w:rFonts w:ascii="宋体" w:cs="宋体"/>
          <w:szCs w:val="21"/>
          <w:lang w:val="zh-CN"/>
        </w:rPr>
      </w:pPr>
      <w:r>
        <w:rPr>
          <w:rFonts w:hint="eastAsia" w:ascii="宋体" w:cs="宋体"/>
          <w:szCs w:val="21"/>
          <w:lang w:val="zh-CN"/>
        </w:rPr>
        <w:t>无</w:t>
      </w:r>
    </w:p>
    <w:p>
      <w:pPr>
        <w:tabs>
          <w:tab w:val="left" w:pos="0"/>
        </w:tabs>
        <w:autoSpaceDE w:val="0"/>
        <w:autoSpaceDN w:val="0"/>
        <w:adjustRightInd w:val="0"/>
        <w:spacing w:line="440" w:lineRule="exact"/>
        <w:ind w:left="420" w:leftChars="200"/>
        <w:rPr>
          <w:rFonts w:ascii="宋体" w:cs="宋体"/>
          <w:szCs w:val="21"/>
          <w:lang w:val="zh-CN"/>
        </w:rPr>
      </w:pPr>
    </w:p>
    <w:p>
      <w:pPr>
        <w:spacing w:line="360" w:lineRule="auto"/>
        <w:rPr>
          <w:rFonts w:ascii="黑体" w:hAnsi="黑体" w:eastAsia="黑体"/>
          <w:szCs w:val="21"/>
        </w:rPr>
      </w:pPr>
      <w:r>
        <w:rPr>
          <w:rFonts w:hint="eastAsia" w:ascii="黑体" w:hAnsi="黑体" w:eastAsia="黑体"/>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1616"/>
        <w:gridCol w:w="1634"/>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jc w:val="center"/>
              <w:rPr>
                <w:sz w:val="18"/>
                <w:szCs w:val="18"/>
              </w:rPr>
            </w:pPr>
            <w:r>
              <w:rPr>
                <w:rFonts w:hint="eastAsia"/>
                <w:sz w:val="18"/>
                <w:szCs w:val="18"/>
              </w:rPr>
              <w:t>讲授的知识点及内容</w:t>
            </w:r>
          </w:p>
        </w:tc>
        <w:tc>
          <w:tcPr>
            <w:tcW w:w="972" w:type="pct"/>
            <w:vAlign w:val="center"/>
          </w:tcPr>
          <w:p>
            <w:pPr>
              <w:adjustRightInd w:val="0"/>
              <w:snapToGrid w:val="0"/>
              <w:jc w:val="center"/>
              <w:rPr>
                <w:sz w:val="18"/>
                <w:szCs w:val="18"/>
              </w:rPr>
            </w:pPr>
            <w:r>
              <w:rPr>
                <w:rFonts w:hint="eastAsia"/>
                <w:sz w:val="18"/>
                <w:szCs w:val="18"/>
              </w:rPr>
              <w:t>讲授（学时）</w:t>
            </w:r>
          </w:p>
        </w:tc>
        <w:tc>
          <w:tcPr>
            <w:tcW w:w="983" w:type="pct"/>
            <w:vAlign w:val="center"/>
          </w:tcPr>
          <w:p>
            <w:pPr>
              <w:adjustRightInd w:val="0"/>
              <w:snapToGrid w:val="0"/>
              <w:jc w:val="center"/>
              <w:rPr>
                <w:sz w:val="18"/>
                <w:szCs w:val="18"/>
              </w:rPr>
            </w:pPr>
            <w:r>
              <w:rPr>
                <w:rFonts w:hint="eastAsia"/>
                <w:sz w:val="18"/>
                <w:szCs w:val="18"/>
              </w:rPr>
              <w:t>实验（学时）</w:t>
            </w:r>
          </w:p>
        </w:tc>
        <w:tc>
          <w:tcPr>
            <w:tcW w:w="804" w:type="pct"/>
            <w:vAlign w:val="center"/>
          </w:tcPr>
          <w:p>
            <w:pPr>
              <w:adjustRightInd w:val="0"/>
              <w:snapToGrid w:val="0"/>
              <w:jc w:val="center"/>
              <w:rPr>
                <w:sz w:val="18"/>
                <w:szCs w:val="18"/>
              </w:rPr>
            </w:pPr>
            <w:r>
              <w:rPr>
                <w:rFonts w:hint="eastAsia"/>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ind w:left="174" w:leftChars="83"/>
              <w:jc w:val="left"/>
              <w:rPr>
                <w:sz w:val="18"/>
                <w:szCs w:val="18"/>
              </w:rPr>
            </w:pPr>
            <w:r>
              <w:rPr>
                <w:sz w:val="18"/>
                <w:szCs w:val="18"/>
              </w:rPr>
              <w:t xml:space="preserve">1 </w:t>
            </w:r>
            <w:r>
              <w:rPr>
                <w:rFonts w:hint="eastAsia"/>
                <w:sz w:val="18"/>
                <w:szCs w:val="18"/>
              </w:rPr>
              <w:t>绪论</w:t>
            </w:r>
          </w:p>
        </w:tc>
        <w:tc>
          <w:tcPr>
            <w:tcW w:w="972" w:type="pct"/>
            <w:vAlign w:val="center"/>
          </w:tcPr>
          <w:p>
            <w:pPr>
              <w:adjustRightInd w:val="0"/>
              <w:snapToGrid w:val="0"/>
              <w:jc w:val="center"/>
              <w:rPr>
                <w:sz w:val="18"/>
                <w:szCs w:val="18"/>
              </w:rPr>
            </w:pPr>
            <w:r>
              <w:rPr>
                <w:sz w:val="18"/>
                <w:szCs w:val="18"/>
              </w:rPr>
              <w:t>2</w:t>
            </w:r>
          </w:p>
        </w:tc>
        <w:tc>
          <w:tcPr>
            <w:tcW w:w="983" w:type="pct"/>
            <w:vAlign w:val="center"/>
          </w:tcPr>
          <w:p>
            <w:pPr>
              <w:widowControl/>
              <w:adjustRightInd w:val="0"/>
              <w:snapToGrid w:val="0"/>
              <w:ind w:firstLine="21" w:firstLineChars="12"/>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ind w:left="174" w:leftChars="83"/>
              <w:jc w:val="left"/>
              <w:rPr>
                <w:sz w:val="18"/>
                <w:szCs w:val="18"/>
              </w:rPr>
            </w:pPr>
            <w:r>
              <w:rPr>
                <w:sz w:val="18"/>
                <w:szCs w:val="18"/>
              </w:rPr>
              <w:t xml:space="preserve">2 </w:t>
            </w:r>
            <w:r>
              <w:rPr>
                <w:rFonts w:hint="eastAsia"/>
                <w:sz w:val="18"/>
                <w:szCs w:val="18"/>
              </w:rPr>
              <w:t>信号源设计基础</w:t>
            </w:r>
          </w:p>
        </w:tc>
        <w:tc>
          <w:tcPr>
            <w:tcW w:w="972" w:type="pct"/>
            <w:vAlign w:val="center"/>
          </w:tcPr>
          <w:p>
            <w:pPr>
              <w:adjustRightInd w:val="0"/>
              <w:snapToGrid w:val="0"/>
              <w:jc w:val="center"/>
              <w:rPr>
                <w:sz w:val="18"/>
                <w:szCs w:val="18"/>
              </w:rPr>
            </w:pPr>
            <w:r>
              <w:rPr>
                <w:sz w:val="18"/>
                <w:szCs w:val="18"/>
              </w:rPr>
              <w:t>6</w:t>
            </w:r>
          </w:p>
        </w:tc>
        <w:tc>
          <w:tcPr>
            <w:tcW w:w="983"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ind w:left="174" w:leftChars="83"/>
              <w:jc w:val="left"/>
              <w:rPr>
                <w:sz w:val="18"/>
                <w:szCs w:val="18"/>
              </w:rPr>
            </w:pPr>
            <w:r>
              <w:rPr>
                <w:sz w:val="18"/>
                <w:szCs w:val="18"/>
              </w:rPr>
              <w:t xml:space="preserve">3 </w:t>
            </w:r>
            <w:r>
              <w:rPr>
                <w:rFonts w:hint="eastAsia"/>
                <w:sz w:val="18"/>
                <w:szCs w:val="18"/>
              </w:rPr>
              <w:t>函数信号发生器设计</w:t>
            </w:r>
          </w:p>
        </w:tc>
        <w:tc>
          <w:tcPr>
            <w:tcW w:w="972" w:type="pct"/>
            <w:vAlign w:val="center"/>
          </w:tcPr>
          <w:p>
            <w:pPr>
              <w:adjustRightInd w:val="0"/>
              <w:snapToGrid w:val="0"/>
              <w:jc w:val="center"/>
              <w:rPr>
                <w:sz w:val="18"/>
                <w:szCs w:val="18"/>
              </w:rPr>
            </w:pPr>
            <w:r>
              <w:rPr>
                <w:sz w:val="18"/>
                <w:szCs w:val="18"/>
              </w:rPr>
              <w:t>8</w:t>
            </w:r>
          </w:p>
        </w:tc>
        <w:tc>
          <w:tcPr>
            <w:tcW w:w="983"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41" w:type="pct"/>
            <w:vAlign w:val="center"/>
          </w:tcPr>
          <w:p>
            <w:pPr>
              <w:adjustRightInd w:val="0"/>
              <w:snapToGrid w:val="0"/>
              <w:jc w:val="center"/>
              <w:rPr>
                <w:sz w:val="18"/>
                <w:szCs w:val="18"/>
              </w:rPr>
            </w:pPr>
            <w:r>
              <w:rPr>
                <w:rFonts w:hint="eastAsia"/>
                <w:sz w:val="18"/>
                <w:szCs w:val="18"/>
              </w:rPr>
              <w:t>合计</w:t>
            </w:r>
          </w:p>
        </w:tc>
        <w:tc>
          <w:tcPr>
            <w:tcW w:w="972" w:type="pct"/>
            <w:vAlign w:val="center"/>
          </w:tcPr>
          <w:p>
            <w:pPr>
              <w:adjustRightInd w:val="0"/>
              <w:snapToGrid w:val="0"/>
              <w:jc w:val="center"/>
              <w:rPr>
                <w:sz w:val="18"/>
                <w:szCs w:val="18"/>
              </w:rPr>
            </w:pPr>
            <w:r>
              <w:rPr>
                <w:sz w:val="18"/>
                <w:szCs w:val="18"/>
              </w:rPr>
              <w:t>16</w:t>
            </w:r>
          </w:p>
        </w:tc>
        <w:tc>
          <w:tcPr>
            <w:tcW w:w="983" w:type="pct"/>
            <w:vAlign w:val="center"/>
          </w:tcPr>
          <w:p>
            <w:pPr>
              <w:adjustRightInd w:val="0"/>
              <w:snapToGrid w:val="0"/>
              <w:jc w:val="center"/>
              <w:rPr>
                <w:sz w:val="18"/>
                <w:szCs w:val="18"/>
              </w:rPr>
            </w:pPr>
            <w:r>
              <w:rPr>
                <w:rFonts w:hint="eastAsia"/>
                <w:sz w:val="18"/>
                <w:szCs w:val="18"/>
              </w:rPr>
              <w:t>0</w:t>
            </w:r>
          </w:p>
        </w:tc>
        <w:tc>
          <w:tcPr>
            <w:tcW w:w="804" w:type="pct"/>
            <w:vAlign w:val="center"/>
          </w:tcPr>
          <w:p>
            <w:pPr>
              <w:adjustRightInd w:val="0"/>
              <w:snapToGrid w:val="0"/>
              <w:jc w:val="center"/>
              <w:rPr>
                <w:sz w:val="18"/>
                <w:szCs w:val="18"/>
              </w:rPr>
            </w:pPr>
            <w:r>
              <w:rPr>
                <w:sz w:val="18"/>
                <w:szCs w:val="18"/>
              </w:rPr>
              <w:t>16</w:t>
            </w:r>
          </w:p>
        </w:tc>
      </w:tr>
    </w:tbl>
    <w:p>
      <w:pPr>
        <w:spacing w:line="360" w:lineRule="auto"/>
        <w:rPr>
          <w:b/>
          <w:sz w:val="24"/>
          <w:szCs w:val="24"/>
        </w:rPr>
      </w:pPr>
    </w:p>
    <w:p>
      <w:pPr>
        <w:spacing w:line="360" w:lineRule="auto"/>
        <w:rPr>
          <w:rFonts w:ascii="黑体" w:hAnsi="黑体" w:eastAsia="黑体"/>
        </w:rPr>
      </w:pPr>
      <w:r>
        <w:rPr>
          <w:rFonts w:hint="eastAsia" w:ascii="黑体" w:hAnsi="黑体" w:eastAsia="黑体"/>
        </w:rPr>
        <w:t>七、教材、补充教材及参考资料</w:t>
      </w:r>
    </w:p>
    <w:p>
      <w:pPr>
        <w:spacing w:line="360" w:lineRule="auto"/>
        <w:ind w:firstLine="420" w:firstLineChars="200"/>
        <w:rPr>
          <w:szCs w:val="21"/>
        </w:rPr>
      </w:pPr>
      <w:r>
        <w:rPr>
          <w:szCs w:val="21"/>
        </w:rPr>
        <w:t>1</w:t>
      </w:r>
      <w:r>
        <w:rPr>
          <w:rFonts w:hint="eastAsia"/>
          <w:szCs w:val="21"/>
        </w:rPr>
        <w:t>、白居宪，《直接数字频率合成》，</w:t>
      </w:r>
      <w:r>
        <w:rPr>
          <w:szCs w:val="21"/>
        </w:rPr>
        <w:t>ISBN7560524907</w:t>
      </w:r>
      <w:r>
        <w:rPr>
          <w:rFonts w:hint="eastAsia"/>
          <w:szCs w:val="21"/>
        </w:rPr>
        <w:t>，西安交通大学出版社。</w:t>
      </w:r>
    </w:p>
    <w:p>
      <w:pPr>
        <w:spacing w:line="360" w:lineRule="auto"/>
        <w:ind w:firstLine="420" w:firstLineChars="200"/>
        <w:rPr>
          <w:szCs w:val="21"/>
        </w:rPr>
      </w:pPr>
      <w:r>
        <w:rPr>
          <w:szCs w:val="21"/>
        </w:rPr>
        <w:t>2</w:t>
      </w:r>
      <w:r>
        <w:rPr>
          <w:rFonts w:hint="eastAsia"/>
          <w:szCs w:val="21"/>
        </w:rPr>
        <w:t>、侯伯亨，《</w:t>
      </w:r>
      <w:r>
        <w:rPr>
          <w:szCs w:val="21"/>
        </w:rPr>
        <w:t>VHDL</w:t>
      </w:r>
      <w:r>
        <w:rPr>
          <w:rFonts w:hint="eastAsia"/>
          <w:szCs w:val="21"/>
        </w:rPr>
        <w:t>硬件描述语言与数字逻辑电路设计</w:t>
      </w:r>
      <w:bookmarkStart w:id="248" w:name="OLE_LINK17"/>
      <w:bookmarkStart w:id="249" w:name="OLE_LINK16"/>
      <w:r>
        <w:rPr>
          <w:rFonts w:hint="eastAsia"/>
          <w:szCs w:val="21"/>
        </w:rPr>
        <w:t>（第三版）</w:t>
      </w:r>
      <w:bookmarkEnd w:id="248"/>
      <w:bookmarkEnd w:id="249"/>
      <w:r>
        <w:rPr>
          <w:rFonts w:hint="eastAsia"/>
          <w:szCs w:val="21"/>
        </w:rPr>
        <w:t>》，</w:t>
      </w:r>
      <w:r>
        <w:rPr>
          <w:szCs w:val="21"/>
        </w:rPr>
        <w:t>ISBN9787560623047</w:t>
      </w:r>
      <w:r>
        <w:rPr>
          <w:rFonts w:hint="eastAsia"/>
          <w:szCs w:val="21"/>
        </w:rPr>
        <w:t>，西安电子科技大学出版社。</w:t>
      </w:r>
    </w:p>
    <w:p>
      <w:pPr>
        <w:spacing w:line="360" w:lineRule="auto"/>
        <w:ind w:firstLine="420" w:firstLineChars="200"/>
        <w:rPr>
          <w:szCs w:val="21"/>
        </w:rPr>
      </w:pPr>
      <w:r>
        <w:rPr>
          <w:szCs w:val="21"/>
        </w:rPr>
        <w:t>3</w:t>
      </w:r>
      <w:r>
        <w:rPr>
          <w:rFonts w:hint="eastAsia"/>
          <w:szCs w:val="21"/>
        </w:rPr>
        <w:t>、周润景，《</w:t>
      </w:r>
      <w:r>
        <w:rPr>
          <w:szCs w:val="21"/>
        </w:rPr>
        <w:t>Cadence</w:t>
      </w:r>
      <w:r>
        <w:rPr>
          <w:rFonts w:hint="eastAsia"/>
          <w:szCs w:val="21"/>
        </w:rPr>
        <w:t>高速电路板设计与仿真：信号与电源完整性分析</w:t>
      </w:r>
      <w:r>
        <w:rPr>
          <w:rFonts w:hint="eastAsia"/>
          <w:kern w:val="0"/>
          <w:szCs w:val="21"/>
        </w:rPr>
        <w:t>（第5版）</w:t>
      </w:r>
      <w:r>
        <w:rPr>
          <w:rFonts w:hint="eastAsia"/>
          <w:szCs w:val="21"/>
        </w:rPr>
        <w:t>》，</w:t>
      </w:r>
      <w:r>
        <w:rPr>
          <w:szCs w:val="21"/>
        </w:rPr>
        <w:t>ISBN9787121257247</w:t>
      </w:r>
      <w:r>
        <w:rPr>
          <w:rFonts w:hint="eastAsia"/>
          <w:szCs w:val="21"/>
        </w:rPr>
        <w:t>，电子工业出版社。</w:t>
      </w:r>
    </w:p>
    <w:p>
      <w:pPr>
        <w:spacing w:line="360" w:lineRule="auto"/>
        <w:ind w:firstLine="420" w:firstLineChars="200"/>
        <w:rPr>
          <w:szCs w:val="21"/>
        </w:rPr>
      </w:pPr>
      <w:r>
        <w:rPr>
          <w:szCs w:val="21"/>
        </w:rPr>
        <w:t>4</w:t>
      </w:r>
      <w:r>
        <w:rPr>
          <w:rFonts w:hint="eastAsia"/>
          <w:szCs w:val="21"/>
        </w:rPr>
        <w:t>、网上资源：中国大学MOOC，《电子仪器实践》，大连理工大学，资料链接：</w:t>
      </w:r>
      <w:r>
        <w:rPr>
          <w:szCs w:val="21"/>
        </w:rPr>
        <w:t>https://www.icourse163.org/course/DLUT-1205724816</w:t>
      </w:r>
    </w:p>
    <w:p>
      <w:pPr>
        <w:ind w:firstLine="420" w:firstLineChars="200"/>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w:t>
      </w:r>
      <w:r>
        <w:rPr>
          <w:rFonts w:hint="eastAsia"/>
          <w:szCs w:val="21"/>
        </w:rPr>
        <w:t>、考核目标：在考核学生对信号源的实现机理和信号质量评价方法的理解的基础上，重点考核学生对信号源系统的构建方法、输出信号的波形、频率、幅值、相位等参数的控制方法、应用单片机或可编程逻辑器件进行数字信号源电路系统设计、仿真与优化的掌握程度。</w:t>
      </w:r>
    </w:p>
    <w:p>
      <w:pPr>
        <w:spacing w:line="360" w:lineRule="auto"/>
        <w:ind w:firstLine="420" w:firstLineChars="200"/>
        <w:rPr>
          <w:szCs w:val="21"/>
        </w:rPr>
      </w:pPr>
      <w:r>
        <w:rPr>
          <w:szCs w:val="21"/>
        </w:rPr>
        <w:t>2</w:t>
      </w:r>
      <w:r>
        <w:rPr>
          <w:rFonts w:hint="eastAsia"/>
          <w:szCs w:val="21"/>
        </w:rPr>
        <w:t>、考核方式：考试、综合设计报告、作业及课堂提问。</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Layout w:type="autofit"/>
        <w:tblCellMar>
          <w:top w:w="0" w:type="dxa"/>
          <w:left w:w="108" w:type="dxa"/>
          <w:bottom w:w="0" w:type="dxa"/>
          <w:right w:w="108" w:type="dxa"/>
        </w:tblCellMar>
      </w:tblPr>
      <w:tblGrid>
        <w:gridCol w:w="1778"/>
        <w:gridCol w:w="1623"/>
        <w:gridCol w:w="1699"/>
        <w:gridCol w:w="1701"/>
        <w:gridCol w:w="1511"/>
      </w:tblGrid>
      <w:tr>
        <w:tblPrEx>
          <w:tblCellMar>
            <w:top w:w="0" w:type="dxa"/>
            <w:left w:w="108" w:type="dxa"/>
            <w:bottom w:w="0" w:type="dxa"/>
            <w:right w:w="108" w:type="dxa"/>
          </w:tblCellMar>
        </w:tblPrEx>
        <w:trPr>
          <w:trHeight w:val="691"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考察环节</w:t>
            </w:r>
          </w:p>
        </w:tc>
        <w:tc>
          <w:tcPr>
            <w:tcW w:w="97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课堂情况</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作业</w:t>
            </w:r>
          </w:p>
        </w:tc>
        <w:tc>
          <w:tcPr>
            <w:tcW w:w="102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综合设计</w:t>
            </w:r>
          </w:p>
          <w:p>
            <w:pPr>
              <w:widowControl/>
              <w:jc w:val="center"/>
              <w:rPr>
                <w:rFonts w:ascii="宋体" w:cs="宋体"/>
                <w:color w:val="000000"/>
                <w:kern w:val="0"/>
                <w:sz w:val="18"/>
                <w:szCs w:val="18"/>
              </w:rPr>
            </w:pPr>
            <w:r>
              <w:rPr>
                <w:rFonts w:hint="eastAsia" w:ascii="宋体" w:hAnsi="宋体" w:cs="宋体"/>
                <w:color w:val="000000"/>
                <w:kern w:val="0"/>
                <w:sz w:val="18"/>
                <w:szCs w:val="18"/>
              </w:rPr>
              <w:t>报告</w:t>
            </w:r>
          </w:p>
        </w:tc>
        <w:tc>
          <w:tcPr>
            <w:tcW w:w="909" w:type="pct"/>
            <w:tcBorders>
              <w:top w:val="single" w:color="auto" w:sz="4" w:space="0"/>
              <w:left w:val="single" w:color="auto" w:sz="4" w:space="0"/>
              <w:bottom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期末考试</w:t>
            </w:r>
          </w:p>
        </w:tc>
      </w:tr>
      <w:tr>
        <w:tblPrEx>
          <w:tblCellMar>
            <w:top w:w="0" w:type="dxa"/>
            <w:left w:w="108" w:type="dxa"/>
            <w:bottom w:w="0" w:type="dxa"/>
            <w:right w:w="108" w:type="dxa"/>
          </w:tblCellMar>
        </w:tblPrEx>
        <w:trPr>
          <w:trHeight w:val="274"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课程目标达成</w:t>
            </w:r>
          </w:p>
          <w:p>
            <w:pPr>
              <w:widowControl/>
              <w:jc w:val="center"/>
              <w:rPr>
                <w:rFonts w:ascii="宋体" w:cs="宋体"/>
                <w:color w:val="000000"/>
                <w:kern w:val="0"/>
                <w:sz w:val="18"/>
                <w:szCs w:val="18"/>
              </w:rPr>
            </w:pPr>
            <w:r>
              <w:rPr>
                <w:rFonts w:hint="eastAsia" w:ascii="宋体" w:hAnsi="宋体" w:cs="宋体"/>
                <w:color w:val="000000"/>
                <w:kern w:val="0"/>
                <w:sz w:val="18"/>
                <w:szCs w:val="18"/>
              </w:rPr>
              <w:t>的贡献率</w:t>
            </w:r>
          </w:p>
        </w:tc>
        <w:tc>
          <w:tcPr>
            <w:tcW w:w="976" w:type="pct"/>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8"/>
                <w:szCs w:val="18"/>
              </w:rPr>
            </w:pPr>
            <w:r>
              <w:rPr>
                <w:sz w:val="18"/>
                <w:szCs w:val="18"/>
              </w:rPr>
              <w:t>0.08</w:t>
            </w:r>
          </w:p>
        </w:tc>
        <w:tc>
          <w:tcPr>
            <w:tcW w:w="1022" w:type="pct"/>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8"/>
                <w:szCs w:val="18"/>
              </w:rPr>
            </w:pPr>
            <w:r>
              <w:rPr>
                <w:sz w:val="18"/>
                <w:szCs w:val="18"/>
              </w:rPr>
              <w:t>0.24</w:t>
            </w:r>
          </w:p>
        </w:tc>
        <w:tc>
          <w:tcPr>
            <w:tcW w:w="1023" w:type="pct"/>
            <w:tcBorders>
              <w:top w:val="single" w:color="auto" w:sz="4" w:space="0"/>
              <w:left w:val="single" w:color="auto" w:sz="4" w:space="0"/>
              <w:bottom w:val="single" w:color="auto" w:sz="4" w:space="0"/>
              <w:right w:val="single" w:color="auto" w:sz="4" w:space="0"/>
            </w:tcBorders>
            <w:vAlign w:val="center"/>
          </w:tcPr>
          <w:p>
            <w:pPr>
              <w:jc w:val="center"/>
              <w:rPr>
                <w:rFonts w:ascii="宋体" w:cs="宋体"/>
                <w:sz w:val="18"/>
                <w:szCs w:val="18"/>
              </w:rPr>
            </w:pPr>
            <w:r>
              <w:rPr>
                <w:sz w:val="18"/>
                <w:szCs w:val="18"/>
              </w:rPr>
              <w:t>0.24</w:t>
            </w:r>
          </w:p>
        </w:tc>
        <w:tc>
          <w:tcPr>
            <w:tcW w:w="909" w:type="pct"/>
            <w:tcBorders>
              <w:top w:val="single" w:color="auto" w:sz="4" w:space="0"/>
              <w:left w:val="single" w:color="auto" w:sz="4" w:space="0"/>
              <w:bottom w:val="single" w:color="auto" w:sz="4" w:space="0"/>
            </w:tcBorders>
            <w:vAlign w:val="center"/>
          </w:tcPr>
          <w:p>
            <w:pPr>
              <w:jc w:val="center"/>
              <w:rPr>
                <w:rFonts w:ascii="宋体" w:cs="宋体"/>
                <w:sz w:val="18"/>
                <w:szCs w:val="18"/>
              </w:rPr>
            </w:pPr>
            <w:r>
              <w:rPr>
                <w:sz w:val="18"/>
                <w:szCs w:val="18"/>
              </w:rPr>
              <w:t>0.44</w:t>
            </w:r>
          </w:p>
        </w:tc>
      </w:tr>
      <w:tr>
        <w:tblPrEx>
          <w:tblCellMar>
            <w:top w:w="0" w:type="dxa"/>
            <w:left w:w="108" w:type="dxa"/>
            <w:bottom w:w="0" w:type="dxa"/>
            <w:right w:w="108" w:type="dxa"/>
          </w:tblCellMar>
        </w:tblPrEx>
        <w:trPr>
          <w:trHeight w:val="983" w:hRule="atLeast"/>
          <w:jc w:val="center"/>
        </w:trPr>
        <w:tc>
          <w:tcPr>
            <w:tcW w:w="1069" w:type="pct"/>
            <w:tcBorders>
              <w:top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支撑材料</w:t>
            </w:r>
          </w:p>
        </w:tc>
        <w:tc>
          <w:tcPr>
            <w:tcW w:w="97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课堂评价标准，课堂提问记录或随堂考试，结合出勤率等</w:t>
            </w:r>
          </w:p>
        </w:tc>
        <w:tc>
          <w:tcPr>
            <w:tcW w:w="102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作业评价标准，典型作业拍照，或电子版</w:t>
            </w:r>
          </w:p>
        </w:tc>
        <w:tc>
          <w:tcPr>
            <w:tcW w:w="102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综合设计报告评价标准，综合设计报告</w:t>
            </w:r>
          </w:p>
        </w:tc>
        <w:tc>
          <w:tcPr>
            <w:tcW w:w="909" w:type="pct"/>
            <w:tcBorders>
              <w:top w:val="single" w:color="auto" w:sz="4" w:space="0"/>
              <w:left w:val="single" w:color="auto" w:sz="4" w:space="0"/>
              <w:bottom w:val="single" w:color="auto" w:sz="4" w:space="0"/>
            </w:tcBorders>
            <w:vAlign w:val="center"/>
          </w:tcPr>
          <w:p>
            <w:pPr>
              <w:widowControl/>
              <w:jc w:val="center"/>
              <w:rPr>
                <w:rFonts w:ascii="宋体" w:cs="宋体"/>
                <w:color w:val="000000"/>
                <w:kern w:val="0"/>
                <w:sz w:val="18"/>
                <w:szCs w:val="18"/>
              </w:rPr>
            </w:pPr>
            <w:r>
              <w:rPr>
                <w:rFonts w:hint="eastAsia" w:ascii="宋体" w:hAnsi="宋体" w:cs="宋体"/>
                <w:color w:val="000000"/>
                <w:kern w:val="0"/>
                <w:sz w:val="18"/>
                <w:szCs w:val="18"/>
              </w:rPr>
              <w:t>试题评分标准，试卷</w:t>
            </w:r>
          </w:p>
        </w:tc>
      </w:tr>
    </w:tbl>
    <w:p>
      <w:pPr>
        <w:tabs>
          <w:tab w:val="left" w:pos="420"/>
        </w:tabs>
        <w:adjustRightInd w:val="0"/>
        <w:snapToGrid w:val="0"/>
        <w:spacing w:line="360" w:lineRule="auto"/>
        <w:rPr>
          <w:rFonts w:eastAsia="黑体"/>
          <w:szCs w:val="24"/>
        </w:rPr>
      </w:pPr>
    </w:p>
    <w:p>
      <w:pPr>
        <w:tabs>
          <w:tab w:val="left" w:pos="420"/>
        </w:tabs>
        <w:adjustRightInd w:val="0"/>
        <w:snapToGrid w:val="0"/>
        <w:spacing w:line="360" w:lineRule="auto"/>
        <w:rPr>
          <w:rFonts w:ascii="宋体"/>
          <w:sz w:val="18"/>
          <w:szCs w:val="18"/>
        </w:rPr>
      </w:pPr>
      <w:r>
        <w:rPr>
          <w:rFonts w:hint="eastAsia" w:eastAsia="黑体"/>
          <w:szCs w:val="24"/>
        </w:rPr>
        <w:t>九、覆盖课程目标达成评价的知识点及权重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1"/>
        <w:gridCol w:w="1149"/>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261" w:type="pct"/>
            <w:vAlign w:val="center"/>
          </w:tcPr>
          <w:p>
            <w:pPr>
              <w:spacing w:before="100" w:beforeAutospacing="1" w:after="100" w:afterAutospacing="1"/>
              <w:jc w:val="center"/>
              <w:rPr>
                <w:sz w:val="18"/>
                <w:szCs w:val="18"/>
                <w:highlight w:val="yellow"/>
              </w:rPr>
            </w:pPr>
            <w:r>
              <w:rPr>
                <w:rFonts w:hint="eastAsia"/>
                <w:sz w:val="18"/>
                <w:szCs w:val="18"/>
              </w:rPr>
              <w:t>知识点</w:t>
            </w:r>
          </w:p>
        </w:tc>
        <w:tc>
          <w:tcPr>
            <w:tcW w:w="691" w:type="pct"/>
            <w:vAlign w:val="center"/>
          </w:tcPr>
          <w:p>
            <w:pPr>
              <w:spacing w:before="100" w:beforeAutospacing="1" w:after="100" w:afterAutospacing="1"/>
              <w:jc w:val="center"/>
              <w:rPr>
                <w:sz w:val="18"/>
                <w:szCs w:val="18"/>
              </w:rPr>
            </w:pPr>
            <w:r>
              <w:rPr>
                <w:rFonts w:hint="eastAsia"/>
                <w:sz w:val="18"/>
                <w:szCs w:val="18"/>
              </w:rPr>
              <w:t>权重</w:t>
            </w:r>
          </w:p>
        </w:tc>
        <w:tc>
          <w:tcPr>
            <w:tcW w:w="1048" w:type="pct"/>
            <w:vAlign w:val="center"/>
          </w:tcPr>
          <w:p>
            <w:pPr>
              <w:spacing w:before="100" w:beforeAutospacing="1" w:after="100" w:afterAutospacing="1"/>
              <w:jc w:val="center"/>
              <w:rPr>
                <w:sz w:val="18"/>
                <w:szCs w:val="18"/>
              </w:rPr>
            </w:pPr>
            <w:r>
              <w:rPr>
                <w:rFonts w:hint="eastAsia"/>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261" w:type="pct"/>
            <w:vAlign w:val="center"/>
          </w:tcPr>
          <w:p>
            <w:pPr>
              <w:spacing w:before="100" w:beforeAutospacing="1" w:after="100" w:afterAutospacing="1"/>
              <w:ind w:left="174" w:leftChars="83"/>
              <w:rPr>
                <w:b/>
                <w:sz w:val="18"/>
                <w:szCs w:val="18"/>
              </w:rPr>
            </w:pPr>
            <w:r>
              <w:rPr>
                <w:sz w:val="18"/>
                <w:szCs w:val="18"/>
              </w:rPr>
              <w:t>1</w:t>
            </w:r>
            <w:r>
              <w:rPr>
                <w:rFonts w:hint="eastAsia"/>
                <w:sz w:val="18"/>
                <w:szCs w:val="18"/>
              </w:rPr>
              <w:t>、</w:t>
            </w:r>
            <w:r>
              <w:rPr>
                <w:rFonts w:hint="eastAsia"/>
                <w:sz w:val="18"/>
                <w:szCs w:val="18"/>
                <w:lang w:val="zh-CN"/>
              </w:rPr>
              <w:t>信号源仪器的功能、组成和设计过程。</w:t>
            </w:r>
          </w:p>
        </w:tc>
        <w:tc>
          <w:tcPr>
            <w:tcW w:w="691" w:type="pct"/>
            <w:vAlign w:val="center"/>
          </w:tcPr>
          <w:p>
            <w:pPr>
              <w:spacing w:before="100" w:beforeAutospacing="1" w:after="100" w:afterAutospacing="1"/>
              <w:jc w:val="center"/>
              <w:rPr>
                <w:sz w:val="18"/>
                <w:szCs w:val="18"/>
              </w:rPr>
            </w:pPr>
            <w:r>
              <w:rPr>
                <w:sz w:val="18"/>
                <w:szCs w:val="18"/>
              </w:rPr>
              <w:t>0.10</w:t>
            </w:r>
          </w:p>
        </w:tc>
        <w:tc>
          <w:tcPr>
            <w:tcW w:w="1048" w:type="pct"/>
            <w:vAlign w:val="center"/>
          </w:tcPr>
          <w:p>
            <w:pPr>
              <w:spacing w:before="100" w:beforeAutospacing="1" w:after="100" w:afterAutospacing="1"/>
              <w:jc w:val="center"/>
              <w:rPr>
                <w:bCs/>
                <w:sz w:val="18"/>
                <w:szCs w:val="18"/>
              </w:rPr>
            </w:pPr>
            <w:r>
              <w:rPr>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261" w:type="pct"/>
            <w:vAlign w:val="center"/>
          </w:tcPr>
          <w:p>
            <w:pPr>
              <w:spacing w:before="100" w:beforeAutospacing="1" w:after="100" w:afterAutospacing="1"/>
              <w:ind w:left="174" w:leftChars="83"/>
              <w:rPr>
                <w:sz w:val="18"/>
                <w:szCs w:val="18"/>
              </w:rPr>
            </w:pPr>
            <w:r>
              <w:rPr>
                <w:sz w:val="18"/>
                <w:szCs w:val="18"/>
              </w:rPr>
              <w:t>2</w:t>
            </w:r>
            <w:r>
              <w:rPr>
                <w:rFonts w:hint="eastAsia"/>
                <w:sz w:val="18"/>
                <w:szCs w:val="18"/>
              </w:rPr>
              <w:t>、</w:t>
            </w:r>
            <w:r>
              <w:rPr>
                <w:rFonts w:hint="eastAsia"/>
                <w:sz w:val="18"/>
                <w:szCs w:val="18"/>
                <w:lang w:val="zh-CN"/>
              </w:rPr>
              <w:t>信号源设计的技术指标要求。</w:t>
            </w:r>
          </w:p>
        </w:tc>
        <w:tc>
          <w:tcPr>
            <w:tcW w:w="691" w:type="pct"/>
            <w:vAlign w:val="center"/>
          </w:tcPr>
          <w:p>
            <w:pPr>
              <w:spacing w:before="100" w:beforeAutospacing="1" w:after="100" w:afterAutospacing="1"/>
              <w:jc w:val="center"/>
              <w:rPr>
                <w:sz w:val="18"/>
                <w:szCs w:val="18"/>
              </w:rPr>
            </w:pPr>
            <w:r>
              <w:rPr>
                <w:sz w:val="18"/>
                <w:szCs w:val="18"/>
              </w:rPr>
              <w:t>0.10</w:t>
            </w:r>
          </w:p>
        </w:tc>
        <w:tc>
          <w:tcPr>
            <w:tcW w:w="1048" w:type="pct"/>
            <w:vAlign w:val="center"/>
          </w:tcPr>
          <w:p>
            <w:pPr>
              <w:spacing w:before="100" w:beforeAutospacing="1" w:after="100" w:afterAutospacing="1"/>
              <w:jc w:val="center"/>
              <w:rPr>
                <w:bCs/>
                <w:sz w:val="18"/>
                <w:szCs w:val="18"/>
              </w:rPr>
            </w:pPr>
            <w:r>
              <w:rPr>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261" w:type="pct"/>
            <w:vAlign w:val="center"/>
          </w:tcPr>
          <w:p>
            <w:pPr>
              <w:spacing w:before="100" w:beforeAutospacing="1" w:after="100" w:afterAutospacing="1"/>
              <w:ind w:left="174" w:leftChars="83"/>
              <w:rPr>
                <w:sz w:val="18"/>
                <w:szCs w:val="18"/>
              </w:rPr>
            </w:pPr>
            <w:r>
              <w:rPr>
                <w:sz w:val="18"/>
                <w:szCs w:val="18"/>
              </w:rPr>
              <w:t>3</w:t>
            </w:r>
            <w:r>
              <w:rPr>
                <w:rFonts w:hint="eastAsia"/>
                <w:sz w:val="18"/>
                <w:szCs w:val="18"/>
              </w:rPr>
              <w:t>、</w:t>
            </w:r>
            <w:r>
              <w:rPr>
                <w:rFonts w:hint="eastAsia"/>
                <w:sz w:val="18"/>
                <w:szCs w:val="18"/>
                <w:lang w:val="zh-CN"/>
              </w:rPr>
              <w:t>正弦波信号的特性及正弦波信号质量评价方法。</w:t>
            </w:r>
          </w:p>
        </w:tc>
        <w:tc>
          <w:tcPr>
            <w:tcW w:w="691" w:type="pct"/>
            <w:vAlign w:val="center"/>
          </w:tcPr>
          <w:p>
            <w:pPr>
              <w:spacing w:before="100" w:beforeAutospacing="1" w:after="100" w:afterAutospacing="1"/>
              <w:jc w:val="center"/>
              <w:rPr>
                <w:sz w:val="18"/>
                <w:szCs w:val="18"/>
              </w:rPr>
            </w:pPr>
            <w:r>
              <w:rPr>
                <w:sz w:val="18"/>
                <w:szCs w:val="18"/>
              </w:rPr>
              <w:t>0.20</w:t>
            </w:r>
          </w:p>
        </w:tc>
        <w:tc>
          <w:tcPr>
            <w:tcW w:w="1048" w:type="pct"/>
            <w:vAlign w:val="center"/>
          </w:tcPr>
          <w:p>
            <w:pPr>
              <w:spacing w:before="100" w:beforeAutospacing="1" w:after="100" w:afterAutospacing="1"/>
              <w:jc w:val="center"/>
              <w:rPr>
                <w:bCs/>
                <w:sz w:val="18"/>
                <w:szCs w:val="18"/>
              </w:rPr>
            </w:pPr>
            <w:r>
              <w:rPr>
                <w:bCs/>
                <w:sz w:val="18"/>
                <w:szCs w:val="18"/>
              </w:rPr>
              <w:t>1</w:t>
            </w:r>
            <w:r>
              <w:rPr>
                <w:rFonts w:hint="eastAsia"/>
                <w:bCs/>
                <w:sz w:val="18"/>
                <w:szCs w:val="18"/>
              </w:rPr>
              <w:t>、</w:t>
            </w: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261" w:type="pct"/>
            <w:vAlign w:val="center"/>
          </w:tcPr>
          <w:p>
            <w:pPr>
              <w:spacing w:before="100" w:beforeAutospacing="1" w:after="100" w:afterAutospacing="1"/>
              <w:ind w:left="174" w:leftChars="83"/>
              <w:rPr>
                <w:sz w:val="18"/>
                <w:szCs w:val="18"/>
              </w:rPr>
            </w:pPr>
            <w:r>
              <w:rPr>
                <w:sz w:val="18"/>
                <w:szCs w:val="18"/>
              </w:rPr>
              <w:t>4</w:t>
            </w:r>
            <w:r>
              <w:rPr>
                <w:rFonts w:hint="eastAsia"/>
                <w:sz w:val="18"/>
                <w:szCs w:val="18"/>
              </w:rPr>
              <w:t>、</w:t>
            </w:r>
            <w:r>
              <w:rPr>
                <w:rFonts w:hint="eastAsia"/>
                <w:sz w:val="18"/>
                <w:szCs w:val="18"/>
                <w:lang w:val="zh-CN"/>
              </w:rPr>
              <w:t>频率合成原理及方法。</w:t>
            </w:r>
          </w:p>
        </w:tc>
        <w:tc>
          <w:tcPr>
            <w:tcW w:w="691" w:type="pct"/>
            <w:vAlign w:val="center"/>
          </w:tcPr>
          <w:p>
            <w:pPr>
              <w:spacing w:before="100" w:beforeAutospacing="1" w:after="100" w:afterAutospacing="1"/>
              <w:jc w:val="center"/>
              <w:rPr>
                <w:sz w:val="18"/>
                <w:szCs w:val="18"/>
              </w:rPr>
            </w:pPr>
            <w:r>
              <w:rPr>
                <w:sz w:val="18"/>
                <w:szCs w:val="18"/>
              </w:rPr>
              <w:t>0.20</w:t>
            </w:r>
          </w:p>
        </w:tc>
        <w:tc>
          <w:tcPr>
            <w:tcW w:w="1048" w:type="pct"/>
            <w:vAlign w:val="center"/>
          </w:tcPr>
          <w:p>
            <w:pPr>
              <w:spacing w:before="100" w:beforeAutospacing="1" w:after="100" w:afterAutospacing="1"/>
              <w:jc w:val="center"/>
              <w:rPr>
                <w:bCs/>
                <w:sz w:val="18"/>
                <w:szCs w:val="18"/>
              </w:rPr>
            </w:pPr>
            <w:r>
              <w:rPr>
                <w:bCs/>
                <w:sz w:val="18"/>
                <w:szCs w:val="18"/>
              </w:rPr>
              <w:t>1</w:t>
            </w:r>
            <w:r>
              <w:rPr>
                <w:rFonts w:hint="eastAsia"/>
                <w:bCs/>
                <w:sz w:val="18"/>
                <w:szCs w:val="18"/>
              </w:rPr>
              <w:t>、</w:t>
            </w: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261" w:type="pct"/>
            <w:vAlign w:val="center"/>
          </w:tcPr>
          <w:p>
            <w:pPr>
              <w:spacing w:before="100" w:beforeAutospacing="1" w:after="100" w:afterAutospacing="1"/>
              <w:ind w:left="174" w:leftChars="83"/>
              <w:rPr>
                <w:sz w:val="18"/>
                <w:szCs w:val="18"/>
              </w:rPr>
            </w:pPr>
            <w:r>
              <w:rPr>
                <w:sz w:val="18"/>
                <w:szCs w:val="18"/>
              </w:rPr>
              <w:t>5</w:t>
            </w:r>
            <w:r>
              <w:rPr>
                <w:rFonts w:hint="eastAsia"/>
                <w:sz w:val="18"/>
                <w:szCs w:val="18"/>
              </w:rPr>
              <w:t>、</w:t>
            </w:r>
            <w:r>
              <w:rPr>
                <w:rFonts w:hint="eastAsia"/>
                <w:sz w:val="18"/>
                <w:szCs w:val="18"/>
                <w:lang w:val="zh-CN"/>
              </w:rPr>
              <w:t>频率合成电路设计。</w:t>
            </w:r>
          </w:p>
        </w:tc>
        <w:tc>
          <w:tcPr>
            <w:tcW w:w="691" w:type="pct"/>
            <w:vAlign w:val="center"/>
          </w:tcPr>
          <w:p>
            <w:pPr>
              <w:spacing w:before="100" w:beforeAutospacing="1" w:after="100" w:afterAutospacing="1"/>
              <w:jc w:val="center"/>
              <w:rPr>
                <w:sz w:val="18"/>
                <w:szCs w:val="18"/>
              </w:rPr>
            </w:pPr>
            <w:r>
              <w:rPr>
                <w:sz w:val="18"/>
                <w:szCs w:val="18"/>
              </w:rPr>
              <w:t>0.20</w:t>
            </w:r>
          </w:p>
        </w:tc>
        <w:tc>
          <w:tcPr>
            <w:tcW w:w="1048" w:type="pct"/>
            <w:vAlign w:val="center"/>
          </w:tcPr>
          <w:p>
            <w:pPr>
              <w:spacing w:before="100" w:beforeAutospacing="1" w:after="100" w:afterAutospacing="1"/>
              <w:jc w:val="center"/>
              <w:rPr>
                <w:bCs/>
                <w:sz w:val="18"/>
                <w:szCs w:val="18"/>
              </w:rPr>
            </w:pPr>
            <w:r>
              <w:rPr>
                <w:bCs/>
                <w:sz w:val="18"/>
                <w:szCs w:val="18"/>
              </w:rPr>
              <w:t>2</w:t>
            </w:r>
            <w:r>
              <w:rPr>
                <w:rFonts w:hint="eastAsia"/>
                <w:bCs/>
                <w:sz w:val="18"/>
                <w:szCs w:val="18"/>
              </w:rPr>
              <w:t>、</w:t>
            </w:r>
            <w:r>
              <w:rPr>
                <w:bCs/>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3261" w:type="pct"/>
            <w:vAlign w:val="center"/>
          </w:tcPr>
          <w:p>
            <w:pPr>
              <w:spacing w:before="100" w:beforeAutospacing="1" w:after="100" w:afterAutospacing="1"/>
              <w:ind w:left="174" w:leftChars="83"/>
              <w:rPr>
                <w:sz w:val="18"/>
                <w:szCs w:val="18"/>
              </w:rPr>
            </w:pPr>
            <w:r>
              <w:rPr>
                <w:sz w:val="18"/>
                <w:szCs w:val="18"/>
              </w:rPr>
              <w:t>6</w:t>
            </w:r>
            <w:r>
              <w:rPr>
                <w:rFonts w:hint="eastAsia"/>
                <w:sz w:val="18"/>
                <w:szCs w:val="18"/>
              </w:rPr>
              <w:t>、</w:t>
            </w:r>
            <w:r>
              <w:rPr>
                <w:rFonts w:hint="eastAsia"/>
                <w:sz w:val="18"/>
                <w:szCs w:val="18"/>
                <w:lang w:val="zh-CN"/>
              </w:rPr>
              <w:t>利用单片机或</w:t>
            </w:r>
            <w:r>
              <w:rPr>
                <w:sz w:val="18"/>
                <w:szCs w:val="18"/>
                <w:lang w:val="zh-CN"/>
              </w:rPr>
              <w:t>FPGA</w:t>
            </w:r>
            <w:r>
              <w:rPr>
                <w:rFonts w:hint="eastAsia"/>
                <w:sz w:val="18"/>
                <w:szCs w:val="18"/>
                <w:lang w:val="zh-CN"/>
              </w:rPr>
              <w:t>控制输出信号的波形、频率、幅值、相位。</w:t>
            </w:r>
          </w:p>
        </w:tc>
        <w:tc>
          <w:tcPr>
            <w:tcW w:w="691" w:type="pct"/>
            <w:vAlign w:val="center"/>
          </w:tcPr>
          <w:p>
            <w:pPr>
              <w:spacing w:before="100" w:beforeAutospacing="1" w:after="100" w:afterAutospacing="1"/>
              <w:jc w:val="center"/>
              <w:rPr>
                <w:sz w:val="18"/>
                <w:szCs w:val="18"/>
              </w:rPr>
            </w:pPr>
            <w:r>
              <w:rPr>
                <w:sz w:val="18"/>
                <w:szCs w:val="18"/>
              </w:rPr>
              <w:t>0.20</w:t>
            </w:r>
          </w:p>
        </w:tc>
        <w:tc>
          <w:tcPr>
            <w:tcW w:w="1048" w:type="pct"/>
            <w:vAlign w:val="center"/>
          </w:tcPr>
          <w:p>
            <w:pPr>
              <w:spacing w:before="100" w:beforeAutospacing="1" w:after="100" w:afterAutospacing="1"/>
              <w:jc w:val="center"/>
              <w:rPr>
                <w:bCs/>
                <w:sz w:val="18"/>
                <w:szCs w:val="18"/>
              </w:rPr>
            </w:pPr>
            <w:r>
              <w:rPr>
                <w:bCs/>
                <w:sz w:val="18"/>
                <w:szCs w:val="18"/>
              </w:rPr>
              <w:t>2</w:t>
            </w:r>
            <w:r>
              <w:rPr>
                <w:rFonts w:hint="eastAsia"/>
                <w:bCs/>
                <w:sz w:val="18"/>
                <w:szCs w:val="18"/>
              </w:rPr>
              <w:t>、</w:t>
            </w:r>
            <w:r>
              <w:rPr>
                <w:bCs/>
                <w:sz w:val="18"/>
                <w:szCs w:val="18"/>
              </w:rPr>
              <w:t>3</w:t>
            </w:r>
          </w:p>
        </w:tc>
      </w:tr>
    </w:tbl>
    <w:p>
      <w:pPr>
        <w:spacing w:before="120" w:beforeLines="50" w:line="360" w:lineRule="auto"/>
        <w:ind w:firstLine="420" w:firstLineChars="200"/>
        <w:rPr>
          <w:szCs w:val="21"/>
        </w:rPr>
      </w:pPr>
      <w:r>
        <w:rPr>
          <w:szCs w:val="21"/>
        </w:rPr>
        <w:t>学生可以依据仪器与电子学院相关文件，以允许的第二课堂成果折算单项成绩，与对应知识点加权累计达到75（含）以上，且对所有课程目标的支撑不能有缺项，即可申请本门课程免修。</w:t>
      </w:r>
    </w:p>
    <w:p>
      <w:pPr>
        <w:spacing w:line="360" w:lineRule="auto"/>
        <w:rPr>
          <w:color w:val="0000FF"/>
        </w:rPr>
        <w:sectPr>
          <w:footerReference r:id="rId128" w:type="default"/>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657"/>
        <w:gridCol w:w="1119"/>
        <w:gridCol w:w="923"/>
        <w:gridCol w:w="907"/>
        <w:gridCol w:w="982"/>
        <w:gridCol w:w="996"/>
        <w:gridCol w:w="993"/>
        <w:gridCol w:w="988"/>
        <w:gridCol w:w="1113"/>
        <w:gridCol w:w="999"/>
        <w:gridCol w:w="1113"/>
        <w:gridCol w:w="988"/>
        <w:gridCol w:w="1113"/>
        <w:gridCol w:w="1057"/>
      </w:tblGrid>
      <w:tr>
        <w:tblPrEx>
          <w:tblCellMar>
            <w:top w:w="0" w:type="dxa"/>
            <w:left w:w="108" w:type="dxa"/>
            <w:bottom w:w="0" w:type="dxa"/>
            <w:right w:w="108" w:type="dxa"/>
          </w:tblCellMar>
        </w:tblPrEx>
        <w:trPr>
          <w:trHeight w:val="1015" w:hRule="atLeast"/>
          <w:jc w:val="center"/>
        </w:trPr>
        <w:tc>
          <w:tcPr>
            <w:tcW w:w="2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课程目标</w:t>
            </w:r>
          </w:p>
        </w:tc>
        <w:tc>
          <w:tcPr>
            <w:tcW w:w="4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知识面比例</w:t>
            </w:r>
          </w:p>
          <w:p>
            <w:pPr>
              <w:widowControl/>
              <w:jc w:val="center"/>
              <w:rPr>
                <w:rFonts w:ascii="宋体" w:cs="宋体"/>
                <w:kern w:val="0"/>
                <w:sz w:val="18"/>
                <w:szCs w:val="18"/>
              </w:rPr>
            </w:pPr>
            <w:r>
              <w:rPr>
                <w:rFonts w:hint="eastAsia" w:ascii="宋体" w:hAnsi="宋体" w:cs="宋体"/>
                <w:kern w:val="0"/>
                <w:sz w:val="18"/>
                <w:szCs w:val="18"/>
              </w:rPr>
              <w:t>（本列总和为</w:t>
            </w:r>
            <w:r>
              <w:rPr>
                <w:rFonts w:ascii="宋体" w:hAnsi="宋体" w:cs="宋体"/>
                <w:kern w:val="0"/>
                <w:sz w:val="18"/>
                <w:szCs w:val="18"/>
              </w:rPr>
              <w:t>1</w:t>
            </w:r>
            <w:r>
              <w:rPr>
                <w:rFonts w:hint="eastAsia" w:ascii="宋体" w:hAnsi="宋体" w:cs="宋体"/>
                <w:kern w:val="0"/>
                <w:sz w:val="18"/>
                <w:szCs w:val="18"/>
              </w:rPr>
              <w:t>）</w:t>
            </w:r>
          </w:p>
          <w:p>
            <w:pPr>
              <w:widowControl/>
              <w:jc w:val="center"/>
              <w:rPr>
                <w:rFonts w:ascii="宋体" w:cs="宋体"/>
                <w:i/>
                <w:kern w:val="0"/>
                <w:sz w:val="18"/>
                <w:szCs w:val="18"/>
              </w:rPr>
            </w:pPr>
            <w:r>
              <w:rPr>
                <w:rFonts w:ascii="宋体" w:hAnsi="宋体" w:cs="宋体"/>
                <w:i/>
                <w:kern w:val="0"/>
                <w:sz w:val="18"/>
                <w:szCs w:val="18"/>
              </w:rPr>
              <w:t>P</w:t>
            </w:r>
            <w:r>
              <w:rPr>
                <w:rFonts w:ascii="宋体" w:hAnsi="宋体" w:cs="宋体"/>
                <w:i/>
                <w:kern w:val="0"/>
                <w:sz w:val="18"/>
                <w:szCs w:val="18"/>
                <w:vertAlign w:val="subscript"/>
              </w:rPr>
              <w:t>i</w:t>
            </w:r>
          </w:p>
        </w:tc>
        <w:tc>
          <w:tcPr>
            <w:tcW w:w="136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kern w:val="0"/>
                <w:sz w:val="18"/>
                <w:szCs w:val="18"/>
              </w:rPr>
            </w:pPr>
            <w:r>
              <w:rPr>
                <w:rFonts w:hint="eastAsia" w:ascii="宋体" w:hAnsi="宋体"/>
                <w:sz w:val="18"/>
                <w:szCs w:val="18"/>
              </w:rPr>
              <w:t>各环节评价比例分配</w:t>
            </w:r>
            <w:r>
              <w:rPr>
                <w:rFonts w:ascii="宋体"/>
                <w:sz w:val="18"/>
                <w:szCs w:val="18"/>
              </w:rPr>
              <w:br w:type="textWrapping"/>
            </w:r>
            <w:r>
              <w:rPr>
                <w:rFonts w:hint="eastAsia" w:ascii="宋体" w:hAnsi="宋体"/>
                <w:sz w:val="18"/>
                <w:szCs w:val="18"/>
              </w:rPr>
              <w:t>（每行总和为</w:t>
            </w:r>
            <w:r>
              <w:rPr>
                <w:rFonts w:ascii="宋体" w:hAnsi="宋体"/>
                <w:sz w:val="18"/>
                <w:szCs w:val="18"/>
              </w:rPr>
              <w:t>1</w:t>
            </w:r>
            <w:r>
              <w:rPr>
                <w:rFonts w:hint="eastAsia" w:ascii="宋体" w:hAnsi="宋体"/>
                <w:sz w:val="18"/>
                <w:szCs w:val="18"/>
              </w:rPr>
              <w:t>）</w:t>
            </w:r>
            <w:r>
              <w:rPr>
                <w:rFonts w:ascii="宋体"/>
                <w:sz w:val="18"/>
                <w:szCs w:val="18"/>
              </w:rPr>
              <w:br w:type="textWrapping"/>
            </w:r>
            <w:r>
              <w:rPr>
                <w:rFonts w:ascii="宋体" w:hAnsi="宋体"/>
                <w:i/>
                <w:sz w:val="18"/>
                <w:szCs w:val="18"/>
              </w:rPr>
              <w:t>W</w:t>
            </w:r>
            <w:r>
              <w:rPr>
                <w:rFonts w:ascii="宋体" w:hAnsi="宋体"/>
                <w:i/>
                <w:sz w:val="18"/>
                <w:szCs w:val="18"/>
                <w:vertAlign w:val="subscript"/>
              </w:rPr>
              <w:t>ik</w:t>
            </w:r>
          </w:p>
        </w:tc>
        <w:tc>
          <w:tcPr>
            <w:tcW w:w="1467" w:type="pct"/>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宋体"/>
                <w:sz w:val="18"/>
                <w:szCs w:val="18"/>
              </w:rPr>
            </w:pPr>
            <w:r>
              <w:rPr>
                <w:rFonts w:hint="eastAsia" w:ascii="宋体" w:hAnsi="宋体"/>
                <w:sz w:val="18"/>
                <w:szCs w:val="18"/>
              </w:rPr>
              <w:t>各环节在课程达成中的占比</w:t>
            </w:r>
            <w:r>
              <w:rPr>
                <w:rFonts w:ascii="宋体"/>
                <w:sz w:val="18"/>
                <w:szCs w:val="18"/>
              </w:rPr>
              <w:br w:type="textWrapping"/>
            </w:r>
            <w:r>
              <w:rPr>
                <w:rFonts w:hint="eastAsia" w:ascii="宋体" w:hAnsi="宋体"/>
                <w:sz w:val="18"/>
                <w:szCs w:val="18"/>
              </w:rPr>
              <w:t>（所有行列总和为</w:t>
            </w:r>
            <w:r>
              <w:rPr>
                <w:rFonts w:ascii="宋体" w:hAnsi="宋体"/>
                <w:sz w:val="18"/>
                <w:szCs w:val="18"/>
              </w:rPr>
              <w:t>1</w:t>
            </w:r>
            <w:r>
              <w:rPr>
                <w:rFonts w:hint="eastAsia" w:ascii="宋体" w:hAnsi="宋体"/>
                <w:sz w:val="18"/>
                <w:szCs w:val="18"/>
              </w:rPr>
              <w:t>）</w:t>
            </w:r>
            <w:r>
              <w:rPr>
                <w:rFonts w:ascii="宋体"/>
                <w:sz w:val="18"/>
                <w:szCs w:val="18"/>
              </w:rPr>
              <w:br w:type="textWrapping"/>
            </w:r>
            <w:r>
              <w:rPr>
                <w:rFonts w:ascii="宋体" w:hAnsi="宋体"/>
                <w:i/>
                <w:sz w:val="18"/>
                <w:szCs w:val="18"/>
              </w:rPr>
              <w:t>S</w:t>
            </w:r>
            <w:r>
              <w:rPr>
                <w:rFonts w:ascii="宋体" w:hAnsi="宋体"/>
                <w:i/>
                <w:sz w:val="18"/>
                <w:szCs w:val="18"/>
                <w:vertAlign w:val="subscript"/>
              </w:rPr>
              <w:t>ik</w:t>
            </w:r>
            <w:r>
              <w:rPr>
                <w:rFonts w:ascii="宋体" w:hAnsi="宋体"/>
                <w:i/>
                <w:sz w:val="18"/>
                <w:szCs w:val="18"/>
              </w:rPr>
              <w:t>=P</w:t>
            </w:r>
            <w:r>
              <w:rPr>
                <w:rFonts w:ascii="宋体" w:hAnsi="宋体"/>
                <w:i/>
                <w:sz w:val="18"/>
                <w:szCs w:val="18"/>
                <w:vertAlign w:val="subscript"/>
              </w:rPr>
              <w:t>i</w:t>
            </w:r>
            <w:r>
              <w:rPr>
                <w:rFonts w:ascii="宋体" w:hAnsi="宋体"/>
                <w:i/>
                <w:sz w:val="18"/>
                <w:szCs w:val="18"/>
              </w:rPr>
              <w:t>*W</w:t>
            </w:r>
            <w:r>
              <w:rPr>
                <w:rFonts w:ascii="宋体" w:hAnsi="宋体"/>
                <w:i/>
                <w:sz w:val="18"/>
                <w:szCs w:val="18"/>
                <w:vertAlign w:val="subscript"/>
              </w:rPr>
              <w:t>ik</w:t>
            </w:r>
          </w:p>
        </w:tc>
        <w:tc>
          <w:tcPr>
            <w:tcW w:w="15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 w:val="18"/>
                <w:szCs w:val="18"/>
              </w:rPr>
            </w:pPr>
            <w:r>
              <w:rPr>
                <w:rFonts w:hint="eastAsia" w:ascii="宋体" w:hAnsi="宋体"/>
                <w:sz w:val="18"/>
                <w:szCs w:val="18"/>
              </w:rPr>
              <w:t>各环节课程目标考核权重分布</w:t>
            </w:r>
          </w:p>
          <w:p>
            <w:pPr>
              <w:jc w:val="center"/>
              <w:rPr>
                <w:rFonts w:ascii="宋体"/>
                <w:sz w:val="18"/>
                <w:szCs w:val="18"/>
              </w:rPr>
            </w:pPr>
            <w:r>
              <w:rPr>
                <w:rFonts w:hint="eastAsia" w:ascii="宋体" w:hAnsi="宋体"/>
                <w:sz w:val="18"/>
                <w:szCs w:val="18"/>
              </w:rPr>
              <w:t>（每一列总和为</w:t>
            </w:r>
            <w:r>
              <w:rPr>
                <w:rFonts w:ascii="宋体" w:hAnsi="宋体"/>
                <w:sz w:val="18"/>
                <w:szCs w:val="18"/>
              </w:rPr>
              <w:t>1</w:t>
            </w:r>
            <w:r>
              <w:rPr>
                <w:rFonts w:hint="eastAsia" w:ascii="宋体" w:hAnsi="宋体"/>
                <w:sz w:val="18"/>
                <w:szCs w:val="18"/>
              </w:rPr>
              <w:t>）</w:t>
            </w:r>
          </w:p>
          <w:p>
            <w:pPr>
              <w:jc w:val="center"/>
              <w:rPr>
                <w:rFonts w:ascii="宋体"/>
                <w:i/>
                <w:sz w:val="18"/>
                <w:szCs w:val="18"/>
              </w:rPr>
            </w:pPr>
            <w:r>
              <w:rPr>
                <w:rFonts w:ascii="宋体" w:hAnsi="宋体"/>
                <w:i/>
                <w:sz w:val="18"/>
                <w:szCs w:val="18"/>
              </w:rPr>
              <w:t>E</w:t>
            </w:r>
            <w:r>
              <w:rPr>
                <w:rFonts w:ascii="宋体" w:hAnsi="宋体"/>
                <w:i/>
                <w:sz w:val="18"/>
                <w:szCs w:val="18"/>
                <w:vertAlign w:val="subscript"/>
              </w:rPr>
              <w:t>ik</w:t>
            </w:r>
            <w:r>
              <w:rPr>
                <w:rFonts w:ascii="宋体" w:hAnsi="宋体"/>
                <w:i/>
                <w:sz w:val="18"/>
                <w:szCs w:val="18"/>
              </w:rPr>
              <w:t>=S</w:t>
            </w:r>
            <w:r>
              <w:rPr>
                <w:rFonts w:ascii="宋体" w:hAnsi="宋体"/>
                <w:i/>
                <w:sz w:val="18"/>
                <w:szCs w:val="18"/>
                <w:vertAlign w:val="subscript"/>
              </w:rPr>
              <w:t>ik</w:t>
            </w:r>
            <w:r>
              <w:rPr>
                <w:rFonts w:ascii="宋体" w:hAnsi="宋体"/>
                <w:i/>
                <w:sz w:val="18"/>
                <w:szCs w:val="18"/>
              </w:rPr>
              <w:t>/M</w:t>
            </w:r>
            <w:r>
              <w:rPr>
                <w:rFonts w:ascii="宋体" w:hAnsi="宋体"/>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2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cs="宋体"/>
                <w:kern w:val="0"/>
                <w:sz w:val="18"/>
                <w:szCs w:val="18"/>
              </w:rPr>
            </w:pPr>
          </w:p>
        </w:tc>
        <w:tc>
          <w:tcPr>
            <w:tcW w:w="4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cs="宋体"/>
                <w:kern w:val="0"/>
                <w:sz w:val="18"/>
                <w:szCs w:val="18"/>
              </w:rPr>
            </w:pPr>
          </w:p>
        </w:tc>
        <w:tc>
          <w:tcPr>
            <w:tcW w:w="331"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课堂</w:t>
            </w:r>
          </w:p>
          <w:p>
            <w:pPr>
              <w:widowControl/>
              <w:jc w:val="center"/>
              <w:rPr>
                <w:rFonts w:ascii="宋体" w:cs="宋体"/>
                <w:kern w:val="0"/>
                <w:sz w:val="18"/>
                <w:szCs w:val="18"/>
              </w:rPr>
            </w:pPr>
            <w:r>
              <w:rPr>
                <w:rFonts w:hint="eastAsia" w:ascii="宋体" w:hAnsi="宋体" w:cs="宋体"/>
                <w:kern w:val="0"/>
                <w:sz w:val="18"/>
                <w:szCs w:val="18"/>
              </w:rPr>
              <w:t>情况</w:t>
            </w:r>
          </w:p>
        </w:tc>
        <w:tc>
          <w:tcPr>
            <w:tcW w:w="325"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作业</w:t>
            </w:r>
          </w:p>
        </w:tc>
        <w:tc>
          <w:tcPr>
            <w:tcW w:w="352" w:type="pct"/>
            <w:tcBorders>
              <w:top w:val="nil"/>
              <w:left w:val="nil"/>
              <w:bottom w:val="single" w:color="auto" w:sz="4" w:space="0"/>
              <w:right w:val="single" w:color="auto" w:sz="4" w:space="0"/>
            </w:tcBorders>
            <w:shd w:val="clear" w:color="auto" w:fill="auto"/>
            <w:vAlign w:val="center"/>
          </w:tcPr>
          <w:p>
            <w:pPr>
              <w:widowControl/>
              <w:jc w:val="center"/>
              <w:rPr>
                <w:rFonts w:hAnsi="宋体"/>
                <w:kern w:val="0"/>
                <w:sz w:val="18"/>
                <w:szCs w:val="18"/>
              </w:rPr>
            </w:pPr>
            <w:r>
              <w:rPr>
                <w:rFonts w:hint="eastAsia" w:hAnsi="宋体"/>
                <w:kern w:val="0"/>
                <w:sz w:val="18"/>
                <w:szCs w:val="18"/>
              </w:rPr>
              <w:t>综合</w:t>
            </w:r>
          </w:p>
          <w:p>
            <w:pPr>
              <w:widowControl/>
              <w:jc w:val="center"/>
              <w:rPr>
                <w:rFonts w:hAnsi="宋体"/>
                <w:kern w:val="0"/>
                <w:sz w:val="18"/>
                <w:szCs w:val="18"/>
              </w:rPr>
            </w:pPr>
            <w:r>
              <w:rPr>
                <w:rFonts w:hint="eastAsia" w:hAnsi="宋体"/>
                <w:kern w:val="0"/>
                <w:sz w:val="18"/>
                <w:szCs w:val="18"/>
              </w:rPr>
              <w:t>设计</w:t>
            </w:r>
          </w:p>
          <w:p>
            <w:pPr>
              <w:widowControl/>
              <w:jc w:val="center"/>
              <w:rPr>
                <w:rFonts w:ascii="宋体" w:cs="宋体"/>
                <w:kern w:val="0"/>
                <w:sz w:val="18"/>
                <w:szCs w:val="18"/>
              </w:rPr>
            </w:pPr>
            <w:r>
              <w:rPr>
                <w:rFonts w:hint="eastAsia" w:ascii="宋体" w:hAnsi="宋体" w:cs="宋体"/>
                <w:kern w:val="0"/>
                <w:sz w:val="18"/>
                <w:szCs w:val="18"/>
              </w:rPr>
              <w:t>报告</w:t>
            </w:r>
          </w:p>
        </w:tc>
        <w:tc>
          <w:tcPr>
            <w:tcW w:w="357"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期末</w:t>
            </w:r>
          </w:p>
          <w:p>
            <w:pPr>
              <w:widowControl/>
              <w:jc w:val="center"/>
              <w:rPr>
                <w:rFonts w:ascii="宋体" w:cs="宋体"/>
                <w:kern w:val="0"/>
                <w:sz w:val="18"/>
                <w:szCs w:val="18"/>
              </w:rPr>
            </w:pPr>
            <w:r>
              <w:rPr>
                <w:rFonts w:hint="eastAsia" w:ascii="宋体" w:hAnsi="宋体" w:cs="宋体"/>
                <w:kern w:val="0"/>
                <w:sz w:val="18"/>
                <w:szCs w:val="18"/>
              </w:rPr>
              <w:t>考试</w:t>
            </w:r>
          </w:p>
        </w:tc>
        <w:tc>
          <w:tcPr>
            <w:tcW w:w="356"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课堂</w:t>
            </w:r>
          </w:p>
          <w:p>
            <w:pPr>
              <w:widowControl/>
              <w:jc w:val="center"/>
              <w:rPr>
                <w:rFonts w:ascii="宋体" w:cs="宋体"/>
                <w:kern w:val="0"/>
                <w:sz w:val="18"/>
                <w:szCs w:val="18"/>
              </w:rPr>
            </w:pPr>
            <w:r>
              <w:rPr>
                <w:rFonts w:hint="eastAsia" w:ascii="宋体" w:hAnsi="宋体" w:cs="宋体"/>
                <w:kern w:val="0"/>
                <w:sz w:val="18"/>
                <w:szCs w:val="18"/>
              </w:rPr>
              <w:t>情况</w:t>
            </w:r>
          </w:p>
        </w:tc>
        <w:tc>
          <w:tcPr>
            <w:tcW w:w="354"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作业</w:t>
            </w:r>
          </w:p>
        </w:tc>
        <w:tc>
          <w:tcPr>
            <w:tcW w:w="399"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hAnsi="宋体"/>
                <w:kern w:val="0"/>
                <w:sz w:val="18"/>
                <w:szCs w:val="18"/>
              </w:rPr>
              <w:t>综合</w:t>
            </w:r>
          </w:p>
          <w:p>
            <w:pPr>
              <w:widowControl/>
              <w:jc w:val="center"/>
              <w:rPr>
                <w:rFonts w:hAnsi="宋体"/>
                <w:kern w:val="0"/>
                <w:sz w:val="18"/>
                <w:szCs w:val="18"/>
              </w:rPr>
            </w:pPr>
            <w:r>
              <w:rPr>
                <w:rFonts w:hint="eastAsia" w:hAnsi="宋体"/>
                <w:kern w:val="0"/>
                <w:sz w:val="18"/>
                <w:szCs w:val="18"/>
              </w:rPr>
              <w:t>设计</w:t>
            </w:r>
          </w:p>
          <w:p>
            <w:pPr>
              <w:widowControl/>
              <w:jc w:val="center"/>
              <w:rPr>
                <w:rFonts w:ascii="宋体" w:cs="宋体"/>
                <w:kern w:val="0"/>
                <w:sz w:val="18"/>
                <w:szCs w:val="18"/>
              </w:rPr>
            </w:pPr>
            <w:r>
              <w:rPr>
                <w:rFonts w:hint="eastAsia" w:ascii="宋体" w:hAnsi="宋体" w:cs="宋体"/>
                <w:kern w:val="0"/>
                <w:sz w:val="18"/>
                <w:szCs w:val="18"/>
              </w:rPr>
              <w:t>报告</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期末</w:t>
            </w:r>
          </w:p>
          <w:p>
            <w:pPr>
              <w:widowControl/>
              <w:jc w:val="center"/>
              <w:rPr>
                <w:rFonts w:ascii="宋体" w:cs="宋体"/>
                <w:kern w:val="0"/>
                <w:sz w:val="18"/>
                <w:szCs w:val="18"/>
              </w:rPr>
            </w:pPr>
            <w:r>
              <w:rPr>
                <w:rFonts w:hint="eastAsia" w:ascii="宋体" w:hAnsi="宋体" w:cs="宋体"/>
                <w:kern w:val="0"/>
                <w:sz w:val="18"/>
                <w:szCs w:val="18"/>
              </w:rPr>
              <w:t>考试</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课堂</w:t>
            </w:r>
          </w:p>
          <w:p>
            <w:pPr>
              <w:widowControl/>
              <w:jc w:val="center"/>
              <w:rPr>
                <w:rFonts w:ascii="宋体" w:cs="宋体"/>
                <w:kern w:val="0"/>
                <w:sz w:val="18"/>
                <w:szCs w:val="18"/>
              </w:rPr>
            </w:pPr>
            <w:r>
              <w:rPr>
                <w:rFonts w:hint="eastAsia" w:ascii="宋体" w:hAnsi="宋体" w:cs="宋体"/>
                <w:kern w:val="0"/>
                <w:sz w:val="18"/>
                <w:szCs w:val="18"/>
              </w:rPr>
              <w:t>情况</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作业</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Ansi="宋体"/>
                <w:kern w:val="0"/>
                <w:sz w:val="18"/>
                <w:szCs w:val="18"/>
              </w:rPr>
            </w:pPr>
            <w:r>
              <w:rPr>
                <w:rFonts w:hint="eastAsia" w:hAnsi="宋体"/>
                <w:kern w:val="0"/>
                <w:sz w:val="18"/>
                <w:szCs w:val="18"/>
              </w:rPr>
              <w:t>综合</w:t>
            </w:r>
          </w:p>
          <w:p>
            <w:pPr>
              <w:widowControl/>
              <w:jc w:val="center"/>
              <w:rPr>
                <w:rFonts w:hAnsi="宋体"/>
                <w:kern w:val="0"/>
                <w:sz w:val="18"/>
                <w:szCs w:val="18"/>
              </w:rPr>
            </w:pPr>
            <w:r>
              <w:rPr>
                <w:rFonts w:hint="eastAsia" w:hAnsi="宋体"/>
                <w:kern w:val="0"/>
                <w:sz w:val="18"/>
                <w:szCs w:val="18"/>
              </w:rPr>
              <w:t>设计</w:t>
            </w:r>
          </w:p>
          <w:p>
            <w:pPr>
              <w:widowControl/>
              <w:jc w:val="center"/>
              <w:rPr>
                <w:rFonts w:ascii="宋体" w:cs="宋体"/>
                <w:kern w:val="0"/>
                <w:sz w:val="18"/>
                <w:szCs w:val="18"/>
              </w:rPr>
            </w:pPr>
            <w:r>
              <w:rPr>
                <w:rFonts w:hint="eastAsia" w:ascii="宋体" w:hAnsi="宋体" w:cs="宋体"/>
                <w:kern w:val="0"/>
                <w:sz w:val="18"/>
                <w:szCs w:val="18"/>
              </w:rPr>
              <w:t>报告</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cs="宋体"/>
                <w:kern w:val="0"/>
                <w:sz w:val="18"/>
                <w:szCs w:val="18"/>
              </w:rPr>
            </w:pPr>
            <w:r>
              <w:rPr>
                <w:rFonts w:hint="eastAsia" w:ascii="宋体" w:hAnsi="宋体" w:cs="宋体"/>
                <w:kern w:val="0"/>
                <w:sz w:val="18"/>
                <w:szCs w:val="18"/>
              </w:rPr>
              <w:t>期末</w:t>
            </w:r>
          </w:p>
          <w:p>
            <w:pPr>
              <w:widowControl/>
              <w:jc w:val="center"/>
              <w:rPr>
                <w:rFonts w:ascii="宋体" w:cs="宋体"/>
                <w:kern w:val="0"/>
                <w:sz w:val="18"/>
                <w:szCs w:val="18"/>
              </w:rPr>
            </w:pPr>
            <w:r>
              <w:rPr>
                <w:rFonts w:hint="eastAsia" w:ascii="宋体" w:hAnsi="宋体" w:cs="宋体"/>
                <w:kern w:val="0"/>
                <w:sz w:val="18"/>
                <w:szCs w:val="18"/>
              </w:rPr>
              <w:t>考试</w:t>
            </w:r>
          </w:p>
        </w:tc>
      </w:tr>
      <w:tr>
        <w:tblPrEx>
          <w:tblCellMar>
            <w:top w:w="0" w:type="dxa"/>
            <w:left w:w="108" w:type="dxa"/>
            <w:bottom w:w="0" w:type="dxa"/>
            <w:right w:w="108" w:type="dxa"/>
          </w:tblCellMar>
        </w:tblPrEx>
        <w:trPr>
          <w:trHeight w:val="844" w:hRule="atLeast"/>
          <w:jc w:val="center"/>
        </w:trPr>
        <w:tc>
          <w:tcPr>
            <w:tcW w:w="23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0.4</w:t>
            </w:r>
          </w:p>
        </w:tc>
        <w:tc>
          <w:tcPr>
            <w:tcW w:w="33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w:t>
            </w:r>
          </w:p>
        </w:tc>
        <w:tc>
          <w:tcPr>
            <w:tcW w:w="32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5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5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w:t>
            </w:r>
          </w:p>
        </w:tc>
        <w:tc>
          <w:tcPr>
            <w:tcW w:w="35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0.08</w:t>
            </w:r>
          </w:p>
        </w:tc>
        <w:tc>
          <w:tcPr>
            <w:tcW w:w="35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0.06</w:t>
            </w:r>
          </w:p>
        </w:tc>
        <w:tc>
          <w:tcPr>
            <w:tcW w:w="3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0.06</w:t>
            </w:r>
          </w:p>
        </w:tc>
        <w:tc>
          <w:tcPr>
            <w:tcW w:w="35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0.20</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0.25</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0.25</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0.46</w:t>
            </w:r>
          </w:p>
        </w:tc>
      </w:tr>
      <w:tr>
        <w:tblPrEx>
          <w:tblCellMar>
            <w:top w:w="0" w:type="dxa"/>
            <w:left w:w="108" w:type="dxa"/>
            <w:bottom w:w="0" w:type="dxa"/>
            <w:right w:w="108" w:type="dxa"/>
          </w:tblCellMar>
        </w:tblPrEx>
        <w:trPr>
          <w:trHeight w:val="694" w:hRule="atLeast"/>
          <w:jc w:val="center"/>
        </w:trPr>
        <w:tc>
          <w:tcPr>
            <w:tcW w:w="23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401"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31"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rFonts w:hint="eastAsia"/>
                <w:bCs/>
                <w:kern w:val="0"/>
                <w:sz w:val="18"/>
                <w:szCs w:val="18"/>
              </w:rPr>
              <w:t>0</w:t>
            </w:r>
            <w:r>
              <w:rPr>
                <w:bCs/>
                <w:kern w:val="0"/>
                <w:sz w:val="18"/>
                <w:szCs w:val="18"/>
              </w:rPr>
              <w:t>.0</w:t>
            </w:r>
            <w:r>
              <w:rPr>
                <w:rFonts w:hint="eastAsia"/>
                <w:bCs/>
                <w:kern w:val="0"/>
                <w:sz w:val="18"/>
                <w:szCs w:val="18"/>
              </w:rPr>
              <w:t>　</w:t>
            </w:r>
          </w:p>
        </w:tc>
        <w:tc>
          <w:tcPr>
            <w:tcW w:w="325"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w:t>
            </w:r>
          </w:p>
        </w:tc>
        <w:tc>
          <w:tcPr>
            <w:tcW w:w="352"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w:t>
            </w:r>
          </w:p>
        </w:tc>
        <w:tc>
          <w:tcPr>
            <w:tcW w:w="357"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w:t>
            </w:r>
          </w:p>
        </w:tc>
        <w:tc>
          <w:tcPr>
            <w:tcW w:w="356"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rFonts w:hint="eastAsia"/>
                <w:bCs/>
                <w:kern w:val="0"/>
                <w:sz w:val="18"/>
                <w:szCs w:val="18"/>
              </w:rPr>
              <w:t>0</w:t>
            </w:r>
            <w:r>
              <w:rPr>
                <w:bCs/>
                <w:kern w:val="0"/>
                <w:sz w:val="18"/>
                <w:szCs w:val="18"/>
              </w:rPr>
              <w:t>.0</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0.03</w:t>
            </w:r>
          </w:p>
        </w:tc>
        <w:tc>
          <w:tcPr>
            <w:tcW w:w="35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0.12</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kern w:val="0"/>
                <w:sz w:val="18"/>
                <w:szCs w:val="18"/>
              </w:rPr>
              <w:t>0</w:t>
            </w:r>
            <w:r>
              <w:rPr>
                <w:bCs/>
                <w:kern w:val="0"/>
                <w:sz w:val="18"/>
                <w:szCs w:val="18"/>
              </w:rPr>
              <w:t>.0</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0.63</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0.12</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0.27</w:t>
            </w:r>
          </w:p>
        </w:tc>
      </w:tr>
      <w:tr>
        <w:tblPrEx>
          <w:tblCellMar>
            <w:top w:w="0" w:type="dxa"/>
            <w:left w:w="108" w:type="dxa"/>
            <w:bottom w:w="0" w:type="dxa"/>
            <w:right w:w="108" w:type="dxa"/>
          </w:tblCellMar>
        </w:tblPrEx>
        <w:trPr>
          <w:trHeight w:val="690" w:hRule="atLeast"/>
          <w:jc w:val="center"/>
        </w:trPr>
        <w:tc>
          <w:tcPr>
            <w:tcW w:w="236"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401"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w:t>
            </w:r>
          </w:p>
        </w:tc>
        <w:tc>
          <w:tcPr>
            <w:tcW w:w="331"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rFonts w:hint="eastAsia"/>
                <w:bCs/>
                <w:kern w:val="0"/>
                <w:sz w:val="18"/>
                <w:szCs w:val="18"/>
              </w:rPr>
              <w:t>0</w:t>
            </w:r>
            <w:r>
              <w:rPr>
                <w:bCs/>
                <w:kern w:val="0"/>
                <w:sz w:val="18"/>
                <w:szCs w:val="18"/>
              </w:rPr>
              <w:t>.0</w:t>
            </w:r>
            <w:r>
              <w:rPr>
                <w:rFonts w:hint="eastAsia"/>
                <w:bCs/>
                <w:kern w:val="0"/>
                <w:sz w:val="18"/>
                <w:szCs w:val="18"/>
              </w:rPr>
              <w:t>　</w:t>
            </w:r>
          </w:p>
        </w:tc>
        <w:tc>
          <w:tcPr>
            <w:tcW w:w="325"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w:t>
            </w:r>
          </w:p>
        </w:tc>
        <w:tc>
          <w:tcPr>
            <w:tcW w:w="352"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0.5</w:t>
            </w:r>
          </w:p>
        </w:tc>
        <w:tc>
          <w:tcPr>
            <w:tcW w:w="357"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0.4</w:t>
            </w:r>
          </w:p>
        </w:tc>
        <w:tc>
          <w:tcPr>
            <w:tcW w:w="356"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rFonts w:hint="eastAsia"/>
                <w:bCs/>
                <w:kern w:val="0"/>
                <w:sz w:val="18"/>
                <w:szCs w:val="18"/>
              </w:rPr>
              <w:t>0</w:t>
            </w:r>
            <w:r>
              <w:rPr>
                <w:bCs/>
                <w:kern w:val="0"/>
                <w:sz w:val="18"/>
                <w:szCs w:val="18"/>
              </w:rPr>
              <w:t>.0</w:t>
            </w:r>
          </w:p>
        </w:tc>
        <w:tc>
          <w:tcPr>
            <w:tcW w:w="354"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0.03</w:t>
            </w:r>
          </w:p>
        </w:tc>
        <w:tc>
          <w:tcPr>
            <w:tcW w:w="399"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0.15</w:t>
            </w:r>
          </w:p>
        </w:tc>
        <w:tc>
          <w:tcPr>
            <w:tcW w:w="358" w:type="pct"/>
            <w:tcBorders>
              <w:top w:val="nil"/>
              <w:left w:val="nil"/>
              <w:bottom w:val="single" w:color="auto" w:sz="4" w:space="0"/>
              <w:right w:val="single" w:color="auto" w:sz="4" w:space="0"/>
            </w:tcBorders>
            <w:shd w:val="clear" w:color="auto" w:fill="auto"/>
            <w:noWrap/>
            <w:vAlign w:val="center"/>
          </w:tcPr>
          <w:p>
            <w:pPr>
              <w:widowControl/>
              <w:jc w:val="center"/>
              <w:rPr>
                <w:bCs/>
                <w:kern w:val="0"/>
                <w:sz w:val="18"/>
                <w:szCs w:val="18"/>
              </w:rPr>
            </w:pPr>
            <w:r>
              <w:rPr>
                <w:bCs/>
                <w:kern w:val="0"/>
                <w:sz w:val="18"/>
                <w:szCs w:val="18"/>
              </w:rPr>
              <w:t>0.12</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rFonts w:hint="eastAsia"/>
                <w:bCs/>
                <w:kern w:val="0"/>
                <w:sz w:val="18"/>
                <w:szCs w:val="18"/>
              </w:rPr>
              <w:t>0</w:t>
            </w:r>
            <w:r>
              <w:rPr>
                <w:bCs/>
                <w:kern w:val="0"/>
                <w:sz w:val="18"/>
                <w:szCs w:val="18"/>
              </w:rPr>
              <w:t>.0</w:t>
            </w: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0.12</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0.63</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0.27</w:t>
            </w:r>
          </w:p>
        </w:tc>
      </w:tr>
      <w:tr>
        <w:tblPrEx>
          <w:tblCellMar>
            <w:top w:w="0" w:type="dxa"/>
            <w:left w:w="108" w:type="dxa"/>
            <w:bottom w:w="0" w:type="dxa"/>
            <w:right w:w="108" w:type="dxa"/>
          </w:tblCellMar>
        </w:tblPrEx>
        <w:trPr>
          <w:trHeight w:val="1026" w:hRule="atLeast"/>
          <w:jc w:val="center"/>
        </w:trPr>
        <w:tc>
          <w:tcPr>
            <w:tcW w:w="2002" w:type="pct"/>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cs="宋体"/>
                <w:kern w:val="0"/>
                <w:sz w:val="18"/>
                <w:szCs w:val="18"/>
              </w:rPr>
            </w:pPr>
            <w:r>
              <w:rPr>
                <w:rFonts w:hint="eastAsia" w:ascii="宋体" w:hAnsi="宋体" w:cs="宋体"/>
                <w:kern w:val="0"/>
                <w:sz w:val="18"/>
                <w:szCs w:val="18"/>
              </w:rPr>
              <w:t>各环节对课程目标达成的贡献率（</w:t>
            </w:r>
            <w:r>
              <w:rPr>
                <w:rFonts w:ascii="宋体" w:hAnsi="宋体" w:cs="宋体"/>
                <w:i/>
                <w:kern w:val="0"/>
                <w:sz w:val="18"/>
                <w:szCs w:val="18"/>
              </w:rPr>
              <w:t>M</w:t>
            </w:r>
            <w:r>
              <w:rPr>
                <w:rFonts w:ascii="宋体" w:hAnsi="宋体" w:cs="宋体"/>
                <w:i/>
                <w:kern w:val="0"/>
                <w:sz w:val="18"/>
                <w:szCs w:val="18"/>
                <w:vertAlign w:val="subscript"/>
              </w:rPr>
              <w:t>k</w:t>
            </w:r>
            <w:r>
              <w:rPr>
                <w:rFonts w:hint="eastAsia" w:ascii="宋体" w:hAnsi="宋体" w:cs="宋体"/>
                <w:kern w:val="0"/>
                <w:sz w:val="18"/>
                <w:szCs w:val="18"/>
              </w:rPr>
              <w:t>）</w:t>
            </w:r>
          </w:p>
        </w:tc>
        <w:tc>
          <w:tcPr>
            <w:tcW w:w="35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0.08</w:t>
            </w:r>
          </w:p>
        </w:tc>
        <w:tc>
          <w:tcPr>
            <w:tcW w:w="354"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0.24</w:t>
            </w:r>
          </w:p>
        </w:tc>
        <w:tc>
          <w:tcPr>
            <w:tcW w:w="399"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0.24</w:t>
            </w:r>
          </w:p>
        </w:tc>
        <w:tc>
          <w:tcPr>
            <w:tcW w:w="358" w:type="pct"/>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rPr>
                <w:sz w:val="18"/>
                <w:szCs w:val="18"/>
              </w:rPr>
              <w:t>0.44</w:t>
            </w:r>
          </w:p>
        </w:tc>
        <w:tc>
          <w:tcPr>
            <w:tcW w:w="15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rFonts w:hint="eastAsia"/>
                <w:sz w:val="18"/>
                <w:szCs w:val="18"/>
              </w:rPr>
              <w:t>教师出题或布置作业时</w:t>
            </w:r>
          </w:p>
          <w:p>
            <w:pPr>
              <w:widowControl/>
              <w:jc w:val="center"/>
              <w:rPr>
                <w:kern w:val="0"/>
                <w:sz w:val="18"/>
                <w:szCs w:val="18"/>
              </w:rPr>
            </w:pPr>
            <w:r>
              <w:rPr>
                <w:rFonts w:hint="eastAsia"/>
                <w:sz w:val="18"/>
                <w:szCs w:val="18"/>
              </w:rPr>
              <w:t>要尽量做到按照以上比例布局</w:t>
            </w:r>
          </w:p>
        </w:tc>
      </w:tr>
    </w:tbl>
    <w:p>
      <w:pPr>
        <w:spacing w:line="360" w:lineRule="auto"/>
        <w:ind w:firstLine="420" w:firstLineChars="200"/>
        <w:jc w:val="center"/>
      </w:pPr>
    </w:p>
    <w:p>
      <w:pPr>
        <w:spacing w:line="360" w:lineRule="auto"/>
      </w:pPr>
    </w:p>
    <w:p>
      <w:pPr>
        <w:spacing w:line="360" w:lineRule="auto"/>
        <w:rPr>
          <w:color w:val="0000FF"/>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szCs w:val="21"/>
        </w:rPr>
        <w:t>采用达成值计算法，辅以对学生的问卷调查法。</w:t>
      </w:r>
    </w:p>
    <w:p>
      <w:pPr>
        <w:spacing w:line="360" w:lineRule="auto"/>
        <w:ind w:firstLine="422" w:firstLineChars="200"/>
        <w:rPr>
          <w:b/>
          <w:szCs w:val="21"/>
        </w:rPr>
      </w:pPr>
      <w:r>
        <w:rPr>
          <w:b/>
          <w:szCs w:val="21"/>
        </w:rPr>
        <w:t>课程目标定量评价：</w:t>
      </w:r>
    </w:p>
    <w:p>
      <w:pPr>
        <w:spacing w:line="360" w:lineRule="auto"/>
        <w:ind w:firstLine="420" w:firstLineChars="200"/>
        <w:rPr>
          <w:szCs w:val="21"/>
        </w:rPr>
      </w:pPr>
      <w:r>
        <w:rPr>
          <w:szCs w:val="21"/>
        </w:rPr>
        <w:t>达成值计算法结合上表权重分配，采用下表进行计算。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drawing>
          <wp:inline distT="0" distB="0" distL="0" distR="0">
            <wp:extent cx="2066925" cy="457200"/>
            <wp:effectExtent l="0" t="0" r="0" b="0"/>
            <wp:docPr id="11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_x0000_t75"/>
                    <pic:cNvPicPr>
                      <a:picLocks noChangeAspect="1"/>
                    </pic:cNvPicPr>
                  </pic:nvPicPr>
                  <pic:blipFill>
                    <a:blip r:embed="rId201" cstate="print"/>
                    <a:srcRect/>
                    <a:stretch>
                      <a:fillRect/>
                    </a:stretch>
                  </pic:blipFill>
                  <pic:spPr>
                    <a:xfrm>
                      <a:off x="0" y="0"/>
                      <a:ext cx="2066925" cy="457200"/>
                    </a:xfrm>
                    <a:prstGeom prst="rect">
                      <a:avLst/>
                    </a:prstGeom>
                    <a:ln>
                      <a:noFill/>
                    </a:ln>
                  </pic:spPr>
                </pic:pic>
              </a:graphicData>
            </a:graphic>
          </wp:inline>
        </w:drawing>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drawing>
          <wp:inline distT="0" distB="0" distL="0" distR="0">
            <wp:extent cx="1904365" cy="457200"/>
            <wp:effectExtent l="0" t="0" r="0" b="0"/>
            <wp:docPr id="11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_x0000_t75"/>
                    <pic:cNvPicPr>
                      <a:picLocks noChangeAspect="1"/>
                    </pic:cNvPicPr>
                  </pic:nvPicPr>
                  <pic:blipFill>
                    <a:blip r:embed="rId203" cstate="print"/>
                    <a:srcRect/>
                    <a:stretch>
                      <a:fillRect/>
                    </a:stretch>
                  </pic:blipFill>
                  <pic:spPr>
                    <a:xfrm>
                      <a:off x="0" y="0"/>
                      <a:ext cx="1904999" cy="457200"/>
                    </a:xfrm>
                    <a:prstGeom prst="rect">
                      <a:avLst/>
                    </a:prstGeom>
                    <a:ln>
                      <a:noFill/>
                    </a:ln>
                  </pic:spPr>
                </pic:pic>
              </a:graphicData>
            </a:graphic>
          </wp:inline>
        </w:drawing>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drawing>
          <wp:inline distT="0" distB="0" distL="0" distR="0">
            <wp:extent cx="180975" cy="219075"/>
            <wp:effectExtent l="0" t="0" r="0" b="0"/>
            <wp:docPr id="11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_x0000_t75"/>
                    <pic:cNvPicPr>
                      <a:picLocks noChangeAspect="1"/>
                    </pic:cNvPicPr>
                  </pic:nvPicPr>
                  <pic:blipFill>
                    <a:blip r:embed="rId205" cstate="print"/>
                    <a:srcRect/>
                    <a:stretch>
                      <a:fillRect/>
                    </a:stretch>
                  </pic:blipFill>
                  <pic:spPr>
                    <a:xfrm>
                      <a:off x="0" y="0"/>
                      <a:ext cx="180975" cy="219075"/>
                    </a:xfrm>
                    <a:prstGeom prst="rect">
                      <a:avLst/>
                    </a:prstGeom>
                    <a:ln>
                      <a:noFill/>
                    </a:ln>
                  </pic:spPr>
                </pic:pic>
              </a:graphicData>
            </a:graphic>
          </wp:inline>
        </w:drawing>
      </w:r>
      <w:r>
        <w:t>表示第</w:t>
      </w:r>
      <w:r>
        <w:rPr>
          <w:i/>
        </w:rPr>
        <w:t>k</w:t>
      </w:r>
      <w:r>
        <w:t>种评价方式期末评价成绩平均分，均为百分制；</w:t>
      </w:r>
    </w:p>
    <w:p>
      <w:pPr>
        <w:spacing w:line="360" w:lineRule="auto"/>
        <w:ind w:firstLine="420" w:firstLineChars="200"/>
      </w:pPr>
      <w:r>
        <w:rPr>
          <w:position w:val="-10"/>
        </w:rPr>
        <w:drawing>
          <wp:inline distT="0" distB="0" distL="0" distR="0">
            <wp:extent cx="942975" cy="219075"/>
            <wp:effectExtent l="0" t="0" r="0" b="0"/>
            <wp:docPr id="11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_x0000_t75"/>
                    <pic:cNvPicPr>
                      <a:picLocks noChangeAspect="1"/>
                    </pic:cNvPicPr>
                  </pic:nvPicPr>
                  <pic:blipFill>
                    <a:blip r:embed="rId207" cstate="print"/>
                    <a:srcRect/>
                    <a:stretch>
                      <a:fillRect/>
                    </a:stretch>
                  </pic:blipFill>
                  <pic:spPr>
                    <a:xfrm>
                      <a:off x="0" y="0"/>
                      <a:ext cx="942975" cy="219075"/>
                    </a:xfrm>
                    <a:prstGeom prst="rect">
                      <a:avLst/>
                    </a:prstGeom>
                    <a:ln>
                      <a:noFill/>
                    </a:ln>
                  </pic:spPr>
                </pic:pic>
              </a:graphicData>
            </a:graphic>
          </wp:inline>
        </w:drawing>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drawing>
          <wp:inline distT="0" distB="0" distL="0" distR="0">
            <wp:extent cx="209550" cy="219075"/>
            <wp:effectExtent l="0" t="0" r="0" b="0"/>
            <wp:docPr id="11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_x0000_t75"/>
                    <pic:cNvPicPr>
                      <a:picLocks noChangeAspect="1"/>
                    </pic:cNvPicPr>
                  </pic:nvPicPr>
                  <pic:blipFill>
                    <a:blip r:embed="rId209" cstate="print"/>
                    <a:srcRect/>
                    <a:stretch>
                      <a:fillRect/>
                    </a:stretch>
                  </pic:blipFill>
                  <pic:spPr>
                    <a:xfrm>
                      <a:off x="0" y="0"/>
                      <a:ext cx="209550" cy="219075"/>
                    </a:xfrm>
                    <a:prstGeom prst="rect">
                      <a:avLst/>
                    </a:prstGeom>
                    <a:ln>
                      <a:noFill/>
                    </a:ln>
                  </pic:spPr>
                </pic:pic>
              </a:graphicData>
            </a:graphic>
          </wp:inline>
        </w:drawing>
      </w:r>
      <w:r>
        <w:t>表示第</w:t>
      </w:r>
      <w:r>
        <w:rPr>
          <w:i/>
        </w:rPr>
        <w:t>k</w:t>
      </w:r>
      <w:r>
        <w:t>种评价方式对第</w:t>
      </w:r>
      <w:r>
        <w:rPr>
          <w:i/>
        </w:rPr>
        <w:t>i</w:t>
      </w:r>
      <w:r>
        <w:t>个课程目标百分占比；</w:t>
      </w:r>
    </w:p>
    <w:p>
      <w:pPr>
        <w:spacing w:line="360" w:lineRule="auto"/>
        <w:ind w:firstLine="420" w:firstLineChars="200"/>
      </w:pPr>
      <w:r>
        <w:rPr>
          <w:position w:val="-10"/>
        </w:rPr>
        <w:drawing>
          <wp:inline distT="0" distB="0" distL="0" distR="0">
            <wp:extent cx="161925" cy="219075"/>
            <wp:effectExtent l="0" t="0" r="0" b="0"/>
            <wp:docPr id="11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_x0000_t75"/>
                    <pic:cNvPicPr>
                      <a:picLocks noChangeAspect="1"/>
                    </pic:cNvPicPr>
                  </pic:nvPicPr>
                  <pic:blipFill>
                    <a:blip r:embed="rId211" cstate="print"/>
                    <a:srcRect/>
                    <a:stretch>
                      <a:fillRect/>
                    </a:stretch>
                  </pic:blipFill>
                  <pic:spPr>
                    <a:xfrm>
                      <a:off x="0" y="0"/>
                      <a:ext cx="161925" cy="219075"/>
                    </a:xfrm>
                    <a:prstGeom prst="rect">
                      <a:avLst/>
                    </a:prstGeom>
                    <a:ln>
                      <a:noFill/>
                    </a:ln>
                  </pic:spPr>
                </pic:pic>
              </a:graphicData>
            </a:graphic>
          </wp:inline>
        </w:drawing>
      </w:r>
      <w:r>
        <w:t>表示第</w:t>
      </w:r>
      <w:r>
        <w:rPr>
          <w:i/>
        </w:rPr>
        <w:t>i</w:t>
      </w:r>
      <w:r>
        <w:t>个课程目标在课程总评价中的占比；</w:t>
      </w:r>
    </w:p>
    <w:p>
      <w:pPr>
        <w:spacing w:line="360" w:lineRule="auto"/>
        <w:ind w:firstLine="422" w:firstLineChars="200"/>
        <w:rPr>
          <w:b/>
          <w:bCs/>
          <w:position w:val="-10"/>
          <w:szCs w:val="22"/>
        </w:rPr>
      </w:pPr>
      <w:r>
        <w:rPr>
          <w:b/>
          <w:bCs/>
          <w:position w:val="-10"/>
          <w:szCs w:val="22"/>
        </w:rPr>
        <w:t>课程目标定性评价：</w:t>
      </w:r>
    </w:p>
    <w:p>
      <w:pPr>
        <w:spacing w:line="360" w:lineRule="auto"/>
        <w:ind w:firstLine="420" w:firstLineChars="200"/>
        <w:rPr>
          <w:szCs w:val="21"/>
        </w:rPr>
      </w:pPr>
      <w:r>
        <w:rPr>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b/>
          <w:bCs/>
          <w:position w:val="-10"/>
          <w:szCs w:val="22"/>
        </w:rPr>
        <w:t>课程目标达成结果：</w:t>
      </w:r>
    </w:p>
    <w:p>
      <w:pPr>
        <w:spacing w:line="360" w:lineRule="auto"/>
        <w:ind w:firstLine="420" w:firstLineChars="200"/>
        <w:rPr>
          <w:szCs w:val="21"/>
        </w:rPr>
      </w:pPr>
      <w:r>
        <w:rPr>
          <w:szCs w:val="21"/>
        </w:rPr>
        <w:t>同一课程目标的评价，取定性评价和定量评价的平均值，作为最终评价结果。</w:t>
      </w:r>
    </w:p>
    <w:p>
      <w:pPr>
        <w:spacing w:line="360" w:lineRule="auto"/>
        <w:ind w:firstLine="420" w:firstLineChars="200"/>
        <w:rPr>
          <w:position w:val="-10"/>
          <w:szCs w:val="22"/>
        </w:rPr>
      </w:pPr>
      <w:r>
        <w:rPr>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eastAsia="黑体"/>
          <w:szCs w:val="24"/>
        </w:rPr>
        <w:t>十一、各环节评价标准</w:t>
      </w:r>
    </w:p>
    <w:p>
      <w:pPr>
        <w:spacing w:line="360" w:lineRule="auto"/>
        <w:ind w:firstLine="420" w:firstLineChars="200"/>
        <w:rPr>
          <w:szCs w:val="21"/>
        </w:rPr>
      </w:pPr>
      <w:r>
        <w:rPr>
          <w:szCs w:val="21"/>
        </w:rPr>
        <w:t>本课程允许教师在各评价环节根据具体情况采取多样化、个性化的考核手段，其评价标准应当在《SIE-CT-01：授课计划》中明确并向学生公布，教学过程中的考核评价应当严格按照标准完成。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eastAsia="黑体"/>
          <w:szCs w:val="24"/>
        </w:rPr>
        <w:t>十二、课程目标达成评价结果用于持续改进</w:t>
      </w:r>
    </w:p>
    <w:p>
      <w:pPr>
        <w:spacing w:line="360" w:lineRule="auto"/>
        <w:ind w:firstLine="420" w:firstLineChars="200"/>
        <w:rPr>
          <w:szCs w:val="21"/>
        </w:rPr>
      </w:pPr>
      <w:r>
        <w:rPr>
          <w:szCs w:val="21"/>
        </w:rPr>
        <w:t>课程目标达成评价结果将用于后续教学过程的持续改进。</w:t>
      </w:r>
    </w:p>
    <w:p>
      <w:pPr>
        <w:spacing w:line="360" w:lineRule="auto"/>
        <w:ind w:firstLine="420" w:firstLineChars="200"/>
        <w:rPr>
          <w:szCs w:val="21"/>
        </w:rPr>
      </w:pPr>
      <w:r>
        <w:rPr>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50" w:name="_Toc46996587"/>
      <w:bookmarkStart w:id="251" w:name="_Toc11240"/>
      <w:r>
        <w:rPr>
          <w:rFonts w:hint="eastAsia"/>
        </w:rPr>
        <w:t>《</w:t>
      </w:r>
      <w:r>
        <w:t>Z06060209-</w:t>
      </w:r>
      <w:r>
        <w:rPr>
          <w:rFonts w:hint="eastAsia"/>
        </w:rPr>
        <w:t>总线接口设计》教学大纲</w:t>
      </w:r>
      <w:bookmarkEnd w:id="250"/>
      <w:bookmarkEnd w:id="251"/>
    </w:p>
    <w:p>
      <w:pPr>
        <w:adjustRightInd w:val="0"/>
        <w:snapToGrid w:val="0"/>
        <w:spacing w:line="360" w:lineRule="auto"/>
        <w:rPr>
          <w:bCs/>
          <w:kern w:val="0"/>
        </w:rPr>
      </w:pPr>
      <w:r>
        <w:rPr>
          <w:rFonts w:hint="eastAsia" w:eastAsia="黑体"/>
          <w:szCs w:val="21"/>
        </w:rPr>
        <w:t>课程编号：</w:t>
      </w:r>
      <w:r>
        <w:rPr>
          <w:szCs w:val="21"/>
        </w:rPr>
        <w:t>Z06060209</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总线接口设计</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32</w:t>
      </w:r>
      <w:r>
        <w:rPr>
          <w:rFonts w:hint="eastAsia"/>
          <w:szCs w:val="21"/>
        </w:rPr>
        <w:t>（实验</w:t>
      </w:r>
      <w:r>
        <w:rPr>
          <w:szCs w:val="21"/>
        </w:rPr>
        <w:t>10</w:t>
      </w:r>
      <w:r>
        <w:rPr>
          <w:rFonts w:hint="eastAsia"/>
          <w:szCs w:val="21"/>
        </w:rPr>
        <w:t>学时）</w:t>
      </w:r>
      <w:r>
        <w:rPr>
          <w:szCs w:val="21"/>
        </w:rPr>
        <w:tab/>
      </w:r>
      <w:r>
        <w:rPr>
          <w:szCs w:val="21"/>
        </w:rPr>
        <w:tab/>
      </w:r>
      <w:r>
        <w:rPr>
          <w:szCs w:val="21"/>
        </w:rPr>
        <w:tab/>
      </w:r>
      <w:r>
        <w:rPr>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rPr>
          <w:rFonts w:hint="eastAsia"/>
          <w:szCs w:val="21"/>
        </w:rPr>
        <w:t>数字电子技术，模拟电子技术，单片机原理与应用</w:t>
      </w:r>
    </w:p>
    <w:p>
      <w:pPr>
        <w:adjustRightInd w:val="0"/>
        <w:snapToGrid w:val="0"/>
        <w:spacing w:line="360" w:lineRule="auto"/>
        <w:rPr>
          <w:szCs w:val="21"/>
        </w:rPr>
      </w:pPr>
      <w:r>
        <w:rPr>
          <w:rFonts w:hint="eastAsia" w:eastAsia="黑体"/>
          <w:szCs w:val="21"/>
        </w:rPr>
        <w:t>大纲撰写人：</w:t>
      </w:r>
      <w:r>
        <w:rPr>
          <w:rFonts w:hint="eastAsia"/>
          <w:szCs w:val="21"/>
        </w:rPr>
        <w:t>洪应平</w:t>
      </w:r>
    </w:p>
    <w:p>
      <w:pPr>
        <w:adjustRightInd w:val="0"/>
        <w:snapToGrid w:val="0"/>
        <w:spacing w:line="360" w:lineRule="auto"/>
        <w:rPr>
          <w:rFonts w:ascii="宋体" w:hAnsi="宋体"/>
          <w:szCs w:val="21"/>
        </w:rPr>
      </w:pPr>
      <w:r>
        <w:rPr>
          <w:rFonts w:hint="eastAsia" w:eastAsia="黑体"/>
          <w:szCs w:val="21"/>
        </w:rPr>
        <w:t>大纲编写（修订）时间：</w:t>
      </w:r>
      <w:r>
        <w:rPr>
          <w:szCs w:val="21"/>
        </w:rPr>
        <w:t>2019年5月</w:t>
      </w:r>
    </w:p>
    <w:p>
      <w:pPr>
        <w:adjustRightInd w:val="0"/>
        <w:snapToGrid w:val="0"/>
        <w:spacing w:line="360" w:lineRule="auto"/>
        <w:rPr>
          <w:szCs w:val="21"/>
        </w:rPr>
      </w:pPr>
    </w:p>
    <w:p>
      <w:pPr>
        <w:tabs>
          <w:tab w:val="left" w:pos="420"/>
        </w:tabs>
        <w:adjustRightInd w:val="0"/>
        <w:snapToGrid w:val="0"/>
        <w:spacing w:line="360" w:lineRule="auto"/>
        <w:rPr>
          <w:rFonts w:eastAsia="黑体"/>
          <w:szCs w:val="21"/>
        </w:rPr>
      </w:pPr>
      <w:r>
        <w:rPr>
          <w:rFonts w:hint="eastAsia" w:eastAsia="黑体"/>
          <w:szCs w:val="21"/>
        </w:rPr>
        <w:t>一、课程在教学计划中的地位、作用</w:t>
      </w:r>
    </w:p>
    <w:p>
      <w:pPr>
        <w:adjustRightInd w:val="0"/>
        <w:snapToGrid w:val="0"/>
        <w:spacing w:line="360" w:lineRule="auto"/>
        <w:ind w:firstLine="420" w:firstLineChars="200"/>
        <w:rPr>
          <w:szCs w:val="21"/>
        </w:rPr>
      </w:pPr>
      <w:r>
        <w:rPr>
          <w:rFonts w:hint="eastAsia"/>
          <w:szCs w:val="21"/>
        </w:rPr>
        <w:t>总线接口设计是电子科学与技术等专业数据通信领域的专业选修课程，它是培养本专业工程技术人才整体知识和能力结构的重要组成部分。总线接口设计实现数字系统信息的传递，是系统各部件有机结合并实现高密度集成的基础。该课程以培养学生独立进行实验和设计相关总线接口并能够分析、解答总线接口基础问题的初步能力为目的，其任务是使学生获得各类总线接口技术的基础理论、基本原理和基本知识以及进行相关实验的基本技能。掌握基于总线接口来构成全分布式数据通信系统技术，为其专业素质培养奠定必要工程技术基础。</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3646"/>
        <w:gridCol w:w="39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pPr>
              <w:spacing w:line="360" w:lineRule="auto"/>
              <w:jc w:val="center"/>
              <w:rPr>
                <w:sz w:val="18"/>
                <w:szCs w:val="18"/>
              </w:rPr>
            </w:pPr>
            <w:r>
              <w:rPr>
                <w:sz w:val="18"/>
                <w:szCs w:val="18"/>
              </w:rPr>
              <w:t>序号</w:t>
            </w:r>
          </w:p>
        </w:tc>
        <w:tc>
          <w:tcPr>
            <w:tcW w:w="2193" w:type="pct"/>
            <w:vAlign w:val="center"/>
          </w:tcPr>
          <w:p>
            <w:pPr>
              <w:spacing w:line="360" w:lineRule="auto"/>
              <w:jc w:val="center"/>
              <w:rPr>
                <w:sz w:val="18"/>
                <w:szCs w:val="18"/>
              </w:rPr>
            </w:pPr>
            <w:r>
              <w:rPr>
                <w:sz w:val="18"/>
                <w:szCs w:val="18"/>
              </w:rPr>
              <w:t>课程目标</w:t>
            </w:r>
          </w:p>
        </w:tc>
        <w:tc>
          <w:tcPr>
            <w:tcW w:w="2360"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pPr>
              <w:spacing w:line="360" w:lineRule="auto"/>
              <w:jc w:val="center"/>
              <w:rPr>
                <w:sz w:val="18"/>
                <w:szCs w:val="18"/>
              </w:rPr>
            </w:pPr>
            <w:r>
              <w:rPr>
                <w:rFonts w:hint="eastAsia"/>
                <w:sz w:val="18"/>
                <w:szCs w:val="18"/>
              </w:rPr>
              <w:t>1</w:t>
            </w:r>
          </w:p>
        </w:tc>
        <w:tc>
          <w:tcPr>
            <w:tcW w:w="2193" w:type="pct"/>
          </w:tcPr>
          <w:p>
            <w:pPr>
              <w:spacing w:line="360" w:lineRule="auto"/>
              <w:rPr>
                <w:sz w:val="18"/>
                <w:szCs w:val="18"/>
              </w:rPr>
            </w:pPr>
            <w:r>
              <w:rPr>
                <w:rFonts w:hint="eastAsia"/>
                <w:sz w:val="18"/>
                <w:szCs w:val="18"/>
              </w:rPr>
              <w:t>培养学生具有总线接口技术为核心的集散综合式自动检测控制领域的系统概念，熟练掌握应用于多点测试计量仪器系统各类接口及总线的基本概念和基本原理知识；</w:t>
            </w:r>
          </w:p>
        </w:tc>
        <w:tc>
          <w:tcPr>
            <w:tcW w:w="2360" w:type="pct"/>
          </w:tcPr>
          <w:p>
            <w:pPr>
              <w:spacing w:line="360" w:lineRule="auto"/>
              <w:rPr>
                <w:sz w:val="18"/>
                <w:szCs w:val="18"/>
              </w:rPr>
            </w:pPr>
            <w:r>
              <w:rPr>
                <w:b/>
                <w:sz w:val="18"/>
                <w:szCs w:val="18"/>
              </w:rPr>
              <w:t>指标点1-1 知识体系：</w:t>
            </w:r>
            <w:r>
              <w:rPr>
                <w:rFonts w:hint="eastAsia"/>
                <w:sz w:val="18"/>
                <w:szCs w:val="18"/>
              </w:rPr>
              <w:t>具备与本专业相关的数学、自然科学、光学和电子学工程基础及电子系统集成等多方面的知识。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pPr>
              <w:spacing w:line="360" w:lineRule="auto"/>
              <w:jc w:val="center"/>
              <w:rPr>
                <w:sz w:val="18"/>
                <w:szCs w:val="18"/>
              </w:rPr>
            </w:pPr>
            <w:r>
              <w:rPr>
                <w:rFonts w:hint="eastAsia"/>
                <w:sz w:val="18"/>
                <w:szCs w:val="18"/>
              </w:rPr>
              <w:t>2</w:t>
            </w:r>
          </w:p>
        </w:tc>
        <w:tc>
          <w:tcPr>
            <w:tcW w:w="2193" w:type="pct"/>
          </w:tcPr>
          <w:p>
            <w:pPr>
              <w:spacing w:line="360" w:lineRule="auto"/>
              <w:rPr>
                <w:sz w:val="18"/>
                <w:szCs w:val="18"/>
              </w:rPr>
            </w:pPr>
            <w:r>
              <w:rPr>
                <w:rFonts w:hint="eastAsia"/>
                <w:sz w:val="18"/>
                <w:szCs w:val="18"/>
              </w:rPr>
              <w:t>能够利用总线接口电路结构和协议等软硬件配置知识分析和识别各类数据通信问题并提出解决方案；</w:t>
            </w:r>
          </w:p>
        </w:tc>
        <w:tc>
          <w:tcPr>
            <w:tcW w:w="2360" w:type="pct"/>
          </w:tcPr>
          <w:p>
            <w:pPr>
              <w:spacing w:line="360" w:lineRule="auto"/>
              <w:rPr>
                <w:sz w:val="18"/>
                <w:szCs w:val="18"/>
              </w:rPr>
            </w:pPr>
            <w:r>
              <w:rPr>
                <w:rFonts w:hint="eastAsia"/>
                <w:b/>
                <w:sz w:val="18"/>
                <w:szCs w:val="18"/>
              </w:rPr>
              <w:t>指标点1-2 知识运用能力：</w:t>
            </w:r>
            <w:r>
              <w:rPr>
                <w:rFonts w:hint="eastAsia"/>
                <w:sz w:val="18"/>
                <w:szCs w:val="18"/>
              </w:rPr>
              <w:t>能将基础知识恰当地运用到电子科学与技术专业电路系统、物联网及现场总线等复杂工程问题的解决中。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pPr>
              <w:spacing w:line="360" w:lineRule="auto"/>
              <w:jc w:val="center"/>
              <w:rPr>
                <w:sz w:val="18"/>
                <w:szCs w:val="18"/>
              </w:rPr>
            </w:pPr>
            <w:r>
              <w:rPr>
                <w:rFonts w:hint="eastAsia"/>
                <w:sz w:val="18"/>
                <w:szCs w:val="18"/>
              </w:rPr>
              <w:t>3</w:t>
            </w:r>
          </w:p>
        </w:tc>
        <w:tc>
          <w:tcPr>
            <w:tcW w:w="2193" w:type="pct"/>
          </w:tcPr>
          <w:p>
            <w:pPr>
              <w:spacing w:line="360" w:lineRule="auto"/>
              <w:rPr>
                <w:sz w:val="18"/>
                <w:szCs w:val="18"/>
              </w:rPr>
            </w:pPr>
            <w:r>
              <w:rPr>
                <w:rFonts w:hint="eastAsia"/>
                <w:sz w:val="18"/>
                <w:szCs w:val="18"/>
              </w:rPr>
              <w:t>能够利用各类总线接口控制电路和通信协议设计方法完成总线控制系统构建和实施；</w:t>
            </w:r>
          </w:p>
        </w:tc>
        <w:tc>
          <w:tcPr>
            <w:tcW w:w="2360" w:type="pct"/>
          </w:tcPr>
          <w:p>
            <w:pPr>
              <w:spacing w:line="360" w:lineRule="auto"/>
              <w:rPr>
                <w:sz w:val="18"/>
                <w:szCs w:val="18"/>
              </w:rPr>
            </w:pPr>
            <w:r>
              <w:rPr>
                <w:rFonts w:hint="eastAsia"/>
                <w:b/>
                <w:sz w:val="18"/>
                <w:szCs w:val="18"/>
              </w:rPr>
              <w:t>指标点3-1 按需设计：</w:t>
            </w:r>
            <w:r>
              <w:rPr>
                <w:rFonts w:hint="eastAsia"/>
                <w:sz w:val="18"/>
                <w:szCs w:val="18"/>
              </w:rPr>
              <w:t>：能够根据用户特定需求设计复杂工程问题的解决方案，设计相关的电路系统及工艺流程，并能够针对方案进行优化选择。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Align w:val="center"/>
          </w:tcPr>
          <w:p>
            <w:pPr>
              <w:spacing w:line="360" w:lineRule="auto"/>
              <w:jc w:val="center"/>
              <w:rPr>
                <w:sz w:val="18"/>
                <w:szCs w:val="18"/>
              </w:rPr>
            </w:pPr>
            <w:r>
              <w:rPr>
                <w:rFonts w:hint="eastAsia"/>
                <w:sz w:val="18"/>
                <w:szCs w:val="18"/>
              </w:rPr>
              <w:t>4</w:t>
            </w:r>
          </w:p>
        </w:tc>
        <w:tc>
          <w:tcPr>
            <w:tcW w:w="2193" w:type="pct"/>
          </w:tcPr>
          <w:p>
            <w:pPr>
              <w:spacing w:line="360" w:lineRule="auto"/>
              <w:rPr>
                <w:sz w:val="18"/>
                <w:szCs w:val="18"/>
              </w:rPr>
            </w:pPr>
            <w:r>
              <w:rPr>
                <w:rFonts w:hint="eastAsia"/>
                <w:sz w:val="18"/>
                <w:szCs w:val="18"/>
              </w:rPr>
              <w:t>能够协作完成以现场总线基本原理和设计方法为代表的实验内容并在此基础上提高个人与团队的合作协调能力。</w:t>
            </w:r>
          </w:p>
        </w:tc>
        <w:tc>
          <w:tcPr>
            <w:tcW w:w="2360" w:type="pct"/>
          </w:tcPr>
          <w:p>
            <w:pPr>
              <w:spacing w:line="360" w:lineRule="auto"/>
              <w:rPr>
                <w:sz w:val="18"/>
                <w:szCs w:val="18"/>
              </w:rPr>
            </w:pPr>
            <w:r>
              <w:rPr>
                <w:rFonts w:hint="eastAsia"/>
                <w:b/>
                <w:sz w:val="18"/>
                <w:szCs w:val="18"/>
              </w:rPr>
              <w:t>指标点9-2 明确个人责任：</w:t>
            </w:r>
            <w:r>
              <w:rPr>
                <w:rFonts w:hint="eastAsia"/>
                <w:sz w:val="18"/>
                <w:szCs w:val="18"/>
              </w:rPr>
              <w:t>能够在多学科背景下的团队中承担个体、团队成员以及负责人的角色并理解该角色应当承担的责任、权利和义务。</w:t>
            </w:r>
          </w:p>
        </w:tc>
      </w:tr>
    </w:tbl>
    <w:p>
      <w:pPr>
        <w:tabs>
          <w:tab w:val="left" w:pos="420"/>
        </w:tabs>
        <w:adjustRightInd w:val="0"/>
        <w:snapToGrid w:val="0"/>
        <w:spacing w:line="360" w:lineRule="auto"/>
        <w:ind w:left="420" w:hanging="420"/>
        <w:rPr>
          <w:rFonts w:eastAsia="黑体"/>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通过了解当前国际上工业现场总线的技术市场垄断现状，了解该技术市场竞争的激烈程度，以及维护公正、良好、法治的竞争环境的重要性。</w:t>
      </w:r>
    </w:p>
    <w:p>
      <w:pPr>
        <w:spacing w:line="360" w:lineRule="auto"/>
        <w:ind w:firstLine="420" w:firstLineChars="200"/>
        <w:rPr>
          <w:szCs w:val="21"/>
        </w:rPr>
      </w:pPr>
      <w:r>
        <w:rPr>
          <w:rFonts w:hint="eastAsia"/>
          <w:szCs w:val="21"/>
        </w:rPr>
        <w:t>通过了解学习本专业教师自主研制的沙克网络总线，激发学生自主创新的意识，激发学生自豪感与爱国情怀。</w:t>
      </w:r>
    </w:p>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spacing w:line="360" w:lineRule="auto"/>
        <w:ind w:firstLine="420" w:firstLineChars="200"/>
        <w:rPr>
          <w:szCs w:val="21"/>
        </w:rPr>
      </w:pPr>
      <w:r>
        <w:rPr>
          <w:rFonts w:hint="eastAsia"/>
          <w:szCs w:val="21"/>
        </w:rPr>
        <w:t>1、本课程为专业任选课，要求先修数字电子技术及微机原理及接口技术课程、单片机原理及应用，在教学中应注重基础知识、基本概念和类比不同总线结构及应用场合的讲授和分析，同时结合当前总线接口技术的应用实践，培养学生分布式总线网络系统化的概念，可以利用控制电路及传输协议解决总线数据通信中的相关工程问题。</w:t>
      </w:r>
    </w:p>
    <w:p>
      <w:pPr>
        <w:spacing w:line="360" w:lineRule="auto"/>
        <w:ind w:firstLine="420" w:firstLineChars="200"/>
        <w:rPr>
          <w:szCs w:val="21"/>
        </w:rPr>
      </w:pPr>
      <w:r>
        <w:rPr>
          <w:rFonts w:hint="eastAsia"/>
          <w:szCs w:val="21"/>
        </w:rPr>
        <w:t>2、教师应重点对比讲述典型现场接口及总线、简易接口及总线、仪用总线等的主要应用领域及系统构成，使学生对典型总线接口技术基本原理及总线接口知识的熟练掌握。</w:t>
      </w:r>
    </w:p>
    <w:p>
      <w:pPr>
        <w:spacing w:line="360" w:lineRule="auto"/>
        <w:ind w:firstLine="420" w:firstLineChars="200"/>
        <w:rPr>
          <w:szCs w:val="21"/>
        </w:rPr>
      </w:pPr>
      <w:r>
        <w:rPr>
          <w:rFonts w:hint="eastAsia"/>
          <w:szCs w:val="21"/>
        </w:rPr>
        <w:t>3、教学过程中，选择常用的I</w:t>
      </w:r>
      <w:r>
        <w:rPr>
          <w:rFonts w:hint="eastAsia"/>
          <w:szCs w:val="21"/>
          <w:vertAlign w:val="superscript"/>
        </w:rPr>
        <w:t>2</w:t>
      </w:r>
      <w:r>
        <w:rPr>
          <w:rFonts w:hint="eastAsia"/>
          <w:szCs w:val="21"/>
        </w:rPr>
        <w:t>C、SPI，现场CAN及RS-485接口总线作为实验教学内容，使学生通过主流知识和技术的学习实践，对应用于特定领域和环境下的其他总线及接口技术可以触类旁通。</w:t>
      </w:r>
    </w:p>
    <w:p>
      <w:pPr>
        <w:spacing w:line="360" w:lineRule="auto"/>
        <w:ind w:firstLine="420" w:firstLineChars="200"/>
        <w:rPr>
          <w:szCs w:val="21"/>
        </w:rPr>
      </w:pPr>
      <w:r>
        <w:rPr>
          <w:rFonts w:hint="eastAsia"/>
          <w:szCs w:val="21"/>
        </w:rPr>
        <w:t>4、通过实际工程应用领域的总线技术应用介绍，要求学生在掌握基本原理和总线结构知识的同时，还需要具备针对不同应用领域内的总线接口数据通信问题进行独立分析和提出解决方案的能力。</w:t>
      </w:r>
    </w:p>
    <w:p>
      <w:pPr>
        <w:spacing w:line="360" w:lineRule="auto"/>
        <w:ind w:firstLine="420" w:firstLineChars="200"/>
        <w:rPr>
          <w:szCs w:val="21"/>
        </w:rPr>
      </w:pPr>
      <w:r>
        <w:rPr>
          <w:rFonts w:hint="eastAsia"/>
          <w:szCs w:val="21"/>
        </w:rPr>
        <w:t>5、本课程的讲授和实验都需要紧跟当下总线接口技术发展前沿，教学过程不但可以涵盖现场总线的基础知识，还需适当穿插当前的总线接口控制领域最新的发展趋势和应用热点，达到知识结构更新的目的。</w:t>
      </w:r>
    </w:p>
    <w:p>
      <w:pPr>
        <w:spacing w:line="360" w:lineRule="auto"/>
        <w:ind w:firstLine="420" w:firstLineChars="200"/>
        <w:rPr>
          <w:szCs w:val="21"/>
        </w:rPr>
      </w:pPr>
      <w:r>
        <w:rPr>
          <w:rFonts w:hint="eastAsia"/>
          <w:szCs w:val="21"/>
        </w:rPr>
        <w:t>6、深度和广度说明：对简易接口及总线、现场接口总线、常用P</w:t>
      </w:r>
      <w:r>
        <w:rPr>
          <w:szCs w:val="21"/>
        </w:rPr>
        <w:t>XI</w:t>
      </w:r>
      <w:r>
        <w:rPr>
          <w:rFonts w:hint="eastAsia"/>
          <w:szCs w:val="21"/>
        </w:rPr>
        <w:t>仪器类总线接口要深入讲解，对新型的V</w:t>
      </w:r>
      <w:r>
        <w:rPr>
          <w:szCs w:val="21"/>
        </w:rPr>
        <w:t>PX</w:t>
      </w:r>
      <w:r>
        <w:rPr>
          <w:rFonts w:hint="eastAsia"/>
          <w:szCs w:val="21"/>
        </w:rPr>
        <w:t>及军用仪器总线只做简单介绍，对当前同类总线接口的标准及规范应涵盖广些；对各类接口电路原理与内部结构了解即可，总线拓扑及传输协议是重点。</w:t>
      </w:r>
    </w:p>
    <w:p>
      <w:pPr>
        <w:spacing w:line="360" w:lineRule="auto"/>
        <w:ind w:firstLine="420" w:firstLineChars="200"/>
        <w:rPr>
          <w:szCs w:val="21"/>
        </w:rPr>
      </w:pPr>
      <w:r>
        <w:rPr>
          <w:rFonts w:hint="eastAsia"/>
          <w:szCs w:val="21"/>
        </w:rPr>
        <w:t>7、偏差说明：为了鼓励教师引入个人授课风格或者适应技术发展的紧迫性，本课程允许教师授课内容做适当调整，最大正偏差为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spacing w:line="360" w:lineRule="auto"/>
        <w:ind w:firstLine="420" w:firstLineChars="200"/>
        <w:rPr>
          <w:szCs w:val="21"/>
        </w:rPr>
      </w:pPr>
      <w:r>
        <w:rPr>
          <w:rFonts w:hint="eastAsia"/>
          <w:szCs w:val="21"/>
        </w:rPr>
        <w:t>本课程重点讲授的内容包括：片间简易接口通信技术、现场总线通信接口设计、仪用总线通信接口设计；对总线基本内涵及数据通信基本概念、现场总线通信接口设计、仪用总线接口设计技术进行基本原理和总线接口构架、协议内容进行了解和说明；同时每类总线配置相应的设计实例来辅助深化了解掌握总线接口的基本设计方法及传输协议，尤其是典型应用总线接口设计技术及相关的设计实例。</w:t>
      </w:r>
    </w:p>
    <w:p>
      <w:pPr>
        <w:spacing w:line="360" w:lineRule="auto"/>
        <w:ind w:firstLine="420" w:firstLineChars="200"/>
        <w:rPr>
          <w:szCs w:val="21"/>
        </w:rPr>
      </w:pPr>
      <w:r>
        <w:rPr>
          <w:szCs w:val="21"/>
        </w:rPr>
        <w:t>本课程在教学方法上，充分利用各种媒体教学手段，采取课堂教学、多媒体课件、验证性实验、课外分组实验方式有机结合，提高教学效率。</w:t>
      </w:r>
    </w:p>
    <w:p>
      <w:pPr>
        <w:spacing w:line="360" w:lineRule="auto"/>
        <w:ind w:firstLine="420" w:firstLineChars="200"/>
        <w:rPr>
          <w:szCs w:val="21"/>
        </w:rPr>
      </w:pPr>
      <w:r>
        <w:rPr>
          <w:rFonts w:hint="eastAsia"/>
          <w:szCs w:val="21"/>
        </w:rPr>
        <w:t>总线接口设计在数据通信系统设计、系统集成设计中占有非常重要的地位，因此教师要重点讲授、同时辅助以实验补充验证以使学生完全掌握。</w:t>
      </w:r>
    </w:p>
    <w:p>
      <w:pPr>
        <w:spacing w:line="360" w:lineRule="auto"/>
        <w:ind w:firstLine="420" w:firstLineChars="200"/>
        <w:rPr>
          <w:szCs w:val="21"/>
        </w:rPr>
      </w:pPr>
      <w:r>
        <w:rPr>
          <w:rFonts w:hint="eastAsia"/>
          <w:szCs w:val="21"/>
        </w:rPr>
        <w:t>为了提高学生的学习兴趣，并取得良好的教学效果，教师在知识讲解的过程中要充分利用问题引导、案例分析等多种教学方法，以进一步提高教学质量。</w:t>
      </w:r>
    </w:p>
    <w:p>
      <w:pPr>
        <w:widowControl/>
        <w:spacing w:line="360" w:lineRule="auto"/>
        <w:ind w:firstLine="420" w:firstLineChars="200"/>
        <w:jc w:val="left"/>
        <w:rPr>
          <w:rFonts w:eastAsia="黑体"/>
          <w:kern w:val="0"/>
          <w:szCs w:val="21"/>
        </w:rPr>
      </w:pPr>
      <w:r>
        <w:rPr>
          <w:rFonts w:eastAsia="黑体"/>
          <w:snapToGrid w:val="0"/>
          <w:kern w:val="0"/>
          <w:szCs w:val="21"/>
        </w:rPr>
        <w:t>1  总线接口基础概述（2学时）</w:t>
      </w:r>
    </w:p>
    <w:p>
      <w:pPr>
        <w:widowControl/>
        <w:spacing w:line="360" w:lineRule="auto"/>
        <w:ind w:left="426"/>
        <w:jc w:val="left"/>
        <w:rPr>
          <w:snapToGrid w:val="0"/>
          <w:kern w:val="0"/>
          <w:szCs w:val="21"/>
        </w:rPr>
      </w:pPr>
      <w:r>
        <w:rPr>
          <w:snapToGrid w:val="0"/>
          <w:kern w:val="0"/>
          <w:szCs w:val="21"/>
        </w:rPr>
        <w:t>1.1、课程内容、学习方法、讲授方式、评价方式介绍；</w:t>
      </w:r>
    </w:p>
    <w:p>
      <w:pPr>
        <w:widowControl/>
        <w:spacing w:line="360" w:lineRule="auto"/>
        <w:ind w:left="426"/>
        <w:jc w:val="left"/>
        <w:rPr>
          <w:snapToGrid w:val="0"/>
          <w:kern w:val="0"/>
          <w:szCs w:val="21"/>
        </w:rPr>
      </w:pPr>
      <w:r>
        <w:rPr>
          <w:snapToGrid w:val="0"/>
          <w:kern w:val="0"/>
          <w:szCs w:val="21"/>
        </w:rPr>
        <w:t>1.</w:t>
      </w:r>
      <w:r>
        <w:rPr>
          <w:rFonts w:hint="eastAsia"/>
          <w:snapToGrid w:val="0"/>
          <w:kern w:val="0"/>
          <w:szCs w:val="21"/>
        </w:rPr>
        <w:t>2</w:t>
      </w:r>
      <w:r>
        <w:rPr>
          <w:snapToGrid w:val="0"/>
          <w:kern w:val="0"/>
          <w:szCs w:val="21"/>
        </w:rPr>
        <w:t>、熟练掌握总线概念、特性、分类、指标的概念；</w:t>
      </w:r>
    </w:p>
    <w:p>
      <w:pPr>
        <w:widowControl/>
        <w:spacing w:line="360" w:lineRule="auto"/>
        <w:ind w:left="1050" w:leftChars="200" w:hanging="630" w:hangingChars="300"/>
        <w:rPr>
          <w:snapToGrid w:val="0"/>
          <w:kern w:val="0"/>
          <w:szCs w:val="21"/>
        </w:rPr>
      </w:pPr>
      <w:r>
        <w:rPr>
          <w:snapToGrid w:val="0"/>
          <w:kern w:val="0"/>
          <w:szCs w:val="21"/>
        </w:rPr>
        <w:t>1.</w:t>
      </w:r>
      <w:r>
        <w:rPr>
          <w:rFonts w:hint="eastAsia"/>
          <w:snapToGrid w:val="0"/>
          <w:kern w:val="0"/>
          <w:szCs w:val="21"/>
        </w:rPr>
        <w:t>3</w:t>
      </w:r>
      <w:r>
        <w:rPr>
          <w:snapToGrid w:val="0"/>
          <w:kern w:val="0"/>
          <w:szCs w:val="21"/>
        </w:rPr>
        <w:t>、熟练掌握总线结构及信息传递方式；</w:t>
      </w:r>
    </w:p>
    <w:p>
      <w:pPr>
        <w:widowControl/>
        <w:spacing w:line="360" w:lineRule="auto"/>
        <w:ind w:left="1050" w:leftChars="200" w:hanging="630" w:hangingChars="300"/>
        <w:rPr>
          <w:snapToGrid w:val="0"/>
          <w:kern w:val="0"/>
          <w:szCs w:val="21"/>
        </w:rPr>
      </w:pPr>
      <w:r>
        <w:rPr>
          <w:snapToGrid w:val="0"/>
          <w:kern w:val="0"/>
          <w:szCs w:val="21"/>
        </w:rPr>
        <w:t>1.</w:t>
      </w:r>
      <w:r>
        <w:rPr>
          <w:rFonts w:hint="eastAsia"/>
          <w:snapToGrid w:val="0"/>
          <w:kern w:val="0"/>
          <w:szCs w:val="21"/>
        </w:rPr>
        <w:t>4</w:t>
      </w:r>
      <w:r>
        <w:rPr>
          <w:snapToGrid w:val="0"/>
          <w:kern w:val="0"/>
          <w:szCs w:val="21"/>
        </w:rPr>
        <w:t>、了解总线冲裁方式及总线定时概念。</w:t>
      </w:r>
    </w:p>
    <w:p>
      <w:pPr>
        <w:widowControl/>
        <w:spacing w:line="360" w:lineRule="auto"/>
        <w:ind w:left="1050" w:leftChars="200" w:hanging="630" w:hangingChars="300"/>
        <w:rPr>
          <w:snapToGrid w:val="0"/>
          <w:kern w:val="0"/>
          <w:szCs w:val="21"/>
        </w:rPr>
      </w:pPr>
      <w:r>
        <w:rPr>
          <w:rFonts w:hint="eastAsia"/>
          <w:snapToGrid w:val="0"/>
          <w:kern w:val="0"/>
          <w:szCs w:val="21"/>
        </w:rPr>
        <w:t>重点：总线概念、指标、结构及冲裁</w:t>
      </w:r>
    </w:p>
    <w:p>
      <w:pPr>
        <w:widowControl/>
        <w:spacing w:line="360" w:lineRule="auto"/>
        <w:ind w:left="1050" w:leftChars="200" w:hanging="630" w:hangingChars="300"/>
        <w:rPr>
          <w:snapToGrid w:val="0"/>
          <w:kern w:val="0"/>
          <w:szCs w:val="21"/>
        </w:rPr>
      </w:pPr>
      <w:r>
        <w:rPr>
          <w:rFonts w:hint="eastAsia"/>
          <w:snapToGrid w:val="0"/>
          <w:kern w:val="0"/>
          <w:szCs w:val="21"/>
        </w:rPr>
        <w:t>本章内容支撑课程目标1。</w:t>
      </w:r>
    </w:p>
    <w:p>
      <w:pPr>
        <w:spacing w:line="360" w:lineRule="auto"/>
        <w:ind w:firstLine="420" w:firstLineChars="200"/>
        <w:rPr>
          <w:rFonts w:eastAsia="黑体"/>
          <w:snapToGrid w:val="0"/>
          <w:kern w:val="0"/>
          <w:szCs w:val="21"/>
        </w:rPr>
      </w:pPr>
      <w:r>
        <w:rPr>
          <w:rFonts w:eastAsia="黑体"/>
        </w:rPr>
        <w:t xml:space="preserve">2  </w:t>
      </w:r>
      <w:r>
        <w:rPr>
          <w:rFonts w:eastAsia="黑体"/>
          <w:snapToGrid w:val="0"/>
          <w:kern w:val="0"/>
          <w:szCs w:val="21"/>
        </w:rPr>
        <w:t>数据通信基础（2学时）</w:t>
      </w:r>
    </w:p>
    <w:p>
      <w:pPr>
        <w:widowControl/>
        <w:spacing w:line="360" w:lineRule="auto"/>
        <w:ind w:left="426"/>
        <w:jc w:val="left"/>
        <w:rPr>
          <w:snapToGrid w:val="0"/>
          <w:kern w:val="0"/>
          <w:szCs w:val="21"/>
        </w:rPr>
      </w:pPr>
      <w:r>
        <w:rPr>
          <w:snapToGrid w:val="0"/>
          <w:kern w:val="0"/>
          <w:szCs w:val="21"/>
        </w:rPr>
        <w:t>2.1、熟练掌握数据通信系统结构及基本概念，数据通信过程基本概念；</w:t>
      </w:r>
    </w:p>
    <w:p>
      <w:pPr>
        <w:spacing w:line="360" w:lineRule="auto"/>
        <w:ind w:left="426"/>
        <w:rPr>
          <w:snapToGrid w:val="0"/>
          <w:kern w:val="0"/>
          <w:szCs w:val="21"/>
        </w:rPr>
      </w:pPr>
      <w:r>
        <w:rPr>
          <w:snapToGrid w:val="0"/>
          <w:kern w:val="0"/>
          <w:szCs w:val="21"/>
        </w:rPr>
        <w:t>2.2、掌握数据通信中数据、信道、通信方式、传输及同步方式基本概念；</w:t>
      </w:r>
    </w:p>
    <w:p>
      <w:pPr>
        <w:spacing w:line="360" w:lineRule="auto"/>
        <w:ind w:left="426"/>
      </w:pPr>
      <w:r>
        <w:t>2.3、了解掌握数据通信传输介质种类、特点、传输特性</w:t>
      </w:r>
      <w:r>
        <w:rPr>
          <w:snapToGrid w:val="0"/>
          <w:kern w:val="0"/>
          <w:szCs w:val="21"/>
        </w:rPr>
        <w:t>；</w:t>
      </w:r>
    </w:p>
    <w:p>
      <w:pPr>
        <w:spacing w:line="360" w:lineRule="auto"/>
        <w:ind w:left="426"/>
        <w:rPr>
          <w:snapToGrid w:val="0"/>
          <w:kern w:val="0"/>
          <w:szCs w:val="21"/>
        </w:rPr>
      </w:pPr>
      <w:r>
        <w:t>2.4、掌握数据传输编码方式、差错控制方法、数据传输系统性能指标。</w:t>
      </w:r>
    </w:p>
    <w:p>
      <w:pPr>
        <w:spacing w:line="360" w:lineRule="auto"/>
        <w:ind w:left="426"/>
        <w:rPr>
          <w:snapToGrid w:val="0"/>
          <w:kern w:val="0"/>
          <w:szCs w:val="21"/>
        </w:rPr>
      </w:pPr>
      <w:r>
        <w:rPr>
          <w:rFonts w:hint="eastAsia"/>
          <w:snapToGrid w:val="0"/>
          <w:kern w:val="0"/>
          <w:szCs w:val="21"/>
        </w:rPr>
        <w:t>重点：数据通信中技术指标的基本概念及内涵</w:t>
      </w:r>
    </w:p>
    <w:p>
      <w:pPr>
        <w:widowControl/>
        <w:spacing w:line="360" w:lineRule="auto"/>
        <w:ind w:left="1050" w:leftChars="200" w:hanging="630" w:hangingChars="300"/>
        <w:rPr>
          <w:snapToGrid w:val="0"/>
          <w:kern w:val="0"/>
          <w:szCs w:val="21"/>
        </w:rPr>
      </w:pPr>
      <w:r>
        <w:rPr>
          <w:snapToGrid w:val="0"/>
          <w:kern w:val="0"/>
          <w:szCs w:val="21"/>
        </w:rPr>
        <w:t>本章内容支撑课程目标</w:t>
      </w:r>
      <w:r>
        <w:rPr>
          <w:rFonts w:hint="eastAsia"/>
          <w:snapToGrid w:val="0"/>
          <w:kern w:val="0"/>
          <w:szCs w:val="21"/>
        </w:rPr>
        <w:t>1。</w:t>
      </w:r>
    </w:p>
    <w:p>
      <w:pPr>
        <w:tabs>
          <w:tab w:val="left" w:pos="1260"/>
        </w:tabs>
        <w:spacing w:line="360" w:lineRule="auto"/>
        <w:ind w:firstLine="420" w:firstLineChars="200"/>
        <w:rPr>
          <w:rFonts w:eastAsia="黑体"/>
          <w:snapToGrid w:val="0"/>
          <w:kern w:val="0"/>
          <w:szCs w:val="21"/>
        </w:rPr>
      </w:pPr>
      <w:r>
        <w:rPr>
          <w:rFonts w:eastAsia="黑体"/>
        </w:rPr>
        <w:t>3  简易接口及总线设计-SPI与I</w:t>
      </w:r>
      <w:r>
        <w:rPr>
          <w:rFonts w:eastAsia="黑体"/>
          <w:vertAlign w:val="superscript"/>
        </w:rPr>
        <w:t>2</w:t>
      </w:r>
      <w:r>
        <w:rPr>
          <w:rFonts w:eastAsia="黑体"/>
        </w:rPr>
        <w:t>C接口总线</w:t>
      </w:r>
      <w:r>
        <w:rPr>
          <w:rFonts w:eastAsia="黑体"/>
          <w:snapToGrid w:val="0"/>
          <w:kern w:val="0"/>
          <w:szCs w:val="21"/>
        </w:rPr>
        <w:t>（2学时）</w:t>
      </w:r>
    </w:p>
    <w:p>
      <w:pPr>
        <w:tabs>
          <w:tab w:val="left" w:pos="1260"/>
        </w:tabs>
        <w:spacing w:line="360" w:lineRule="auto"/>
        <w:ind w:left="426"/>
      </w:pPr>
      <w:r>
        <w:rPr>
          <w:snapToGrid w:val="0"/>
          <w:kern w:val="0"/>
          <w:szCs w:val="21"/>
        </w:rPr>
        <w:t>3.1</w:t>
      </w:r>
      <w:r>
        <w:t>、掌握I</w:t>
      </w:r>
      <w:r>
        <w:rPr>
          <w:vertAlign w:val="superscript"/>
        </w:rPr>
        <w:t>2</w:t>
      </w:r>
      <w:r>
        <w:t>C总线的基本概念、组成结构及接口功能；</w:t>
      </w:r>
    </w:p>
    <w:p>
      <w:pPr>
        <w:tabs>
          <w:tab w:val="left" w:pos="1260"/>
        </w:tabs>
        <w:spacing w:line="360" w:lineRule="auto"/>
        <w:ind w:left="426"/>
      </w:pPr>
      <w:r>
        <w:rPr>
          <w:snapToGrid w:val="0"/>
          <w:kern w:val="0"/>
          <w:szCs w:val="21"/>
        </w:rPr>
        <w:t>3.2</w:t>
      </w:r>
      <w:r>
        <w:t>、熟练掌握I</w:t>
      </w:r>
      <w:r>
        <w:rPr>
          <w:vertAlign w:val="superscript"/>
        </w:rPr>
        <w:t>2</w:t>
      </w:r>
      <w:r>
        <w:t>C总线接口时序；</w:t>
      </w:r>
    </w:p>
    <w:p>
      <w:pPr>
        <w:tabs>
          <w:tab w:val="left" w:pos="1260"/>
        </w:tabs>
        <w:spacing w:line="360" w:lineRule="auto"/>
        <w:ind w:left="426"/>
      </w:pPr>
      <w:r>
        <w:rPr>
          <w:snapToGrid w:val="0"/>
          <w:kern w:val="0"/>
          <w:szCs w:val="21"/>
        </w:rPr>
        <w:t>3.3</w:t>
      </w:r>
      <w:r>
        <w:t>、I</w:t>
      </w:r>
      <w:r>
        <w:rPr>
          <w:vertAlign w:val="superscript"/>
        </w:rPr>
        <w:t>2</w:t>
      </w:r>
      <w:r>
        <w:t>C总线设计实例讲解。</w:t>
      </w:r>
    </w:p>
    <w:p>
      <w:pPr>
        <w:widowControl/>
        <w:tabs>
          <w:tab w:val="left" w:pos="900"/>
        </w:tabs>
        <w:spacing w:line="360" w:lineRule="auto"/>
        <w:ind w:left="426"/>
        <w:jc w:val="left"/>
        <w:rPr>
          <w:bCs/>
          <w:snapToGrid w:val="0"/>
          <w:kern w:val="0"/>
          <w:szCs w:val="21"/>
        </w:rPr>
      </w:pPr>
      <w:r>
        <w:rPr>
          <w:bCs/>
          <w:snapToGrid w:val="0"/>
          <w:kern w:val="0"/>
          <w:szCs w:val="21"/>
        </w:rPr>
        <w:t>3.4、掌握</w:t>
      </w:r>
      <w:r>
        <w:rPr>
          <w:rFonts w:eastAsia="黑体"/>
          <w:snapToGrid w:val="0"/>
          <w:kern w:val="0"/>
          <w:szCs w:val="21"/>
        </w:rPr>
        <w:t>SPI</w:t>
      </w:r>
      <w:r>
        <w:rPr>
          <w:bCs/>
          <w:snapToGrid w:val="0"/>
          <w:kern w:val="0"/>
          <w:szCs w:val="21"/>
        </w:rPr>
        <w:t>总线的基本概念、组成结构及接口功能；</w:t>
      </w:r>
    </w:p>
    <w:p>
      <w:pPr>
        <w:widowControl/>
        <w:tabs>
          <w:tab w:val="left" w:pos="900"/>
        </w:tabs>
        <w:spacing w:line="360" w:lineRule="auto"/>
        <w:ind w:left="426"/>
        <w:jc w:val="left"/>
        <w:rPr>
          <w:bCs/>
          <w:snapToGrid w:val="0"/>
          <w:kern w:val="0"/>
          <w:szCs w:val="21"/>
        </w:rPr>
      </w:pPr>
      <w:r>
        <w:rPr>
          <w:bCs/>
          <w:snapToGrid w:val="0"/>
          <w:kern w:val="0"/>
          <w:szCs w:val="21"/>
        </w:rPr>
        <w:t>3.5、熟练掌握SPI总线接口时序；</w:t>
      </w:r>
    </w:p>
    <w:p>
      <w:pPr>
        <w:widowControl/>
        <w:tabs>
          <w:tab w:val="left" w:pos="900"/>
        </w:tabs>
        <w:spacing w:line="360" w:lineRule="auto"/>
        <w:ind w:left="426"/>
        <w:jc w:val="left"/>
        <w:rPr>
          <w:snapToGrid w:val="0"/>
          <w:kern w:val="0"/>
          <w:szCs w:val="21"/>
        </w:rPr>
      </w:pPr>
      <w:r>
        <w:rPr>
          <w:bCs/>
          <w:snapToGrid w:val="0"/>
          <w:kern w:val="0"/>
          <w:szCs w:val="21"/>
        </w:rPr>
        <w:t>3.6、</w:t>
      </w:r>
      <w:r>
        <w:rPr>
          <w:rFonts w:eastAsia="黑体"/>
          <w:snapToGrid w:val="0"/>
          <w:kern w:val="0"/>
          <w:szCs w:val="21"/>
        </w:rPr>
        <w:t>SPI</w:t>
      </w:r>
      <w:r>
        <w:rPr>
          <w:bCs/>
          <w:snapToGrid w:val="0"/>
          <w:kern w:val="0"/>
          <w:szCs w:val="21"/>
        </w:rPr>
        <w:t>总线设计实例讲解</w:t>
      </w:r>
      <w:r>
        <w:rPr>
          <w:rFonts w:hint="eastAsia"/>
          <w:bCs/>
          <w:snapToGrid w:val="0"/>
          <w:kern w:val="0"/>
          <w:szCs w:val="21"/>
        </w:rPr>
        <w:t>。</w:t>
      </w:r>
    </w:p>
    <w:p>
      <w:pPr>
        <w:widowControl/>
        <w:tabs>
          <w:tab w:val="left" w:pos="900"/>
        </w:tabs>
        <w:spacing w:line="360" w:lineRule="auto"/>
        <w:ind w:left="426"/>
        <w:jc w:val="left"/>
      </w:pPr>
      <w:r>
        <w:rPr>
          <w:rFonts w:hint="eastAsia"/>
          <w:snapToGrid w:val="0"/>
          <w:kern w:val="0"/>
          <w:szCs w:val="21"/>
        </w:rPr>
        <w:t>重点：</w:t>
      </w:r>
      <w:r>
        <w:t>I</w:t>
      </w:r>
      <w:r>
        <w:rPr>
          <w:vertAlign w:val="superscript"/>
        </w:rPr>
        <w:t>2</w:t>
      </w:r>
      <w:r>
        <w:t>C总线</w:t>
      </w:r>
      <w:r>
        <w:rPr>
          <w:rFonts w:hint="eastAsia"/>
        </w:rPr>
        <w:t>及S</w:t>
      </w:r>
      <w:r>
        <w:t>PI</w:t>
      </w:r>
      <w:r>
        <w:rPr>
          <w:rFonts w:hint="eastAsia"/>
        </w:rPr>
        <w:t>总线接口组成结构及时序。</w:t>
      </w:r>
    </w:p>
    <w:p>
      <w:pPr>
        <w:widowControl/>
        <w:tabs>
          <w:tab w:val="left" w:pos="900"/>
        </w:tabs>
        <w:spacing w:line="360" w:lineRule="auto"/>
        <w:ind w:left="426"/>
        <w:jc w:val="left"/>
        <w:rPr>
          <w:snapToGrid w:val="0"/>
          <w:kern w:val="0"/>
          <w:szCs w:val="21"/>
        </w:rPr>
      </w:pPr>
      <w:r>
        <w:rPr>
          <w:rFonts w:hint="eastAsia"/>
        </w:rPr>
        <w:t>难点：</w:t>
      </w:r>
      <w:r>
        <w:t>I</w:t>
      </w:r>
      <w:r>
        <w:rPr>
          <w:vertAlign w:val="superscript"/>
        </w:rPr>
        <w:t>2</w:t>
      </w:r>
      <w:r>
        <w:t>C总线</w:t>
      </w:r>
      <w:r>
        <w:rPr>
          <w:rFonts w:hint="eastAsia"/>
        </w:rPr>
        <w:t>及S</w:t>
      </w:r>
      <w:r>
        <w:t>PI</w:t>
      </w:r>
      <w:r>
        <w:rPr>
          <w:rFonts w:hint="eastAsia"/>
        </w:rPr>
        <w:t>总线接口设计实例。</w:t>
      </w:r>
    </w:p>
    <w:p>
      <w:pPr>
        <w:widowControl/>
        <w:spacing w:line="360" w:lineRule="auto"/>
        <w:ind w:left="1050" w:leftChars="200" w:hanging="630" w:hangingChars="300"/>
        <w:rPr>
          <w:snapToGrid w:val="0"/>
          <w:kern w:val="0"/>
          <w:szCs w:val="21"/>
        </w:rPr>
      </w:pPr>
      <w:r>
        <w:rPr>
          <w:snapToGrid w:val="0"/>
          <w:kern w:val="0"/>
          <w:szCs w:val="21"/>
        </w:rPr>
        <w:t>本章内容支撑课程目标</w:t>
      </w:r>
      <w:r>
        <w:rPr>
          <w:rFonts w:hint="eastAsia"/>
          <w:snapToGrid w:val="0"/>
          <w:kern w:val="0"/>
          <w:szCs w:val="21"/>
        </w:rPr>
        <w:t>2、3。</w:t>
      </w:r>
    </w:p>
    <w:p>
      <w:pPr>
        <w:widowControl/>
        <w:tabs>
          <w:tab w:val="left" w:pos="900"/>
        </w:tabs>
        <w:spacing w:line="360" w:lineRule="auto"/>
        <w:ind w:firstLine="420" w:firstLineChars="200"/>
        <w:jc w:val="left"/>
        <w:rPr>
          <w:rFonts w:eastAsia="黑体"/>
          <w:snapToGrid w:val="0"/>
          <w:kern w:val="0"/>
          <w:szCs w:val="21"/>
        </w:rPr>
      </w:pPr>
      <w:r>
        <w:rPr>
          <w:rFonts w:eastAsia="黑体"/>
          <w:snapToGrid w:val="0"/>
          <w:kern w:val="0"/>
          <w:szCs w:val="21"/>
        </w:rPr>
        <w:t>4  简易接口及总线设计-UART与</w:t>
      </w:r>
      <w:r>
        <w:rPr>
          <w:snapToGrid w:val="0"/>
          <w:kern w:val="0"/>
          <w:szCs w:val="21"/>
        </w:rPr>
        <w:t>1-wire</w:t>
      </w:r>
      <w:r>
        <w:rPr>
          <w:rFonts w:eastAsia="黑体"/>
          <w:snapToGrid w:val="0"/>
          <w:kern w:val="0"/>
          <w:szCs w:val="21"/>
        </w:rPr>
        <w:t>接口总线（2学时）</w:t>
      </w:r>
    </w:p>
    <w:p>
      <w:pPr>
        <w:tabs>
          <w:tab w:val="left" w:pos="1260"/>
        </w:tabs>
        <w:spacing w:line="360" w:lineRule="auto"/>
        <w:ind w:left="426"/>
        <w:rPr>
          <w:snapToGrid w:val="0"/>
          <w:kern w:val="0"/>
          <w:szCs w:val="21"/>
        </w:rPr>
      </w:pPr>
      <w:r>
        <w:rPr>
          <w:snapToGrid w:val="0"/>
          <w:kern w:val="0"/>
          <w:szCs w:val="21"/>
        </w:rPr>
        <w:t>4.1、掌握1-wire总线的基本概念、组成结构及接口功能；</w:t>
      </w:r>
    </w:p>
    <w:p>
      <w:pPr>
        <w:tabs>
          <w:tab w:val="left" w:pos="1260"/>
        </w:tabs>
        <w:spacing w:line="360" w:lineRule="auto"/>
        <w:ind w:left="426"/>
        <w:rPr>
          <w:snapToGrid w:val="0"/>
          <w:kern w:val="0"/>
          <w:szCs w:val="21"/>
        </w:rPr>
      </w:pPr>
      <w:r>
        <w:rPr>
          <w:snapToGrid w:val="0"/>
          <w:kern w:val="0"/>
          <w:szCs w:val="21"/>
        </w:rPr>
        <w:t>4.2、熟练掌握1-wire总线接口时序；</w:t>
      </w:r>
    </w:p>
    <w:p>
      <w:pPr>
        <w:tabs>
          <w:tab w:val="left" w:pos="1260"/>
        </w:tabs>
        <w:spacing w:line="360" w:lineRule="auto"/>
        <w:ind w:left="426"/>
        <w:rPr>
          <w:snapToGrid w:val="0"/>
          <w:kern w:val="0"/>
          <w:szCs w:val="21"/>
        </w:rPr>
      </w:pPr>
      <w:r>
        <w:rPr>
          <w:snapToGrid w:val="0"/>
          <w:kern w:val="0"/>
          <w:szCs w:val="21"/>
        </w:rPr>
        <w:t>4.3、1-wire总线设计实例讲解</w:t>
      </w:r>
      <w:r>
        <w:rPr>
          <w:rFonts w:hint="eastAsia"/>
          <w:snapToGrid w:val="0"/>
          <w:kern w:val="0"/>
          <w:szCs w:val="21"/>
        </w:rPr>
        <w:t>；</w:t>
      </w:r>
    </w:p>
    <w:p>
      <w:pPr>
        <w:tabs>
          <w:tab w:val="left" w:pos="1260"/>
        </w:tabs>
        <w:spacing w:line="360" w:lineRule="auto"/>
        <w:ind w:left="426"/>
        <w:rPr>
          <w:snapToGrid w:val="0"/>
          <w:kern w:val="0"/>
          <w:szCs w:val="21"/>
        </w:rPr>
      </w:pPr>
      <w:r>
        <w:rPr>
          <w:snapToGrid w:val="0"/>
          <w:kern w:val="0"/>
          <w:szCs w:val="21"/>
        </w:rPr>
        <w:t>4.4、掌握UART总线的基本协议、数据传输组成结构及接口特点；</w:t>
      </w:r>
    </w:p>
    <w:p>
      <w:pPr>
        <w:tabs>
          <w:tab w:val="left" w:pos="1260"/>
        </w:tabs>
        <w:spacing w:line="360" w:lineRule="auto"/>
        <w:ind w:left="426"/>
        <w:rPr>
          <w:snapToGrid w:val="0"/>
          <w:kern w:val="0"/>
          <w:szCs w:val="21"/>
        </w:rPr>
      </w:pPr>
      <w:r>
        <w:rPr>
          <w:snapToGrid w:val="0"/>
          <w:kern w:val="0"/>
          <w:szCs w:val="21"/>
        </w:rPr>
        <w:t>4.5、熟练掌握基于FPGA的UART总线接口控制时序设计方法；</w:t>
      </w:r>
    </w:p>
    <w:p>
      <w:pPr>
        <w:tabs>
          <w:tab w:val="left" w:pos="1260"/>
        </w:tabs>
        <w:spacing w:line="360" w:lineRule="auto"/>
        <w:ind w:left="426"/>
        <w:rPr>
          <w:snapToGrid w:val="0"/>
          <w:kern w:val="0"/>
          <w:szCs w:val="21"/>
        </w:rPr>
      </w:pPr>
      <w:r>
        <w:rPr>
          <w:snapToGrid w:val="0"/>
          <w:kern w:val="0"/>
          <w:szCs w:val="21"/>
        </w:rPr>
        <w:t>4.6、UART总线设计实例讲解。</w:t>
      </w:r>
    </w:p>
    <w:p>
      <w:pPr>
        <w:tabs>
          <w:tab w:val="left" w:pos="1260"/>
        </w:tabs>
        <w:spacing w:line="360" w:lineRule="auto"/>
        <w:ind w:left="426"/>
        <w:rPr>
          <w:snapToGrid w:val="0"/>
          <w:kern w:val="0"/>
          <w:szCs w:val="21"/>
        </w:rPr>
      </w:pPr>
      <w:r>
        <w:rPr>
          <w:rFonts w:hint="eastAsia"/>
          <w:snapToGrid w:val="0"/>
          <w:kern w:val="0"/>
          <w:szCs w:val="21"/>
        </w:rPr>
        <w:t>重点：</w:t>
      </w:r>
      <w:bookmarkStart w:id="252" w:name="_Hlk37082163"/>
      <w:r>
        <w:rPr>
          <w:snapToGrid w:val="0"/>
          <w:kern w:val="0"/>
          <w:szCs w:val="21"/>
        </w:rPr>
        <w:t>1-wire总线</w:t>
      </w:r>
      <w:r>
        <w:rPr>
          <w:rFonts w:hint="eastAsia"/>
          <w:snapToGrid w:val="0"/>
          <w:kern w:val="0"/>
          <w:szCs w:val="21"/>
        </w:rPr>
        <w:t>与</w:t>
      </w:r>
      <w:r>
        <w:rPr>
          <w:snapToGrid w:val="0"/>
          <w:kern w:val="0"/>
          <w:szCs w:val="21"/>
        </w:rPr>
        <w:t>UART总线</w:t>
      </w:r>
      <w:r>
        <w:rPr>
          <w:rFonts w:hint="eastAsia"/>
          <w:snapToGrid w:val="0"/>
          <w:kern w:val="0"/>
          <w:szCs w:val="21"/>
        </w:rPr>
        <w:t>接口组成接口及传输时序。</w:t>
      </w:r>
      <w:bookmarkEnd w:id="252"/>
    </w:p>
    <w:p>
      <w:pPr>
        <w:tabs>
          <w:tab w:val="left" w:pos="1260"/>
        </w:tabs>
        <w:spacing w:line="360" w:lineRule="auto"/>
        <w:ind w:left="426"/>
        <w:rPr>
          <w:snapToGrid w:val="0"/>
          <w:kern w:val="0"/>
          <w:szCs w:val="21"/>
        </w:rPr>
      </w:pPr>
      <w:r>
        <w:rPr>
          <w:rFonts w:hint="eastAsia"/>
          <w:snapToGrid w:val="0"/>
          <w:kern w:val="0"/>
          <w:szCs w:val="21"/>
        </w:rPr>
        <w:t>难点：1-wire总线与UART总线接口设计实例。</w:t>
      </w:r>
    </w:p>
    <w:p>
      <w:pPr>
        <w:widowControl/>
        <w:spacing w:line="360" w:lineRule="auto"/>
        <w:ind w:left="1050" w:leftChars="200" w:hanging="630" w:hangingChars="300"/>
        <w:rPr>
          <w:snapToGrid w:val="0"/>
          <w:kern w:val="0"/>
          <w:szCs w:val="21"/>
        </w:rPr>
      </w:pPr>
      <w:r>
        <w:rPr>
          <w:snapToGrid w:val="0"/>
          <w:kern w:val="0"/>
          <w:szCs w:val="21"/>
        </w:rPr>
        <w:t>本章内容支撑课程目标</w:t>
      </w:r>
      <w:r>
        <w:rPr>
          <w:rFonts w:hint="eastAsia"/>
          <w:snapToGrid w:val="0"/>
          <w:kern w:val="0"/>
          <w:szCs w:val="21"/>
        </w:rPr>
        <w:t>2、3、4。</w:t>
      </w:r>
    </w:p>
    <w:p>
      <w:pPr>
        <w:widowControl/>
        <w:spacing w:line="360" w:lineRule="auto"/>
        <w:ind w:firstLine="420" w:firstLineChars="200"/>
        <w:jc w:val="left"/>
        <w:rPr>
          <w:rFonts w:eastAsia="黑体"/>
          <w:snapToGrid w:val="0"/>
          <w:kern w:val="0"/>
          <w:szCs w:val="21"/>
        </w:rPr>
      </w:pPr>
      <w:r>
        <w:rPr>
          <w:rFonts w:eastAsia="黑体"/>
          <w:snapToGrid w:val="0"/>
          <w:kern w:val="0"/>
          <w:szCs w:val="21"/>
        </w:rPr>
        <w:t>5 CAN接口现场总线设计（4学时）</w:t>
      </w:r>
    </w:p>
    <w:p>
      <w:pPr>
        <w:widowControl/>
        <w:tabs>
          <w:tab w:val="left" w:pos="900"/>
        </w:tabs>
        <w:spacing w:line="360" w:lineRule="auto"/>
        <w:ind w:left="426"/>
        <w:jc w:val="left"/>
        <w:rPr>
          <w:bCs/>
          <w:snapToGrid w:val="0"/>
          <w:kern w:val="0"/>
          <w:szCs w:val="21"/>
        </w:rPr>
      </w:pPr>
      <w:r>
        <w:rPr>
          <w:bCs/>
          <w:snapToGrid w:val="0"/>
          <w:kern w:val="0"/>
          <w:szCs w:val="21"/>
        </w:rPr>
        <w:t>5.1、现场总线概念及类型；</w:t>
      </w:r>
    </w:p>
    <w:p>
      <w:pPr>
        <w:widowControl/>
        <w:tabs>
          <w:tab w:val="left" w:pos="900"/>
        </w:tabs>
        <w:spacing w:line="360" w:lineRule="auto"/>
        <w:ind w:left="426"/>
        <w:jc w:val="left"/>
        <w:rPr>
          <w:bCs/>
          <w:snapToGrid w:val="0"/>
          <w:kern w:val="0"/>
          <w:szCs w:val="21"/>
        </w:rPr>
      </w:pPr>
      <w:r>
        <w:rPr>
          <w:bCs/>
          <w:snapToGrid w:val="0"/>
          <w:kern w:val="0"/>
          <w:szCs w:val="21"/>
        </w:rPr>
        <w:t>5.2、熟练CAN总线的基本概念及特点；</w:t>
      </w:r>
    </w:p>
    <w:p>
      <w:pPr>
        <w:widowControl/>
        <w:tabs>
          <w:tab w:val="left" w:pos="900"/>
        </w:tabs>
        <w:spacing w:line="360" w:lineRule="auto"/>
        <w:ind w:left="426"/>
        <w:jc w:val="left"/>
        <w:rPr>
          <w:bCs/>
          <w:snapToGrid w:val="0"/>
          <w:kern w:val="0"/>
          <w:szCs w:val="21"/>
        </w:rPr>
      </w:pPr>
      <w:r>
        <w:rPr>
          <w:bCs/>
          <w:snapToGrid w:val="0"/>
          <w:kern w:val="0"/>
          <w:szCs w:val="21"/>
        </w:rPr>
        <w:t>5.3、熟练CAN总线分层结构、数据传输帧格式；</w:t>
      </w:r>
    </w:p>
    <w:p>
      <w:pPr>
        <w:widowControl/>
        <w:tabs>
          <w:tab w:val="left" w:pos="900"/>
        </w:tabs>
        <w:spacing w:line="360" w:lineRule="auto"/>
        <w:ind w:left="426"/>
        <w:jc w:val="left"/>
        <w:rPr>
          <w:bCs/>
          <w:snapToGrid w:val="0"/>
          <w:kern w:val="0"/>
          <w:szCs w:val="21"/>
        </w:rPr>
      </w:pPr>
      <w:r>
        <w:rPr>
          <w:bCs/>
          <w:snapToGrid w:val="0"/>
          <w:kern w:val="0"/>
          <w:szCs w:val="21"/>
        </w:rPr>
        <w:t>5.4、熟练CAN总线通信介质访问控制方式；</w:t>
      </w:r>
    </w:p>
    <w:p>
      <w:pPr>
        <w:widowControl/>
        <w:tabs>
          <w:tab w:val="left" w:pos="900"/>
        </w:tabs>
        <w:spacing w:line="360" w:lineRule="auto"/>
        <w:ind w:left="426"/>
        <w:jc w:val="left"/>
        <w:rPr>
          <w:bCs/>
          <w:snapToGrid w:val="0"/>
          <w:kern w:val="0"/>
          <w:szCs w:val="21"/>
        </w:rPr>
      </w:pPr>
      <w:r>
        <w:rPr>
          <w:bCs/>
          <w:snapToGrid w:val="0"/>
          <w:kern w:val="0"/>
          <w:szCs w:val="21"/>
        </w:rPr>
        <w:t>5.5、了解CAN总线多点控制冲裁协议；</w:t>
      </w:r>
    </w:p>
    <w:p>
      <w:pPr>
        <w:widowControl/>
        <w:tabs>
          <w:tab w:val="left" w:pos="900"/>
        </w:tabs>
        <w:spacing w:line="360" w:lineRule="auto"/>
        <w:ind w:left="426"/>
        <w:jc w:val="left"/>
        <w:rPr>
          <w:snapToGrid w:val="0"/>
          <w:kern w:val="0"/>
          <w:szCs w:val="21"/>
        </w:rPr>
      </w:pPr>
      <w:r>
        <w:rPr>
          <w:bCs/>
          <w:snapToGrid w:val="0"/>
          <w:kern w:val="0"/>
          <w:szCs w:val="21"/>
        </w:rPr>
        <w:t>5.6、CAN总线设计实例讲解。</w:t>
      </w:r>
    </w:p>
    <w:p>
      <w:pPr>
        <w:widowControl/>
        <w:tabs>
          <w:tab w:val="left" w:pos="900"/>
        </w:tabs>
        <w:spacing w:line="360" w:lineRule="auto"/>
        <w:ind w:left="426"/>
        <w:jc w:val="left"/>
        <w:rPr>
          <w:snapToGrid w:val="0"/>
          <w:kern w:val="0"/>
          <w:szCs w:val="21"/>
        </w:rPr>
      </w:pPr>
      <w:r>
        <w:rPr>
          <w:rFonts w:hint="eastAsia"/>
          <w:snapToGrid w:val="0"/>
          <w:kern w:val="0"/>
          <w:szCs w:val="21"/>
        </w:rPr>
        <w:t>重点：</w:t>
      </w:r>
      <w:bookmarkStart w:id="253" w:name="_Hlk37082354"/>
      <w:r>
        <w:rPr>
          <w:rFonts w:hint="eastAsia"/>
          <w:snapToGrid w:val="0"/>
          <w:kern w:val="0"/>
          <w:szCs w:val="21"/>
        </w:rPr>
        <w:t>C</w:t>
      </w:r>
      <w:r>
        <w:rPr>
          <w:snapToGrid w:val="0"/>
          <w:kern w:val="0"/>
          <w:szCs w:val="21"/>
        </w:rPr>
        <w:t>AN</w:t>
      </w:r>
      <w:r>
        <w:rPr>
          <w:rFonts w:hint="eastAsia"/>
          <w:snapToGrid w:val="0"/>
          <w:kern w:val="0"/>
          <w:szCs w:val="21"/>
        </w:rPr>
        <w:t>接口总线组成及数据传输链路协议</w:t>
      </w:r>
      <w:bookmarkEnd w:id="253"/>
      <w:r>
        <w:rPr>
          <w:rFonts w:hint="eastAsia"/>
          <w:snapToGrid w:val="0"/>
          <w:kern w:val="0"/>
          <w:szCs w:val="21"/>
        </w:rPr>
        <w:t>。</w:t>
      </w:r>
    </w:p>
    <w:p>
      <w:pPr>
        <w:widowControl/>
        <w:tabs>
          <w:tab w:val="left" w:pos="900"/>
        </w:tabs>
        <w:spacing w:line="360" w:lineRule="auto"/>
        <w:ind w:left="426"/>
        <w:jc w:val="left"/>
        <w:rPr>
          <w:snapToGrid w:val="0"/>
          <w:kern w:val="0"/>
          <w:szCs w:val="21"/>
        </w:rPr>
      </w:pPr>
      <w:r>
        <w:rPr>
          <w:rFonts w:hint="eastAsia"/>
          <w:snapToGrid w:val="0"/>
          <w:kern w:val="0"/>
          <w:szCs w:val="21"/>
        </w:rPr>
        <w:t>难点：C</w:t>
      </w:r>
      <w:r>
        <w:rPr>
          <w:snapToGrid w:val="0"/>
          <w:kern w:val="0"/>
          <w:szCs w:val="21"/>
        </w:rPr>
        <w:t>AN</w:t>
      </w:r>
      <w:r>
        <w:rPr>
          <w:rFonts w:hint="eastAsia"/>
          <w:snapToGrid w:val="0"/>
          <w:kern w:val="0"/>
          <w:szCs w:val="21"/>
        </w:rPr>
        <w:t>接口总线设计实例。</w:t>
      </w:r>
    </w:p>
    <w:p>
      <w:pPr>
        <w:widowControl/>
        <w:spacing w:line="360" w:lineRule="auto"/>
        <w:ind w:left="1050" w:leftChars="200" w:hanging="630" w:hangingChars="300"/>
        <w:rPr>
          <w:snapToGrid w:val="0"/>
          <w:kern w:val="0"/>
          <w:szCs w:val="21"/>
        </w:rPr>
      </w:pPr>
      <w:r>
        <w:rPr>
          <w:snapToGrid w:val="0"/>
          <w:kern w:val="0"/>
          <w:szCs w:val="21"/>
        </w:rPr>
        <w:t>本章内容支撑课程目标</w:t>
      </w:r>
      <w:r>
        <w:rPr>
          <w:rFonts w:hint="eastAsia"/>
          <w:snapToGrid w:val="0"/>
          <w:kern w:val="0"/>
          <w:szCs w:val="21"/>
        </w:rPr>
        <w:t>2、3、4。</w:t>
      </w:r>
    </w:p>
    <w:p>
      <w:pPr>
        <w:spacing w:line="360" w:lineRule="auto"/>
        <w:ind w:firstLine="422" w:firstLineChars="200"/>
        <w:rPr>
          <w:b/>
          <w:bCs/>
          <w:snapToGrid w:val="0"/>
          <w:kern w:val="0"/>
          <w:szCs w:val="21"/>
        </w:rPr>
      </w:pPr>
      <w:r>
        <w:rPr>
          <w:rFonts w:hint="eastAsia"/>
          <w:b/>
          <w:bCs/>
          <w:szCs w:val="21"/>
        </w:rPr>
        <w:t>思政元素：通过了解当前国际上工业现场总线的技术市场垄断现状，了解该技术市场竞争的激烈程度，以及维护公正、良好、法治的竞争环境的重要性。</w:t>
      </w:r>
    </w:p>
    <w:p>
      <w:pPr>
        <w:widowControl/>
        <w:spacing w:line="360" w:lineRule="auto"/>
        <w:ind w:firstLine="420" w:firstLineChars="200"/>
        <w:jc w:val="left"/>
        <w:rPr>
          <w:rFonts w:eastAsia="黑体"/>
          <w:snapToGrid w:val="0"/>
          <w:kern w:val="0"/>
          <w:szCs w:val="21"/>
        </w:rPr>
      </w:pPr>
      <w:r>
        <w:rPr>
          <w:rFonts w:eastAsia="黑体"/>
          <w:snapToGrid w:val="0"/>
          <w:kern w:val="0"/>
          <w:szCs w:val="21"/>
        </w:rPr>
        <w:t>6 RS-422/485接口及总线设计（2学时）</w:t>
      </w:r>
    </w:p>
    <w:p>
      <w:pPr>
        <w:widowControl/>
        <w:tabs>
          <w:tab w:val="left" w:pos="900"/>
        </w:tabs>
        <w:spacing w:line="360" w:lineRule="auto"/>
        <w:ind w:left="426"/>
        <w:jc w:val="left"/>
        <w:rPr>
          <w:bCs/>
          <w:snapToGrid w:val="0"/>
          <w:kern w:val="0"/>
          <w:szCs w:val="21"/>
        </w:rPr>
      </w:pPr>
      <w:r>
        <w:rPr>
          <w:rFonts w:hint="eastAsia"/>
          <w:bCs/>
          <w:snapToGrid w:val="0"/>
          <w:kern w:val="0"/>
          <w:szCs w:val="21"/>
        </w:rPr>
        <w:t>6</w:t>
      </w:r>
      <w:r>
        <w:rPr>
          <w:bCs/>
          <w:snapToGrid w:val="0"/>
          <w:kern w:val="0"/>
          <w:szCs w:val="21"/>
        </w:rPr>
        <w:t>.1、RS-422/485总线的基本概念、组成结构及接口功能；</w:t>
      </w:r>
    </w:p>
    <w:p>
      <w:pPr>
        <w:widowControl/>
        <w:tabs>
          <w:tab w:val="left" w:pos="900"/>
        </w:tabs>
        <w:spacing w:line="360" w:lineRule="auto"/>
        <w:ind w:left="426"/>
        <w:jc w:val="left"/>
        <w:rPr>
          <w:bCs/>
          <w:snapToGrid w:val="0"/>
          <w:kern w:val="0"/>
          <w:szCs w:val="21"/>
        </w:rPr>
      </w:pPr>
      <w:r>
        <w:rPr>
          <w:rFonts w:hint="eastAsia"/>
          <w:bCs/>
          <w:snapToGrid w:val="0"/>
          <w:kern w:val="0"/>
          <w:szCs w:val="21"/>
        </w:rPr>
        <w:t>6</w:t>
      </w:r>
      <w:r>
        <w:rPr>
          <w:bCs/>
          <w:snapToGrid w:val="0"/>
          <w:kern w:val="0"/>
          <w:szCs w:val="21"/>
        </w:rPr>
        <w:t>.2、熟练RS-422/485总线数据传输编码格式；</w:t>
      </w:r>
    </w:p>
    <w:p>
      <w:pPr>
        <w:widowControl/>
        <w:tabs>
          <w:tab w:val="left" w:pos="900"/>
        </w:tabs>
        <w:spacing w:line="360" w:lineRule="auto"/>
        <w:ind w:left="426"/>
        <w:jc w:val="left"/>
        <w:rPr>
          <w:bCs/>
          <w:snapToGrid w:val="0"/>
          <w:kern w:val="0"/>
          <w:szCs w:val="21"/>
        </w:rPr>
      </w:pPr>
      <w:r>
        <w:rPr>
          <w:rFonts w:hint="eastAsia"/>
          <w:bCs/>
          <w:snapToGrid w:val="0"/>
          <w:kern w:val="0"/>
          <w:szCs w:val="21"/>
        </w:rPr>
        <w:t>6</w:t>
      </w:r>
      <w:r>
        <w:rPr>
          <w:bCs/>
          <w:snapToGrid w:val="0"/>
          <w:kern w:val="0"/>
          <w:szCs w:val="21"/>
        </w:rPr>
        <w:t>.3、熟练RS-422/485总线常用接口芯片及基本功能；</w:t>
      </w:r>
    </w:p>
    <w:p>
      <w:pPr>
        <w:widowControl/>
        <w:tabs>
          <w:tab w:val="left" w:pos="900"/>
        </w:tabs>
        <w:spacing w:line="360" w:lineRule="auto"/>
        <w:ind w:left="426"/>
        <w:jc w:val="left"/>
        <w:rPr>
          <w:bCs/>
          <w:snapToGrid w:val="0"/>
          <w:kern w:val="0"/>
          <w:szCs w:val="21"/>
        </w:rPr>
      </w:pPr>
      <w:r>
        <w:rPr>
          <w:rFonts w:hint="eastAsia"/>
          <w:bCs/>
          <w:snapToGrid w:val="0"/>
          <w:kern w:val="0"/>
          <w:szCs w:val="21"/>
        </w:rPr>
        <w:t>6</w:t>
      </w:r>
      <w:r>
        <w:rPr>
          <w:bCs/>
          <w:snapToGrid w:val="0"/>
          <w:kern w:val="0"/>
          <w:szCs w:val="21"/>
        </w:rPr>
        <w:t>.4、初步了解RS-422/485总线的接口设计方法；</w:t>
      </w:r>
    </w:p>
    <w:p>
      <w:pPr>
        <w:widowControl/>
        <w:tabs>
          <w:tab w:val="left" w:pos="900"/>
        </w:tabs>
        <w:spacing w:line="360" w:lineRule="auto"/>
        <w:ind w:left="426"/>
        <w:jc w:val="left"/>
        <w:rPr>
          <w:bCs/>
          <w:snapToGrid w:val="0"/>
          <w:kern w:val="0"/>
          <w:szCs w:val="21"/>
        </w:rPr>
      </w:pPr>
      <w:r>
        <w:rPr>
          <w:rFonts w:hint="eastAsia"/>
          <w:bCs/>
          <w:snapToGrid w:val="0"/>
          <w:kern w:val="0"/>
          <w:szCs w:val="21"/>
        </w:rPr>
        <w:t>6</w:t>
      </w:r>
      <w:r>
        <w:rPr>
          <w:bCs/>
          <w:snapToGrid w:val="0"/>
          <w:kern w:val="0"/>
          <w:szCs w:val="21"/>
        </w:rPr>
        <w:t>.</w:t>
      </w:r>
      <w:r>
        <w:rPr>
          <w:rFonts w:hint="eastAsia"/>
          <w:bCs/>
          <w:snapToGrid w:val="0"/>
          <w:kern w:val="0"/>
          <w:szCs w:val="21"/>
        </w:rPr>
        <w:t>5</w:t>
      </w:r>
      <w:r>
        <w:rPr>
          <w:bCs/>
          <w:snapToGrid w:val="0"/>
          <w:kern w:val="0"/>
          <w:szCs w:val="21"/>
        </w:rPr>
        <w:t>、</w:t>
      </w:r>
      <w:bookmarkStart w:id="254" w:name="_Hlk37082360"/>
      <w:r>
        <w:rPr>
          <w:bCs/>
          <w:snapToGrid w:val="0"/>
          <w:kern w:val="0"/>
          <w:szCs w:val="21"/>
        </w:rPr>
        <w:t>RS-422/485</w:t>
      </w:r>
      <w:bookmarkEnd w:id="254"/>
      <w:r>
        <w:rPr>
          <w:bCs/>
          <w:snapToGrid w:val="0"/>
          <w:kern w:val="0"/>
          <w:szCs w:val="21"/>
        </w:rPr>
        <w:t>总线设计实例讲解</w:t>
      </w:r>
      <w:r>
        <w:rPr>
          <w:rFonts w:hint="eastAsia"/>
          <w:bCs/>
          <w:snapToGrid w:val="0"/>
          <w:kern w:val="0"/>
          <w:szCs w:val="21"/>
        </w:rPr>
        <w:t>。</w:t>
      </w:r>
    </w:p>
    <w:p>
      <w:pPr>
        <w:widowControl/>
        <w:tabs>
          <w:tab w:val="left" w:pos="900"/>
        </w:tabs>
        <w:spacing w:line="360" w:lineRule="auto"/>
        <w:ind w:left="426"/>
        <w:jc w:val="left"/>
        <w:rPr>
          <w:snapToGrid w:val="0"/>
          <w:kern w:val="0"/>
          <w:szCs w:val="21"/>
        </w:rPr>
      </w:pPr>
      <w:r>
        <w:rPr>
          <w:rFonts w:hint="eastAsia"/>
          <w:bCs/>
          <w:snapToGrid w:val="0"/>
          <w:kern w:val="0"/>
          <w:szCs w:val="21"/>
        </w:rPr>
        <w:t>重点：</w:t>
      </w:r>
      <w:r>
        <w:rPr>
          <w:bCs/>
          <w:snapToGrid w:val="0"/>
          <w:kern w:val="0"/>
          <w:szCs w:val="21"/>
        </w:rPr>
        <w:t>RS-422/485</w:t>
      </w:r>
      <w:r>
        <w:rPr>
          <w:rFonts w:hint="eastAsia"/>
          <w:bCs/>
          <w:snapToGrid w:val="0"/>
          <w:kern w:val="0"/>
          <w:szCs w:val="21"/>
        </w:rPr>
        <w:t>接口总线组成及数据传输链路协议</w:t>
      </w:r>
    </w:p>
    <w:p>
      <w:pPr>
        <w:widowControl/>
        <w:spacing w:line="360" w:lineRule="auto"/>
        <w:ind w:left="1050" w:leftChars="200" w:hanging="630" w:hangingChars="300"/>
        <w:rPr>
          <w:snapToGrid w:val="0"/>
          <w:kern w:val="0"/>
          <w:szCs w:val="21"/>
        </w:rPr>
      </w:pPr>
      <w:r>
        <w:rPr>
          <w:snapToGrid w:val="0"/>
          <w:kern w:val="0"/>
          <w:szCs w:val="21"/>
        </w:rPr>
        <w:t>本章内容支撑课程目标</w:t>
      </w:r>
      <w:r>
        <w:rPr>
          <w:rFonts w:hint="eastAsia"/>
          <w:snapToGrid w:val="0"/>
          <w:kern w:val="0"/>
          <w:szCs w:val="21"/>
        </w:rPr>
        <w:t>2、3、4。</w:t>
      </w:r>
    </w:p>
    <w:p>
      <w:pPr>
        <w:widowControl/>
        <w:spacing w:line="360" w:lineRule="auto"/>
        <w:ind w:firstLine="420" w:firstLineChars="200"/>
        <w:jc w:val="left"/>
        <w:rPr>
          <w:rFonts w:eastAsia="黑体"/>
          <w:snapToGrid w:val="0"/>
          <w:kern w:val="0"/>
          <w:szCs w:val="21"/>
        </w:rPr>
      </w:pPr>
      <w:r>
        <w:rPr>
          <w:rFonts w:eastAsia="黑体"/>
          <w:snapToGrid w:val="0"/>
          <w:kern w:val="0"/>
          <w:szCs w:val="21"/>
        </w:rPr>
        <w:t>7  PCI/PCIE/PXI接口及总线设计（4学时）</w:t>
      </w:r>
    </w:p>
    <w:p>
      <w:pPr>
        <w:widowControl/>
        <w:tabs>
          <w:tab w:val="left" w:pos="900"/>
        </w:tabs>
        <w:spacing w:line="360" w:lineRule="auto"/>
        <w:ind w:left="426"/>
        <w:jc w:val="left"/>
        <w:rPr>
          <w:bCs/>
          <w:snapToGrid w:val="0"/>
          <w:kern w:val="0"/>
          <w:szCs w:val="21"/>
        </w:rPr>
      </w:pPr>
      <w:r>
        <w:rPr>
          <w:bCs/>
          <w:snapToGrid w:val="0"/>
          <w:kern w:val="0"/>
          <w:szCs w:val="21"/>
        </w:rPr>
        <w:t>7.1、了解PCI总线基本概念、电气技术标准及系统结构；</w:t>
      </w:r>
    </w:p>
    <w:p>
      <w:pPr>
        <w:widowControl/>
        <w:tabs>
          <w:tab w:val="left" w:pos="900"/>
        </w:tabs>
        <w:spacing w:line="360" w:lineRule="auto"/>
        <w:ind w:left="426"/>
        <w:jc w:val="left"/>
        <w:rPr>
          <w:bCs/>
          <w:snapToGrid w:val="0"/>
          <w:kern w:val="0"/>
          <w:szCs w:val="21"/>
        </w:rPr>
      </w:pPr>
      <w:r>
        <w:rPr>
          <w:bCs/>
          <w:snapToGrid w:val="0"/>
          <w:kern w:val="0"/>
          <w:szCs w:val="21"/>
        </w:rPr>
        <w:t>7.2、</w:t>
      </w:r>
      <w:r>
        <w:rPr>
          <w:rFonts w:hint="eastAsia"/>
          <w:bCs/>
          <w:snapToGrid w:val="0"/>
          <w:kern w:val="0"/>
          <w:szCs w:val="21"/>
        </w:rPr>
        <w:t>熟练</w:t>
      </w:r>
      <w:r>
        <w:rPr>
          <w:bCs/>
          <w:snapToGrid w:val="0"/>
          <w:kern w:val="0"/>
          <w:szCs w:val="21"/>
        </w:rPr>
        <w:t>掌握PCI总线命令及总线协议；</w:t>
      </w:r>
    </w:p>
    <w:p>
      <w:pPr>
        <w:widowControl/>
        <w:tabs>
          <w:tab w:val="left" w:pos="900"/>
        </w:tabs>
        <w:spacing w:line="360" w:lineRule="auto"/>
        <w:ind w:left="426"/>
        <w:jc w:val="left"/>
        <w:rPr>
          <w:bCs/>
          <w:snapToGrid w:val="0"/>
          <w:kern w:val="0"/>
          <w:szCs w:val="21"/>
        </w:rPr>
      </w:pPr>
      <w:r>
        <w:rPr>
          <w:bCs/>
          <w:snapToGrid w:val="0"/>
          <w:kern w:val="0"/>
          <w:szCs w:val="21"/>
        </w:rPr>
        <w:t>7.3、</w:t>
      </w:r>
      <w:r>
        <w:rPr>
          <w:rFonts w:hint="eastAsia"/>
          <w:bCs/>
          <w:snapToGrid w:val="0"/>
          <w:kern w:val="0"/>
          <w:szCs w:val="21"/>
        </w:rPr>
        <w:t>熟练</w:t>
      </w:r>
      <w:r>
        <w:rPr>
          <w:bCs/>
          <w:snapToGrid w:val="0"/>
          <w:kern w:val="0"/>
          <w:szCs w:val="21"/>
        </w:rPr>
        <w:t>掌握PCI总线数据传输操作时序；</w:t>
      </w:r>
    </w:p>
    <w:p>
      <w:pPr>
        <w:widowControl/>
        <w:tabs>
          <w:tab w:val="left" w:pos="900"/>
        </w:tabs>
        <w:spacing w:line="360" w:lineRule="auto"/>
        <w:ind w:left="426"/>
        <w:jc w:val="left"/>
        <w:rPr>
          <w:bCs/>
          <w:snapToGrid w:val="0"/>
          <w:kern w:val="0"/>
          <w:szCs w:val="21"/>
        </w:rPr>
      </w:pPr>
      <w:r>
        <w:rPr>
          <w:bCs/>
          <w:snapToGrid w:val="0"/>
          <w:kern w:val="0"/>
          <w:szCs w:val="21"/>
        </w:rPr>
        <w:t>7.4、掌握PCI总线冲裁及总线接口配置基本内容；</w:t>
      </w:r>
    </w:p>
    <w:p>
      <w:pPr>
        <w:widowControl/>
        <w:tabs>
          <w:tab w:val="left" w:pos="900"/>
        </w:tabs>
        <w:spacing w:line="360" w:lineRule="auto"/>
        <w:ind w:left="426"/>
        <w:jc w:val="left"/>
        <w:rPr>
          <w:bCs/>
          <w:snapToGrid w:val="0"/>
          <w:kern w:val="0"/>
          <w:szCs w:val="21"/>
        </w:rPr>
      </w:pPr>
      <w:r>
        <w:rPr>
          <w:bCs/>
          <w:snapToGrid w:val="0"/>
          <w:kern w:val="0"/>
          <w:szCs w:val="21"/>
        </w:rPr>
        <w:t>7.5、讲解PCIE/PXI总线结构概念、电气规范及机械结构特点、仪器系统集成。</w:t>
      </w:r>
    </w:p>
    <w:p>
      <w:pPr>
        <w:widowControl/>
        <w:tabs>
          <w:tab w:val="left" w:pos="900"/>
        </w:tabs>
        <w:spacing w:line="360" w:lineRule="auto"/>
        <w:ind w:left="426"/>
        <w:jc w:val="left"/>
        <w:rPr>
          <w:bCs/>
          <w:snapToGrid w:val="0"/>
          <w:kern w:val="0"/>
          <w:szCs w:val="21"/>
        </w:rPr>
      </w:pPr>
      <w:r>
        <w:rPr>
          <w:rFonts w:hint="eastAsia"/>
          <w:bCs/>
          <w:snapToGrid w:val="0"/>
          <w:kern w:val="0"/>
          <w:szCs w:val="21"/>
        </w:rPr>
        <w:t>重点：P</w:t>
      </w:r>
      <w:r>
        <w:rPr>
          <w:bCs/>
          <w:snapToGrid w:val="0"/>
          <w:kern w:val="0"/>
          <w:szCs w:val="21"/>
        </w:rPr>
        <w:t>CI/PXI</w:t>
      </w:r>
      <w:r>
        <w:rPr>
          <w:rFonts w:hint="eastAsia"/>
          <w:bCs/>
          <w:snapToGrid w:val="0"/>
          <w:kern w:val="0"/>
          <w:szCs w:val="21"/>
        </w:rPr>
        <w:t>总线接口系统结构、命令时序及传输协议。</w:t>
      </w:r>
    </w:p>
    <w:p>
      <w:pPr>
        <w:widowControl/>
        <w:tabs>
          <w:tab w:val="left" w:pos="900"/>
        </w:tabs>
        <w:spacing w:line="360" w:lineRule="auto"/>
        <w:ind w:left="426"/>
        <w:jc w:val="left"/>
        <w:rPr>
          <w:bCs/>
          <w:snapToGrid w:val="0"/>
          <w:kern w:val="0"/>
          <w:szCs w:val="21"/>
        </w:rPr>
      </w:pPr>
      <w:r>
        <w:rPr>
          <w:rFonts w:hint="eastAsia"/>
          <w:bCs/>
          <w:snapToGrid w:val="0"/>
          <w:kern w:val="0"/>
          <w:szCs w:val="21"/>
        </w:rPr>
        <w:t>难点：仪用P</w:t>
      </w:r>
      <w:r>
        <w:rPr>
          <w:bCs/>
          <w:snapToGrid w:val="0"/>
          <w:kern w:val="0"/>
          <w:szCs w:val="21"/>
        </w:rPr>
        <w:t>XI</w:t>
      </w:r>
      <w:r>
        <w:rPr>
          <w:rFonts w:hint="eastAsia"/>
          <w:bCs/>
          <w:snapToGrid w:val="0"/>
          <w:kern w:val="0"/>
          <w:szCs w:val="21"/>
        </w:rPr>
        <w:t>总线应用实例。</w:t>
      </w:r>
    </w:p>
    <w:p>
      <w:pPr>
        <w:widowControl/>
        <w:spacing w:line="360" w:lineRule="auto"/>
        <w:ind w:left="1050" w:leftChars="200" w:hanging="630" w:hangingChars="300"/>
        <w:rPr>
          <w:bCs/>
          <w:snapToGrid w:val="0"/>
          <w:kern w:val="0"/>
          <w:szCs w:val="21"/>
        </w:rPr>
      </w:pPr>
      <w:r>
        <w:rPr>
          <w:snapToGrid w:val="0"/>
          <w:kern w:val="0"/>
          <w:szCs w:val="21"/>
        </w:rPr>
        <w:t>本章内容支撑课程目标</w:t>
      </w:r>
      <w:r>
        <w:rPr>
          <w:rFonts w:hint="eastAsia"/>
          <w:snapToGrid w:val="0"/>
          <w:kern w:val="0"/>
          <w:szCs w:val="21"/>
        </w:rPr>
        <w:t>1、2。</w:t>
      </w:r>
    </w:p>
    <w:p>
      <w:pPr>
        <w:widowControl/>
        <w:spacing w:line="360" w:lineRule="auto"/>
        <w:ind w:firstLine="420" w:firstLineChars="200"/>
        <w:jc w:val="left"/>
        <w:rPr>
          <w:rFonts w:eastAsia="黑体"/>
          <w:snapToGrid w:val="0"/>
          <w:kern w:val="0"/>
          <w:szCs w:val="21"/>
        </w:rPr>
      </w:pPr>
      <w:r>
        <w:rPr>
          <w:rFonts w:eastAsia="黑体"/>
          <w:snapToGrid w:val="0"/>
          <w:kern w:val="0"/>
          <w:szCs w:val="21"/>
        </w:rPr>
        <w:t>8  VME/VXI接口及总线设计（2学时）</w:t>
      </w:r>
    </w:p>
    <w:p>
      <w:pPr>
        <w:widowControl/>
        <w:tabs>
          <w:tab w:val="left" w:pos="900"/>
        </w:tabs>
        <w:spacing w:line="360" w:lineRule="auto"/>
        <w:ind w:left="426"/>
        <w:jc w:val="left"/>
        <w:rPr>
          <w:bCs/>
          <w:snapToGrid w:val="0"/>
          <w:kern w:val="0"/>
          <w:szCs w:val="21"/>
        </w:rPr>
      </w:pPr>
      <w:r>
        <w:rPr>
          <w:bCs/>
          <w:snapToGrid w:val="0"/>
          <w:kern w:val="0"/>
          <w:szCs w:val="21"/>
        </w:rPr>
        <w:t>8.1、了解VME/VXI总线基本概念、特点；</w:t>
      </w:r>
    </w:p>
    <w:p>
      <w:pPr>
        <w:widowControl/>
        <w:tabs>
          <w:tab w:val="left" w:pos="900"/>
        </w:tabs>
        <w:spacing w:line="360" w:lineRule="auto"/>
        <w:ind w:left="426"/>
        <w:jc w:val="left"/>
        <w:rPr>
          <w:bCs/>
          <w:snapToGrid w:val="0"/>
          <w:kern w:val="0"/>
          <w:szCs w:val="21"/>
        </w:rPr>
      </w:pPr>
      <w:r>
        <w:rPr>
          <w:rFonts w:hint="eastAsia"/>
          <w:bCs/>
          <w:snapToGrid w:val="0"/>
          <w:kern w:val="0"/>
          <w:szCs w:val="21"/>
        </w:rPr>
        <w:t>8</w:t>
      </w:r>
      <w:r>
        <w:rPr>
          <w:bCs/>
          <w:snapToGrid w:val="0"/>
          <w:kern w:val="0"/>
          <w:szCs w:val="21"/>
        </w:rPr>
        <w:t>.</w:t>
      </w:r>
      <w:r>
        <w:rPr>
          <w:rFonts w:hint="eastAsia"/>
          <w:bCs/>
          <w:snapToGrid w:val="0"/>
          <w:kern w:val="0"/>
          <w:szCs w:val="21"/>
        </w:rPr>
        <w:t>2</w:t>
      </w:r>
      <w:r>
        <w:rPr>
          <w:bCs/>
          <w:snapToGrid w:val="0"/>
          <w:kern w:val="0"/>
          <w:szCs w:val="21"/>
        </w:rPr>
        <w:t>、</w:t>
      </w:r>
      <w:bookmarkStart w:id="255" w:name="_Hlk37082492"/>
      <w:r>
        <w:rPr>
          <w:bCs/>
          <w:snapToGrid w:val="0"/>
          <w:kern w:val="0"/>
          <w:szCs w:val="21"/>
        </w:rPr>
        <w:t>VME/VXI总线接口</w:t>
      </w:r>
      <w:bookmarkEnd w:id="255"/>
      <w:r>
        <w:rPr>
          <w:bCs/>
          <w:snapToGrid w:val="0"/>
          <w:kern w:val="0"/>
          <w:szCs w:val="21"/>
        </w:rPr>
        <w:t>机械组成结构及功能器件特点；</w:t>
      </w:r>
    </w:p>
    <w:p>
      <w:pPr>
        <w:widowControl/>
        <w:tabs>
          <w:tab w:val="left" w:pos="900"/>
        </w:tabs>
        <w:spacing w:line="360" w:lineRule="auto"/>
        <w:ind w:left="426"/>
        <w:jc w:val="left"/>
        <w:rPr>
          <w:bCs/>
          <w:snapToGrid w:val="0"/>
          <w:kern w:val="0"/>
          <w:szCs w:val="21"/>
        </w:rPr>
      </w:pPr>
      <w:r>
        <w:rPr>
          <w:rFonts w:hint="eastAsia"/>
          <w:bCs/>
          <w:snapToGrid w:val="0"/>
          <w:kern w:val="0"/>
          <w:szCs w:val="21"/>
        </w:rPr>
        <w:t>8</w:t>
      </w:r>
      <w:r>
        <w:rPr>
          <w:bCs/>
          <w:snapToGrid w:val="0"/>
          <w:kern w:val="0"/>
          <w:szCs w:val="21"/>
        </w:rPr>
        <w:t>.</w:t>
      </w:r>
      <w:r>
        <w:rPr>
          <w:rFonts w:hint="eastAsia"/>
          <w:bCs/>
          <w:snapToGrid w:val="0"/>
          <w:kern w:val="0"/>
          <w:szCs w:val="21"/>
        </w:rPr>
        <w:t>3</w:t>
      </w:r>
      <w:r>
        <w:rPr>
          <w:bCs/>
          <w:snapToGrid w:val="0"/>
          <w:kern w:val="0"/>
          <w:szCs w:val="21"/>
        </w:rPr>
        <w:t>、熟练掌握VME/VXI总线电气技术标准基本内容；</w:t>
      </w:r>
    </w:p>
    <w:p>
      <w:pPr>
        <w:widowControl/>
        <w:tabs>
          <w:tab w:val="left" w:pos="900"/>
        </w:tabs>
        <w:spacing w:line="360" w:lineRule="auto"/>
        <w:ind w:left="426"/>
        <w:jc w:val="left"/>
        <w:rPr>
          <w:bCs/>
          <w:snapToGrid w:val="0"/>
          <w:kern w:val="0"/>
          <w:szCs w:val="21"/>
        </w:rPr>
      </w:pPr>
      <w:r>
        <w:rPr>
          <w:rFonts w:hint="eastAsia"/>
          <w:bCs/>
          <w:snapToGrid w:val="0"/>
          <w:kern w:val="0"/>
          <w:szCs w:val="21"/>
        </w:rPr>
        <w:t>8</w:t>
      </w:r>
      <w:r>
        <w:rPr>
          <w:bCs/>
          <w:snapToGrid w:val="0"/>
          <w:kern w:val="0"/>
          <w:szCs w:val="21"/>
        </w:rPr>
        <w:t>.</w:t>
      </w:r>
      <w:r>
        <w:rPr>
          <w:rFonts w:hint="eastAsia"/>
          <w:bCs/>
          <w:snapToGrid w:val="0"/>
          <w:kern w:val="0"/>
          <w:szCs w:val="21"/>
        </w:rPr>
        <w:t>4</w:t>
      </w:r>
      <w:r>
        <w:rPr>
          <w:bCs/>
          <w:snapToGrid w:val="0"/>
          <w:kern w:val="0"/>
          <w:szCs w:val="21"/>
        </w:rPr>
        <w:t>、熟练掌握VME/VXI总线通信协议；</w:t>
      </w:r>
    </w:p>
    <w:p>
      <w:pPr>
        <w:widowControl/>
        <w:tabs>
          <w:tab w:val="left" w:pos="900"/>
        </w:tabs>
        <w:spacing w:line="360" w:lineRule="auto"/>
        <w:ind w:left="426"/>
        <w:jc w:val="left"/>
        <w:rPr>
          <w:bCs/>
          <w:snapToGrid w:val="0"/>
          <w:kern w:val="0"/>
          <w:szCs w:val="21"/>
        </w:rPr>
      </w:pPr>
      <w:r>
        <w:rPr>
          <w:rFonts w:hint="eastAsia"/>
          <w:bCs/>
          <w:snapToGrid w:val="0"/>
          <w:kern w:val="0"/>
          <w:szCs w:val="21"/>
        </w:rPr>
        <w:t>8</w:t>
      </w:r>
      <w:r>
        <w:rPr>
          <w:bCs/>
          <w:snapToGrid w:val="0"/>
          <w:kern w:val="0"/>
          <w:szCs w:val="21"/>
        </w:rPr>
        <w:t>.</w:t>
      </w:r>
      <w:r>
        <w:rPr>
          <w:rFonts w:hint="eastAsia"/>
          <w:bCs/>
          <w:snapToGrid w:val="0"/>
          <w:kern w:val="0"/>
          <w:szCs w:val="21"/>
        </w:rPr>
        <w:t>5</w:t>
      </w:r>
      <w:r>
        <w:rPr>
          <w:bCs/>
          <w:snapToGrid w:val="0"/>
          <w:kern w:val="0"/>
          <w:szCs w:val="21"/>
        </w:rPr>
        <w:t>、讲解VXI总线设计实例。</w:t>
      </w:r>
    </w:p>
    <w:p>
      <w:pPr>
        <w:widowControl/>
        <w:tabs>
          <w:tab w:val="left" w:pos="900"/>
        </w:tabs>
        <w:spacing w:line="360" w:lineRule="auto"/>
        <w:ind w:left="426"/>
        <w:jc w:val="left"/>
        <w:rPr>
          <w:snapToGrid w:val="0"/>
          <w:kern w:val="0"/>
          <w:szCs w:val="21"/>
        </w:rPr>
      </w:pPr>
      <w:r>
        <w:rPr>
          <w:rFonts w:hint="eastAsia"/>
          <w:bCs/>
          <w:snapToGrid w:val="0"/>
          <w:kern w:val="0"/>
          <w:szCs w:val="21"/>
        </w:rPr>
        <w:t>重点：VME/VXI总线接口基本组成结构及通信协议。</w:t>
      </w:r>
    </w:p>
    <w:p>
      <w:pPr>
        <w:widowControl/>
        <w:spacing w:line="360" w:lineRule="auto"/>
        <w:ind w:left="1050" w:leftChars="200" w:hanging="630" w:hangingChars="300"/>
        <w:rPr>
          <w:bCs/>
          <w:snapToGrid w:val="0"/>
          <w:kern w:val="0"/>
          <w:szCs w:val="21"/>
        </w:rPr>
      </w:pPr>
      <w:r>
        <w:rPr>
          <w:snapToGrid w:val="0"/>
          <w:kern w:val="0"/>
          <w:szCs w:val="21"/>
        </w:rPr>
        <w:t>本章内容支撑课程目标</w:t>
      </w:r>
      <w:r>
        <w:rPr>
          <w:rFonts w:hint="eastAsia"/>
          <w:snapToGrid w:val="0"/>
          <w:kern w:val="0"/>
          <w:szCs w:val="21"/>
        </w:rPr>
        <w:t>1、2。</w:t>
      </w:r>
    </w:p>
    <w:p>
      <w:pPr>
        <w:widowControl/>
        <w:spacing w:line="360" w:lineRule="auto"/>
        <w:ind w:firstLine="420" w:firstLineChars="200"/>
        <w:jc w:val="left"/>
        <w:rPr>
          <w:rFonts w:eastAsia="黑体"/>
          <w:snapToGrid w:val="0"/>
          <w:kern w:val="0"/>
          <w:szCs w:val="21"/>
        </w:rPr>
      </w:pPr>
      <w:r>
        <w:rPr>
          <w:rFonts w:eastAsia="黑体"/>
          <w:snapToGrid w:val="0"/>
          <w:kern w:val="0"/>
          <w:szCs w:val="21"/>
        </w:rPr>
        <w:t>9  军用总线技术发展趋势及展望（2学时）</w:t>
      </w:r>
    </w:p>
    <w:p>
      <w:pPr>
        <w:widowControl/>
        <w:tabs>
          <w:tab w:val="left" w:pos="900"/>
        </w:tabs>
        <w:spacing w:line="360" w:lineRule="auto"/>
        <w:ind w:left="426"/>
        <w:jc w:val="left"/>
        <w:rPr>
          <w:bCs/>
          <w:snapToGrid w:val="0"/>
          <w:kern w:val="0"/>
          <w:szCs w:val="21"/>
        </w:rPr>
      </w:pPr>
      <w:r>
        <w:rPr>
          <w:bCs/>
          <w:snapToGrid w:val="0"/>
          <w:kern w:val="0"/>
          <w:szCs w:val="21"/>
        </w:rPr>
        <w:t>9.1、了解电子系统中总线的地位和作用</w:t>
      </w:r>
    </w:p>
    <w:p>
      <w:pPr>
        <w:widowControl/>
        <w:tabs>
          <w:tab w:val="left" w:pos="900"/>
        </w:tabs>
        <w:spacing w:line="360" w:lineRule="auto"/>
        <w:ind w:left="426"/>
        <w:jc w:val="left"/>
        <w:rPr>
          <w:bCs/>
          <w:snapToGrid w:val="0"/>
          <w:kern w:val="0"/>
          <w:szCs w:val="21"/>
        </w:rPr>
      </w:pPr>
      <w:r>
        <w:rPr>
          <w:bCs/>
          <w:snapToGrid w:val="0"/>
          <w:kern w:val="0"/>
          <w:szCs w:val="21"/>
        </w:rPr>
        <w:t>9.2、了解国内军工领域现场总线的应用情况</w:t>
      </w:r>
    </w:p>
    <w:p>
      <w:pPr>
        <w:widowControl/>
        <w:tabs>
          <w:tab w:val="left" w:pos="900"/>
        </w:tabs>
        <w:spacing w:line="360" w:lineRule="auto"/>
        <w:ind w:left="426"/>
        <w:jc w:val="left"/>
        <w:rPr>
          <w:bCs/>
          <w:snapToGrid w:val="0"/>
          <w:kern w:val="0"/>
          <w:szCs w:val="21"/>
        </w:rPr>
      </w:pPr>
      <w:r>
        <w:rPr>
          <w:bCs/>
          <w:snapToGrid w:val="0"/>
          <w:kern w:val="0"/>
          <w:szCs w:val="21"/>
        </w:rPr>
        <w:t>9.3、讲解未来军用网络总线的应用场合和应用背景</w:t>
      </w:r>
    </w:p>
    <w:p>
      <w:pPr>
        <w:widowControl/>
        <w:tabs>
          <w:tab w:val="left" w:pos="900"/>
        </w:tabs>
        <w:spacing w:line="360" w:lineRule="auto"/>
        <w:ind w:left="426"/>
        <w:jc w:val="left"/>
        <w:rPr>
          <w:b/>
          <w:sz w:val="24"/>
          <w:szCs w:val="24"/>
        </w:rPr>
      </w:pPr>
      <w:r>
        <w:rPr>
          <w:bCs/>
          <w:snapToGrid w:val="0"/>
          <w:kern w:val="0"/>
          <w:szCs w:val="21"/>
        </w:rPr>
        <w:t>9.4、讲解军用现场总线网络技术发展的方向</w:t>
      </w:r>
    </w:p>
    <w:p>
      <w:pPr>
        <w:widowControl/>
        <w:tabs>
          <w:tab w:val="left" w:pos="900"/>
        </w:tabs>
        <w:adjustRightInd w:val="0"/>
        <w:snapToGrid w:val="0"/>
        <w:spacing w:line="360" w:lineRule="auto"/>
        <w:ind w:firstLine="420" w:firstLineChars="200"/>
        <w:rPr>
          <w:snapToGrid w:val="0"/>
          <w:kern w:val="0"/>
          <w:szCs w:val="21"/>
        </w:rPr>
      </w:pPr>
      <w:r>
        <w:rPr>
          <w:snapToGrid w:val="0"/>
          <w:kern w:val="0"/>
          <w:szCs w:val="21"/>
        </w:rPr>
        <w:t>本章内容支撑课程目标</w:t>
      </w:r>
      <w:r>
        <w:rPr>
          <w:rFonts w:hint="eastAsia"/>
          <w:snapToGrid w:val="0"/>
          <w:kern w:val="0"/>
          <w:szCs w:val="21"/>
        </w:rPr>
        <w:t>1、3。</w:t>
      </w:r>
    </w:p>
    <w:p>
      <w:pPr>
        <w:spacing w:line="360" w:lineRule="auto"/>
        <w:ind w:firstLine="422" w:firstLineChars="200"/>
        <w:rPr>
          <w:snapToGrid w:val="0"/>
          <w:kern w:val="0"/>
          <w:szCs w:val="21"/>
        </w:rPr>
      </w:pPr>
      <w:r>
        <w:rPr>
          <w:rFonts w:hint="eastAsia"/>
          <w:b/>
          <w:bCs/>
          <w:szCs w:val="21"/>
        </w:rPr>
        <w:t>思政元素：通过了解学习本专业教师自主研制的沙克网络总线，激发学生自主创新的意识，激发学生自豪感与爱国情怀。</w:t>
      </w:r>
    </w:p>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adjustRightInd w:val="0"/>
        <w:snapToGrid w:val="0"/>
        <w:spacing w:line="360" w:lineRule="auto"/>
        <w:ind w:firstLine="420" w:firstLineChars="200"/>
        <w:rPr>
          <w:rFonts w:cs="宋体"/>
          <w:kern w:val="0"/>
          <w:szCs w:val="21"/>
        </w:rPr>
      </w:pPr>
      <w:r>
        <w:rPr>
          <w:rFonts w:hint="eastAsia" w:cs="宋体"/>
          <w:kern w:val="0"/>
          <w:szCs w:val="21"/>
        </w:rPr>
        <w:t>实验环节主要是配合微机操作，选择典型的具有高可靠性和良好错误检测能力的CAN总线以及常用的主从模式RS-485总线作为实验内容，并融合简易接口通信技术，设计层层递进的实验教学内容，实验系统主要是由总线接口设计实验箱与微机组成；要求学生熟练掌握该主控制器的FPGA/单片机控制时序，掌握简易接口/RS-485/CAN总线通信协议的控制及实现方法；掌握简易接口/RS-485/CAN总线通信协议验证实验方法，掌握多点、广播及基于总线的构建简易测控网络的方法；主动动手实践简易接口/RS-485/CAN总线控制器完成通信协议及组网通信时的控制程序编写，下载，测试验证；实验拟采用分组完成的模式，组内学生需分工协作来完成实验内容，实验的测试和答辩也需同时进行，锻炼和培养学生团队协调合作的能力。</w:t>
      </w:r>
    </w:p>
    <w:p>
      <w:pPr>
        <w:adjustRightInd w:val="0"/>
        <w:snapToGrid w:val="0"/>
        <w:spacing w:line="360" w:lineRule="auto"/>
        <w:ind w:firstLine="420" w:firstLineChars="200"/>
        <w:rPr>
          <w:rFonts w:cs="宋体"/>
          <w:kern w:val="0"/>
          <w:szCs w:val="21"/>
        </w:rPr>
      </w:pPr>
      <w:r>
        <w:rPr>
          <w:rFonts w:hint="eastAsia" w:cs="宋体"/>
          <w:kern w:val="0"/>
          <w:szCs w:val="21"/>
        </w:rPr>
        <w:t>10个学时共完成5个实验，前4个为正常课内实验，最后1个实验需要学生在课外补充一些时间来完成。分配2学时用来讲解实验要求和指导，学生课外完成后，再进行组织讨论与检查。</w:t>
      </w:r>
    </w:p>
    <w:p>
      <w:pPr>
        <w:adjustRightInd w:val="0"/>
        <w:snapToGrid w:val="0"/>
        <w:spacing w:line="360" w:lineRule="auto"/>
        <w:ind w:firstLine="420" w:firstLineChars="200"/>
        <w:rPr>
          <w:rFonts w:eastAsia="黑体"/>
          <w:kern w:val="0"/>
          <w:szCs w:val="21"/>
        </w:rPr>
      </w:pPr>
      <w:r>
        <w:rPr>
          <w:rFonts w:eastAsia="黑体"/>
          <w:kern w:val="0"/>
          <w:szCs w:val="21"/>
        </w:rPr>
        <w:t>实验一常用接口通信实践（2学时）</w:t>
      </w:r>
    </w:p>
    <w:p>
      <w:pPr>
        <w:adjustRightInd w:val="0"/>
        <w:snapToGrid w:val="0"/>
        <w:spacing w:line="360" w:lineRule="auto"/>
        <w:ind w:firstLine="420" w:firstLineChars="200"/>
        <w:rPr>
          <w:rFonts w:cs="宋体"/>
          <w:kern w:val="0"/>
          <w:szCs w:val="21"/>
        </w:rPr>
      </w:pPr>
      <w:r>
        <w:rPr>
          <w:rFonts w:hint="eastAsia" w:cs="宋体"/>
          <w:kern w:val="0"/>
          <w:szCs w:val="21"/>
        </w:rPr>
        <w:t>内容：熟悉掌握简易接口通信中UART，I</w:t>
      </w:r>
      <w:r>
        <w:rPr>
          <w:rFonts w:hint="eastAsia" w:cs="宋体"/>
          <w:kern w:val="0"/>
          <w:szCs w:val="21"/>
          <w:vertAlign w:val="superscript"/>
        </w:rPr>
        <w:t>2</w:t>
      </w:r>
      <w:r>
        <w:rPr>
          <w:rFonts w:hint="eastAsia" w:cs="宋体"/>
          <w:kern w:val="0"/>
          <w:szCs w:val="21"/>
        </w:rPr>
        <w:t>C，SPI串口通信，了解常用简易接口的基本原理及使用，熟悉总线接口实验板卡的使用和操作。</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1、简易接口通信中UART，I</w:t>
      </w:r>
      <w:r>
        <w:rPr>
          <w:rFonts w:hint="eastAsia" w:cs="宋体"/>
          <w:kern w:val="0"/>
          <w:szCs w:val="21"/>
          <w:vertAlign w:val="superscript"/>
        </w:rPr>
        <w:t>2</w:t>
      </w:r>
      <w:r>
        <w:rPr>
          <w:rFonts w:hint="eastAsia" w:cs="宋体"/>
          <w:kern w:val="0"/>
          <w:szCs w:val="21"/>
        </w:rPr>
        <w:t>C，SPI的基本原理及使用方法；</w:t>
      </w:r>
    </w:p>
    <w:p>
      <w:pPr>
        <w:adjustRightInd w:val="0"/>
        <w:snapToGrid w:val="0"/>
        <w:spacing w:line="360" w:lineRule="auto"/>
        <w:ind w:firstLine="420" w:firstLineChars="200"/>
        <w:rPr>
          <w:rFonts w:cs="宋体"/>
          <w:kern w:val="0"/>
          <w:szCs w:val="21"/>
        </w:rPr>
      </w:pPr>
      <w:r>
        <w:rPr>
          <w:rFonts w:hint="eastAsia" w:cs="宋体"/>
          <w:kern w:val="0"/>
          <w:szCs w:val="21"/>
        </w:rPr>
        <w:t>2、能够编写FPGA程序实现主控单元的UART串口通信；</w:t>
      </w:r>
    </w:p>
    <w:p>
      <w:pPr>
        <w:adjustRightInd w:val="0"/>
        <w:snapToGrid w:val="0"/>
        <w:spacing w:line="360" w:lineRule="auto"/>
        <w:ind w:firstLine="420" w:firstLineChars="200"/>
        <w:rPr>
          <w:rFonts w:cs="宋体"/>
          <w:kern w:val="0"/>
          <w:szCs w:val="21"/>
        </w:rPr>
      </w:pPr>
      <w:r>
        <w:rPr>
          <w:rFonts w:hint="eastAsia" w:cs="宋体"/>
          <w:kern w:val="0"/>
          <w:szCs w:val="21"/>
        </w:rPr>
        <w:t>3、能够编写单片机程序实现片间的I</w:t>
      </w:r>
      <w:r>
        <w:rPr>
          <w:rFonts w:hint="eastAsia" w:cs="宋体"/>
          <w:kern w:val="0"/>
          <w:szCs w:val="21"/>
          <w:vertAlign w:val="superscript"/>
        </w:rPr>
        <w:t>2</w:t>
      </w:r>
      <w:r>
        <w:rPr>
          <w:rFonts w:hint="eastAsia" w:cs="宋体"/>
          <w:kern w:val="0"/>
          <w:szCs w:val="21"/>
        </w:rPr>
        <w:t>C，SPI串口通信；</w:t>
      </w:r>
    </w:p>
    <w:p>
      <w:pPr>
        <w:adjustRightInd w:val="0"/>
        <w:snapToGrid w:val="0"/>
        <w:spacing w:line="360" w:lineRule="auto"/>
        <w:ind w:firstLine="420" w:firstLineChars="200"/>
        <w:rPr>
          <w:rFonts w:cs="宋体"/>
          <w:kern w:val="0"/>
          <w:szCs w:val="21"/>
        </w:rPr>
      </w:pPr>
      <w:r>
        <w:rPr>
          <w:rFonts w:hint="eastAsia" w:cs="宋体"/>
          <w:kern w:val="0"/>
          <w:szCs w:val="21"/>
        </w:rPr>
        <w:t>本章内容支撑课程目标1、3。</w:t>
      </w:r>
    </w:p>
    <w:p>
      <w:pPr>
        <w:adjustRightInd w:val="0"/>
        <w:snapToGrid w:val="0"/>
        <w:spacing w:line="360" w:lineRule="auto"/>
        <w:ind w:firstLine="420" w:firstLineChars="200"/>
        <w:rPr>
          <w:rFonts w:eastAsia="黑体"/>
          <w:kern w:val="0"/>
          <w:szCs w:val="21"/>
        </w:rPr>
      </w:pPr>
      <w:r>
        <w:rPr>
          <w:rFonts w:eastAsia="黑体"/>
          <w:kern w:val="0"/>
          <w:szCs w:val="21"/>
        </w:rPr>
        <w:t>实验二  CAN总线点对点方式数据传送实验（2学时）</w:t>
      </w:r>
    </w:p>
    <w:p>
      <w:pPr>
        <w:adjustRightInd w:val="0"/>
        <w:snapToGrid w:val="0"/>
        <w:spacing w:line="360" w:lineRule="auto"/>
        <w:ind w:firstLine="420" w:firstLineChars="200"/>
        <w:rPr>
          <w:rFonts w:cs="宋体"/>
          <w:kern w:val="0"/>
          <w:szCs w:val="21"/>
        </w:rPr>
      </w:pPr>
      <w:r>
        <w:rPr>
          <w:rFonts w:hint="eastAsia" w:cs="宋体"/>
          <w:kern w:val="0"/>
          <w:szCs w:val="21"/>
        </w:rPr>
        <w:t>内容：CAN总线为多主工作方式，选取节点1和节点2进行数据传送实验，实现两节点之间分单帧、多帧方式连续和间隔一段时间发送相应的数据信息并验证传输内容的正确性。</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CAN总线接口的单片机C语言程序设计，CAN总线控制器通讯程序设计；</w:t>
      </w:r>
    </w:p>
    <w:p>
      <w:pPr>
        <w:adjustRightInd w:val="0"/>
        <w:snapToGrid w:val="0"/>
        <w:spacing w:line="360" w:lineRule="auto"/>
        <w:ind w:firstLine="420" w:firstLineChars="200"/>
        <w:rPr>
          <w:rFonts w:cs="宋体"/>
          <w:kern w:val="0"/>
          <w:szCs w:val="21"/>
        </w:rPr>
      </w:pPr>
      <w:r>
        <w:rPr>
          <w:rFonts w:hint="eastAsia" w:cs="宋体"/>
          <w:kern w:val="0"/>
          <w:szCs w:val="21"/>
        </w:rPr>
        <w:t>能够用单片机C语言实现节点初始化、报文发送与接收程序设计；</w:t>
      </w:r>
    </w:p>
    <w:p>
      <w:pPr>
        <w:adjustRightInd w:val="0"/>
        <w:snapToGrid w:val="0"/>
        <w:spacing w:line="360" w:lineRule="auto"/>
        <w:ind w:firstLine="420" w:firstLineChars="200"/>
        <w:rPr>
          <w:rFonts w:cs="宋体"/>
          <w:kern w:val="0"/>
          <w:szCs w:val="21"/>
        </w:rPr>
      </w:pPr>
      <w:r>
        <w:rPr>
          <w:rFonts w:hint="eastAsia" w:cs="宋体"/>
          <w:kern w:val="0"/>
          <w:szCs w:val="21"/>
        </w:rPr>
        <w:t>将编写好的程序下载到板卡，通过数码管显示发送成功与接收成功标志。</w:t>
      </w:r>
    </w:p>
    <w:p>
      <w:pPr>
        <w:widowControl/>
        <w:spacing w:line="360" w:lineRule="auto"/>
        <w:ind w:left="1050" w:leftChars="200" w:hanging="630" w:hangingChars="300"/>
        <w:rPr>
          <w:rFonts w:cs="宋体"/>
          <w:kern w:val="0"/>
          <w:szCs w:val="21"/>
        </w:rPr>
      </w:pPr>
      <w:r>
        <w:rPr>
          <w:snapToGrid w:val="0"/>
          <w:kern w:val="0"/>
          <w:szCs w:val="21"/>
        </w:rPr>
        <w:t>本章内容支撑课程目标</w:t>
      </w:r>
      <w:r>
        <w:rPr>
          <w:rFonts w:hint="eastAsia"/>
          <w:snapToGrid w:val="0"/>
          <w:kern w:val="0"/>
          <w:szCs w:val="21"/>
        </w:rPr>
        <w:t>1、2、3。</w:t>
      </w:r>
    </w:p>
    <w:p>
      <w:pPr>
        <w:adjustRightInd w:val="0"/>
        <w:snapToGrid w:val="0"/>
        <w:spacing w:line="360" w:lineRule="auto"/>
        <w:ind w:firstLine="420" w:firstLineChars="200"/>
        <w:rPr>
          <w:rFonts w:eastAsia="黑体"/>
          <w:kern w:val="0"/>
          <w:szCs w:val="21"/>
        </w:rPr>
      </w:pPr>
      <w:r>
        <w:rPr>
          <w:rFonts w:eastAsia="黑体"/>
          <w:kern w:val="0"/>
          <w:szCs w:val="21"/>
        </w:rPr>
        <w:t>实验三 CAN总线单点对多点数据传送实验（2学时）</w:t>
      </w:r>
    </w:p>
    <w:p>
      <w:pPr>
        <w:adjustRightInd w:val="0"/>
        <w:snapToGrid w:val="0"/>
        <w:spacing w:line="360" w:lineRule="auto"/>
        <w:ind w:firstLine="420" w:firstLineChars="200"/>
        <w:rPr>
          <w:rFonts w:cs="宋体"/>
          <w:kern w:val="0"/>
          <w:szCs w:val="21"/>
        </w:rPr>
      </w:pPr>
      <w:r>
        <w:rPr>
          <w:rFonts w:hint="eastAsia" w:cs="宋体"/>
          <w:kern w:val="0"/>
          <w:szCs w:val="21"/>
        </w:rPr>
        <w:t>内容：CAN总线上任意一节点都可以向其他多个节点发送报文信息，本次实验设计节点0与节点1、节点2、节点3进行数据传输通信实验，同时验证数据传输内容的正确性。</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1、能够利用单片机实现CAN总线节点0向节点1、2、3进行发送和接收程序设计；</w:t>
      </w:r>
    </w:p>
    <w:p>
      <w:pPr>
        <w:adjustRightInd w:val="0"/>
        <w:snapToGrid w:val="0"/>
        <w:spacing w:line="360" w:lineRule="auto"/>
        <w:ind w:firstLine="420" w:firstLineChars="200"/>
        <w:rPr>
          <w:rFonts w:cs="宋体"/>
          <w:kern w:val="0"/>
          <w:szCs w:val="21"/>
        </w:rPr>
      </w:pPr>
      <w:r>
        <w:rPr>
          <w:rFonts w:hint="eastAsia" w:cs="宋体"/>
          <w:kern w:val="0"/>
          <w:szCs w:val="21"/>
        </w:rPr>
        <w:t>2、掌握利用节点标识符内容实现多节点数据传输任务的方法；</w:t>
      </w:r>
    </w:p>
    <w:p>
      <w:pPr>
        <w:adjustRightInd w:val="0"/>
        <w:snapToGrid w:val="0"/>
        <w:spacing w:line="360" w:lineRule="auto"/>
        <w:ind w:firstLine="420" w:firstLineChars="200"/>
        <w:rPr>
          <w:rFonts w:cs="宋体"/>
          <w:kern w:val="0"/>
          <w:szCs w:val="21"/>
        </w:rPr>
      </w:pPr>
      <w:r>
        <w:rPr>
          <w:rFonts w:hint="eastAsia" w:cs="宋体"/>
          <w:kern w:val="0"/>
          <w:szCs w:val="21"/>
        </w:rPr>
        <w:t>3、将编写好的程序下载到板卡，通过数码管显示某一节点发送/接收成功标志。</w:t>
      </w:r>
    </w:p>
    <w:p>
      <w:pPr>
        <w:widowControl/>
        <w:spacing w:line="360" w:lineRule="auto"/>
        <w:ind w:left="1050" w:leftChars="200" w:hanging="630" w:hangingChars="300"/>
        <w:rPr>
          <w:rFonts w:cs="宋体"/>
          <w:kern w:val="0"/>
          <w:szCs w:val="21"/>
        </w:rPr>
      </w:pPr>
      <w:r>
        <w:rPr>
          <w:snapToGrid w:val="0"/>
          <w:kern w:val="0"/>
          <w:szCs w:val="21"/>
        </w:rPr>
        <w:t>本章内容支撑课程目标</w:t>
      </w:r>
      <w:r>
        <w:rPr>
          <w:rFonts w:hint="eastAsia"/>
          <w:snapToGrid w:val="0"/>
          <w:kern w:val="0"/>
          <w:szCs w:val="21"/>
        </w:rPr>
        <w:t>1、2、3。</w:t>
      </w:r>
    </w:p>
    <w:p>
      <w:pPr>
        <w:adjustRightInd w:val="0"/>
        <w:snapToGrid w:val="0"/>
        <w:spacing w:line="360" w:lineRule="auto"/>
        <w:ind w:firstLine="420" w:firstLineChars="200"/>
        <w:rPr>
          <w:rFonts w:eastAsia="黑体"/>
          <w:kern w:val="0"/>
          <w:szCs w:val="21"/>
        </w:rPr>
      </w:pPr>
      <w:r>
        <w:rPr>
          <w:rFonts w:eastAsia="黑体"/>
          <w:kern w:val="0"/>
          <w:szCs w:val="21"/>
        </w:rPr>
        <w:t>实验四 RS-485总线一主多从方式数据传送实验（2学时）</w:t>
      </w:r>
    </w:p>
    <w:p>
      <w:pPr>
        <w:adjustRightInd w:val="0"/>
        <w:snapToGrid w:val="0"/>
        <w:spacing w:line="360" w:lineRule="auto"/>
        <w:ind w:firstLine="420" w:firstLineChars="200"/>
        <w:rPr>
          <w:rFonts w:cs="宋体"/>
          <w:kern w:val="0"/>
          <w:szCs w:val="21"/>
        </w:rPr>
      </w:pPr>
      <w:r>
        <w:rPr>
          <w:rFonts w:hint="eastAsia" w:cs="宋体"/>
          <w:kern w:val="0"/>
          <w:szCs w:val="21"/>
        </w:rPr>
        <w:t>内容：熟悉RS-485总线一主多从方式协议内容，设计从节点地址以及主从传输协议，由主机节点发送数据信息至所有接收从节点信息，同时验证数据传输内容正确性。</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1、RS-485总线一主多从方式下传输协议设计内容及方法；</w:t>
      </w:r>
    </w:p>
    <w:p>
      <w:pPr>
        <w:adjustRightInd w:val="0"/>
        <w:snapToGrid w:val="0"/>
        <w:spacing w:line="360" w:lineRule="auto"/>
        <w:ind w:firstLine="420" w:firstLineChars="200"/>
        <w:rPr>
          <w:rFonts w:cs="宋体"/>
          <w:kern w:val="0"/>
          <w:szCs w:val="21"/>
        </w:rPr>
      </w:pPr>
      <w:r>
        <w:rPr>
          <w:rFonts w:hint="eastAsia" w:cs="宋体"/>
          <w:kern w:val="0"/>
          <w:szCs w:val="21"/>
        </w:rPr>
        <w:t>2、RS-485总线一主多从方式接口连接、节点数计算、传输速率设计方法；</w:t>
      </w:r>
    </w:p>
    <w:p>
      <w:pPr>
        <w:adjustRightInd w:val="0"/>
        <w:snapToGrid w:val="0"/>
        <w:spacing w:line="360" w:lineRule="auto"/>
        <w:ind w:firstLine="420" w:firstLineChars="200"/>
        <w:rPr>
          <w:rFonts w:cs="宋体"/>
          <w:kern w:val="0"/>
          <w:szCs w:val="21"/>
        </w:rPr>
      </w:pPr>
      <w:r>
        <w:rPr>
          <w:rFonts w:hint="eastAsia" w:cs="宋体"/>
          <w:kern w:val="0"/>
          <w:szCs w:val="21"/>
        </w:rPr>
        <w:t>3、将编写好的程序下载到板卡，通过数码管显示主从节点发送/接收成功标志。</w:t>
      </w:r>
    </w:p>
    <w:p>
      <w:pPr>
        <w:widowControl/>
        <w:spacing w:line="360" w:lineRule="auto"/>
        <w:ind w:left="1050" w:leftChars="200" w:hanging="630" w:hangingChars="300"/>
        <w:rPr>
          <w:rFonts w:cs="宋体"/>
          <w:kern w:val="0"/>
          <w:szCs w:val="21"/>
        </w:rPr>
      </w:pPr>
      <w:r>
        <w:rPr>
          <w:snapToGrid w:val="0"/>
          <w:kern w:val="0"/>
          <w:szCs w:val="21"/>
        </w:rPr>
        <w:t>本章内容支撑课程目标</w:t>
      </w:r>
      <w:r>
        <w:rPr>
          <w:rFonts w:hint="eastAsia"/>
          <w:snapToGrid w:val="0"/>
          <w:kern w:val="0"/>
          <w:szCs w:val="21"/>
        </w:rPr>
        <w:t>1、2、3。</w:t>
      </w:r>
    </w:p>
    <w:p>
      <w:pPr>
        <w:adjustRightInd w:val="0"/>
        <w:snapToGrid w:val="0"/>
        <w:spacing w:line="360" w:lineRule="auto"/>
        <w:ind w:firstLine="420" w:firstLineChars="200"/>
        <w:rPr>
          <w:rFonts w:eastAsia="黑体"/>
          <w:kern w:val="0"/>
          <w:szCs w:val="21"/>
        </w:rPr>
      </w:pPr>
      <w:r>
        <w:rPr>
          <w:rFonts w:eastAsia="黑体"/>
          <w:kern w:val="0"/>
          <w:szCs w:val="21"/>
        </w:rPr>
        <w:t>实验五总线式多传感器数据采集及传输实验（2学时）</w:t>
      </w:r>
    </w:p>
    <w:p>
      <w:pPr>
        <w:adjustRightInd w:val="0"/>
        <w:snapToGrid w:val="0"/>
        <w:spacing w:line="360" w:lineRule="auto"/>
        <w:ind w:firstLine="420" w:firstLineChars="200"/>
        <w:rPr>
          <w:rFonts w:cs="宋体"/>
          <w:kern w:val="0"/>
          <w:szCs w:val="21"/>
        </w:rPr>
      </w:pPr>
      <w:r>
        <w:rPr>
          <w:rFonts w:hint="eastAsia" w:cs="宋体"/>
          <w:kern w:val="0"/>
          <w:szCs w:val="21"/>
        </w:rPr>
        <w:t>内容：挑选工业应用场合常见的几种压力、温湿度、气体、红外的模拟数字混合输出传感器，由主控芯片采集传感器数据，根据所学习的总线接口知识，选取CAN总线或者RS-485总线进行数据的传输和发送，实现典型的总线式多传感器数据采集传输网络。</w:t>
      </w:r>
    </w:p>
    <w:p>
      <w:pPr>
        <w:adjustRightInd w:val="0"/>
        <w:snapToGrid w:val="0"/>
        <w:spacing w:line="360" w:lineRule="auto"/>
        <w:ind w:firstLine="420" w:firstLineChars="200"/>
        <w:rPr>
          <w:rFonts w:cs="宋体"/>
          <w:kern w:val="0"/>
          <w:szCs w:val="21"/>
        </w:rPr>
      </w:pPr>
      <w:r>
        <w:rPr>
          <w:rFonts w:hint="eastAsia" w:cs="宋体"/>
          <w:kern w:val="0"/>
          <w:szCs w:val="21"/>
        </w:rPr>
        <w:t>基本要求：</w:t>
      </w:r>
    </w:p>
    <w:p>
      <w:pPr>
        <w:adjustRightInd w:val="0"/>
        <w:snapToGrid w:val="0"/>
        <w:spacing w:line="360" w:lineRule="auto"/>
        <w:ind w:firstLine="420" w:firstLineChars="200"/>
        <w:rPr>
          <w:rFonts w:cs="宋体"/>
          <w:kern w:val="0"/>
          <w:szCs w:val="21"/>
        </w:rPr>
      </w:pPr>
      <w:r>
        <w:rPr>
          <w:rFonts w:hint="eastAsia" w:cs="宋体"/>
          <w:kern w:val="0"/>
          <w:szCs w:val="21"/>
        </w:rPr>
        <w:t>将工业现场的工程问题转化为总线技术问题的思路和方法；</w:t>
      </w:r>
    </w:p>
    <w:p>
      <w:pPr>
        <w:adjustRightInd w:val="0"/>
        <w:snapToGrid w:val="0"/>
        <w:spacing w:line="360" w:lineRule="auto"/>
        <w:ind w:firstLine="420" w:firstLineChars="200"/>
        <w:rPr>
          <w:rFonts w:cs="宋体"/>
          <w:kern w:val="0"/>
          <w:szCs w:val="21"/>
        </w:rPr>
      </w:pPr>
      <w:r>
        <w:rPr>
          <w:rFonts w:hint="eastAsia" w:cs="宋体"/>
          <w:kern w:val="0"/>
          <w:szCs w:val="21"/>
        </w:rPr>
        <w:t>利用单片机实现多节点数据采集并通过总线接口发送传输方法；</w:t>
      </w:r>
    </w:p>
    <w:p>
      <w:pPr>
        <w:adjustRightInd w:val="0"/>
        <w:snapToGrid w:val="0"/>
        <w:spacing w:line="360" w:lineRule="auto"/>
        <w:ind w:firstLine="420" w:firstLineChars="200"/>
        <w:rPr>
          <w:rFonts w:cs="宋体"/>
          <w:kern w:val="0"/>
          <w:szCs w:val="21"/>
        </w:rPr>
      </w:pPr>
      <w:r>
        <w:rPr>
          <w:rFonts w:hint="eastAsia" w:cs="宋体"/>
          <w:kern w:val="0"/>
          <w:szCs w:val="21"/>
        </w:rPr>
        <w:t>3、能够根据不同工业应用场合，合理构建总线接口及传输协议的方法；</w:t>
      </w:r>
    </w:p>
    <w:p>
      <w:pPr>
        <w:adjustRightInd w:val="0"/>
        <w:snapToGrid w:val="0"/>
        <w:spacing w:line="360" w:lineRule="auto"/>
        <w:ind w:firstLine="420" w:firstLineChars="200"/>
        <w:rPr>
          <w:rFonts w:cs="宋体"/>
          <w:kern w:val="0"/>
          <w:szCs w:val="21"/>
        </w:rPr>
      </w:pPr>
      <w:r>
        <w:rPr>
          <w:rFonts w:hint="eastAsia" w:cs="宋体"/>
          <w:kern w:val="0"/>
          <w:szCs w:val="21"/>
        </w:rPr>
        <w:t>4、本实验为课外分组实验。两个学时用来提出实验要求并进行讲解，然后要求学生2或3人一组，分工明确，利用课后时间，协同完成实验的设计、总线构建及数据传输验证，需要学生自己设计出验证方法。最后两个小时，教师要检查实际总线网络，测试其正确性，完成验收。最后每位学生独立提交规范的实验报告。</w:t>
      </w:r>
    </w:p>
    <w:p>
      <w:pPr>
        <w:adjustRightInd w:val="0"/>
        <w:snapToGrid w:val="0"/>
        <w:spacing w:line="360" w:lineRule="auto"/>
        <w:ind w:firstLine="420" w:firstLineChars="200"/>
        <w:rPr>
          <w:rFonts w:cs="宋体"/>
          <w:kern w:val="0"/>
          <w:szCs w:val="21"/>
        </w:rPr>
      </w:pPr>
      <w:r>
        <w:rPr>
          <w:rFonts w:hint="eastAsia" w:cs="宋体"/>
          <w:kern w:val="0"/>
          <w:szCs w:val="21"/>
        </w:rPr>
        <w:t>5、本实验过程中总线接口需学生根据掌握程度自主构建和实施，注意突出对课程目标5及目标4的深度支撑。</w:t>
      </w:r>
    </w:p>
    <w:p>
      <w:pPr>
        <w:widowControl/>
        <w:spacing w:line="360" w:lineRule="auto"/>
        <w:ind w:left="1050" w:leftChars="200" w:hanging="630" w:hangingChars="300"/>
        <w:rPr>
          <w:rFonts w:cs="宋体"/>
          <w:bCs/>
          <w:snapToGrid w:val="0"/>
          <w:color w:val="FF0000"/>
          <w:kern w:val="0"/>
          <w:szCs w:val="21"/>
        </w:rPr>
      </w:pPr>
      <w:r>
        <w:rPr>
          <w:snapToGrid w:val="0"/>
          <w:kern w:val="0"/>
          <w:szCs w:val="21"/>
        </w:rPr>
        <w:t>本章内容支撑课程目标</w:t>
      </w:r>
      <w:r>
        <w:rPr>
          <w:rFonts w:hint="eastAsia"/>
          <w:snapToGrid w:val="0"/>
          <w:kern w:val="0"/>
          <w:szCs w:val="21"/>
        </w:rPr>
        <w:t>3、4。</w:t>
      </w:r>
    </w:p>
    <w:p>
      <w:pPr>
        <w:spacing w:line="360" w:lineRule="auto"/>
        <w:rPr>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41"/>
        <w:gridCol w:w="1574"/>
        <w:gridCol w:w="1561"/>
        <w:gridCol w:w="9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adjustRightInd w:val="0"/>
              <w:jc w:val="center"/>
              <w:rPr>
                <w:sz w:val="18"/>
                <w:szCs w:val="18"/>
              </w:rPr>
            </w:pPr>
            <w:r>
              <w:rPr>
                <w:sz w:val="18"/>
                <w:szCs w:val="18"/>
              </w:rPr>
              <w:t>讲授的知识点及内容</w:t>
            </w:r>
          </w:p>
        </w:tc>
        <w:tc>
          <w:tcPr>
            <w:tcW w:w="947" w:type="pct"/>
            <w:vAlign w:val="center"/>
          </w:tcPr>
          <w:p>
            <w:pPr>
              <w:adjustRightInd w:val="0"/>
              <w:jc w:val="center"/>
              <w:rPr>
                <w:sz w:val="18"/>
                <w:szCs w:val="18"/>
              </w:rPr>
            </w:pPr>
            <w:r>
              <w:rPr>
                <w:sz w:val="18"/>
                <w:szCs w:val="18"/>
              </w:rPr>
              <w:t>讲授（学时）</w:t>
            </w:r>
          </w:p>
        </w:tc>
        <w:tc>
          <w:tcPr>
            <w:tcW w:w="939" w:type="pct"/>
            <w:vAlign w:val="center"/>
          </w:tcPr>
          <w:p>
            <w:pPr>
              <w:adjustRightInd w:val="0"/>
              <w:jc w:val="center"/>
              <w:rPr>
                <w:sz w:val="18"/>
                <w:szCs w:val="18"/>
              </w:rPr>
            </w:pPr>
            <w:r>
              <w:rPr>
                <w:sz w:val="18"/>
                <w:szCs w:val="18"/>
              </w:rPr>
              <w:t>实验（学时）</w:t>
            </w:r>
          </w:p>
        </w:tc>
        <w:tc>
          <w:tcPr>
            <w:tcW w:w="564" w:type="pct"/>
            <w:vAlign w:val="center"/>
          </w:tcPr>
          <w:p>
            <w:pPr>
              <w:adjustRightIn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snapToGrid w:val="0"/>
                <w:kern w:val="0"/>
                <w:sz w:val="18"/>
                <w:szCs w:val="18"/>
              </w:rPr>
              <w:t>1</w:t>
            </w:r>
            <w:r>
              <w:rPr>
                <w:rFonts w:hint="eastAsia"/>
                <w:snapToGrid w:val="0"/>
                <w:kern w:val="0"/>
                <w:sz w:val="18"/>
                <w:szCs w:val="18"/>
              </w:rPr>
              <w:t>总线接口基础概述</w:t>
            </w:r>
          </w:p>
        </w:tc>
        <w:tc>
          <w:tcPr>
            <w:tcW w:w="947" w:type="pct"/>
            <w:vAlign w:val="center"/>
          </w:tcPr>
          <w:p>
            <w:pPr>
              <w:widowControl/>
              <w:adjustRightInd w:val="0"/>
              <w:spacing w:before="100" w:beforeAutospacing="1" w:after="100" w:afterAutospacing="1"/>
              <w:jc w:val="center"/>
              <w:rPr>
                <w:kern w:val="0"/>
                <w:sz w:val="18"/>
                <w:szCs w:val="18"/>
              </w:rPr>
            </w:pPr>
            <w:r>
              <w:rPr>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snapToGrid w:val="0"/>
                <w:kern w:val="0"/>
                <w:sz w:val="18"/>
                <w:szCs w:val="18"/>
              </w:rPr>
              <w:t>2</w:t>
            </w:r>
            <w:r>
              <w:rPr>
                <w:rFonts w:hint="eastAsia"/>
                <w:snapToGrid w:val="0"/>
                <w:kern w:val="0"/>
                <w:sz w:val="18"/>
                <w:szCs w:val="18"/>
              </w:rPr>
              <w:t>数据</w:t>
            </w:r>
            <w:r>
              <w:rPr>
                <w:snapToGrid w:val="0"/>
                <w:kern w:val="0"/>
                <w:sz w:val="18"/>
                <w:szCs w:val="18"/>
              </w:rPr>
              <w:t>通信基础</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snapToGrid w:val="0"/>
                <w:kern w:val="0"/>
                <w:sz w:val="18"/>
                <w:szCs w:val="18"/>
              </w:rPr>
              <w:t>3</w:t>
            </w:r>
            <w:r>
              <w:rPr>
                <w:rFonts w:hint="eastAsia"/>
                <w:snapToGrid w:val="0"/>
                <w:kern w:val="0"/>
                <w:sz w:val="18"/>
                <w:szCs w:val="18"/>
              </w:rPr>
              <w:t>简易接口及总线设计-SPI与I</w:t>
            </w:r>
            <w:r>
              <w:rPr>
                <w:rFonts w:hint="eastAsia"/>
                <w:snapToGrid w:val="0"/>
                <w:kern w:val="0"/>
                <w:sz w:val="18"/>
                <w:szCs w:val="18"/>
                <w:vertAlign w:val="superscript"/>
              </w:rPr>
              <w:t>2</w:t>
            </w:r>
            <w:r>
              <w:rPr>
                <w:rFonts w:hint="eastAsia"/>
                <w:snapToGrid w:val="0"/>
                <w:kern w:val="0"/>
                <w:sz w:val="18"/>
                <w:szCs w:val="18"/>
              </w:rPr>
              <w:t>C接口总线</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snapToGrid w:val="0"/>
                <w:kern w:val="0"/>
                <w:sz w:val="18"/>
                <w:szCs w:val="18"/>
              </w:rPr>
              <w:t>4</w:t>
            </w:r>
            <w:r>
              <w:rPr>
                <w:rFonts w:hint="eastAsia"/>
                <w:snapToGrid w:val="0"/>
                <w:kern w:val="0"/>
                <w:sz w:val="18"/>
                <w:szCs w:val="18"/>
              </w:rPr>
              <w:t>简易接口及总线设计-UART与1-wire接口总线</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snapToGrid w:val="0"/>
                <w:kern w:val="0"/>
                <w:sz w:val="18"/>
                <w:szCs w:val="18"/>
              </w:rPr>
              <w:t xml:space="preserve">5 </w:t>
            </w:r>
            <w:r>
              <w:rPr>
                <w:rFonts w:hint="eastAsia"/>
                <w:snapToGrid w:val="0"/>
                <w:kern w:val="0"/>
                <w:sz w:val="18"/>
                <w:szCs w:val="18"/>
              </w:rPr>
              <w:t>CAN接口现场总线设计</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4</w:t>
            </w:r>
          </w:p>
        </w:tc>
        <w:tc>
          <w:tcPr>
            <w:tcW w:w="939"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4</w:t>
            </w: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rFonts w:hint="eastAsia"/>
                <w:snapToGrid w:val="0"/>
                <w:kern w:val="0"/>
                <w:sz w:val="18"/>
                <w:szCs w:val="18"/>
              </w:rPr>
              <w:t>6 RS-422/485接口及总线设计</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rFonts w:hint="eastAsia"/>
                <w:snapToGrid w:val="0"/>
                <w:kern w:val="0"/>
                <w:sz w:val="18"/>
                <w:szCs w:val="18"/>
              </w:rPr>
              <w:t>7 PCI/PCIE/PXI接口及总线设计</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3</w:t>
            </w:r>
          </w:p>
        </w:tc>
        <w:tc>
          <w:tcPr>
            <w:tcW w:w="939" w:type="pct"/>
            <w:vAlign w:val="center"/>
          </w:tcPr>
          <w:p>
            <w:pPr>
              <w:widowControl/>
              <w:adjustRightInd w:val="0"/>
              <w:spacing w:before="100" w:beforeAutospacing="1" w:after="100" w:afterAutospacing="1"/>
              <w:jc w:val="center"/>
              <w:rPr>
                <w:kern w:val="0"/>
                <w:sz w:val="18"/>
                <w:szCs w:val="18"/>
              </w:rPr>
            </w:pP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rFonts w:hint="eastAsia"/>
                <w:snapToGrid w:val="0"/>
                <w:kern w:val="0"/>
                <w:sz w:val="18"/>
                <w:szCs w:val="18"/>
              </w:rPr>
              <w:t>8 VME/VXI接口及总线设计</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3</w:t>
            </w:r>
          </w:p>
        </w:tc>
        <w:tc>
          <w:tcPr>
            <w:tcW w:w="939" w:type="pct"/>
            <w:vAlign w:val="center"/>
          </w:tcPr>
          <w:p>
            <w:pPr>
              <w:widowControl/>
              <w:adjustRightInd w:val="0"/>
              <w:spacing w:before="100" w:beforeAutospacing="1" w:after="100" w:afterAutospacing="1"/>
              <w:jc w:val="center"/>
              <w:rPr>
                <w:kern w:val="0"/>
                <w:sz w:val="18"/>
                <w:szCs w:val="18"/>
              </w:rPr>
            </w:pP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ind w:left="174" w:leftChars="83"/>
              <w:jc w:val="left"/>
              <w:rPr>
                <w:snapToGrid w:val="0"/>
                <w:kern w:val="0"/>
                <w:sz w:val="18"/>
                <w:szCs w:val="18"/>
              </w:rPr>
            </w:pPr>
            <w:r>
              <w:rPr>
                <w:rFonts w:hint="eastAsia"/>
                <w:snapToGrid w:val="0"/>
                <w:kern w:val="0"/>
                <w:sz w:val="18"/>
                <w:szCs w:val="18"/>
              </w:rPr>
              <w:t>9军用总线技术发展趋势及展望</w:t>
            </w:r>
          </w:p>
        </w:tc>
        <w:tc>
          <w:tcPr>
            <w:tcW w:w="947"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939"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2</w:t>
            </w:r>
          </w:p>
        </w:tc>
        <w:tc>
          <w:tcPr>
            <w:tcW w:w="564" w:type="pct"/>
            <w:vAlign w:val="center"/>
          </w:tcPr>
          <w:p>
            <w:pPr>
              <w:widowControl/>
              <w:adjustRightInd w:val="0"/>
              <w:spacing w:before="100" w:beforeAutospacing="1" w:after="100" w:afterAutospacing="1"/>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51" w:type="pct"/>
            <w:vAlign w:val="center"/>
          </w:tcPr>
          <w:p>
            <w:pPr>
              <w:widowControl/>
              <w:adjustRightInd w:val="0"/>
              <w:spacing w:before="100" w:beforeAutospacing="1" w:after="100" w:afterAutospacing="1"/>
              <w:jc w:val="center"/>
              <w:rPr>
                <w:snapToGrid w:val="0"/>
                <w:kern w:val="0"/>
                <w:sz w:val="18"/>
                <w:szCs w:val="18"/>
              </w:rPr>
            </w:pPr>
            <w:r>
              <w:rPr>
                <w:snapToGrid w:val="0"/>
                <w:kern w:val="0"/>
                <w:sz w:val="18"/>
                <w:szCs w:val="18"/>
              </w:rPr>
              <w:t>合计</w:t>
            </w:r>
          </w:p>
        </w:tc>
        <w:tc>
          <w:tcPr>
            <w:tcW w:w="947" w:type="pct"/>
            <w:vAlign w:val="center"/>
          </w:tcPr>
          <w:p>
            <w:pPr>
              <w:widowControl/>
              <w:adjustRightInd w:val="0"/>
              <w:spacing w:before="100" w:beforeAutospacing="1" w:after="100" w:afterAutospacing="1"/>
              <w:jc w:val="center"/>
              <w:rPr>
                <w:kern w:val="0"/>
                <w:sz w:val="18"/>
                <w:szCs w:val="18"/>
              </w:rPr>
            </w:pPr>
            <w:r>
              <w:rPr>
                <w:kern w:val="0"/>
                <w:sz w:val="18"/>
                <w:szCs w:val="18"/>
              </w:rPr>
              <w:t>22</w:t>
            </w:r>
          </w:p>
        </w:tc>
        <w:tc>
          <w:tcPr>
            <w:tcW w:w="939" w:type="pct"/>
            <w:vAlign w:val="center"/>
          </w:tcPr>
          <w:p>
            <w:pPr>
              <w:widowControl/>
              <w:adjustRightInd w:val="0"/>
              <w:spacing w:before="100" w:beforeAutospacing="1" w:after="100" w:afterAutospacing="1"/>
              <w:jc w:val="center"/>
              <w:rPr>
                <w:kern w:val="0"/>
                <w:sz w:val="18"/>
                <w:szCs w:val="18"/>
              </w:rPr>
            </w:pPr>
            <w:r>
              <w:rPr>
                <w:kern w:val="0"/>
                <w:sz w:val="18"/>
                <w:szCs w:val="18"/>
              </w:rPr>
              <w:t>10</w:t>
            </w:r>
          </w:p>
        </w:tc>
        <w:tc>
          <w:tcPr>
            <w:tcW w:w="564" w:type="pct"/>
            <w:vAlign w:val="center"/>
          </w:tcPr>
          <w:p>
            <w:pPr>
              <w:widowControl/>
              <w:adjustRightInd w:val="0"/>
              <w:spacing w:before="100" w:beforeAutospacing="1" w:after="100" w:afterAutospacing="1"/>
              <w:jc w:val="center"/>
              <w:rPr>
                <w:kern w:val="0"/>
                <w:sz w:val="18"/>
                <w:szCs w:val="18"/>
              </w:rPr>
            </w:pPr>
            <w:r>
              <w:rPr>
                <w:kern w:val="0"/>
                <w:sz w:val="18"/>
                <w:szCs w:val="18"/>
              </w:rPr>
              <w:t>32</w:t>
            </w:r>
          </w:p>
        </w:tc>
      </w:tr>
    </w:tbl>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tabs>
          <w:tab w:val="left" w:pos="420"/>
        </w:tabs>
        <w:spacing w:line="360" w:lineRule="auto"/>
        <w:ind w:left="105" w:leftChars="50" w:firstLine="315" w:firstLineChars="150"/>
        <w:rPr>
          <w:bCs/>
          <w:snapToGrid w:val="0"/>
          <w:kern w:val="0"/>
          <w:szCs w:val="21"/>
        </w:rPr>
      </w:pPr>
      <w:r>
        <w:rPr>
          <w:rFonts w:hint="eastAsia"/>
          <w:bCs/>
          <w:snapToGrid w:val="0"/>
          <w:kern w:val="0"/>
          <w:szCs w:val="21"/>
        </w:rPr>
        <w:t>1、王先培，《测控总线与仪器通信技术》，ISBN 978_7_111_21824_1，机械工业出版社。</w:t>
      </w:r>
    </w:p>
    <w:p>
      <w:pPr>
        <w:tabs>
          <w:tab w:val="left" w:pos="420"/>
        </w:tabs>
        <w:spacing w:line="360" w:lineRule="auto"/>
        <w:ind w:left="105" w:leftChars="50" w:firstLine="315" w:firstLineChars="150"/>
        <w:rPr>
          <w:bCs/>
          <w:snapToGrid w:val="0"/>
          <w:kern w:val="0"/>
          <w:szCs w:val="21"/>
        </w:rPr>
      </w:pPr>
      <w:r>
        <w:rPr>
          <w:rFonts w:hint="eastAsia"/>
          <w:bCs/>
          <w:snapToGrid w:val="0"/>
          <w:kern w:val="0"/>
          <w:szCs w:val="21"/>
        </w:rPr>
        <w:t>2、陈长龄，《自动测试及接口技术》，ISBN 7_111_15779_6，机械工业出版社。</w:t>
      </w:r>
    </w:p>
    <w:p>
      <w:pPr>
        <w:tabs>
          <w:tab w:val="left" w:pos="420"/>
        </w:tabs>
        <w:spacing w:line="360" w:lineRule="auto"/>
        <w:ind w:left="105" w:leftChars="50" w:firstLine="315" w:firstLineChars="150"/>
        <w:rPr>
          <w:bCs/>
          <w:snapToGrid w:val="0"/>
          <w:kern w:val="0"/>
          <w:szCs w:val="21"/>
        </w:rPr>
      </w:pPr>
      <w:r>
        <w:rPr>
          <w:rFonts w:hint="eastAsia"/>
          <w:bCs/>
          <w:snapToGrid w:val="0"/>
          <w:kern w:val="0"/>
          <w:szCs w:val="21"/>
        </w:rPr>
        <w:t>3、孔德仁，《仪表总线技术及应用》，ISBN 978_7_118_06672_2，国防工业出版社。</w:t>
      </w:r>
    </w:p>
    <w:p>
      <w:pPr>
        <w:tabs>
          <w:tab w:val="left" w:pos="420"/>
        </w:tabs>
        <w:spacing w:line="360" w:lineRule="auto"/>
        <w:ind w:left="105" w:leftChars="50" w:firstLine="315" w:firstLineChars="150"/>
        <w:rPr>
          <w:rFonts w:eastAsia="黑体"/>
          <w:szCs w:val="24"/>
        </w:rPr>
      </w:pPr>
      <w:r>
        <w:rPr>
          <w:rFonts w:hint="eastAsia"/>
          <w:bCs/>
          <w:snapToGrid w:val="0"/>
          <w:kern w:val="0"/>
          <w:szCs w:val="21"/>
        </w:rPr>
        <w:t>4、A.Verwer（英），王永华著，《现场总线技术及应用教程》，ISBN 978_7_111_37296_7，机械工业出版社。</w:t>
      </w: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spacing w:line="360" w:lineRule="auto"/>
        <w:ind w:firstLine="420" w:firstLineChars="200"/>
        <w:rPr>
          <w:szCs w:val="21"/>
        </w:rPr>
      </w:pPr>
      <w:r>
        <w:rPr>
          <w:szCs w:val="21"/>
        </w:rPr>
        <w:t>1、考核目标：在考核学生对各类接口总线基本知识、基本原理和方法的基础上，重点考核学生的应用于工业场合的典型总线接口电路结构、软件协议知识以及构建和实施总线接口的方法掌握程度。</w:t>
      </w:r>
    </w:p>
    <w:p>
      <w:pPr>
        <w:spacing w:line="360" w:lineRule="auto"/>
        <w:ind w:firstLine="420" w:firstLineChars="200"/>
        <w:rPr>
          <w:szCs w:val="21"/>
        </w:rPr>
      </w:pPr>
      <w:r>
        <w:rPr>
          <w:szCs w:val="21"/>
        </w:rPr>
        <w:t>2、考核方式：期末大作业（该课程不设置考试）、课外分组综合实验、课内实验、作业及课堂提问。</w:t>
      </w:r>
    </w:p>
    <w:p>
      <w:pPr>
        <w:spacing w:line="360" w:lineRule="auto"/>
        <w:ind w:firstLine="420" w:firstLineChars="200"/>
        <w:rPr>
          <w:color w:val="0000FF"/>
        </w:rPr>
      </w:pPr>
      <w:r>
        <w:rPr>
          <w:szCs w:val="21"/>
        </w:rPr>
        <w:t>3、评价环节对课程目标达成贡献率及支撑材料：</w:t>
      </w:r>
    </w:p>
    <w:tbl>
      <w:tblPr>
        <w:tblStyle w:val="22"/>
        <w:tblW w:w="5000" w:type="pct"/>
        <w:jc w:val="center"/>
        <w:tblLayout w:type="fixed"/>
        <w:tblCellMar>
          <w:top w:w="0" w:type="dxa"/>
          <w:left w:w="108" w:type="dxa"/>
          <w:bottom w:w="0" w:type="dxa"/>
          <w:right w:w="108" w:type="dxa"/>
        </w:tblCellMar>
      </w:tblPr>
      <w:tblGrid>
        <w:gridCol w:w="1186"/>
        <w:gridCol w:w="1187"/>
        <w:gridCol w:w="1189"/>
        <w:gridCol w:w="1187"/>
        <w:gridCol w:w="1189"/>
        <w:gridCol w:w="1187"/>
        <w:gridCol w:w="1187"/>
      </w:tblGrid>
      <w:tr>
        <w:tblPrEx>
          <w:tblCellMar>
            <w:top w:w="0" w:type="dxa"/>
            <w:left w:w="108" w:type="dxa"/>
            <w:bottom w:w="0" w:type="dxa"/>
            <w:right w:w="108" w:type="dxa"/>
          </w:tblCellMar>
        </w:tblPrEx>
        <w:trPr>
          <w:trHeight w:val="691" w:hRule="atLeast"/>
          <w:jc w:val="center"/>
        </w:trPr>
        <w:tc>
          <w:tcPr>
            <w:tcW w:w="714"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考察环节</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课堂情况</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作业</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实验</w:t>
            </w:r>
          </w:p>
        </w:tc>
        <w:tc>
          <w:tcPr>
            <w:tcW w:w="7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分组实验</w:t>
            </w:r>
          </w:p>
          <w:p>
            <w:pPr>
              <w:widowControl/>
              <w:jc w:val="center"/>
              <w:rPr>
                <w:color w:val="000000"/>
                <w:kern w:val="0"/>
                <w:sz w:val="18"/>
                <w:szCs w:val="18"/>
              </w:rPr>
            </w:pPr>
            <w:r>
              <w:rPr>
                <w:color w:val="000000"/>
                <w:kern w:val="0"/>
                <w:sz w:val="18"/>
                <w:szCs w:val="18"/>
              </w:rPr>
              <w:t>验收</w:t>
            </w:r>
          </w:p>
        </w:tc>
        <w:tc>
          <w:tcPr>
            <w:tcW w:w="7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分组实验</w:t>
            </w:r>
          </w:p>
          <w:p>
            <w:pPr>
              <w:widowControl/>
              <w:jc w:val="center"/>
              <w:rPr>
                <w:color w:val="000000"/>
                <w:kern w:val="0"/>
                <w:sz w:val="18"/>
                <w:szCs w:val="18"/>
              </w:rPr>
            </w:pPr>
            <w:r>
              <w:rPr>
                <w:color w:val="000000"/>
                <w:kern w:val="0"/>
                <w:sz w:val="18"/>
                <w:szCs w:val="18"/>
              </w:rPr>
              <w:t>报告</w:t>
            </w:r>
          </w:p>
        </w:tc>
        <w:tc>
          <w:tcPr>
            <w:tcW w:w="715" w:type="pct"/>
            <w:tcBorders>
              <w:top w:val="single" w:color="auto" w:sz="4" w:space="0"/>
              <w:left w:val="single" w:color="auto" w:sz="4" w:space="0"/>
              <w:bottom w:val="single" w:color="auto" w:sz="4" w:space="0"/>
            </w:tcBorders>
            <w:shd w:val="clear" w:color="auto" w:fill="auto"/>
            <w:vAlign w:val="center"/>
          </w:tcPr>
          <w:p>
            <w:pPr>
              <w:widowControl/>
              <w:jc w:val="center"/>
              <w:rPr>
                <w:color w:val="000000"/>
                <w:kern w:val="0"/>
                <w:sz w:val="18"/>
                <w:szCs w:val="18"/>
              </w:rPr>
            </w:pPr>
            <w:r>
              <w:rPr>
                <w:color w:val="000000"/>
                <w:kern w:val="0"/>
                <w:sz w:val="18"/>
                <w:szCs w:val="18"/>
              </w:rPr>
              <w:t>期末考试</w:t>
            </w:r>
          </w:p>
          <w:p>
            <w:pPr>
              <w:widowControl/>
              <w:jc w:val="center"/>
              <w:rPr>
                <w:color w:val="000000"/>
                <w:kern w:val="0"/>
                <w:sz w:val="18"/>
                <w:szCs w:val="18"/>
              </w:rPr>
            </w:pPr>
            <w:r>
              <w:rPr>
                <w:color w:val="000000"/>
                <w:kern w:val="0"/>
                <w:sz w:val="18"/>
                <w:szCs w:val="18"/>
              </w:rPr>
              <w:t>（大作业）</w:t>
            </w:r>
          </w:p>
        </w:tc>
      </w:tr>
      <w:tr>
        <w:tblPrEx>
          <w:tblCellMar>
            <w:top w:w="0" w:type="dxa"/>
            <w:left w:w="108" w:type="dxa"/>
            <w:bottom w:w="0" w:type="dxa"/>
            <w:right w:w="108" w:type="dxa"/>
          </w:tblCellMar>
        </w:tblPrEx>
        <w:trPr>
          <w:trHeight w:val="790" w:hRule="atLeast"/>
          <w:jc w:val="center"/>
        </w:trPr>
        <w:tc>
          <w:tcPr>
            <w:tcW w:w="714"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课程目标达成</w:t>
            </w:r>
          </w:p>
          <w:p>
            <w:pPr>
              <w:widowControl/>
              <w:jc w:val="center"/>
              <w:rPr>
                <w:color w:val="000000"/>
                <w:kern w:val="0"/>
                <w:sz w:val="18"/>
                <w:szCs w:val="18"/>
              </w:rPr>
            </w:pPr>
            <w:r>
              <w:rPr>
                <w:color w:val="000000"/>
                <w:kern w:val="0"/>
                <w:sz w:val="18"/>
                <w:szCs w:val="18"/>
              </w:rPr>
              <w:t>的贡献率</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0.06</w:t>
            </w:r>
          </w:p>
        </w:tc>
        <w:tc>
          <w:tcPr>
            <w:tcW w:w="71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0.04</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0.25</w:t>
            </w:r>
          </w:p>
        </w:tc>
        <w:tc>
          <w:tcPr>
            <w:tcW w:w="71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0.20</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 w:val="18"/>
                <w:szCs w:val="18"/>
              </w:rPr>
            </w:pPr>
            <w:r>
              <w:rPr>
                <w:sz w:val="18"/>
                <w:szCs w:val="18"/>
              </w:rPr>
              <w:t>0.05</w:t>
            </w:r>
          </w:p>
        </w:tc>
        <w:tc>
          <w:tcPr>
            <w:tcW w:w="715" w:type="pct"/>
            <w:tcBorders>
              <w:top w:val="single" w:color="auto" w:sz="4" w:space="0"/>
              <w:left w:val="single" w:color="auto" w:sz="4" w:space="0"/>
              <w:bottom w:val="single" w:color="auto" w:sz="4" w:space="0"/>
            </w:tcBorders>
            <w:shd w:val="clear" w:color="auto" w:fill="auto"/>
            <w:noWrap/>
            <w:vAlign w:val="center"/>
          </w:tcPr>
          <w:p>
            <w:pPr>
              <w:jc w:val="center"/>
              <w:rPr>
                <w:sz w:val="18"/>
                <w:szCs w:val="18"/>
              </w:rPr>
            </w:pPr>
            <w:r>
              <w:rPr>
                <w:sz w:val="18"/>
                <w:szCs w:val="18"/>
              </w:rPr>
              <w:t>0.40</w:t>
            </w:r>
          </w:p>
        </w:tc>
      </w:tr>
      <w:tr>
        <w:tblPrEx>
          <w:tblCellMar>
            <w:top w:w="0" w:type="dxa"/>
            <w:left w:w="108" w:type="dxa"/>
            <w:bottom w:w="0" w:type="dxa"/>
            <w:right w:w="108" w:type="dxa"/>
          </w:tblCellMar>
        </w:tblPrEx>
        <w:trPr>
          <w:trHeight w:val="1429" w:hRule="atLeast"/>
          <w:jc w:val="center"/>
        </w:trPr>
        <w:tc>
          <w:tcPr>
            <w:tcW w:w="714" w:type="pct"/>
            <w:tcBorders>
              <w:top w:val="single" w:color="auto" w:sz="4" w:space="0"/>
              <w:bottom w:val="single" w:color="auto" w:sz="4" w:space="0"/>
              <w:right w:val="single" w:color="auto" w:sz="4" w:space="0"/>
            </w:tcBorders>
            <w:vAlign w:val="center"/>
          </w:tcPr>
          <w:p>
            <w:pPr>
              <w:widowControl/>
              <w:jc w:val="center"/>
              <w:rPr>
                <w:color w:val="000000"/>
                <w:kern w:val="0"/>
                <w:sz w:val="18"/>
                <w:szCs w:val="18"/>
              </w:rPr>
            </w:pPr>
            <w:r>
              <w:rPr>
                <w:color w:val="000000"/>
                <w:kern w:val="0"/>
                <w:sz w:val="18"/>
                <w:szCs w:val="18"/>
              </w:rPr>
              <w:t>支撑材料</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课堂评价标准，课堂提问记录或随堂考试，结合出勤率等</w:t>
            </w:r>
          </w:p>
        </w:tc>
        <w:tc>
          <w:tcPr>
            <w:tcW w:w="7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作业评价标准，典型作业拍照，或电子版</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课内实验评价标准，实验课堂记录记录，典型实验报告</w:t>
            </w:r>
          </w:p>
        </w:tc>
        <w:tc>
          <w:tcPr>
            <w:tcW w:w="71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分组实验评价标准，验收记录</w:t>
            </w:r>
          </w:p>
        </w:tc>
        <w:tc>
          <w:tcPr>
            <w:tcW w:w="7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分组实验评价标准，实验报告</w:t>
            </w:r>
          </w:p>
        </w:tc>
        <w:tc>
          <w:tcPr>
            <w:tcW w:w="715" w:type="pct"/>
            <w:tcBorders>
              <w:top w:val="single" w:color="auto" w:sz="4" w:space="0"/>
              <w:left w:val="single" w:color="auto" w:sz="4" w:space="0"/>
              <w:bottom w:val="single" w:color="auto" w:sz="4" w:space="0"/>
            </w:tcBorders>
            <w:shd w:val="clear" w:color="auto" w:fill="auto"/>
            <w:noWrap/>
            <w:vAlign w:val="center"/>
          </w:tcPr>
          <w:p>
            <w:pPr>
              <w:widowControl/>
              <w:jc w:val="center"/>
              <w:rPr>
                <w:color w:val="000000"/>
                <w:kern w:val="0"/>
                <w:sz w:val="18"/>
                <w:szCs w:val="18"/>
              </w:rPr>
            </w:pPr>
            <w:r>
              <w:rPr>
                <w:color w:val="000000"/>
                <w:kern w:val="0"/>
                <w:sz w:val="18"/>
                <w:szCs w:val="18"/>
              </w:rPr>
              <w:t>大作业完成标准，大作业总结报告</w:t>
            </w:r>
          </w:p>
        </w:tc>
      </w:tr>
    </w:tbl>
    <w:p>
      <w:pPr>
        <w:widowControl/>
        <w:jc w:val="left"/>
        <w:rPr>
          <w:rFonts w:eastAsia="黑体"/>
          <w:szCs w:val="24"/>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1559"/>
        <w:gridCol w:w="20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jc w:val="center"/>
              <w:rPr>
                <w:sz w:val="18"/>
                <w:szCs w:val="18"/>
                <w:highlight w:val="yellow"/>
              </w:rPr>
            </w:pPr>
            <w:r>
              <w:rPr>
                <w:sz w:val="18"/>
                <w:szCs w:val="18"/>
              </w:rPr>
              <w:t>讲授的知识点及内容</w:t>
            </w:r>
          </w:p>
        </w:tc>
        <w:tc>
          <w:tcPr>
            <w:tcW w:w="938" w:type="pct"/>
            <w:vAlign w:val="center"/>
          </w:tcPr>
          <w:p>
            <w:pPr>
              <w:jc w:val="center"/>
              <w:rPr>
                <w:sz w:val="18"/>
                <w:szCs w:val="18"/>
              </w:rPr>
            </w:pPr>
            <w:r>
              <w:rPr>
                <w:rFonts w:hint="eastAsia"/>
                <w:sz w:val="18"/>
                <w:szCs w:val="18"/>
              </w:rPr>
              <w:t>权重</w:t>
            </w:r>
          </w:p>
        </w:tc>
        <w:tc>
          <w:tcPr>
            <w:tcW w:w="1248" w:type="pct"/>
            <w:vAlign w:val="center"/>
          </w:tcPr>
          <w:p>
            <w:pPr>
              <w:jc w:val="center"/>
              <w:rPr>
                <w:sz w:val="18"/>
                <w:szCs w:val="18"/>
              </w:rPr>
            </w:pPr>
            <w:r>
              <w:rPr>
                <w:rFonts w:hint="eastAsia"/>
                <w:sz w:val="18"/>
                <w:szCs w:val="18"/>
              </w:rPr>
              <w:t>支撑</w:t>
            </w:r>
            <w:r>
              <w:rPr>
                <w:sz w:val="18"/>
                <w:szCs w:val="18"/>
              </w:rPr>
              <w:t>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snapToGrid w:val="0"/>
                <w:kern w:val="0"/>
                <w:sz w:val="18"/>
                <w:szCs w:val="18"/>
              </w:rPr>
              <w:t>1</w:t>
            </w:r>
            <w:r>
              <w:rPr>
                <w:rFonts w:hint="eastAsia"/>
                <w:snapToGrid w:val="0"/>
                <w:kern w:val="0"/>
                <w:sz w:val="18"/>
                <w:szCs w:val="18"/>
              </w:rPr>
              <w:t>总线接口基础概述</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0.05</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snapToGrid w:val="0"/>
                <w:kern w:val="0"/>
                <w:sz w:val="18"/>
                <w:szCs w:val="18"/>
              </w:rPr>
              <w:t>2</w:t>
            </w:r>
            <w:r>
              <w:rPr>
                <w:rFonts w:hint="eastAsia"/>
                <w:snapToGrid w:val="0"/>
                <w:kern w:val="0"/>
                <w:sz w:val="18"/>
                <w:szCs w:val="18"/>
              </w:rPr>
              <w:t>数据</w:t>
            </w:r>
            <w:r>
              <w:rPr>
                <w:snapToGrid w:val="0"/>
                <w:kern w:val="0"/>
                <w:sz w:val="18"/>
                <w:szCs w:val="18"/>
              </w:rPr>
              <w:t>通信基础</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0.05</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snapToGrid w:val="0"/>
                <w:kern w:val="0"/>
                <w:sz w:val="18"/>
                <w:szCs w:val="18"/>
              </w:rPr>
              <w:t>3</w:t>
            </w:r>
            <w:r>
              <w:rPr>
                <w:rFonts w:hint="eastAsia"/>
                <w:snapToGrid w:val="0"/>
                <w:kern w:val="0"/>
                <w:sz w:val="18"/>
                <w:szCs w:val="18"/>
              </w:rPr>
              <w:t>简易接口及总线设计-SPI与I</w:t>
            </w:r>
            <w:r>
              <w:rPr>
                <w:rFonts w:hint="eastAsia"/>
                <w:snapToGrid w:val="0"/>
                <w:kern w:val="0"/>
                <w:sz w:val="18"/>
                <w:szCs w:val="18"/>
                <w:vertAlign w:val="superscript"/>
              </w:rPr>
              <w:t>2</w:t>
            </w:r>
            <w:r>
              <w:rPr>
                <w:rFonts w:hint="eastAsia"/>
                <w:snapToGrid w:val="0"/>
                <w:kern w:val="0"/>
                <w:sz w:val="18"/>
                <w:szCs w:val="18"/>
              </w:rPr>
              <w:t>C接口总线</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0.1</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snapToGrid w:val="0"/>
                <w:kern w:val="0"/>
                <w:sz w:val="18"/>
                <w:szCs w:val="18"/>
              </w:rPr>
              <w:t>4</w:t>
            </w:r>
            <w:r>
              <w:rPr>
                <w:rFonts w:hint="eastAsia"/>
                <w:snapToGrid w:val="0"/>
                <w:kern w:val="0"/>
                <w:sz w:val="18"/>
                <w:szCs w:val="18"/>
              </w:rPr>
              <w:t>简易接口及总线设计-UART与1-wire接口总线</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0.1</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snapToGrid w:val="0"/>
                <w:kern w:val="0"/>
                <w:sz w:val="18"/>
                <w:szCs w:val="18"/>
              </w:rPr>
              <w:t xml:space="preserve">5 </w:t>
            </w:r>
            <w:r>
              <w:rPr>
                <w:rFonts w:hint="eastAsia"/>
                <w:snapToGrid w:val="0"/>
                <w:kern w:val="0"/>
                <w:sz w:val="18"/>
                <w:szCs w:val="18"/>
              </w:rPr>
              <w:t>CAN接口现场总线设计</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0.2</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rFonts w:hint="eastAsia"/>
                <w:snapToGrid w:val="0"/>
                <w:kern w:val="0"/>
                <w:sz w:val="18"/>
                <w:szCs w:val="18"/>
              </w:rPr>
              <w:t>6 RS-422/485接口及总线设计</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0.2</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rFonts w:hint="eastAsia"/>
                <w:snapToGrid w:val="0"/>
                <w:kern w:val="0"/>
                <w:sz w:val="18"/>
                <w:szCs w:val="18"/>
              </w:rPr>
              <w:t>7 PCI/PCIE/PXI接口及总线设计</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0.1</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rFonts w:hint="eastAsia"/>
                <w:snapToGrid w:val="0"/>
                <w:kern w:val="0"/>
                <w:sz w:val="18"/>
                <w:szCs w:val="18"/>
              </w:rPr>
              <w:t>8 VME/VXI接口及总线设计</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0.1</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4" w:type="pct"/>
            <w:vAlign w:val="center"/>
          </w:tcPr>
          <w:p>
            <w:pPr>
              <w:widowControl/>
              <w:spacing w:before="100" w:beforeAutospacing="1" w:after="100" w:afterAutospacing="1"/>
              <w:ind w:left="174" w:leftChars="83"/>
              <w:rPr>
                <w:snapToGrid w:val="0"/>
                <w:kern w:val="0"/>
                <w:sz w:val="18"/>
                <w:szCs w:val="18"/>
              </w:rPr>
            </w:pPr>
            <w:r>
              <w:rPr>
                <w:rFonts w:hint="eastAsia"/>
                <w:snapToGrid w:val="0"/>
                <w:kern w:val="0"/>
                <w:sz w:val="18"/>
                <w:szCs w:val="18"/>
              </w:rPr>
              <w:t>9军用总线技术发展趋势及展望</w:t>
            </w:r>
          </w:p>
        </w:tc>
        <w:tc>
          <w:tcPr>
            <w:tcW w:w="938" w:type="pct"/>
            <w:vAlign w:val="center"/>
          </w:tcPr>
          <w:p>
            <w:pPr>
              <w:widowControl/>
              <w:spacing w:before="100" w:beforeAutospacing="1" w:after="100" w:afterAutospacing="1"/>
              <w:jc w:val="center"/>
              <w:rPr>
                <w:kern w:val="0"/>
                <w:sz w:val="18"/>
                <w:szCs w:val="18"/>
              </w:rPr>
            </w:pPr>
            <w:r>
              <w:rPr>
                <w:rFonts w:hint="eastAsia"/>
                <w:kern w:val="0"/>
                <w:sz w:val="18"/>
                <w:szCs w:val="18"/>
              </w:rPr>
              <w:t>0.1</w:t>
            </w:r>
          </w:p>
        </w:tc>
        <w:tc>
          <w:tcPr>
            <w:tcW w:w="1248" w:type="pct"/>
            <w:vAlign w:val="center"/>
          </w:tcPr>
          <w:p>
            <w:pPr>
              <w:widowControl/>
              <w:spacing w:before="100" w:beforeAutospacing="1" w:after="100" w:afterAutospacing="1"/>
              <w:jc w:val="center"/>
              <w:rPr>
                <w:kern w:val="0"/>
                <w:sz w:val="18"/>
                <w:szCs w:val="18"/>
              </w:rPr>
            </w:pPr>
            <w:r>
              <w:rPr>
                <w:rFonts w:hint="eastAsia"/>
                <w:kern w:val="0"/>
                <w:sz w:val="18"/>
                <w:szCs w:val="18"/>
              </w:rPr>
              <w:t>1、4</w:t>
            </w:r>
          </w:p>
        </w:tc>
      </w:tr>
    </w:tbl>
    <w:p>
      <w:pPr>
        <w:spacing w:before="120" w:beforeLines="50" w:line="360" w:lineRule="auto"/>
        <w:ind w:firstLine="420" w:firstLineChars="200"/>
        <w:rPr>
          <w:rFonts w:ascii="宋体" w:hAnsi="宋体"/>
          <w:szCs w:val="21"/>
        </w:rPr>
        <w:sectPr>
          <w:headerReference r:id="rId131" w:type="first"/>
          <w:footerReference r:id="rId134" w:type="first"/>
          <w:headerReference r:id="rId129" w:type="default"/>
          <w:footerReference r:id="rId132" w:type="default"/>
          <w:headerReference r:id="rId130" w:type="even"/>
          <w:footerReference r:id="rId133" w:type="even"/>
          <w:pgSz w:w="11906" w:h="16838"/>
          <w:pgMar w:top="1440" w:right="1797" w:bottom="1440" w:left="1797" w:header="851" w:footer="992" w:gutter="0"/>
          <w:cols w:space="425" w:num="1"/>
          <w:docGrid w:linePitch="312" w:charSpace="0"/>
        </w:sectPr>
      </w:pPr>
      <w:r>
        <w:rPr>
          <w:rFonts w:ascii="宋体" w:hAnsi="宋体"/>
          <w:szCs w:val="21"/>
        </w:rPr>
        <w:t>学生可以依据仪器与电子学院相关文件，以允许的第二课堂成果折算单项成绩，与对应知识点加权累计达到75（含）以上，且对所有课程目标的支撑不能有缺项，即可申请本门课程免修。</w:t>
      </w: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w:t>
      </w:r>
    </w:p>
    <w:p>
      <w:pPr>
        <w:spacing w:line="360" w:lineRule="auto"/>
        <w:ind w:firstLine="420" w:firstLineChars="200"/>
        <w:jc w:val="center"/>
      </w:pPr>
      <w:r>
        <w:rPr>
          <w:rFonts w:hint="eastAsia"/>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40"/>
        <w:gridCol w:w="814"/>
        <w:gridCol w:w="680"/>
        <w:gridCol w:w="681"/>
        <w:gridCol w:w="681"/>
        <w:gridCol w:w="695"/>
        <w:gridCol w:w="683"/>
        <w:gridCol w:w="670"/>
        <w:gridCol w:w="831"/>
        <w:gridCol w:w="664"/>
        <w:gridCol w:w="611"/>
        <w:gridCol w:w="734"/>
        <w:gridCol w:w="742"/>
        <w:gridCol w:w="742"/>
        <w:gridCol w:w="773"/>
        <w:gridCol w:w="681"/>
        <w:gridCol w:w="644"/>
        <w:gridCol w:w="720"/>
        <w:gridCol w:w="681"/>
        <w:gridCol w:w="681"/>
      </w:tblGrid>
      <w:tr>
        <w:tblPrEx>
          <w:tblCellMar>
            <w:top w:w="0" w:type="dxa"/>
            <w:left w:w="108" w:type="dxa"/>
            <w:bottom w:w="0" w:type="dxa"/>
            <w:right w:w="108" w:type="dxa"/>
          </w:tblCellMar>
        </w:tblPrEx>
        <w:trPr>
          <w:trHeight w:val="1015" w:hRule="atLeast"/>
          <w:jc w:val="center"/>
        </w:trPr>
        <w:tc>
          <w:tcPr>
            <w:tcW w:w="1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课程目标</w:t>
            </w:r>
          </w:p>
        </w:tc>
        <w:tc>
          <w:tcPr>
            <w:tcW w:w="2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知识面比例</w:t>
            </w:r>
          </w:p>
          <w:p>
            <w:pPr>
              <w:widowControl/>
              <w:jc w:val="center"/>
              <w:rPr>
                <w:kern w:val="0"/>
                <w:sz w:val="18"/>
                <w:szCs w:val="18"/>
              </w:rPr>
            </w:pPr>
            <w:r>
              <w:rPr>
                <w:kern w:val="0"/>
                <w:sz w:val="18"/>
                <w:szCs w:val="18"/>
              </w:rPr>
              <w:t>（本列总和为1）</w:t>
            </w:r>
          </w:p>
          <w:p>
            <w:pPr>
              <w:widowControl/>
              <w:jc w:val="center"/>
              <w:rPr>
                <w:i/>
                <w:kern w:val="0"/>
                <w:sz w:val="18"/>
                <w:szCs w:val="18"/>
              </w:rPr>
            </w:pPr>
            <w:r>
              <w:rPr>
                <w:i/>
                <w:kern w:val="0"/>
                <w:sz w:val="18"/>
                <w:szCs w:val="18"/>
              </w:rPr>
              <w:t>P</w:t>
            </w:r>
            <w:r>
              <w:rPr>
                <w:i/>
                <w:kern w:val="0"/>
                <w:sz w:val="18"/>
                <w:szCs w:val="18"/>
                <w:vertAlign w:val="subscript"/>
              </w:rPr>
              <w:t>i</w:t>
            </w:r>
          </w:p>
        </w:tc>
        <w:tc>
          <w:tcPr>
            <w:tcW w:w="1466"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sz w:val="18"/>
                <w:szCs w:val="18"/>
              </w:rPr>
              <w:t>各环节评价比例分配</w:t>
            </w:r>
            <w:r>
              <w:rPr>
                <w:sz w:val="18"/>
                <w:szCs w:val="18"/>
              </w:rPr>
              <w:br w:type="textWrapping"/>
            </w:r>
            <w:r>
              <w:rPr>
                <w:sz w:val="18"/>
                <w:szCs w:val="18"/>
              </w:rPr>
              <w:t>（每行总和为1）</w:t>
            </w:r>
            <w:r>
              <w:rPr>
                <w:sz w:val="18"/>
                <w:szCs w:val="18"/>
              </w:rPr>
              <w:br w:type="textWrapping"/>
            </w:r>
            <w:r>
              <w:rPr>
                <w:i/>
                <w:sz w:val="18"/>
                <w:szCs w:val="18"/>
              </w:rPr>
              <w:t>W</w:t>
            </w:r>
            <w:r>
              <w:rPr>
                <w:i/>
                <w:sz w:val="18"/>
                <w:szCs w:val="18"/>
                <w:vertAlign w:val="subscript"/>
              </w:rPr>
              <w:t>ik</w:t>
            </w:r>
          </w:p>
        </w:tc>
        <w:tc>
          <w:tcPr>
            <w:tcW w:w="1550" w:type="pct"/>
            <w:gridSpan w:val="6"/>
            <w:tcBorders>
              <w:top w:val="single" w:color="auto" w:sz="4" w:space="0"/>
              <w:left w:val="nil"/>
              <w:bottom w:val="single" w:color="auto" w:sz="4" w:space="0"/>
              <w:right w:val="single" w:color="auto" w:sz="4" w:space="0"/>
            </w:tcBorders>
            <w:shd w:val="clear" w:color="auto" w:fill="auto"/>
            <w:vAlign w:val="center"/>
          </w:tcPr>
          <w:p>
            <w:pPr>
              <w:jc w:val="center"/>
              <w:rPr>
                <w:sz w:val="18"/>
                <w:szCs w:val="18"/>
              </w:rPr>
            </w:pPr>
            <w:r>
              <w:rPr>
                <w:sz w:val="18"/>
                <w:szCs w:val="18"/>
              </w:rPr>
              <w:t>各环节在课程达成中的占比</w:t>
            </w:r>
            <w:r>
              <w:rPr>
                <w:sz w:val="18"/>
                <w:szCs w:val="18"/>
              </w:rPr>
              <w:br w:type="textWrapping"/>
            </w:r>
            <w:r>
              <w:rPr>
                <w:sz w:val="18"/>
                <w:szCs w:val="18"/>
              </w:rPr>
              <w:t>（所有行列总和为1）</w:t>
            </w:r>
            <w:r>
              <w:rPr>
                <w:sz w:val="18"/>
                <w:szCs w:val="18"/>
              </w:rPr>
              <w:br w:type="textWrapping"/>
            </w:r>
            <w:r>
              <w:rPr>
                <w:i/>
                <w:sz w:val="18"/>
                <w:szCs w:val="18"/>
              </w:rPr>
              <w:t>S</w:t>
            </w:r>
            <w:r>
              <w:rPr>
                <w:i/>
                <w:sz w:val="18"/>
                <w:szCs w:val="18"/>
                <w:vertAlign w:val="subscript"/>
              </w:rPr>
              <w:t>ik</w:t>
            </w:r>
            <w:r>
              <w:rPr>
                <w:i/>
                <w:sz w:val="18"/>
                <w:szCs w:val="18"/>
              </w:rPr>
              <w:t>=P</w:t>
            </w:r>
            <w:r>
              <w:rPr>
                <w:i/>
                <w:sz w:val="18"/>
                <w:szCs w:val="18"/>
                <w:vertAlign w:val="subscript"/>
              </w:rPr>
              <w:t>i</w:t>
            </w:r>
            <w:r>
              <w:rPr>
                <w:i/>
                <w:sz w:val="18"/>
                <w:szCs w:val="18"/>
              </w:rPr>
              <w:t>*W</w:t>
            </w:r>
            <w:r>
              <w:rPr>
                <w:i/>
                <w:sz w:val="18"/>
                <w:szCs w:val="18"/>
                <w:vertAlign w:val="subscript"/>
              </w:rPr>
              <w:t>ik</w:t>
            </w:r>
          </w:p>
        </w:tc>
        <w:tc>
          <w:tcPr>
            <w:tcW w:w="149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各环节课程目标考核权重分布</w:t>
            </w:r>
          </w:p>
          <w:p>
            <w:pPr>
              <w:jc w:val="center"/>
              <w:rPr>
                <w:sz w:val="18"/>
                <w:szCs w:val="18"/>
              </w:rPr>
            </w:pPr>
            <w:r>
              <w:rPr>
                <w:sz w:val="18"/>
                <w:szCs w:val="18"/>
              </w:rPr>
              <w:t>（每一列总和为1）</w:t>
            </w:r>
          </w:p>
          <w:p>
            <w:pPr>
              <w:jc w:val="center"/>
              <w:rPr>
                <w:i/>
                <w:sz w:val="18"/>
                <w:szCs w:val="18"/>
              </w:rPr>
            </w:pPr>
            <w:r>
              <w:rPr>
                <w:i/>
                <w:sz w:val="18"/>
                <w:szCs w:val="18"/>
              </w:rPr>
              <w:t>E</w:t>
            </w:r>
            <w:r>
              <w:rPr>
                <w:i/>
                <w:sz w:val="18"/>
                <w:szCs w:val="18"/>
                <w:vertAlign w:val="subscript"/>
              </w:rPr>
              <w:t>ik</w:t>
            </w:r>
            <w:r>
              <w:rPr>
                <w:i/>
                <w:sz w:val="18"/>
                <w:szCs w:val="18"/>
              </w:rPr>
              <w:t>=S</w:t>
            </w:r>
            <w:r>
              <w:rPr>
                <w:i/>
                <w:sz w:val="18"/>
                <w:szCs w:val="18"/>
                <w:vertAlign w:val="subscript"/>
              </w:rPr>
              <w:t>ik</w:t>
            </w:r>
            <w:r>
              <w:rPr>
                <w:i/>
                <w:sz w:val="18"/>
                <w:szCs w:val="18"/>
              </w:rPr>
              <w:t>/M</w:t>
            </w:r>
            <w:r>
              <w:rPr>
                <w:i/>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1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2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kern w:val="0"/>
                <w:sz w:val="18"/>
                <w:szCs w:val="18"/>
              </w:rPr>
            </w:pPr>
          </w:p>
        </w:tc>
        <w:tc>
          <w:tcPr>
            <w:tcW w:w="24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24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244"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249"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验收</w:t>
            </w:r>
          </w:p>
        </w:tc>
        <w:tc>
          <w:tcPr>
            <w:tcW w:w="245"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tc>
        <w:tc>
          <w:tcPr>
            <w:tcW w:w="240"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c>
          <w:tcPr>
            <w:tcW w:w="29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238"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219"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263"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验收</w:t>
            </w:r>
          </w:p>
        </w:tc>
        <w:tc>
          <w:tcPr>
            <w:tcW w:w="266"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tc>
        <w:tc>
          <w:tcPr>
            <w:tcW w:w="266" w:type="pct"/>
            <w:tcBorders>
              <w:top w:val="nil"/>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课堂</w:t>
            </w:r>
          </w:p>
          <w:p>
            <w:pPr>
              <w:widowControl/>
              <w:jc w:val="center"/>
              <w:rPr>
                <w:kern w:val="0"/>
                <w:sz w:val="18"/>
                <w:szCs w:val="18"/>
              </w:rPr>
            </w:pPr>
            <w:r>
              <w:rPr>
                <w:kern w:val="0"/>
                <w:sz w:val="18"/>
                <w:szCs w:val="18"/>
              </w:rPr>
              <w:t>情况</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作业</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实验</w:t>
            </w:r>
          </w:p>
        </w:tc>
        <w:tc>
          <w:tcPr>
            <w:tcW w:w="2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验收</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分组</w:t>
            </w:r>
          </w:p>
          <w:p>
            <w:pPr>
              <w:widowControl/>
              <w:jc w:val="center"/>
              <w:rPr>
                <w:kern w:val="0"/>
                <w:sz w:val="18"/>
                <w:szCs w:val="18"/>
              </w:rPr>
            </w:pPr>
            <w:r>
              <w:rPr>
                <w:kern w:val="0"/>
                <w:sz w:val="18"/>
                <w:szCs w:val="18"/>
              </w:rPr>
              <w:t>实验</w:t>
            </w:r>
          </w:p>
          <w:p>
            <w:pPr>
              <w:widowControl/>
              <w:jc w:val="center"/>
              <w:rPr>
                <w:kern w:val="0"/>
                <w:sz w:val="18"/>
                <w:szCs w:val="18"/>
              </w:rPr>
            </w:pPr>
            <w:r>
              <w:rPr>
                <w:kern w:val="0"/>
                <w:sz w:val="18"/>
                <w:szCs w:val="18"/>
              </w:rPr>
              <w:t>报告</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期末</w:t>
            </w:r>
          </w:p>
          <w:p>
            <w:pPr>
              <w:widowControl/>
              <w:jc w:val="center"/>
              <w:rPr>
                <w:kern w:val="0"/>
                <w:sz w:val="18"/>
                <w:szCs w:val="18"/>
              </w:rPr>
            </w:pPr>
            <w:r>
              <w:rPr>
                <w:kern w:val="0"/>
                <w:sz w:val="18"/>
                <w:szCs w:val="18"/>
              </w:rPr>
              <w:t>大作业</w:t>
            </w:r>
          </w:p>
        </w:tc>
      </w:tr>
      <w:tr>
        <w:tblPrEx>
          <w:tblCellMar>
            <w:top w:w="0" w:type="dxa"/>
            <w:left w:w="108" w:type="dxa"/>
            <w:bottom w:w="0" w:type="dxa"/>
            <w:right w:w="108" w:type="dxa"/>
          </w:tblCellMar>
        </w:tblPrEx>
        <w:trPr>
          <w:trHeight w:val="702" w:hRule="atLeast"/>
          <w:jc w:val="center"/>
        </w:trPr>
        <w:tc>
          <w:tcPr>
            <w:tcW w:w="19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w:t>
            </w:r>
          </w:p>
        </w:tc>
        <w:tc>
          <w:tcPr>
            <w:tcW w:w="292"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24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4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0.14</w:t>
            </w:r>
          </w:p>
        </w:tc>
        <w:tc>
          <w:tcPr>
            <w:tcW w:w="244"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249"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45"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240"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0.60</w:t>
            </w:r>
          </w:p>
        </w:tc>
        <w:tc>
          <w:tcPr>
            <w:tcW w:w="29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0.018</w:t>
            </w:r>
          </w:p>
        </w:tc>
        <w:tc>
          <w:tcPr>
            <w:tcW w:w="23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0.042</w:t>
            </w:r>
          </w:p>
        </w:tc>
        <w:tc>
          <w:tcPr>
            <w:tcW w:w="219"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0.03</w:t>
            </w:r>
          </w:p>
        </w:tc>
        <w:tc>
          <w:tcPr>
            <w:tcW w:w="26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0.018</w:t>
            </w:r>
          </w:p>
        </w:tc>
        <w:tc>
          <w:tcPr>
            <w:tcW w:w="26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0.012</w:t>
            </w:r>
          </w:p>
        </w:tc>
        <w:tc>
          <w:tcPr>
            <w:tcW w:w="26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0.18</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1.00</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0.12</w:t>
            </w:r>
          </w:p>
        </w:tc>
        <w:tc>
          <w:tcPr>
            <w:tcW w:w="2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0.09</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0.45</w:t>
            </w:r>
          </w:p>
        </w:tc>
      </w:tr>
      <w:tr>
        <w:tblPrEx>
          <w:tblCellMar>
            <w:top w:w="0" w:type="dxa"/>
            <w:left w:w="108" w:type="dxa"/>
            <w:bottom w:w="0" w:type="dxa"/>
            <w:right w:w="108" w:type="dxa"/>
          </w:tblCellMar>
        </w:tblPrEx>
        <w:trPr>
          <w:trHeight w:val="699" w:hRule="atLeast"/>
          <w:jc w:val="center"/>
        </w:trPr>
        <w:tc>
          <w:tcPr>
            <w:tcW w:w="19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2</w:t>
            </w:r>
          </w:p>
        </w:tc>
        <w:tc>
          <w:tcPr>
            <w:tcW w:w="292"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24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24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2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23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1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0.16</w:t>
            </w:r>
          </w:p>
        </w:tc>
        <w:tc>
          <w:tcPr>
            <w:tcW w:w="26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0.12</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0.70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0.64</w:t>
            </w:r>
          </w:p>
        </w:tc>
        <w:tc>
          <w:tcPr>
            <w:tcW w:w="2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r>
      <w:tr>
        <w:tblPrEx>
          <w:tblCellMar>
            <w:top w:w="0" w:type="dxa"/>
            <w:left w:w="108" w:type="dxa"/>
            <w:bottom w:w="0" w:type="dxa"/>
            <w:right w:w="108" w:type="dxa"/>
          </w:tblCellMar>
        </w:tblPrEx>
        <w:trPr>
          <w:trHeight w:val="690" w:hRule="atLeast"/>
          <w:jc w:val="center"/>
        </w:trPr>
        <w:tc>
          <w:tcPr>
            <w:tcW w:w="19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3</w:t>
            </w:r>
          </w:p>
        </w:tc>
        <w:tc>
          <w:tcPr>
            <w:tcW w:w="292"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24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0.30</w:t>
            </w:r>
          </w:p>
        </w:tc>
        <w:tc>
          <w:tcPr>
            <w:tcW w:w="24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2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3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1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6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0.08</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0.24</w:t>
            </w:r>
          </w:p>
        </w:tc>
        <w:tc>
          <w:tcPr>
            <w:tcW w:w="2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0.25</w:t>
            </w:r>
          </w:p>
        </w:tc>
      </w:tr>
      <w:tr>
        <w:tblPrEx>
          <w:tblCellMar>
            <w:top w:w="0" w:type="dxa"/>
            <w:left w:w="108" w:type="dxa"/>
            <w:bottom w:w="0" w:type="dxa"/>
            <w:right w:w="108" w:type="dxa"/>
          </w:tblCellMar>
        </w:tblPrEx>
        <w:trPr>
          <w:trHeight w:val="704" w:hRule="atLeast"/>
          <w:jc w:val="center"/>
        </w:trPr>
        <w:tc>
          <w:tcPr>
            <w:tcW w:w="194" w:type="pct"/>
            <w:tcBorders>
              <w:top w:val="nil"/>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4</w:t>
            </w:r>
          </w:p>
        </w:tc>
        <w:tc>
          <w:tcPr>
            <w:tcW w:w="292" w:type="pct"/>
            <w:tcBorders>
              <w:top w:val="nil"/>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0.10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4"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4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0.60</w:t>
            </w:r>
          </w:p>
        </w:tc>
        <w:tc>
          <w:tcPr>
            <w:tcW w:w="245"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240"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9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38"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19"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63"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266" w:type="pct"/>
            <w:tcBorders>
              <w:top w:val="nil"/>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0.00</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c>
          <w:tcPr>
            <w:tcW w:w="2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0.30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0.80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 w:val="18"/>
                <w:szCs w:val="18"/>
              </w:rPr>
            </w:pPr>
            <w:r>
              <w:rPr>
                <w:bCs/>
                <w:sz w:val="18"/>
                <w:szCs w:val="18"/>
              </w:rPr>
              <w:t>0.00</w:t>
            </w:r>
          </w:p>
        </w:tc>
      </w:tr>
      <w:tr>
        <w:tblPrEx>
          <w:tblCellMar>
            <w:top w:w="0" w:type="dxa"/>
            <w:left w:w="108" w:type="dxa"/>
            <w:bottom w:w="0" w:type="dxa"/>
            <w:right w:w="108" w:type="dxa"/>
          </w:tblCellMar>
        </w:tblPrEx>
        <w:trPr>
          <w:trHeight w:val="700" w:hRule="atLeast"/>
          <w:jc w:val="center"/>
        </w:trPr>
        <w:tc>
          <w:tcPr>
            <w:tcW w:w="1952" w:type="pct"/>
            <w:gridSpan w:val="8"/>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Cs/>
                <w:sz w:val="18"/>
                <w:szCs w:val="18"/>
              </w:rPr>
            </w:pPr>
            <w:r>
              <w:rPr>
                <w:bCs/>
                <w:sz w:val="18"/>
                <w:szCs w:val="18"/>
              </w:rPr>
              <w:t>0.06</w:t>
            </w:r>
          </w:p>
        </w:tc>
        <w:tc>
          <w:tcPr>
            <w:tcW w:w="238"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0.04</w:t>
            </w:r>
          </w:p>
        </w:tc>
        <w:tc>
          <w:tcPr>
            <w:tcW w:w="219"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0.25</w:t>
            </w:r>
          </w:p>
        </w:tc>
        <w:tc>
          <w:tcPr>
            <w:tcW w:w="263"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0.20</w:t>
            </w:r>
          </w:p>
        </w:tc>
        <w:tc>
          <w:tcPr>
            <w:tcW w:w="26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0.05</w:t>
            </w:r>
          </w:p>
        </w:tc>
        <w:tc>
          <w:tcPr>
            <w:tcW w:w="266" w:type="pct"/>
            <w:tcBorders>
              <w:top w:val="single" w:color="auto" w:sz="4" w:space="0"/>
              <w:left w:val="nil"/>
              <w:bottom w:val="single" w:color="auto" w:sz="4" w:space="0"/>
              <w:right w:val="single" w:color="auto" w:sz="4" w:space="0"/>
            </w:tcBorders>
            <w:shd w:val="clear" w:color="auto" w:fill="auto"/>
            <w:noWrap/>
            <w:vAlign w:val="center"/>
          </w:tcPr>
          <w:p>
            <w:pPr>
              <w:jc w:val="center"/>
              <w:rPr>
                <w:bCs/>
                <w:sz w:val="18"/>
                <w:szCs w:val="18"/>
              </w:rPr>
            </w:pPr>
            <w:r>
              <w:rPr>
                <w:bCs/>
                <w:sz w:val="18"/>
                <w:szCs w:val="18"/>
              </w:rPr>
              <w:t>0.40</w:t>
            </w:r>
          </w:p>
        </w:tc>
        <w:tc>
          <w:tcPr>
            <w:tcW w:w="149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教师出题或布置作业时</w:t>
            </w:r>
          </w:p>
          <w:p>
            <w:pPr>
              <w:jc w:val="center"/>
              <w:rPr>
                <w:b/>
                <w:sz w:val="18"/>
                <w:szCs w:val="18"/>
              </w:rPr>
            </w:pPr>
            <w:r>
              <w:rPr>
                <w:sz w:val="18"/>
                <w:szCs w:val="18"/>
              </w:rPr>
              <w:t>要尽量做到按照以上比例布局</w:t>
            </w:r>
          </w:p>
        </w:tc>
      </w:tr>
    </w:tbl>
    <w:p>
      <w:pPr>
        <w:spacing w:line="360" w:lineRule="auto"/>
        <w:jc w:val="left"/>
      </w:pPr>
    </w:p>
    <w:p>
      <w:pPr>
        <w:spacing w:line="360" w:lineRule="auto"/>
        <w:sectPr>
          <w:pgSz w:w="16838" w:h="11906" w:orient="landscape"/>
          <w:pgMar w:top="1797" w:right="1440" w:bottom="1797" w:left="1440" w:header="851" w:footer="992" w:gutter="0"/>
          <w:cols w:space="425" w:num="1"/>
          <w:docGrid w:linePitch="312" w:charSpace="0"/>
        </w:sectPr>
      </w:pPr>
    </w:p>
    <w:p>
      <w:pPr>
        <w:adjustRightInd w:val="0"/>
        <w:snapToGrid w:val="0"/>
        <w:spacing w:line="360" w:lineRule="auto"/>
        <w:ind w:firstLine="420" w:firstLineChars="200"/>
        <w:rPr>
          <w:szCs w:val="21"/>
        </w:rPr>
      </w:pPr>
      <w:bookmarkStart w:id="256" w:name="_Toc28421"/>
      <w:r>
        <w:rPr>
          <w:rFonts w:hint="eastAsia"/>
          <w:szCs w:val="21"/>
        </w:rPr>
        <w:t>采用达成值计算法，辅以对学生的问卷调查法。</w:t>
      </w:r>
    </w:p>
    <w:p>
      <w:pPr>
        <w:adjustRightInd w:val="0"/>
        <w:snapToGrid w:val="0"/>
        <w:spacing w:line="360" w:lineRule="auto"/>
        <w:ind w:firstLine="422" w:firstLineChars="200"/>
        <w:rPr>
          <w:b/>
          <w:bCs/>
          <w:szCs w:val="21"/>
        </w:rPr>
      </w:pPr>
      <w:r>
        <w:rPr>
          <w:rFonts w:hint="eastAsia"/>
          <w:b/>
          <w:bCs/>
          <w:szCs w:val="21"/>
        </w:rPr>
        <w:t>课程目标定量评价：</w:t>
      </w:r>
    </w:p>
    <w:p>
      <w:pPr>
        <w:adjustRightInd w:val="0"/>
        <w:snapToGrid w:val="0"/>
        <w:spacing w:line="360" w:lineRule="auto"/>
        <w:ind w:firstLine="420" w:firstLineChars="200"/>
        <w:rPr>
          <w:szCs w:val="21"/>
        </w:rPr>
      </w:pPr>
      <w:r>
        <w:rPr>
          <w:szCs w:val="21"/>
        </w:rPr>
        <w:t>达成值计算法结合上表权重分配，采用</w:t>
      </w:r>
      <w:r>
        <w:rPr>
          <w:rFonts w:hint="eastAsia"/>
          <w:szCs w:val="21"/>
        </w:rPr>
        <w:t>下表进行计算。</w:t>
      </w:r>
    </w:p>
    <w:p>
      <w:pPr>
        <w:adjustRightInd w:val="0"/>
        <w:snapToGrid w:val="0"/>
        <w:spacing w:line="360" w:lineRule="auto"/>
        <w:ind w:firstLine="420" w:firstLineChars="200"/>
        <w:rPr>
          <w:szCs w:val="21"/>
        </w:rPr>
      </w:pPr>
      <w:r>
        <w:rPr>
          <w:szCs w:val="21"/>
        </w:rPr>
        <w:t>单一课程目标达成度评价采用下式：</w:t>
      </w:r>
    </w:p>
    <w:p>
      <w:pPr>
        <w:adjustRightInd w:val="0"/>
        <w:snapToGrid w:val="0"/>
        <w:spacing w:line="360" w:lineRule="auto"/>
        <w:ind w:firstLine="420" w:firstLineChars="200"/>
        <w:rPr>
          <w:szCs w:val="21"/>
        </w:rPr>
      </w:pPr>
      <w:r>
        <w:rPr>
          <w:position w:val="-30"/>
          <w:szCs w:val="21"/>
        </w:rPr>
        <w:object>
          <v:shape id="_x0000_i122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28" DrawAspect="Content" ObjectID="_1468075928" r:id="rId401">
            <o:LockedField>false</o:LockedField>
          </o:OLEObject>
        </w:object>
      </w:r>
    </w:p>
    <w:p>
      <w:pPr>
        <w:adjustRightInd w:val="0"/>
        <w:snapToGrid w:val="0"/>
        <w:spacing w:line="360" w:lineRule="auto"/>
        <w:ind w:firstLine="420" w:firstLineChars="200"/>
        <w:rPr>
          <w:szCs w:val="21"/>
        </w:rPr>
      </w:pPr>
      <w:r>
        <w:rPr>
          <w:szCs w:val="21"/>
        </w:rPr>
        <w:t>总的课程目标达成度评价采用下式：</w:t>
      </w:r>
    </w:p>
    <w:p>
      <w:pPr>
        <w:adjustRightInd w:val="0"/>
        <w:snapToGrid w:val="0"/>
        <w:spacing w:line="360" w:lineRule="auto"/>
        <w:ind w:firstLine="420" w:firstLineChars="200"/>
        <w:rPr>
          <w:szCs w:val="21"/>
        </w:rPr>
      </w:pPr>
      <w:r>
        <w:rPr>
          <w:position w:val="-30"/>
          <w:szCs w:val="21"/>
        </w:rPr>
        <w:object>
          <v:shape id="_x0000_i122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29" DrawAspect="Content" ObjectID="_1468075929" r:id="rId402">
            <o:LockedField>false</o:LockedField>
          </o:OLEObject>
        </w:object>
      </w:r>
    </w:p>
    <w:p>
      <w:pPr>
        <w:adjustRightInd w:val="0"/>
        <w:snapToGrid w:val="0"/>
        <w:spacing w:line="360" w:lineRule="auto"/>
        <w:ind w:firstLine="420" w:firstLineChars="200"/>
        <w:rPr>
          <w:szCs w:val="21"/>
        </w:rPr>
      </w:pPr>
      <w:r>
        <w:rPr>
          <w:szCs w:val="21"/>
        </w:rPr>
        <w:t>以上公式中：</w:t>
      </w:r>
    </w:p>
    <w:p>
      <w:pPr>
        <w:adjustRightInd w:val="0"/>
        <w:snapToGrid w:val="0"/>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adjustRightInd w:val="0"/>
        <w:snapToGrid w:val="0"/>
        <w:spacing w:line="360" w:lineRule="auto"/>
        <w:ind w:firstLine="420" w:firstLineChars="200"/>
      </w:pPr>
      <w:r>
        <w:rPr>
          <w:position w:val="-10"/>
        </w:rPr>
        <w:object>
          <v:shape id="_x0000_i123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30" DrawAspect="Content" ObjectID="_1468075930" r:id="rId403">
            <o:LockedField>false</o:LockedField>
          </o:OLEObject>
        </w:object>
      </w:r>
      <w:r>
        <w:t>表示第</w:t>
      </w:r>
      <w:r>
        <w:rPr>
          <w:i/>
        </w:rPr>
        <w:t>k</w:t>
      </w:r>
      <w:r>
        <w:t>种评价方式期末评价成绩平均分，均为百分制；</w:t>
      </w:r>
    </w:p>
    <w:p>
      <w:pPr>
        <w:adjustRightInd w:val="0"/>
        <w:snapToGrid w:val="0"/>
        <w:spacing w:line="360" w:lineRule="auto"/>
        <w:ind w:firstLine="420" w:firstLineChars="200"/>
      </w:pPr>
      <w:r>
        <w:rPr>
          <w:position w:val="-10"/>
        </w:rPr>
        <w:object>
          <v:shape id="_x0000_i123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31" DrawAspect="Content" ObjectID="_1468075931" r:id="rId404">
            <o:LockedField>false</o:LockedField>
          </o:OLEObject>
        </w:object>
      </w:r>
      <w:r>
        <w:t>是第</w:t>
      </w:r>
      <w:r>
        <w:rPr>
          <w:i/>
        </w:rPr>
        <w:t>k</w:t>
      </w:r>
      <w:r>
        <w:t>种评价方式通过第</w:t>
      </w:r>
      <w:r>
        <w:rPr>
          <w:i/>
        </w:rPr>
        <w:t>i</w:t>
      </w:r>
      <w:r>
        <w:t>个课程目标反映在总的课程目标评分占比；</w:t>
      </w:r>
    </w:p>
    <w:p>
      <w:pPr>
        <w:adjustRightInd w:val="0"/>
        <w:snapToGrid w:val="0"/>
        <w:spacing w:line="360" w:lineRule="auto"/>
        <w:ind w:firstLine="420" w:firstLineChars="200"/>
        <w:rPr>
          <w:szCs w:val="21"/>
        </w:rPr>
      </w:pPr>
      <w:r>
        <w:rPr>
          <w:position w:val="-10"/>
        </w:rPr>
        <w:object>
          <v:shape id="_x0000_i123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32" DrawAspect="Content" ObjectID="_1468075932" r:id="rId405">
            <o:LockedField>false</o:LockedField>
          </o:OLEObject>
        </w:object>
      </w:r>
      <w:r>
        <w:t>表示第</w:t>
      </w:r>
      <w:r>
        <w:rPr>
          <w:i/>
        </w:rPr>
        <w:t>k</w:t>
      </w:r>
      <w:r>
        <w:t>种评价方式对第</w:t>
      </w:r>
      <w:r>
        <w:rPr>
          <w:i/>
        </w:rPr>
        <w:t>i</w:t>
      </w:r>
      <w:r>
        <w:t>个课程目标百分占比；</w:t>
      </w:r>
    </w:p>
    <w:p>
      <w:pPr>
        <w:adjustRightInd w:val="0"/>
        <w:snapToGrid w:val="0"/>
        <w:spacing w:line="360" w:lineRule="auto"/>
        <w:ind w:firstLine="420" w:firstLineChars="200"/>
      </w:pPr>
      <w:r>
        <w:rPr>
          <w:position w:val="-10"/>
        </w:rPr>
        <w:object>
          <v:shape id="_x0000_i123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33" DrawAspect="Content" ObjectID="_1468075933" r:id="rId406">
            <o:LockedField>false</o:LockedField>
          </o:OLEObject>
        </w:object>
      </w:r>
      <w:r>
        <w:t>表示第</w:t>
      </w:r>
      <w:r>
        <w:rPr>
          <w:i/>
        </w:rPr>
        <w:t>i</w:t>
      </w:r>
      <w:r>
        <w:t>个课程目标在课程总评价中的占比；</w:t>
      </w:r>
    </w:p>
    <w:p>
      <w:pPr>
        <w:adjustRightInd w:val="0"/>
        <w:snapToGrid w:val="0"/>
        <w:spacing w:line="360" w:lineRule="auto"/>
        <w:ind w:firstLine="422" w:firstLineChars="200"/>
        <w:rPr>
          <w:b/>
          <w:bCs/>
          <w:position w:val="-10"/>
          <w:szCs w:val="22"/>
        </w:rPr>
      </w:pPr>
      <w:r>
        <w:rPr>
          <w:rFonts w:hint="eastAsia"/>
          <w:b/>
          <w:bCs/>
          <w:position w:val="-10"/>
          <w:szCs w:val="22"/>
        </w:rPr>
        <w:t>课程目标定性评价：</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adjustRightInd w:val="0"/>
        <w:snapToGrid w:val="0"/>
        <w:spacing w:line="360" w:lineRule="auto"/>
        <w:ind w:firstLine="422" w:firstLineChars="200"/>
        <w:rPr>
          <w:b/>
          <w:bCs/>
          <w:position w:val="-10"/>
          <w:szCs w:val="22"/>
        </w:rPr>
      </w:pPr>
      <w:r>
        <w:rPr>
          <w:rFonts w:hint="eastAsia"/>
          <w:b/>
          <w:bCs/>
          <w:position w:val="-10"/>
          <w:szCs w:val="22"/>
        </w:rPr>
        <w:t>课程目标达成结果：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adjustRightInd w:val="0"/>
        <w:snapToGrid w:val="0"/>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adjustRightInd w:val="0"/>
        <w:snapToGrid w:val="0"/>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adjustRightInd w:val="0"/>
        <w:snapToGrid w:val="0"/>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adjustRightInd w:val="0"/>
        <w:snapToGrid w:val="0"/>
        <w:spacing w:line="360" w:lineRule="auto"/>
        <w:ind w:firstLine="420" w:firstLineChars="200"/>
        <w:rPr>
          <w:szCs w:val="21"/>
        </w:rPr>
      </w:pPr>
      <w:r>
        <w:rPr>
          <w:rFonts w:hint="eastAsia"/>
          <w:szCs w:val="21"/>
        </w:rPr>
        <w:t>课程目标达成评价结果将用于后续教学过程的持续改进。</w:t>
      </w:r>
    </w:p>
    <w:p>
      <w:pPr>
        <w:adjustRightInd w:val="0"/>
        <w:snapToGrid w:val="0"/>
        <w:spacing w:line="360" w:lineRule="auto"/>
        <w:ind w:firstLine="420" w:firstLineChars="200"/>
        <w:rPr>
          <w:szCs w:val="21"/>
        </w:rPr>
        <w:sectPr>
          <w:headerReference r:id="rId137" w:type="first"/>
          <w:footerReference r:id="rId140" w:type="first"/>
          <w:headerReference r:id="rId135" w:type="default"/>
          <w:footerReference r:id="rId138" w:type="default"/>
          <w:headerReference r:id="rId136" w:type="even"/>
          <w:footerReference r:id="rId139" w:type="even"/>
          <w:pgSz w:w="11906" w:h="16838"/>
          <w:pgMar w:top="1440" w:right="1797" w:bottom="1440" w:left="1797" w:header="851" w:footer="992" w:gutter="0"/>
          <w:cols w:space="0" w:num="1"/>
          <w:docGrid w:type="lines" w:linePitch="312" w:charSpace="0"/>
        </w:sect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Lines="0" w:after="468"/>
        <w:rPr>
          <w:rFonts w:ascii="Times New Roman" w:hAnsi="Times New Roman" w:cs="Times New Roman"/>
        </w:rPr>
      </w:pPr>
      <w:bookmarkStart w:id="257" w:name="_Toc21508"/>
      <w:bookmarkStart w:id="258" w:name="_Toc46996588"/>
      <w:r>
        <w:rPr>
          <w:rFonts w:ascii="Times New Roman" w:hAnsi="Times New Roman" w:cs="Times New Roman"/>
        </w:rPr>
        <w:t>《</w:t>
      </w:r>
      <w:bookmarkStart w:id="259" w:name="OLE_LINK72"/>
      <w:r>
        <w:rPr>
          <w:rFonts w:ascii="Times New Roman" w:hAnsi="Times New Roman" w:cs="Times New Roman"/>
        </w:rPr>
        <w:t>Z06060211-DSP系统设计</w:t>
      </w:r>
      <w:bookmarkEnd w:id="259"/>
      <w:r>
        <w:rPr>
          <w:rFonts w:ascii="Times New Roman" w:hAnsi="Times New Roman" w:cs="Times New Roman"/>
        </w:rPr>
        <w:t>》教学大纲</w:t>
      </w:r>
      <w:bookmarkEnd w:id="256"/>
      <w:bookmarkEnd w:id="257"/>
      <w:bookmarkEnd w:id="258"/>
    </w:p>
    <w:p>
      <w:pPr>
        <w:adjustRightInd w:val="0"/>
        <w:snapToGrid w:val="0"/>
        <w:spacing w:line="360" w:lineRule="auto"/>
      </w:pPr>
      <w:r>
        <w:rPr>
          <w:rFonts w:eastAsia="黑体"/>
        </w:rPr>
        <w:t>课程编号：</w:t>
      </w:r>
      <w:r>
        <w:rPr>
          <w:rFonts w:hint="eastAsia" w:eastAsia="黑体"/>
        </w:rPr>
        <w:t>Z</w:t>
      </w:r>
      <w:r>
        <w:t>06060211</w:t>
      </w:r>
    </w:p>
    <w:p>
      <w:pPr>
        <w:adjustRightInd w:val="0"/>
        <w:snapToGrid w:val="0"/>
        <w:spacing w:line="360" w:lineRule="auto"/>
        <w:rPr>
          <w:snapToGrid w:val="0"/>
          <w:kern w:val="0"/>
        </w:rPr>
      </w:pPr>
      <w:r>
        <w:rPr>
          <w:rFonts w:eastAsia="黑体"/>
        </w:rPr>
        <w:t>课程名称：</w:t>
      </w:r>
      <w:r>
        <w:t>DSP系统设计</w:t>
      </w:r>
      <w:r>
        <w:tab/>
      </w:r>
      <w:r>
        <w:tab/>
      </w:r>
      <w:r>
        <w:tab/>
      </w:r>
      <w:r>
        <w:tab/>
      </w:r>
      <w:r>
        <w:tab/>
      </w:r>
      <w:r>
        <w:rPr>
          <w:rFonts w:eastAsia="黑体"/>
        </w:rPr>
        <w:t>开课单位：</w:t>
      </w:r>
      <w:r>
        <w:t>仪器与电子学院</w:t>
      </w:r>
    </w:p>
    <w:p>
      <w:pPr>
        <w:adjustRightInd w:val="0"/>
        <w:snapToGrid w:val="0"/>
        <w:spacing w:line="360" w:lineRule="auto"/>
        <w:rPr>
          <w:rFonts w:eastAsia="黑体"/>
        </w:rPr>
      </w:pPr>
      <w:r>
        <w:rPr>
          <w:rFonts w:eastAsia="黑体"/>
        </w:rPr>
        <w:t>总 学 时：</w:t>
      </w:r>
      <w:r>
        <w:t>32</w:t>
      </w:r>
      <w:r>
        <w:rPr>
          <w:szCs w:val="21"/>
        </w:rPr>
        <w:t>（实验10学时）</w:t>
      </w:r>
      <w:r>
        <w:rPr>
          <w:szCs w:val="21"/>
        </w:rPr>
        <w:tab/>
      </w:r>
      <w:r>
        <w:rPr>
          <w:szCs w:val="21"/>
        </w:rPr>
        <w:tab/>
      </w:r>
      <w:r>
        <w:rPr>
          <w:szCs w:val="21"/>
        </w:rPr>
        <w:tab/>
      </w:r>
      <w:r>
        <w:rPr>
          <w:szCs w:val="21"/>
        </w:rPr>
        <w:tab/>
      </w:r>
      <w:r>
        <w:rPr>
          <w:rFonts w:eastAsia="黑体"/>
        </w:rPr>
        <w:t>学    分：</w:t>
      </w:r>
      <w:r>
        <w:t>2</w:t>
      </w:r>
    </w:p>
    <w:p>
      <w:pPr>
        <w:adjustRightInd w:val="0"/>
        <w:snapToGrid w:val="0"/>
        <w:spacing w:line="360" w:lineRule="auto"/>
      </w:pPr>
      <w:r>
        <w:rPr>
          <w:rFonts w:eastAsia="黑体"/>
        </w:rPr>
        <w:t>适用专业：</w:t>
      </w:r>
      <w:r>
        <w:t>电子科学与技术</w:t>
      </w:r>
      <w:r>
        <w:rPr>
          <w:rFonts w:hint="eastAsia"/>
        </w:rPr>
        <w:t>专业</w:t>
      </w:r>
    </w:p>
    <w:p>
      <w:pPr>
        <w:adjustRightInd w:val="0"/>
        <w:snapToGrid w:val="0"/>
        <w:spacing w:line="360" w:lineRule="auto"/>
      </w:pPr>
      <w:r>
        <w:rPr>
          <w:rFonts w:eastAsia="黑体"/>
        </w:rPr>
        <w:t>先修课程：</w:t>
      </w:r>
      <w:r>
        <w:t>C语言程序设计、</w:t>
      </w:r>
      <w:r>
        <w:rPr>
          <w:rFonts w:hint="eastAsia"/>
        </w:rPr>
        <w:t>微机原理及接口技术</w:t>
      </w:r>
      <w:r>
        <w:t>、</w:t>
      </w:r>
      <w:r>
        <w:rPr>
          <w:rFonts w:hint="eastAsia"/>
        </w:rPr>
        <w:t>信号与系统</w:t>
      </w:r>
    </w:p>
    <w:p>
      <w:pPr>
        <w:adjustRightInd w:val="0"/>
        <w:snapToGrid w:val="0"/>
        <w:spacing w:line="360" w:lineRule="auto"/>
      </w:pPr>
      <w:r>
        <w:rPr>
          <w:rFonts w:eastAsia="黑体"/>
        </w:rPr>
        <w:t>大纲撰写人：</w:t>
      </w:r>
      <w:r>
        <w:t>沈三民</w:t>
      </w:r>
    </w:p>
    <w:p>
      <w:pPr>
        <w:adjustRightInd w:val="0"/>
        <w:snapToGrid w:val="0"/>
        <w:spacing w:line="360" w:lineRule="auto"/>
      </w:pPr>
      <w:r>
        <w:rPr>
          <w:rFonts w:eastAsia="黑体"/>
        </w:rPr>
        <w:t>大纲编写（修订）时间：</w:t>
      </w:r>
      <w:r>
        <w:t>20</w:t>
      </w:r>
      <w:r>
        <w:rPr>
          <w:rFonts w:hint="eastAsia"/>
        </w:rPr>
        <w:t>19</w:t>
      </w:r>
      <w:r>
        <w:t>年5月</w:t>
      </w:r>
    </w:p>
    <w:p>
      <w:pPr>
        <w:adjustRightInd w:val="0"/>
        <w:snapToGrid w:val="0"/>
        <w:spacing w:line="360" w:lineRule="auto"/>
      </w:pPr>
    </w:p>
    <w:p>
      <w:pPr>
        <w:tabs>
          <w:tab w:val="left" w:pos="420"/>
        </w:tabs>
        <w:adjustRightInd w:val="0"/>
        <w:snapToGrid w:val="0"/>
        <w:spacing w:line="360" w:lineRule="auto"/>
        <w:ind w:left="420" w:hanging="420"/>
        <w:rPr>
          <w:rFonts w:eastAsia="黑体"/>
          <w:szCs w:val="24"/>
        </w:rPr>
      </w:pPr>
      <w:r>
        <w:rPr>
          <w:rFonts w:eastAsia="黑体"/>
          <w:szCs w:val="24"/>
        </w:rPr>
        <w:t>一、课程在教学计划中的地位、作用</w:t>
      </w:r>
    </w:p>
    <w:p>
      <w:pPr>
        <w:adjustRightInd w:val="0"/>
        <w:snapToGrid w:val="0"/>
        <w:spacing w:line="360" w:lineRule="auto"/>
        <w:ind w:firstLine="420" w:firstLineChars="200"/>
      </w:pPr>
      <w:r>
        <w:t>本课程是电子科学与技术的专业教育课程。作为《</w:t>
      </w:r>
      <w:r>
        <w:rPr>
          <w:rFonts w:hint="eastAsia"/>
        </w:rPr>
        <w:t>信号与系统</w:t>
      </w:r>
      <w:r>
        <w:t>》课程的后续课程，本课程使学生对数字信号处理技术能够实现从理论到实践的转变。该课程以提高学生实际工程设计能力为目的，其任务是讲授数字信号处理器结构及工程应用的实现及使用方法。通过该课程的学习，学生能够掌握数字信号处理器的使用方法，能够应用数字信号处理器来进行DSP系统的设计。</w:t>
      </w:r>
    </w:p>
    <w:p>
      <w:pPr>
        <w:adjustRightInd w:val="0"/>
        <w:snapToGrid w:val="0"/>
        <w:spacing w:line="360" w:lineRule="auto"/>
        <w:ind w:firstLine="420" w:firstLineChars="200"/>
      </w:pPr>
    </w:p>
    <w:p>
      <w:pPr>
        <w:tabs>
          <w:tab w:val="left" w:pos="420"/>
        </w:tabs>
        <w:adjustRightInd w:val="0"/>
        <w:snapToGrid w:val="0"/>
        <w:spacing w:line="360" w:lineRule="auto"/>
        <w:rPr>
          <w:rFonts w:eastAsia="黑体"/>
        </w:rPr>
      </w:pPr>
      <w:r>
        <w:rPr>
          <w:rFonts w:hint="eastAsia" w:eastAsia="黑体"/>
        </w:rPr>
        <w:t>二、</w:t>
      </w:r>
      <w:r>
        <w:rPr>
          <w:rFonts w:eastAsia="黑体"/>
        </w:rPr>
        <w:t>课程目标</w:t>
      </w:r>
    </w:p>
    <w:tbl>
      <w:tblPr>
        <w:tblStyle w:val="2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4101"/>
        <w:gridCol w:w="36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sz w:val="18"/>
                <w:szCs w:val="18"/>
              </w:rPr>
              <w:t>序号</w:t>
            </w:r>
          </w:p>
        </w:tc>
        <w:tc>
          <w:tcPr>
            <w:tcW w:w="2467" w:type="pct"/>
            <w:vAlign w:val="center"/>
          </w:tcPr>
          <w:p>
            <w:pPr>
              <w:spacing w:line="360" w:lineRule="auto"/>
              <w:jc w:val="center"/>
              <w:rPr>
                <w:sz w:val="18"/>
                <w:szCs w:val="18"/>
              </w:rPr>
            </w:pPr>
            <w:r>
              <w:rPr>
                <w:sz w:val="18"/>
                <w:szCs w:val="18"/>
              </w:rPr>
              <w:t>课程目标</w:t>
            </w:r>
          </w:p>
        </w:tc>
        <w:tc>
          <w:tcPr>
            <w:tcW w:w="2166" w:type="pct"/>
            <w:vAlign w:val="center"/>
          </w:tcPr>
          <w:p>
            <w:pPr>
              <w:spacing w:line="360" w:lineRule="auto"/>
              <w:jc w:val="center"/>
              <w:rPr>
                <w:sz w:val="18"/>
                <w:szCs w:val="18"/>
              </w:rPr>
            </w:pPr>
            <w:r>
              <w:rPr>
                <w:sz w:val="18"/>
                <w:szCs w:val="18"/>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1</w:t>
            </w:r>
          </w:p>
        </w:tc>
        <w:tc>
          <w:tcPr>
            <w:tcW w:w="2467" w:type="pct"/>
          </w:tcPr>
          <w:p>
            <w:pPr>
              <w:snapToGrid w:val="0"/>
              <w:spacing w:line="360" w:lineRule="auto"/>
              <w:rPr>
                <w:sz w:val="18"/>
                <w:szCs w:val="18"/>
              </w:rPr>
            </w:pPr>
            <w:r>
              <w:rPr>
                <w:sz w:val="18"/>
                <w:szCs w:val="18"/>
              </w:rPr>
              <w:t>能够</w:t>
            </w:r>
            <w:r>
              <w:rPr>
                <w:rFonts w:hint="eastAsia"/>
                <w:sz w:val="18"/>
                <w:szCs w:val="18"/>
              </w:rPr>
              <w:t>根据TMS320C54x系列DSP处理器的结构，进行DSP最小系统设计；并能够根据TMS320C54x系列DSP处理器的指令系统，进行汇编语言程序设计，</w:t>
            </w:r>
            <w:r>
              <w:rPr>
                <w:sz w:val="18"/>
                <w:szCs w:val="18"/>
              </w:rPr>
              <w:t>实现</w:t>
            </w:r>
            <w:r>
              <w:rPr>
                <w:rFonts w:hint="eastAsia"/>
                <w:sz w:val="18"/>
                <w:szCs w:val="18"/>
              </w:rPr>
              <w:t>简单的数字信号处理算法，完成处理器的基本功能控制。</w:t>
            </w:r>
          </w:p>
        </w:tc>
        <w:tc>
          <w:tcPr>
            <w:tcW w:w="2166" w:type="pct"/>
          </w:tcPr>
          <w:p>
            <w:pPr>
              <w:snapToGrid w:val="0"/>
              <w:spacing w:line="360" w:lineRule="auto"/>
              <w:rPr>
                <w:sz w:val="18"/>
                <w:szCs w:val="18"/>
              </w:rPr>
            </w:pPr>
            <w:r>
              <w:rPr>
                <w:rFonts w:hint="eastAsia"/>
                <w:b/>
                <w:sz w:val="18"/>
                <w:szCs w:val="18"/>
              </w:rPr>
              <w:t>指标点2-2 问题表达：</w:t>
            </w:r>
            <w:r>
              <w:rPr>
                <w:rFonts w:hint="eastAsia"/>
                <w:sz w:val="18"/>
                <w:szCs w:val="18"/>
              </w:rPr>
              <w:t>能够应用科学原理对本专业复杂工程问题的识别结果进行有效表达，将工程问题转化为技术问题。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7" w:type="pct"/>
            <w:vAlign w:val="center"/>
          </w:tcPr>
          <w:p>
            <w:pPr>
              <w:spacing w:line="360" w:lineRule="auto"/>
              <w:jc w:val="center"/>
              <w:rPr>
                <w:sz w:val="18"/>
                <w:szCs w:val="18"/>
              </w:rPr>
            </w:pPr>
            <w:r>
              <w:rPr>
                <w:rFonts w:hint="eastAsia"/>
                <w:sz w:val="18"/>
                <w:szCs w:val="18"/>
              </w:rPr>
              <w:t>2</w:t>
            </w:r>
          </w:p>
        </w:tc>
        <w:tc>
          <w:tcPr>
            <w:tcW w:w="2467" w:type="pct"/>
          </w:tcPr>
          <w:p>
            <w:pPr>
              <w:snapToGrid w:val="0"/>
              <w:spacing w:line="360" w:lineRule="auto"/>
              <w:rPr>
                <w:sz w:val="18"/>
                <w:szCs w:val="18"/>
              </w:rPr>
            </w:pPr>
            <w:r>
              <w:rPr>
                <w:rFonts w:hint="eastAsia"/>
                <w:sz w:val="18"/>
                <w:szCs w:val="18"/>
              </w:rPr>
              <w:t>了解业界主流DSP芯片及其开发环境的性能特点，能够根据项目要求合理选择DSP芯片厂家、型号，并合理选择其开发环境，具备利用开发环境进行DSP处理器的控制程序设计和调试的能力。</w:t>
            </w:r>
          </w:p>
        </w:tc>
        <w:tc>
          <w:tcPr>
            <w:tcW w:w="2166" w:type="pct"/>
          </w:tcPr>
          <w:p>
            <w:pPr>
              <w:snapToGrid w:val="0"/>
              <w:spacing w:line="360" w:lineRule="auto"/>
              <w:rPr>
                <w:sz w:val="18"/>
                <w:szCs w:val="18"/>
              </w:rPr>
            </w:pPr>
            <w:r>
              <w:rPr>
                <w:rFonts w:hint="eastAsia"/>
                <w:b/>
                <w:sz w:val="18"/>
                <w:szCs w:val="18"/>
              </w:rPr>
              <w:t>指标点5-1 工具选择与开发：</w:t>
            </w:r>
            <w:r>
              <w:rPr>
                <w:rFonts w:hint="eastAsia"/>
                <w:sz w:val="18"/>
                <w:szCs w:val="18"/>
              </w:rPr>
              <w:t>了解当前主流工具的优点与不足，能针对复杂工程问题特性与需求做出对比选择，并能够开发一定的辅助工具用于解决问题。</w:t>
            </w:r>
          </w:p>
        </w:tc>
      </w:tr>
    </w:tbl>
    <w:p>
      <w:pPr>
        <w:pStyle w:val="31"/>
        <w:tabs>
          <w:tab w:val="left" w:pos="420"/>
        </w:tabs>
        <w:adjustRightInd w:val="0"/>
        <w:snapToGrid w:val="0"/>
        <w:spacing w:line="360" w:lineRule="auto"/>
        <w:ind w:firstLine="0" w:firstLineChars="0"/>
        <w:rPr>
          <w:rFonts w:eastAsia="黑体"/>
        </w:rPr>
      </w:pPr>
    </w:p>
    <w:p>
      <w:pPr>
        <w:tabs>
          <w:tab w:val="left" w:pos="420"/>
        </w:tabs>
        <w:adjustRightInd w:val="0"/>
        <w:snapToGrid w:val="0"/>
        <w:spacing w:line="360" w:lineRule="auto"/>
        <w:ind w:left="420" w:hanging="420"/>
        <w:rPr>
          <w:rFonts w:eastAsia="黑体"/>
        </w:rPr>
      </w:pPr>
      <w:r>
        <w:rPr>
          <w:rFonts w:eastAsia="黑体"/>
        </w:rPr>
        <w:t>三、基本要求（含先修课程）</w:t>
      </w:r>
    </w:p>
    <w:p>
      <w:pPr>
        <w:pStyle w:val="31"/>
        <w:numPr>
          <w:ilvl w:val="0"/>
          <w:numId w:val="38"/>
        </w:numPr>
        <w:adjustRightInd w:val="0"/>
        <w:snapToGrid w:val="0"/>
        <w:spacing w:line="360" w:lineRule="auto"/>
        <w:ind w:left="0" w:firstLine="420"/>
        <w:rPr>
          <w:color w:val="0000FF"/>
        </w:rPr>
      </w:pPr>
      <w:r>
        <w:t>教师通过教学，结合经典的实例，使学生学会利用DSP芯片进行硬件设计及编程控制。</w:t>
      </w:r>
    </w:p>
    <w:p>
      <w:pPr>
        <w:pStyle w:val="31"/>
        <w:numPr>
          <w:ilvl w:val="0"/>
          <w:numId w:val="38"/>
        </w:numPr>
        <w:tabs>
          <w:tab w:val="left" w:pos="420"/>
        </w:tabs>
        <w:adjustRightInd w:val="0"/>
        <w:snapToGrid w:val="0"/>
        <w:spacing w:line="360" w:lineRule="auto"/>
        <w:ind w:left="0" w:firstLine="420"/>
      </w:pPr>
      <w:r>
        <w:t>学生通过实验，学会利用DSP集成开发环境进行数字信号处理芯片的应用开发方法。</w:t>
      </w:r>
    </w:p>
    <w:p>
      <w:pPr>
        <w:tabs>
          <w:tab w:val="left" w:pos="420"/>
        </w:tabs>
        <w:adjustRightInd w:val="0"/>
        <w:snapToGrid w:val="0"/>
        <w:spacing w:line="360" w:lineRule="auto"/>
        <w:ind w:firstLine="420" w:firstLineChars="200"/>
      </w:pPr>
      <w:r>
        <w:rPr>
          <w:rFonts w:hint="eastAsia"/>
        </w:rPr>
        <w:t>3、</w:t>
      </w:r>
      <w:r>
        <w:t>引导学生将数字信号处理的理论知识与DSP的实践应用结合起来。</w:t>
      </w:r>
    </w:p>
    <w:p>
      <w:pPr>
        <w:tabs>
          <w:tab w:val="left" w:pos="420"/>
        </w:tabs>
        <w:adjustRightInd w:val="0"/>
        <w:snapToGrid w:val="0"/>
        <w:spacing w:line="360" w:lineRule="auto"/>
        <w:ind w:firstLine="420" w:firstLineChars="200"/>
      </w:pPr>
      <w:r>
        <w:t>4</w:t>
      </w:r>
      <w:r>
        <w:rPr>
          <w:rFonts w:hint="eastAsia"/>
        </w:rPr>
        <w:t>、深度和广度说明：以TMS320C54x系列DSP为主，对其原理结构、硬件系统设计、汇编语言及其与</w:t>
      </w:r>
      <w:r>
        <w:t>C语言</w:t>
      </w:r>
      <w:r>
        <w:rPr>
          <w:rFonts w:hint="eastAsia"/>
        </w:rPr>
        <w:t>混合编程</w:t>
      </w:r>
      <w:r>
        <w:t>要</w:t>
      </w:r>
      <w:r>
        <w:rPr>
          <w:rFonts w:hint="eastAsia"/>
        </w:rPr>
        <w:t>详细</w:t>
      </w:r>
      <w:r>
        <w:t>讲解；对DSP芯片的发展及应用介绍应涵盖广些；对集成开发环境的掌握和使用要重点讲解，在实验中重点培养学生利用DSP</w:t>
      </w:r>
      <w:r>
        <w:rPr>
          <w:rFonts w:hint="eastAsia"/>
        </w:rPr>
        <w:t>处理器</w:t>
      </w:r>
      <w:r>
        <w:t>进行系统设计的能力。</w:t>
      </w:r>
    </w:p>
    <w:p>
      <w:pPr>
        <w:adjustRightInd w:val="0"/>
        <w:snapToGrid w:val="0"/>
        <w:spacing w:line="360" w:lineRule="auto"/>
        <w:ind w:firstLine="420" w:firstLineChars="200"/>
      </w:pPr>
      <w:r>
        <w:t>5</w:t>
      </w:r>
      <w:r>
        <w:rPr>
          <w:rFonts w:hint="eastAsia"/>
        </w:rPr>
        <w:t>、</w:t>
      </w:r>
      <w:r>
        <w:t>偏差说明：为了鼓励教师引入个人授课风格或者适应技术发展的紧迫性，本课程允许教师授课内容做适当调整，最大正偏差为</w:t>
      </w:r>
      <w:r>
        <w:rPr>
          <w:rFonts w:hint="eastAsia"/>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w:t>
      </w:r>
      <w:r>
        <w:rPr>
          <w:rFonts w:hint="eastAsia"/>
          <w:szCs w:val="21"/>
        </w:rPr>
        <w:t>知识点替换）。</w:t>
      </w:r>
    </w:p>
    <w:p>
      <w:pPr>
        <w:pStyle w:val="31"/>
        <w:adjustRightInd w:val="0"/>
        <w:snapToGrid w:val="0"/>
        <w:spacing w:line="360" w:lineRule="auto"/>
        <w:ind w:left="420" w:firstLine="0" w:firstLineChars="0"/>
      </w:pPr>
    </w:p>
    <w:p>
      <w:pPr>
        <w:tabs>
          <w:tab w:val="left" w:pos="420"/>
        </w:tabs>
        <w:adjustRightInd w:val="0"/>
        <w:snapToGrid w:val="0"/>
        <w:spacing w:line="360" w:lineRule="auto"/>
        <w:ind w:left="420" w:hanging="420"/>
        <w:rPr>
          <w:rFonts w:eastAsia="黑体"/>
          <w:szCs w:val="21"/>
        </w:rPr>
      </w:pPr>
      <w:r>
        <w:rPr>
          <w:rFonts w:eastAsia="黑体"/>
          <w:szCs w:val="21"/>
        </w:rPr>
        <w:t>四、教学内容和教学方法</w:t>
      </w:r>
    </w:p>
    <w:p>
      <w:pPr>
        <w:widowControl/>
        <w:adjustRightInd w:val="0"/>
        <w:snapToGrid w:val="0"/>
        <w:spacing w:line="360" w:lineRule="auto"/>
        <w:ind w:firstLine="420" w:firstLineChars="200"/>
        <w:jc w:val="left"/>
      </w:pPr>
      <w:r>
        <w:t>本课程重点讲授的内容包括：</w:t>
      </w:r>
      <w:r>
        <w:rPr>
          <w:rFonts w:hint="eastAsia"/>
        </w:rPr>
        <w:t>TMS320C54x系列DSP</w:t>
      </w:r>
      <w:r>
        <w:t>处理器的结构原理</w:t>
      </w:r>
      <w:r>
        <w:rPr>
          <w:rFonts w:hint="eastAsia"/>
        </w:rPr>
        <w:t>、硬件系统设计、</w:t>
      </w:r>
      <w:r>
        <w:t>指令系统、汇编语言程序设计、</w:t>
      </w:r>
      <w:r>
        <w:rPr>
          <w:rFonts w:hint="eastAsia"/>
        </w:rPr>
        <w:t>TMS320C54x的软件开发与设计及其</w:t>
      </w:r>
      <w:r>
        <w:t>开发应用</w:t>
      </w:r>
      <w:r>
        <w:rPr>
          <w:rFonts w:hint="eastAsia"/>
        </w:rPr>
        <w:t>等</w:t>
      </w:r>
      <w:r>
        <w:t>。</w:t>
      </w:r>
    </w:p>
    <w:p>
      <w:pPr>
        <w:widowControl/>
        <w:adjustRightInd w:val="0"/>
        <w:snapToGrid w:val="0"/>
        <w:spacing w:line="360" w:lineRule="auto"/>
        <w:ind w:firstLine="420" w:firstLineChars="200"/>
        <w:jc w:val="left"/>
      </w:pPr>
      <w:r>
        <w:rPr>
          <w:szCs w:val="21"/>
        </w:rPr>
        <w:t>本课程在教学方法上，充分利用各种媒体教学手段，采取课堂教学、多媒体课件、验证性实验</w:t>
      </w:r>
      <w:r>
        <w:rPr>
          <w:rFonts w:hint="eastAsia"/>
          <w:szCs w:val="21"/>
        </w:rPr>
        <w:t>及课后师生微信交流等方式</w:t>
      </w:r>
      <w:r>
        <w:rPr>
          <w:szCs w:val="21"/>
        </w:rPr>
        <w:t>有机结合，提高教学效率。</w:t>
      </w:r>
    </w:p>
    <w:p>
      <w:pPr>
        <w:spacing w:line="360" w:lineRule="auto"/>
        <w:ind w:firstLine="420" w:firstLineChars="200"/>
        <w:rPr>
          <w:color w:val="A6A6A6"/>
        </w:rPr>
      </w:pPr>
      <w:r>
        <w:rPr>
          <w:rFonts w:hint="eastAsia"/>
          <w:szCs w:val="21"/>
        </w:rPr>
        <w:t>为</w:t>
      </w:r>
      <w:r>
        <w:rPr>
          <w:rFonts w:hint="eastAsia"/>
        </w:rPr>
        <w:t>了提高学生的学习兴趣，并取得良好的教学效果，教师在知识讲解的过程中要充分利用问题引导、案例分析等多种教学方法，以进一步提高教学质量。</w:t>
      </w:r>
    </w:p>
    <w:p>
      <w:pPr>
        <w:adjustRightInd w:val="0"/>
        <w:snapToGrid w:val="0"/>
        <w:spacing w:line="360" w:lineRule="auto"/>
        <w:ind w:left="426"/>
        <w:rPr>
          <w:rFonts w:eastAsia="黑体"/>
          <w:szCs w:val="21"/>
        </w:rPr>
      </w:pPr>
    </w:p>
    <w:p>
      <w:pPr>
        <w:widowControl/>
        <w:adjustRightInd w:val="0"/>
        <w:snapToGrid w:val="0"/>
        <w:spacing w:line="360" w:lineRule="auto"/>
        <w:ind w:left="426"/>
        <w:jc w:val="left"/>
        <w:rPr>
          <w:rFonts w:eastAsia="黑体"/>
          <w:kern w:val="0"/>
        </w:rPr>
      </w:pPr>
      <w:r>
        <w:rPr>
          <w:rFonts w:eastAsia="黑体"/>
          <w:snapToGrid w:val="0"/>
          <w:kern w:val="0"/>
        </w:rPr>
        <w:t>1  绪论</w:t>
      </w:r>
      <w:r>
        <w:rPr>
          <w:rFonts w:eastAsia="黑体"/>
          <w:kern w:val="0"/>
        </w:rPr>
        <w:t>（</w:t>
      </w:r>
      <w:r>
        <w:rPr>
          <w:rFonts w:hint="eastAsia" w:eastAsia="黑体"/>
          <w:kern w:val="0"/>
        </w:rPr>
        <w:t>1</w:t>
      </w:r>
      <w:r>
        <w:rPr>
          <w:rFonts w:eastAsia="黑体"/>
          <w:kern w:val="0"/>
        </w:rPr>
        <w:t>学时）</w:t>
      </w:r>
    </w:p>
    <w:p>
      <w:pPr>
        <w:widowControl/>
        <w:adjustRightInd w:val="0"/>
        <w:snapToGrid w:val="0"/>
        <w:spacing w:line="360" w:lineRule="auto"/>
        <w:ind w:left="426"/>
        <w:jc w:val="left"/>
        <w:rPr>
          <w:snapToGrid w:val="0"/>
          <w:kern w:val="0"/>
        </w:rPr>
      </w:pPr>
      <w:r>
        <w:rPr>
          <w:snapToGrid w:val="0"/>
          <w:kern w:val="0"/>
        </w:rPr>
        <w:t>1.1</w:t>
      </w:r>
      <w:r>
        <w:rPr>
          <w:rFonts w:hint="eastAsia"/>
          <w:snapToGrid w:val="0"/>
          <w:kern w:val="0"/>
        </w:rPr>
        <w:t>、</w:t>
      </w:r>
      <w:r>
        <w:rPr>
          <w:snapToGrid w:val="0"/>
          <w:kern w:val="0"/>
        </w:rPr>
        <w:t>DSP系统的基本概念；</w:t>
      </w:r>
    </w:p>
    <w:p>
      <w:pPr>
        <w:widowControl/>
        <w:adjustRightInd w:val="0"/>
        <w:snapToGrid w:val="0"/>
        <w:spacing w:line="360" w:lineRule="auto"/>
        <w:ind w:left="426"/>
        <w:jc w:val="left"/>
        <w:rPr>
          <w:snapToGrid w:val="0"/>
          <w:kern w:val="0"/>
        </w:rPr>
      </w:pPr>
      <w:r>
        <w:rPr>
          <w:snapToGrid w:val="0"/>
          <w:kern w:val="0"/>
        </w:rPr>
        <w:t>1.</w:t>
      </w:r>
      <w:r>
        <w:rPr>
          <w:rFonts w:hint="eastAsia"/>
          <w:snapToGrid w:val="0"/>
          <w:kern w:val="0"/>
        </w:rPr>
        <w:t>2、</w:t>
      </w:r>
      <w:r>
        <w:rPr>
          <w:snapToGrid w:val="0"/>
          <w:kern w:val="0"/>
        </w:rPr>
        <w:t>DSP芯片的特点、分类及选择方法；（重点）</w:t>
      </w:r>
    </w:p>
    <w:p>
      <w:pPr>
        <w:widowControl/>
        <w:adjustRightInd w:val="0"/>
        <w:snapToGrid w:val="0"/>
        <w:spacing w:line="360" w:lineRule="auto"/>
        <w:ind w:left="426"/>
        <w:jc w:val="left"/>
        <w:rPr>
          <w:snapToGrid w:val="0"/>
          <w:kern w:val="0"/>
        </w:rPr>
      </w:pPr>
      <w:r>
        <w:rPr>
          <w:snapToGrid w:val="0"/>
          <w:kern w:val="0"/>
        </w:rPr>
        <w:t>1.</w:t>
      </w:r>
      <w:r>
        <w:rPr>
          <w:rFonts w:hint="eastAsia"/>
          <w:snapToGrid w:val="0"/>
          <w:kern w:val="0"/>
        </w:rPr>
        <w:t>3、</w:t>
      </w:r>
      <w:r>
        <w:rPr>
          <w:snapToGrid w:val="0"/>
          <w:kern w:val="0"/>
        </w:rPr>
        <w:t>DSP芯片的发展方向及应用领域</w:t>
      </w:r>
      <w:r>
        <w:rPr>
          <w:rFonts w:hint="eastAsia"/>
          <w:snapToGrid w:val="0"/>
          <w:kern w:val="0"/>
        </w:rPr>
        <w:t>；</w:t>
      </w:r>
    </w:p>
    <w:p>
      <w:pPr>
        <w:widowControl/>
        <w:adjustRightInd w:val="0"/>
        <w:snapToGrid w:val="0"/>
        <w:spacing w:line="360" w:lineRule="auto"/>
        <w:ind w:left="426"/>
        <w:jc w:val="left"/>
        <w:rPr>
          <w:snapToGrid w:val="0"/>
          <w:kern w:val="0"/>
        </w:rPr>
      </w:pPr>
      <w:r>
        <w:rPr>
          <w:rFonts w:hint="eastAsia"/>
          <w:snapToGrid w:val="0"/>
          <w:kern w:val="0"/>
        </w:rPr>
        <w:t>1.4、定点DSP的数据格式。</w:t>
      </w:r>
      <w:r>
        <w:rPr>
          <w:snapToGrid w:val="0"/>
          <w:kern w:val="0"/>
        </w:rPr>
        <w:t>（重点）</w:t>
      </w:r>
    </w:p>
    <w:p>
      <w:pPr>
        <w:widowControl/>
        <w:adjustRightInd w:val="0"/>
        <w:snapToGrid w:val="0"/>
        <w:spacing w:line="360" w:lineRule="auto"/>
        <w:ind w:left="426"/>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left="426"/>
        <w:jc w:val="left"/>
        <w:rPr>
          <w:rFonts w:eastAsia="黑体"/>
          <w:kern w:val="0"/>
        </w:rPr>
      </w:pPr>
      <w:r>
        <w:rPr>
          <w:rFonts w:eastAsia="黑体"/>
          <w:snapToGrid w:val="0"/>
          <w:kern w:val="0"/>
        </w:rPr>
        <w:t>2  TMS320C54x的结构原理</w:t>
      </w:r>
      <w:r>
        <w:rPr>
          <w:rFonts w:eastAsia="黑体"/>
          <w:kern w:val="0"/>
        </w:rPr>
        <w:t>（</w:t>
      </w:r>
      <w:r>
        <w:rPr>
          <w:rFonts w:hint="eastAsia" w:eastAsia="黑体"/>
          <w:kern w:val="0"/>
        </w:rPr>
        <w:t>3</w:t>
      </w:r>
      <w:r>
        <w:rPr>
          <w:rFonts w:eastAsia="黑体"/>
          <w:kern w:val="0"/>
        </w:rPr>
        <w:t>学时）</w:t>
      </w:r>
    </w:p>
    <w:p>
      <w:pPr>
        <w:adjustRightInd w:val="0"/>
        <w:snapToGrid w:val="0"/>
        <w:spacing w:line="360" w:lineRule="auto"/>
        <w:ind w:left="426"/>
        <w:rPr>
          <w:color w:val="000000"/>
          <w:kern w:val="0"/>
        </w:rPr>
      </w:pPr>
      <w:r>
        <w:rPr>
          <w:snapToGrid w:val="0"/>
          <w:kern w:val="0"/>
        </w:rPr>
        <w:t>2.1</w:t>
      </w:r>
      <w:r>
        <w:rPr>
          <w:rFonts w:hint="eastAsia"/>
          <w:snapToGrid w:val="0"/>
          <w:kern w:val="0"/>
        </w:rPr>
        <w:t>、</w:t>
      </w:r>
      <w:r>
        <w:rPr>
          <w:color w:val="000000"/>
          <w:kern w:val="0"/>
        </w:rPr>
        <w:t>TMS320C54x的内部结构及主要特性；</w:t>
      </w:r>
    </w:p>
    <w:p>
      <w:pPr>
        <w:adjustRightInd w:val="0"/>
        <w:snapToGrid w:val="0"/>
        <w:spacing w:line="360" w:lineRule="auto"/>
        <w:ind w:left="426"/>
        <w:rPr>
          <w:kern w:val="0"/>
        </w:rPr>
      </w:pPr>
      <w:r>
        <w:rPr>
          <w:color w:val="000000"/>
          <w:kern w:val="0"/>
        </w:rPr>
        <w:t>2.2</w:t>
      </w:r>
      <w:r>
        <w:rPr>
          <w:rFonts w:hint="eastAsia"/>
          <w:color w:val="000000"/>
          <w:kern w:val="0"/>
        </w:rPr>
        <w:t>、</w:t>
      </w:r>
      <w:r>
        <w:rPr>
          <w:color w:val="000000"/>
          <w:kern w:val="0"/>
        </w:rPr>
        <w:t>TMS320C54x的总</w:t>
      </w:r>
      <w:r>
        <w:rPr>
          <w:kern w:val="0"/>
        </w:rPr>
        <w:t>线结构</w:t>
      </w:r>
      <w:r>
        <w:rPr>
          <w:rFonts w:hint="eastAsia"/>
          <w:kern w:val="0"/>
        </w:rPr>
        <w:t>；</w:t>
      </w:r>
      <w:r>
        <w:rPr>
          <w:snapToGrid w:val="0"/>
          <w:kern w:val="0"/>
        </w:rPr>
        <w:t>（重点）</w:t>
      </w:r>
    </w:p>
    <w:p>
      <w:pPr>
        <w:adjustRightInd w:val="0"/>
        <w:snapToGrid w:val="0"/>
        <w:spacing w:line="360" w:lineRule="auto"/>
        <w:ind w:left="426"/>
        <w:rPr>
          <w:kern w:val="0"/>
        </w:rPr>
      </w:pPr>
      <w:r>
        <w:rPr>
          <w:rFonts w:hint="eastAsia"/>
          <w:kern w:val="0"/>
        </w:rPr>
        <w:t>2.3、</w:t>
      </w:r>
      <w:r>
        <w:rPr>
          <w:kern w:val="0"/>
        </w:rPr>
        <w:t>中央处理器单元</w:t>
      </w:r>
      <w:r>
        <w:rPr>
          <w:rFonts w:hint="eastAsia"/>
          <w:kern w:val="0"/>
        </w:rPr>
        <w:t>；</w:t>
      </w:r>
      <w:r>
        <w:rPr>
          <w:snapToGrid w:val="0"/>
          <w:kern w:val="0"/>
        </w:rPr>
        <w:t>（重点）</w:t>
      </w:r>
    </w:p>
    <w:p>
      <w:pPr>
        <w:adjustRightInd w:val="0"/>
        <w:snapToGrid w:val="0"/>
        <w:spacing w:line="360" w:lineRule="auto"/>
        <w:ind w:left="426"/>
        <w:rPr>
          <w:kern w:val="0"/>
        </w:rPr>
      </w:pPr>
      <w:r>
        <w:rPr>
          <w:rFonts w:hint="eastAsia"/>
          <w:kern w:val="0"/>
        </w:rPr>
        <w:t>2.4、</w:t>
      </w:r>
      <w:r>
        <w:rPr>
          <w:kern w:val="0"/>
        </w:rPr>
        <w:t>存储空间结构</w:t>
      </w:r>
      <w:r>
        <w:rPr>
          <w:snapToGrid w:val="0"/>
          <w:kern w:val="0"/>
        </w:rPr>
        <w:t>；（重点</w:t>
      </w:r>
      <w:r>
        <w:rPr>
          <w:rFonts w:hint="eastAsia"/>
          <w:snapToGrid w:val="0"/>
          <w:kern w:val="0"/>
        </w:rPr>
        <w:t>、难点</w:t>
      </w:r>
      <w:r>
        <w:rPr>
          <w:snapToGrid w:val="0"/>
          <w:kern w:val="0"/>
        </w:rPr>
        <w:t>）</w:t>
      </w:r>
    </w:p>
    <w:p>
      <w:pPr>
        <w:adjustRightInd w:val="0"/>
        <w:snapToGrid w:val="0"/>
        <w:spacing w:line="360" w:lineRule="auto"/>
        <w:ind w:left="426"/>
        <w:rPr>
          <w:kern w:val="0"/>
        </w:rPr>
      </w:pPr>
      <w:r>
        <w:rPr>
          <w:snapToGrid w:val="0"/>
          <w:kern w:val="0"/>
        </w:rPr>
        <w:t>2.</w:t>
      </w:r>
      <w:r>
        <w:rPr>
          <w:rFonts w:hint="eastAsia"/>
          <w:snapToGrid w:val="0"/>
          <w:kern w:val="0"/>
        </w:rPr>
        <w:t>5、</w:t>
      </w:r>
      <w:r>
        <w:rPr>
          <w:color w:val="000000"/>
          <w:kern w:val="0"/>
        </w:rPr>
        <w:t>片内外设</w:t>
      </w:r>
      <w:r>
        <w:rPr>
          <w:kern w:val="0"/>
        </w:rPr>
        <w:t>；</w:t>
      </w:r>
    </w:p>
    <w:p>
      <w:pPr>
        <w:adjustRightInd w:val="0"/>
        <w:snapToGrid w:val="0"/>
        <w:spacing w:line="360" w:lineRule="auto"/>
        <w:ind w:left="426"/>
        <w:rPr>
          <w:color w:val="000000"/>
          <w:kern w:val="0"/>
        </w:rPr>
      </w:pPr>
      <w:r>
        <w:rPr>
          <w:kern w:val="0"/>
        </w:rPr>
        <w:t>2.</w:t>
      </w:r>
      <w:r>
        <w:rPr>
          <w:rFonts w:hint="eastAsia"/>
          <w:kern w:val="0"/>
        </w:rPr>
        <w:t>6、</w:t>
      </w:r>
      <w:r>
        <w:rPr>
          <w:color w:val="000000"/>
          <w:kern w:val="0"/>
        </w:rPr>
        <w:t>MS320C54x的中断系统。</w:t>
      </w:r>
    </w:p>
    <w:p>
      <w:pPr>
        <w:adjustRightInd w:val="0"/>
        <w:snapToGrid w:val="0"/>
        <w:spacing w:line="360" w:lineRule="auto"/>
        <w:ind w:left="426"/>
        <w:rPr>
          <w:kern w:val="0"/>
        </w:rPr>
      </w:pPr>
      <w:r>
        <w:rPr>
          <w:rFonts w:cs="宋体"/>
          <w:bCs/>
          <w:snapToGrid w:val="0"/>
          <w:kern w:val="0"/>
          <w:szCs w:val="21"/>
        </w:rPr>
        <w:t>本章内容支撑课程目标</w:t>
      </w:r>
      <w:r>
        <w:rPr>
          <w:rFonts w:hint="eastAsia" w:cs="宋体"/>
          <w:bCs/>
          <w:snapToGrid w:val="0"/>
          <w:kern w:val="0"/>
          <w:szCs w:val="21"/>
        </w:rPr>
        <w:t>1。</w:t>
      </w:r>
    </w:p>
    <w:p>
      <w:pPr>
        <w:adjustRightInd w:val="0"/>
        <w:snapToGrid w:val="0"/>
        <w:spacing w:line="360" w:lineRule="auto"/>
        <w:ind w:left="426"/>
        <w:rPr>
          <w:rFonts w:eastAsia="黑体"/>
        </w:rPr>
      </w:pPr>
      <w:r>
        <w:rPr>
          <w:rFonts w:eastAsia="黑体"/>
          <w:snapToGrid w:val="0"/>
          <w:kern w:val="0"/>
        </w:rPr>
        <w:t>3  TMS320C54x的硬件系统设计</w:t>
      </w:r>
      <w:r>
        <w:rPr>
          <w:rFonts w:eastAsia="黑体"/>
          <w:kern w:val="0"/>
        </w:rPr>
        <w:t>（</w:t>
      </w:r>
      <w:r>
        <w:rPr>
          <w:rFonts w:hint="eastAsia" w:eastAsia="黑体"/>
          <w:kern w:val="0"/>
        </w:rPr>
        <w:t>1</w:t>
      </w:r>
      <w:r>
        <w:rPr>
          <w:rFonts w:eastAsia="黑体"/>
          <w:kern w:val="0"/>
        </w:rPr>
        <w:t>学时）</w:t>
      </w:r>
    </w:p>
    <w:p>
      <w:pPr>
        <w:adjustRightInd w:val="0"/>
        <w:snapToGrid w:val="0"/>
        <w:spacing w:line="360" w:lineRule="auto"/>
        <w:ind w:left="426"/>
        <w:rPr>
          <w:snapToGrid w:val="0"/>
          <w:kern w:val="0"/>
        </w:rPr>
      </w:pPr>
      <w:r>
        <w:rPr>
          <w:snapToGrid w:val="0"/>
          <w:kern w:val="0"/>
        </w:rPr>
        <w:t>3.1</w:t>
      </w:r>
      <w:r>
        <w:rPr>
          <w:rFonts w:hint="eastAsia"/>
          <w:snapToGrid w:val="0"/>
          <w:kern w:val="0"/>
        </w:rPr>
        <w:t>、</w:t>
      </w:r>
      <w:r>
        <w:rPr>
          <w:snapToGrid w:val="0"/>
          <w:kern w:val="0"/>
        </w:rPr>
        <w:t>时钟及复位电路设计；</w:t>
      </w:r>
    </w:p>
    <w:p>
      <w:pPr>
        <w:adjustRightInd w:val="0"/>
        <w:snapToGrid w:val="0"/>
        <w:spacing w:line="360" w:lineRule="auto"/>
        <w:ind w:left="426"/>
      </w:pPr>
      <w:r>
        <w:t>3.2</w:t>
      </w:r>
      <w:r>
        <w:rPr>
          <w:rFonts w:hint="eastAsia"/>
        </w:rPr>
        <w:t>、</w:t>
      </w:r>
      <w:r>
        <w:rPr>
          <w:snapToGrid w:val="0"/>
          <w:kern w:val="0"/>
        </w:rPr>
        <w:t>供电系统设计；</w:t>
      </w:r>
    </w:p>
    <w:p>
      <w:pPr>
        <w:adjustRightInd w:val="0"/>
        <w:snapToGrid w:val="0"/>
        <w:spacing w:line="360" w:lineRule="auto"/>
        <w:ind w:left="426"/>
      </w:pPr>
      <w:r>
        <w:t>3.3</w:t>
      </w:r>
      <w:r>
        <w:rPr>
          <w:rFonts w:hint="eastAsia"/>
        </w:rPr>
        <w:t>、</w:t>
      </w:r>
      <w:r>
        <w:rPr>
          <w:snapToGrid w:val="0"/>
          <w:kern w:val="0"/>
        </w:rPr>
        <w:t>外存储器</w:t>
      </w:r>
      <w:r>
        <w:rPr>
          <w:rFonts w:hint="eastAsia"/>
          <w:snapToGrid w:val="0"/>
          <w:kern w:val="0"/>
        </w:rPr>
        <w:t>和I/O</w:t>
      </w:r>
      <w:r>
        <w:rPr>
          <w:snapToGrid w:val="0"/>
          <w:kern w:val="0"/>
        </w:rPr>
        <w:t>扩展设计；（重点）</w:t>
      </w:r>
    </w:p>
    <w:p>
      <w:pPr>
        <w:adjustRightInd w:val="0"/>
        <w:snapToGrid w:val="0"/>
        <w:spacing w:line="360" w:lineRule="auto"/>
        <w:ind w:left="426"/>
        <w:rPr>
          <w:snapToGrid w:val="0"/>
          <w:kern w:val="0"/>
        </w:rPr>
      </w:pPr>
      <w:r>
        <w:t>3.</w:t>
      </w:r>
      <w:r>
        <w:rPr>
          <w:rFonts w:hint="eastAsia"/>
        </w:rPr>
        <w:t>4、</w:t>
      </w:r>
      <w:r>
        <w:rPr>
          <w:snapToGrid w:val="0"/>
          <w:kern w:val="0"/>
        </w:rPr>
        <w:t>A/D和D/A接口设计；（重点）</w:t>
      </w:r>
    </w:p>
    <w:p>
      <w:pPr>
        <w:adjustRightInd w:val="0"/>
        <w:snapToGrid w:val="0"/>
        <w:spacing w:line="360" w:lineRule="auto"/>
        <w:ind w:left="426"/>
        <w:rPr>
          <w:snapToGrid w:val="0"/>
          <w:kern w:val="0"/>
        </w:rPr>
      </w:pPr>
      <w:r>
        <w:t>3.</w:t>
      </w:r>
      <w:r>
        <w:rPr>
          <w:rFonts w:hint="eastAsia"/>
        </w:rPr>
        <w:t>5、</w:t>
      </w:r>
      <w:r>
        <w:rPr>
          <w:snapToGrid w:val="0"/>
          <w:kern w:val="0"/>
        </w:rPr>
        <w:t>3.3V和5V混合逻辑设计；</w:t>
      </w:r>
    </w:p>
    <w:p>
      <w:pPr>
        <w:adjustRightInd w:val="0"/>
        <w:snapToGrid w:val="0"/>
        <w:spacing w:line="360" w:lineRule="auto"/>
        <w:ind w:left="426"/>
        <w:rPr>
          <w:snapToGrid w:val="0"/>
          <w:kern w:val="0"/>
        </w:rPr>
      </w:pPr>
      <w:r>
        <w:t>3.</w:t>
      </w:r>
      <w:r>
        <w:rPr>
          <w:rFonts w:hint="eastAsia"/>
        </w:rPr>
        <w:t>6、</w:t>
      </w:r>
      <w:r>
        <w:t>JTAG在线仿真调试接口电路</w:t>
      </w:r>
      <w:r>
        <w:rPr>
          <w:snapToGrid w:val="0"/>
          <w:kern w:val="0"/>
        </w:rPr>
        <w:t>设计。</w:t>
      </w:r>
    </w:p>
    <w:p>
      <w:pPr>
        <w:widowControl/>
        <w:adjustRightInd w:val="0"/>
        <w:snapToGrid w:val="0"/>
        <w:spacing w:line="360" w:lineRule="auto"/>
        <w:ind w:left="426"/>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adjustRightInd w:val="0"/>
        <w:snapToGrid w:val="0"/>
        <w:spacing w:line="360" w:lineRule="auto"/>
        <w:ind w:left="426"/>
        <w:rPr>
          <w:rFonts w:eastAsia="黑体"/>
        </w:rPr>
      </w:pPr>
      <w:r>
        <w:rPr>
          <w:rFonts w:hint="eastAsia" w:eastAsia="黑体"/>
        </w:rPr>
        <w:t>4</w:t>
      </w:r>
      <w:r>
        <w:rPr>
          <w:rFonts w:eastAsia="黑体"/>
          <w:snapToGrid w:val="0"/>
          <w:kern w:val="0"/>
        </w:rPr>
        <w:t>TMS320C54x的指令系统</w:t>
      </w:r>
      <w:r>
        <w:rPr>
          <w:rFonts w:eastAsia="黑体"/>
          <w:kern w:val="0"/>
        </w:rPr>
        <w:t>（</w:t>
      </w:r>
      <w:r>
        <w:rPr>
          <w:rFonts w:hint="eastAsia" w:eastAsia="黑体"/>
          <w:kern w:val="0"/>
        </w:rPr>
        <w:t>5</w:t>
      </w:r>
      <w:r>
        <w:rPr>
          <w:rFonts w:eastAsia="黑体"/>
          <w:kern w:val="0"/>
        </w:rPr>
        <w:t>学时）</w:t>
      </w:r>
    </w:p>
    <w:p>
      <w:pPr>
        <w:widowControl/>
        <w:tabs>
          <w:tab w:val="left" w:pos="900"/>
        </w:tabs>
        <w:adjustRightInd w:val="0"/>
        <w:snapToGrid w:val="0"/>
        <w:spacing w:line="360" w:lineRule="auto"/>
        <w:ind w:left="426"/>
        <w:jc w:val="left"/>
        <w:rPr>
          <w:snapToGrid w:val="0"/>
          <w:kern w:val="0"/>
        </w:rPr>
      </w:pPr>
      <w:r>
        <w:rPr>
          <w:rFonts w:hint="eastAsia"/>
          <w:snapToGrid w:val="0"/>
          <w:kern w:val="0"/>
        </w:rPr>
        <w:t>4</w:t>
      </w:r>
      <w:r>
        <w:rPr>
          <w:snapToGrid w:val="0"/>
          <w:kern w:val="0"/>
        </w:rPr>
        <w:t>.1</w:t>
      </w:r>
      <w:r>
        <w:rPr>
          <w:rFonts w:hint="eastAsia"/>
          <w:snapToGrid w:val="0"/>
          <w:kern w:val="0"/>
        </w:rPr>
        <w:t>、汇编源程序格式</w:t>
      </w:r>
      <w:r>
        <w:rPr>
          <w:snapToGrid w:val="0"/>
          <w:kern w:val="0"/>
        </w:rPr>
        <w:t>；</w:t>
      </w:r>
    </w:p>
    <w:p>
      <w:pPr>
        <w:widowControl/>
        <w:tabs>
          <w:tab w:val="left" w:pos="900"/>
        </w:tabs>
        <w:adjustRightInd w:val="0"/>
        <w:snapToGrid w:val="0"/>
        <w:spacing w:line="360" w:lineRule="auto"/>
        <w:ind w:left="426"/>
        <w:jc w:val="left"/>
        <w:rPr>
          <w:snapToGrid w:val="0"/>
          <w:kern w:val="0"/>
        </w:rPr>
      </w:pPr>
      <w:r>
        <w:rPr>
          <w:rFonts w:hint="eastAsia"/>
          <w:snapToGrid w:val="0"/>
          <w:kern w:val="0"/>
        </w:rPr>
        <w:t>4</w:t>
      </w:r>
      <w:r>
        <w:rPr>
          <w:snapToGrid w:val="0"/>
          <w:kern w:val="0"/>
        </w:rPr>
        <w:t>.2</w:t>
      </w:r>
      <w:r>
        <w:rPr>
          <w:rFonts w:hint="eastAsia"/>
          <w:snapToGrid w:val="0"/>
          <w:kern w:val="0"/>
        </w:rPr>
        <w:t>、汇编语言指令系统</w:t>
      </w:r>
      <w:r>
        <w:rPr>
          <w:snapToGrid w:val="0"/>
          <w:kern w:val="0"/>
        </w:rPr>
        <w:t>；（重点）</w:t>
      </w:r>
    </w:p>
    <w:p>
      <w:pPr>
        <w:widowControl/>
        <w:tabs>
          <w:tab w:val="left" w:pos="900"/>
        </w:tabs>
        <w:adjustRightInd w:val="0"/>
        <w:snapToGrid w:val="0"/>
        <w:spacing w:line="360" w:lineRule="auto"/>
        <w:ind w:left="426"/>
        <w:jc w:val="left"/>
        <w:rPr>
          <w:snapToGrid w:val="0"/>
          <w:kern w:val="0"/>
        </w:rPr>
      </w:pPr>
      <w:r>
        <w:rPr>
          <w:rFonts w:hint="eastAsia"/>
          <w:snapToGrid w:val="0"/>
          <w:kern w:val="0"/>
        </w:rPr>
        <w:t>4</w:t>
      </w:r>
      <w:r>
        <w:rPr>
          <w:snapToGrid w:val="0"/>
          <w:kern w:val="0"/>
        </w:rPr>
        <w:t>.</w:t>
      </w:r>
      <w:r>
        <w:rPr>
          <w:rFonts w:hint="eastAsia"/>
          <w:snapToGrid w:val="0"/>
          <w:kern w:val="0"/>
        </w:rPr>
        <w:t>3、</w:t>
      </w:r>
      <w:r>
        <w:rPr>
          <w:snapToGrid w:val="0"/>
          <w:kern w:val="0"/>
        </w:rPr>
        <w:t>寻址方式；</w:t>
      </w:r>
    </w:p>
    <w:p>
      <w:pPr>
        <w:widowControl/>
        <w:tabs>
          <w:tab w:val="left" w:pos="900"/>
        </w:tabs>
        <w:adjustRightInd w:val="0"/>
        <w:snapToGrid w:val="0"/>
        <w:spacing w:line="360" w:lineRule="auto"/>
        <w:ind w:left="426"/>
        <w:jc w:val="left"/>
        <w:rPr>
          <w:snapToGrid w:val="0"/>
          <w:kern w:val="0"/>
        </w:rPr>
      </w:pPr>
      <w:r>
        <w:rPr>
          <w:rFonts w:hint="eastAsia"/>
          <w:snapToGrid w:val="0"/>
          <w:kern w:val="0"/>
        </w:rPr>
        <w:t>4</w:t>
      </w:r>
      <w:r>
        <w:rPr>
          <w:snapToGrid w:val="0"/>
          <w:kern w:val="0"/>
        </w:rPr>
        <w:t>.4</w:t>
      </w:r>
      <w:r>
        <w:rPr>
          <w:rFonts w:hint="eastAsia"/>
          <w:snapToGrid w:val="0"/>
          <w:kern w:val="0"/>
        </w:rPr>
        <w:t>、</w:t>
      </w:r>
      <w:r>
        <w:rPr>
          <w:snapToGrid w:val="0"/>
          <w:kern w:val="0"/>
        </w:rPr>
        <w:t>汇编伪指令</w:t>
      </w:r>
      <w:r>
        <w:rPr>
          <w:rFonts w:hint="eastAsia"/>
          <w:snapToGrid w:val="0"/>
          <w:kern w:val="0"/>
        </w:rPr>
        <w:t>；</w:t>
      </w:r>
      <w:r>
        <w:rPr>
          <w:snapToGrid w:val="0"/>
          <w:kern w:val="0"/>
        </w:rPr>
        <w:t>（重点）</w:t>
      </w:r>
    </w:p>
    <w:p>
      <w:pPr>
        <w:widowControl/>
        <w:tabs>
          <w:tab w:val="left" w:pos="900"/>
        </w:tabs>
        <w:adjustRightInd w:val="0"/>
        <w:snapToGrid w:val="0"/>
        <w:spacing w:line="360" w:lineRule="auto"/>
        <w:ind w:left="426"/>
        <w:jc w:val="left"/>
        <w:rPr>
          <w:snapToGrid w:val="0"/>
          <w:kern w:val="0"/>
        </w:rPr>
      </w:pPr>
      <w:r>
        <w:rPr>
          <w:rFonts w:hint="eastAsia"/>
          <w:snapToGrid w:val="0"/>
          <w:kern w:val="0"/>
        </w:rPr>
        <w:t>4.5、链接伪指令。</w:t>
      </w:r>
      <w:r>
        <w:rPr>
          <w:snapToGrid w:val="0"/>
          <w:kern w:val="0"/>
        </w:rPr>
        <w:t>（重点）</w:t>
      </w:r>
    </w:p>
    <w:p>
      <w:pPr>
        <w:widowControl/>
        <w:adjustRightInd w:val="0"/>
        <w:snapToGrid w:val="0"/>
        <w:spacing w:line="360" w:lineRule="auto"/>
        <w:ind w:left="426"/>
        <w:jc w:val="left"/>
        <w:rPr>
          <w:snapToGrid w:val="0"/>
          <w:kern w:val="0"/>
        </w:rPr>
      </w:pPr>
      <w:r>
        <w:rPr>
          <w:rFonts w:cs="宋体"/>
          <w:bCs/>
          <w:snapToGrid w:val="0"/>
          <w:kern w:val="0"/>
          <w:szCs w:val="21"/>
        </w:rPr>
        <w:t>本章内容支撑课程目标</w:t>
      </w:r>
      <w:r>
        <w:rPr>
          <w:rFonts w:hint="eastAsia" w:cs="宋体"/>
          <w:bCs/>
          <w:snapToGrid w:val="0"/>
          <w:kern w:val="0"/>
          <w:szCs w:val="21"/>
        </w:rPr>
        <w:t>1。</w:t>
      </w:r>
    </w:p>
    <w:p>
      <w:pPr>
        <w:widowControl/>
        <w:adjustRightInd w:val="0"/>
        <w:snapToGrid w:val="0"/>
        <w:spacing w:line="360" w:lineRule="auto"/>
        <w:ind w:left="426"/>
        <w:jc w:val="left"/>
        <w:rPr>
          <w:rFonts w:eastAsia="黑体"/>
          <w:snapToGrid w:val="0"/>
          <w:kern w:val="0"/>
        </w:rPr>
      </w:pPr>
      <w:r>
        <w:rPr>
          <w:rFonts w:hint="eastAsia" w:eastAsia="黑体"/>
          <w:snapToGrid w:val="0"/>
          <w:kern w:val="0"/>
        </w:rPr>
        <w:t>5</w:t>
      </w:r>
      <w:r>
        <w:rPr>
          <w:rFonts w:eastAsia="黑体"/>
          <w:snapToGrid w:val="0"/>
          <w:kern w:val="0"/>
        </w:rPr>
        <w:t>汇编语言程序设计</w:t>
      </w:r>
      <w:r>
        <w:rPr>
          <w:rFonts w:eastAsia="黑体"/>
          <w:kern w:val="0"/>
        </w:rPr>
        <w:t>（4学时）</w:t>
      </w:r>
    </w:p>
    <w:p>
      <w:pPr>
        <w:widowControl/>
        <w:tabs>
          <w:tab w:val="left" w:pos="900"/>
        </w:tabs>
        <w:adjustRightInd w:val="0"/>
        <w:snapToGrid w:val="0"/>
        <w:spacing w:line="360" w:lineRule="auto"/>
        <w:ind w:left="426"/>
        <w:jc w:val="left"/>
        <w:rPr>
          <w:snapToGrid w:val="0"/>
          <w:kern w:val="0"/>
        </w:rPr>
      </w:pPr>
      <w:r>
        <w:rPr>
          <w:rFonts w:hint="eastAsia"/>
          <w:snapToGrid w:val="0"/>
          <w:kern w:val="0"/>
        </w:rPr>
        <w:t>5</w:t>
      </w:r>
      <w:r>
        <w:rPr>
          <w:snapToGrid w:val="0"/>
          <w:kern w:val="0"/>
        </w:rPr>
        <w:t>.1</w:t>
      </w:r>
      <w:r>
        <w:rPr>
          <w:rFonts w:hint="eastAsia"/>
          <w:snapToGrid w:val="0"/>
          <w:kern w:val="0"/>
        </w:rPr>
        <w:t>、</w:t>
      </w:r>
      <w:r>
        <w:rPr>
          <w:snapToGrid w:val="0"/>
          <w:kern w:val="0"/>
        </w:rPr>
        <w:t>堆栈的使用；（重点）</w:t>
      </w:r>
    </w:p>
    <w:p>
      <w:pPr>
        <w:widowControl/>
        <w:tabs>
          <w:tab w:val="left" w:pos="900"/>
        </w:tabs>
        <w:adjustRightInd w:val="0"/>
        <w:snapToGrid w:val="0"/>
        <w:spacing w:line="360" w:lineRule="auto"/>
        <w:ind w:left="426"/>
        <w:jc w:val="left"/>
        <w:rPr>
          <w:snapToGrid w:val="0"/>
          <w:kern w:val="0"/>
        </w:rPr>
      </w:pPr>
      <w:r>
        <w:rPr>
          <w:rFonts w:hint="eastAsia"/>
          <w:snapToGrid w:val="0"/>
          <w:kern w:val="0"/>
        </w:rPr>
        <w:t>5</w:t>
      </w:r>
      <w:r>
        <w:rPr>
          <w:snapToGrid w:val="0"/>
          <w:kern w:val="0"/>
        </w:rPr>
        <w:t>.2</w:t>
      </w:r>
      <w:r>
        <w:rPr>
          <w:rFonts w:hint="eastAsia"/>
          <w:snapToGrid w:val="0"/>
          <w:kern w:val="0"/>
        </w:rPr>
        <w:t>、</w:t>
      </w:r>
      <w:r>
        <w:rPr>
          <w:snapToGrid w:val="0"/>
          <w:kern w:val="0"/>
        </w:rPr>
        <w:t>程序控制与转移；（重点）</w:t>
      </w:r>
    </w:p>
    <w:p>
      <w:pPr>
        <w:widowControl/>
        <w:tabs>
          <w:tab w:val="left" w:pos="900"/>
        </w:tabs>
        <w:adjustRightInd w:val="0"/>
        <w:snapToGrid w:val="0"/>
        <w:spacing w:line="360" w:lineRule="auto"/>
        <w:ind w:left="426"/>
        <w:jc w:val="left"/>
        <w:rPr>
          <w:snapToGrid w:val="0"/>
          <w:kern w:val="0"/>
        </w:rPr>
      </w:pPr>
      <w:r>
        <w:rPr>
          <w:rFonts w:hint="eastAsia"/>
          <w:snapToGrid w:val="0"/>
          <w:kern w:val="0"/>
        </w:rPr>
        <w:t>5</w:t>
      </w:r>
      <w:r>
        <w:rPr>
          <w:snapToGrid w:val="0"/>
          <w:kern w:val="0"/>
        </w:rPr>
        <w:t>.3</w:t>
      </w:r>
      <w:r>
        <w:rPr>
          <w:rFonts w:hint="eastAsia"/>
          <w:snapToGrid w:val="0"/>
          <w:kern w:val="0"/>
        </w:rPr>
        <w:t>、并行</w:t>
      </w:r>
      <w:r>
        <w:rPr>
          <w:snapToGrid w:val="0"/>
          <w:kern w:val="0"/>
        </w:rPr>
        <w:t>运算；</w:t>
      </w:r>
    </w:p>
    <w:p>
      <w:pPr>
        <w:widowControl/>
        <w:tabs>
          <w:tab w:val="left" w:pos="900"/>
        </w:tabs>
        <w:adjustRightInd w:val="0"/>
        <w:snapToGrid w:val="0"/>
        <w:spacing w:line="360" w:lineRule="auto"/>
        <w:ind w:left="426"/>
        <w:jc w:val="left"/>
        <w:rPr>
          <w:snapToGrid w:val="0"/>
          <w:kern w:val="0"/>
        </w:rPr>
      </w:pPr>
      <w:r>
        <w:rPr>
          <w:rFonts w:hint="eastAsia"/>
          <w:snapToGrid w:val="0"/>
          <w:kern w:val="0"/>
        </w:rPr>
        <w:t>5</w:t>
      </w:r>
      <w:r>
        <w:rPr>
          <w:snapToGrid w:val="0"/>
          <w:kern w:val="0"/>
        </w:rPr>
        <w:t>.</w:t>
      </w:r>
      <w:r>
        <w:rPr>
          <w:rFonts w:hint="eastAsia"/>
          <w:snapToGrid w:val="0"/>
          <w:kern w:val="0"/>
        </w:rPr>
        <w:t>4、</w:t>
      </w:r>
      <w:r>
        <w:rPr>
          <w:snapToGrid w:val="0"/>
          <w:kern w:val="0"/>
        </w:rPr>
        <w:t>小数计算、除法运算和浮点运算。（</w:t>
      </w:r>
      <w:r>
        <w:rPr>
          <w:rFonts w:hint="eastAsia"/>
          <w:snapToGrid w:val="0"/>
          <w:kern w:val="0"/>
        </w:rPr>
        <w:t>难</w:t>
      </w:r>
      <w:r>
        <w:rPr>
          <w:snapToGrid w:val="0"/>
          <w:kern w:val="0"/>
        </w:rPr>
        <w:t>点）</w:t>
      </w:r>
    </w:p>
    <w:p>
      <w:pPr>
        <w:widowControl/>
        <w:tabs>
          <w:tab w:val="left" w:pos="900"/>
        </w:tabs>
        <w:adjustRightInd w:val="0"/>
        <w:snapToGrid w:val="0"/>
        <w:spacing w:line="360" w:lineRule="auto"/>
        <w:ind w:left="426"/>
        <w:jc w:val="left"/>
        <w:rPr>
          <w:bCs/>
          <w:snapToGrid w:val="0"/>
          <w:kern w:val="0"/>
          <w:szCs w:val="21"/>
        </w:rPr>
      </w:pPr>
      <w:r>
        <w:rPr>
          <w:rFonts w:cs="宋体"/>
          <w:bCs/>
          <w:snapToGrid w:val="0"/>
          <w:kern w:val="0"/>
          <w:szCs w:val="21"/>
        </w:rPr>
        <w:t>本章内容支撑课程目标</w:t>
      </w:r>
      <w:r>
        <w:rPr>
          <w:rFonts w:hint="eastAsia" w:cs="宋体"/>
          <w:bCs/>
          <w:snapToGrid w:val="0"/>
          <w:kern w:val="0"/>
          <w:szCs w:val="21"/>
        </w:rPr>
        <w:t>1。</w:t>
      </w:r>
    </w:p>
    <w:p>
      <w:pPr>
        <w:widowControl/>
        <w:numPr>
          <w:ilvl w:val="0"/>
          <w:numId w:val="39"/>
        </w:numPr>
        <w:adjustRightInd w:val="0"/>
        <w:snapToGrid w:val="0"/>
        <w:spacing w:line="360" w:lineRule="auto"/>
        <w:ind w:firstLine="420" w:firstLineChars="200"/>
        <w:jc w:val="left"/>
        <w:rPr>
          <w:rFonts w:eastAsia="黑体"/>
          <w:snapToGrid w:val="0"/>
          <w:kern w:val="0"/>
        </w:rPr>
      </w:pPr>
      <w:r>
        <w:rPr>
          <w:rFonts w:eastAsia="黑体"/>
          <w:snapToGrid w:val="0"/>
          <w:kern w:val="0"/>
        </w:rPr>
        <w:t>TMS320C54x的软件开发</w:t>
      </w:r>
      <w:r>
        <w:rPr>
          <w:rFonts w:hint="eastAsia" w:eastAsia="黑体"/>
          <w:snapToGrid w:val="0"/>
          <w:kern w:val="0"/>
        </w:rPr>
        <w:t>与设计</w:t>
      </w:r>
      <w:r>
        <w:rPr>
          <w:rFonts w:eastAsia="黑体"/>
          <w:kern w:val="0"/>
        </w:rPr>
        <w:t>（</w:t>
      </w:r>
      <w:r>
        <w:rPr>
          <w:rFonts w:hint="eastAsia" w:eastAsia="黑体"/>
          <w:kern w:val="0"/>
        </w:rPr>
        <w:t>2</w:t>
      </w:r>
      <w:r>
        <w:rPr>
          <w:rFonts w:eastAsia="黑体"/>
          <w:kern w:val="0"/>
        </w:rPr>
        <w:t>学时）</w:t>
      </w:r>
    </w:p>
    <w:p>
      <w:pPr>
        <w:widowControl/>
        <w:tabs>
          <w:tab w:val="left" w:pos="900"/>
        </w:tabs>
        <w:adjustRightInd w:val="0"/>
        <w:snapToGrid w:val="0"/>
        <w:spacing w:line="360" w:lineRule="auto"/>
        <w:ind w:firstLine="420" w:firstLineChars="200"/>
        <w:jc w:val="left"/>
        <w:rPr>
          <w:snapToGrid w:val="0"/>
          <w:kern w:val="0"/>
        </w:rPr>
      </w:pPr>
      <w:r>
        <w:rPr>
          <w:rFonts w:hint="eastAsia"/>
          <w:snapToGrid w:val="0"/>
          <w:kern w:val="0"/>
        </w:rPr>
        <w:t>6.1、</w:t>
      </w:r>
      <w:r>
        <w:rPr>
          <w:snapToGrid w:val="0"/>
          <w:kern w:val="0"/>
        </w:rPr>
        <w:t>DSP的软件开发过程；</w:t>
      </w:r>
    </w:p>
    <w:p>
      <w:pPr>
        <w:widowControl/>
        <w:tabs>
          <w:tab w:val="left" w:pos="900"/>
        </w:tabs>
        <w:adjustRightInd w:val="0"/>
        <w:snapToGrid w:val="0"/>
        <w:spacing w:line="360" w:lineRule="auto"/>
        <w:ind w:left="6" w:firstLine="420" w:firstLineChars="200"/>
        <w:jc w:val="left"/>
        <w:rPr>
          <w:snapToGrid w:val="0"/>
          <w:kern w:val="0"/>
        </w:rPr>
      </w:pPr>
      <w:r>
        <w:rPr>
          <w:rFonts w:hint="eastAsia"/>
          <w:snapToGrid w:val="0"/>
          <w:kern w:val="0"/>
        </w:rPr>
        <w:t>6</w:t>
      </w:r>
      <w:r>
        <w:rPr>
          <w:snapToGrid w:val="0"/>
          <w:kern w:val="0"/>
        </w:rPr>
        <w:t>.2</w:t>
      </w:r>
      <w:r>
        <w:rPr>
          <w:rFonts w:hint="eastAsia"/>
          <w:snapToGrid w:val="0"/>
          <w:kern w:val="0"/>
        </w:rPr>
        <w:t>、</w:t>
      </w:r>
      <w:r>
        <w:rPr>
          <w:snapToGrid w:val="0"/>
          <w:kern w:val="0"/>
        </w:rPr>
        <w:t>汇编语言程序的编写、编辑、汇编和链接；</w:t>
      </w:r>
    </w:p>
    <w:p>
      <w:pPr>
        <w:widowControl/>
        <w:tabs>
          <w:tab w:val="left" w:pos="900"/>
        </w:tabs>
        <w:adjustRightInd w:val="0"/>
        <w:snapToGrid w:val="0"/>
        <w:spacing w:line="360" w:lineRule="auto"/>
        <w:ind w:left="426"/>
        <w:jc w:val="left"/>
        <w:rPr>
          <w:snapToGrid w:val="0"/>
          <w:kern w:val="0"/>
        </w:rPr>
      </w:pPr>
      <w:r>
        <w:rPr>
          <w:rFonts w:hint="eastAsia"/>
          <w:snapToGrid w:val="0"/>
          <w:kern w:val="0"/>
        </w:rPr>
        <w:t>6</w:t>
      </w:r>
      <w:r>
        <w:rPr>
          <w:snapToGrid w:val="0"/>
          <w:kern w:val="0"/>
        </w:rPr>
        <w:t>.3</w:t>
      </w:r>
      <w:r>
        <w:rPr>
          <w:rFonts w:hint="eastAsia"/>
          <w:snapToGrid w:val="0"/>
          <w:kern w:val="0"/>
        </w:rPr>
        <w:t>、</w:t>
      </w:r>
      <w:r>
        <w:rPr>
          <w:snapToGrid w:val="0"/>
          <w:kern w:val="0"/>
        </w:rPr>
        <w:t>C语言编程及C语言和汇编语言的混合编程方法；（重点）</w:t>
      </w:r>
    </w:p>
    <w:p>
      <w:pPr>
        <w:widowControl/>
        <w:tabs>
          <w:tab w:val="left" w:pos="900"/>
        </w:tabs>
        <w:adjustRightInd w:val="0"/>
        <w:snapToGrid w:val="0"/>
        <w:spacing w:line="360" w:lineRule="auto"/>
        <w:ind w:left="426"/>
        <w:jc w:val="left"/>
        <w:rPr>
          <w:snapToGrid w:val="0"/>
          <w:kern w:val="0"/>
        </w:rPr>
      </w:pPr>
      <w:r>
        <w:rPr>
          <w:rFonts w:hint="eastAsia"/>
          <w:snapToGrid w:val="0"/>
          <w:kern w:val="0"/>
        </w:rPr>
        <w:t>6.4、</w:t>
      </w:r>
      <w:r>
        <w:rPr>
          <w:snapToGrid w:val="0"/>
          <w:kern w:val="0"/>
        </w:rPr>
        <w:t>集成开发环境CCS及其使用</w:t>
      </w:r>
      <w:r>
        <w:rPr>
          <w:rFonts w:hint="eastAsia"/>
          <w:snapToGrid w:val="0"/>
          <w:kern w:val="0"/>
        </w:rPr>
        <w:t>。</w:t>
      </w:r>
      <w:r>
        <w:rPr>
          <w:snapToGrid w:val="0"/>
          <w:kern w:val="0"/>
        </w:rPr>
        <w:t>（重点）</w:t>
      </w:r>
    </w:p>
    <w:p>
      <w:pPr>
        <w:widowControl/>
        <w:tabs>
          <w:tab w:val="left" w:pos="900"/>
        </w:tabs>
        <w:adjustRightInd w:val="0"/>
        <w:snapToGrid w:val="0"/>
        <w:spacing w:line="360" w:lineRule="auto"/>
        <w:ind w:left="426"/>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widowControl/>
        <w:adjustRightInd w:val="0"/>
        <w:snapToGrid w:val="0"/>
        <w:spacing w:line="360" w:lineRule="auto"/>
        <w:ind w:left="426"/>
        <w:jc w:val="left"/>
        <w:rPr>
          <w:rFonts w:eastAsia="黑体"/>
          <w:snapToGrid w:val="0"/>
          <w:kern w:val="0"/>
        </w:rPr>
      </w:pPr>
      <w:r>
        <w:rPr>
          <w:rFonts w:hint="eastAsia" w:eastAsia="黑体"/>
          <w:snapToGrid w:val="0"/>
          <w:kern w:val="0"/>
        </w:rPr>
        <w:t>7</w:t>
      </w:r>
      <w:r>
        <w:rPr>
          <w:rFonts w:eastAsia="黑体"/>
          <w:snapToGrid w:val="0"/>
          <w:kern w:val="0"/>
        </w:rPr>
        <w:t xml:space="preserve">  TMS320C54x的开发应用</w:t>
      </w:r>
      <w:r>
        <w:rPr>
          <w:rFonts w:eastAsia="黑体"/>
          <w:kern w:val="0"/>
        </w:rPr>
        <w:t>（</w:t>
      </w:r>
      <w:r>
        <w:rPr>
          <w:rFonts w:hint="eastAsia" w:eastAsia="黑体"/>
          <w:kern w:val="0"/>
        </w:rPr>
        <w:t>6</w:t>
      </w:r>
      <w:r>
        <w:rPr>
          <w:rFonts w:eastAsia="黑体"/>
          <w:kern w:val="0"/>
        </w:rPr>
        <w:t>学时）</w:t>
      </w:r>
    </w:p>
    <w:p>
      <w:pPr>
        <w:widowControl/>
        <w:tabs>
          <w:tab w:val="left" w:pos="900"/>
        </w:tabs>
        <w:adjustRightInd w:val="0"/>
        <w:snapToGrid w:val="0"/>
        <w:spacing w:line="360" w:lineRule="auto"/>
        <w:ind w:left="426"/>
        <w:jc w:val="left"/>
        <w:rPr>
          <w:snapToGrid w:val="0"/>
          <w:kern w:val="0"/>
        </w:rPr>
      </w:pPr>
      <w:r>
        <w:rPr>
          <w:rFonts w:hint="eastAsia"/>
          <w:snapToGrid w:val="0"/>
          <w:kern w:val="0"/>
        </w:rPr>
        <w:t>7</w:t>
      </w:r>
      <w:r>
        <w:rPr>
          <w:snapToGrid w:val="0"/>
          <w:kern w:val="0"/>
        </w:rPr>
        <w:t>.1</w:t>
      </w:r>
      <w:r>
        <w:rPr>
          <w:rFonts w:hint="eastAsia"/>
          <w:snapToGrid w:val="0"/>
          <w:kern w:val="0"/>
        </w:rPr>
        <w:t>、</w:t>
      </w:r>
      <w:r>
        <w:rPr>
          <w:snapToGrid w:val="0"/>
          <w:kern w:val="0"/>
        </w:rPr>
        <w:t>TMS320C54x片内外设的应用；（重点）</w:t>
      </w:r>
    </w:p>
    <w:p>
      <w:pPr>
        <w:widowControl/>
        <w:tabs>
          <w:tab w:val="left" w:pos="900"/>
        </w:tabs>
        <w:adjustRightInd w:val="0"/>
        <w:snapToGrid w:val="0"/>
        <w:spacing w:line="360" w:lineRule="auto"/>
        <w:ind w:firstLine="420" w:firstLineChars="200"/>
        <w:jc w:val="left"/>
        <w:rPr>
          <w:snapToGrid w:val="0"/>
          <w:kern w:val="0"/>
        </w:rPr>
      </w:pPr>
      <w:r>
        <w:rPr>
          <w:rFonts w:hint="eastAsia"/>
          <w:snapToGrid w:val="0"/>
          <w:kern w:val="0"/>
        </w:rPr>
        <w:t>7</w:t>
      </w:r>
      <w:r>
        <w:rPr>
          <w:snapToGrid w:val="0"/>
          <w:kern w:val="0"/>
        </w:rPr>
        <w:t>.</w:t>
      </w:r>
      <w:r>
        <w:rPr>
          <w:rFonts w:hint="eastAsia"/>
          <w:snapToGrid w:val="0"/>
          <w:kern w:val="0"/>
        </w:rPr>
        <w:t>2、</w:t>
      </w:r>
      <w:r>
        <w:rPr>
          <w:snapToGrid w:val="0"/>
          <w:kern w:val="0"/>
        </w:rPr>
        <w:t>FIR滤波器</w:t>
      </w:r>
      <w:r>
        <w:rPr>
          <w:rFonts w:hint="eastAsia"/>
          <w:snapToGrid w:val="0"/>
          <w:kern w:val="0"/>
        </w:rPr>
        <w:t>；</w:t>
      </w:r>
      <w:r>
        <w:rPr>
          <w:snapToGrid w:val="0"/>
          <w:kern w:val="0"/>
        </w:rPr>
        <w:t>（重点</w:t>
      </w:r>
      <w:r>
        <w:rPr>
          <w:rFonts w:hint="eastAsia"/>
          <w:snapToGrid w:val="0"/>
          <w:kern w:val="0"/>
        </w:rPr>
        <w:t>、难点</w:t>
      </w:r>
      <w:r>
        <w:rPr>
          <w:snapToGrid w:val="0"/>
          <w:kern w:val="0"/>
        </w:rPr>
        <w:t>）</w:t>
      </w:r>
    </w:p>
    <w:p>
      <w:pPr>
        <w:widowControl/>
        <w:tabs>
          <w:tab w:val="left" w:pos="900"/>
        </w:tabs>
        <w:adjustRightInd w:val="0"/>
        <w:snapToGrid w:val="0"/>
        <w:spacing w:line="360" w:lineRule="auto"/>
        <w:ind w:firstLine="420" w:firstLineChars="200"/>
        <w:jc w:val="left"/>
        <w:rPr>
          <w:snapToGrid w:val="0"/>
          <w:kern w:val="0"/>
        </w:rPr>
      </w:pPr>
      <w:r>
        <w:rPr>
          <w:rFonts w:hint="eastAsia"/>
          <w:snapToGrid w:val="0"/>
          <w:kern w:val="0"/>
        </w:rPr>
        <w:t>7.3、</w:t>
      </w:r>
      <w:r>
        <w:rPr>
          <w:snapToGrid w:val="0"/>
          <w:kern w:val="0"/>
        </w:rPr>
        <w:t>正弦波发生器；（</w:t>
      </w:r>
      <w:r>
        <w:rPr>
          <w:rFonts w:hint="eastAsia"/>
          <w:snapToGrid w:val="0"/>
          <w:kern w:val="0"/>
        </w:rPr>
        <w:t>难点</w:t>
      </w:r>
      <w:r>
        <w:rPr>
          <w:snapToGrid w:val="0"/>
          <w:kern w:val="0"/>
        </w:rPr>
        <w:t>）</w:t>
      </w:r>
    </w:p>
    <w:p>
      <w:pPr>
        <w:widowControl/>
        <w:tabs>
          <w:tab w:val="left" w:pos="900"/>
        </w:tabs>
        <w:adjustRightInd w:val="0"/>
        <w:snapToGrid w:val="0"/>
        <w:spacing w:line="360" w:lineRule="auto"/>
        <w:ind w:firstLine="420" w:firstLineChars="200"/>
        <w:jc w:val="left"/>
        <w:rPr>
          <w:snapToGrid w:val="0"/>
          <w:kern w:val="0"/>
        </w:rPr>
      </w:pPr>
      <w:r>
        <w:rPr>
          <w:rFonts w:cs="宋体"/>
          <w:bCs/>
          <w:snapToGrid w:val="0"/>
          <w:kern w:val="0"/>
          <w:szCs w:val="21"/>
        </w:rPr>
        <w:t>本章内容支撑课程目标</w:t>
      </w:r>
      <w:r>
        <w:rPr>
          <w:rFonts w:hint="eastAsia" w:cs="宋体"/>
          <w:bCs/>
          <w:snapToGrid w:val="0"/>
          <w:kern w:val="0"/>
          <w:szCs w:val="21"/>
        </w:rPr>
        <w:t>1，2。</w:t>
      </w:r>
    </w:p>
    <w:p>
      <w:pPr>
        <w:tabs>
          <w:tab w:val="left" w:pos="420"/>
        </w:tabs>
        <w:adjustRightInd w:val="0"/>
        <w:snapToGrid w:val="0"/>
        <w:spacing w:line="360" w:lineRule="auto"/>
        <w:ind w:left="420" w:hanging="420"/>
        <w:rPr>
          <w:rFonts w:eastAsia="黑体"/>
          <w:szCs w:val="24"/>
        </w:rPr>
      </w:pPr>
      <w:r>
        <w:rPr>
          <w:rFonts w:eastAsia="黑体"/>
          <w:szCs w:val="24"/>
        </w:rPr>
        <w:t>五、实验内容</w:t>
      </w:r>
    </w:p>
    <w:p>
      <w:pPr>
        <w:adjustRightInd w:val="0"/>
        <w:snapToGrid w:val="0"/>
        <w:spacing w:line="360" w:lineRule="auto"/>
        <w:ind w:firstLine="420" w:firstLineChars="200"/>
        <w:rPr>
          <w:kern w:val="0"/>
        </w:rPr>
      </w:pPr>
      <w:r>
        <w:rPr>
          <w:kern w:val="0"/>
        </w:rPr>
        <w:t>实验环节主要是实验编程和操作，要求保证实验条件，即具备DSP系统开发实验箱；要求学生熟炼掌握利用集成开发环境进行DSP系统设计的编程和功能实现；掌握在集成开发环境下的程序调试</w:t>
      </w:r>
      <w:r>
        <w:rPr>
          <w:snapToGrid w:val="0"/>
          <w:kern w:val="0"/>
        </w:rPr>
        <w:t>、结果分析仿真等操作</w:t>
      </w:r>
      <w:r>
        <w:rPr>
          <w:kern w:val="0"/>
        </w:rPr>
        <w:t>。</w:t>
      </w:r>
    </w:p>
    <w:p>
      <w:pPr>
        <w:adjustRightInd w:val="0"/>
        <w:snapToGrid w:val="0"/>
        <w:spacing w:line="360" w:lineRule="auto"/>
        <w:ind w:firstLine="420" w:firstLineChars="200"/>
        <w:rPr>
          <w:kern w:val="0"/>
          <w:szCs w:val="21"/>
        </w:rPr>
      </w:pPr>
      <w:r>
        <w:rPr>
          <w:rFonts w:hint="eastAsia" w:cs="宋体"/>
          <w:kern w:val="0"/>
          <w:szCs w:val="21"/>
        </w:rPr>
        <w:t>10个学时共完成4个实验。</w:t>
      </w:r>
    </w:p>
    <w:p>
      <w:pPr>
        <w:adjustRightInd w:val="0"/>
        <w:snapToGrid w:val="0"/>
        <w:spacing w:line="360" w:lineRule="auto"/>
        <w:ind w:firstLine="424"/>
        <w:rPr>
          <w:rFonts w:eastAsia="黑体"/>
          <w:kern w:val="0"/>
        </w:rPr>
      </w:pPr>
      <w:r>
        <w:rPr>
          <w:rFonts w:eastAsia="黑体"/>
          <w:kern w:val="0"/>
        </w:rPr>
        <w:t>实验一 CCS系统基本操作实验（2学时）</w:t>
      </w:r>
    </w:p>
    <w:p>
      <w:pPr>
        <w:adjustRightInd w:val="0"/>
        <w:snapToGrid w:val="0"/>
        <w:spacing w:line="360" w:lineRule="auto"/>
        <w:ind w:firstLine="424"/>
      </w:pPr>
      <w:r>
        <w:rPr>
          <w:kern w:val="0"/>
        </w:rPr>
        <w:t>内容：了解DSP实验系统的组成和结构，</w:t>
      </w:r>
      <w:r>
        <w:rPr>
          <w:snapToGrid w:val="0"/>
          <w:kern w:val="0"/>
        </w:rPr>
        <w:t>熟悉CCS集成开发环境，利用实验箱来完成工程管理，以及源文件管理、编译、汇编、链接和调试。</w:t>
      </w:r>
    </w:p>
    <w:p>
      <w:pPr>
        <w:adjustRightInd w:val="0"/>
        <w:snapToGrid w:val="0"/>
        <w:spacing w:line="360" w:lineRule="auto"/>
        <w:ind w:left="424" w:leftChars="202"/>
        <w:rPr>
          <w:kern w:val="0"/>
        </w:rPr>
      </w:pPr>
      <w:r>
        <w:rPr>
          <w:kern w:val="0"/>
        </w:rPr>
        <w:t>基本要求：</w:t>
      </w:r>
    </w:p>
    <w:p>
      <w:pPr>
        <w:widowControl/>
        <w:adjustRightInd w:val="0"/>
        <w:snapToGrid w:val="0"/>
        <w:spacing w:line="360" w:lineRule="auto"/>
        <w:ind w:left="424" w:leftChars="202"/>
        <w:jc w:val="left"/>
        <w:rPr>
          <w:kern w:val="0"/>
        </w:rPr>
      </w:pPr>
      <w:r>
        <w:rPr>
          <w:kern w:val="0"/>
        </w:rPr>
        <w:t>1、</w:t>
      </w:r>
      <w:r>
        <w:t>熟悉DSP实验系统</w:t>
      </w:r>
      <w:r>
        <w:rPr>
          <w:rFonts w:hint="eastAsia"/>
        </w:rPr>
        <w:t>；</w:t>
      </w:r>
    </w:p>
    <w:p>
      <w:pPr>
        <w:widowControl/>
        <w:adjustRightInd w:val="0"/>
        <w:snapToGrid w:val="0"/>
        <w:spacing w:line="360" w:lineRule="auto"/>
        <w:ind w:left="424" w:leftChars="202"/>
        <w:jc w:val="left"/>
        <w:rPr>
          <w:kern w:val="0"/>
        </w:rPr>
      </w:pPr>
      <w:r>
        <w:t>2、熟悉CCS常用菜单的使用</w:t>
      </w:r>
      <w:r>
        <w:rPr>
          <w:rFonts w:hint="eastAsia"/>
        </w:rPr>
        <w:t>；</w:t>
      </w:r>
    </w:p>
    <w:p>
      <w:pPr>
        <w:widowControl/>
        <w:tabs>
          <w:tab w:val="left" w:pos="720"/>
        </w:tabs>
        <w:adjustRightInd w:val="0"/>
        <w:snapToGrid w:val="0"/>
        <w:spacing w:line="360" w:lineRule="auto"/>
        <w:ind w:left="424" w:leftChars="202"/>
        <w:jc w:val="left"/>
        <w:rPr>
          <w:kern w:val="0"/>
        </w:rPr>
      </w:pPr>
      <w:r>
        <w:rPr>
          <w:kern w:val="0"/>
        </w:rPr>
        <w:t>3、掌握CCS中源文件管理、编辑和调试的方法</w:t>
      </w:r>
      <w:r>
        <w:rPr>
          <w:rFonts w:hint="eastAsia"/>
          <w:kern w:val="0"/>
        </w:rPr>
        <w:t>；</w:t>
      </w:r>
    </w:p>
    <w:p>
      <w:pPr>
        <w:widowControl/>
        <w:tabs>
          <w:tab w:val="left" w:pos="720"/>
        </w:tabs>
        <w:adjustRightInd w:val="0"/>
        <w:snapToGrid w:val="0"/>
        <w:spacing w:line="360" w:lineRule="auto"/>
        <w:ind w:left="424" w:leftChars="202"/>
        <w:jc w:val="left"/>
        <w:rPr>
          <w:kern w:val="0"/>
        </w:rPr>
      </w:pPr>
      <w:r>
        <w:rPr>
          <w:kern w:val="0"/>
        </w:rPr>
        <w:t>4、熟悉如何使用观察窗口</w:t>
      </w:r>
      <w:r>
        <w:rPr>
          <w:rFonts w:hint="eastAsia"/>
          <w:kern w:val="0"/>
        </w:rPr>
        <w:t>。</w:t>
      </w:r>
    </w:p>
    <w:p>
      <w:pPr>
        <w:widowControl/>
        <w:tabs>
          <w:tab w:val="left" w:pos="720"/>
        </w:tabs>
        <w:adjustRightInd w:val="0"/>
        <w:snapToGrid w:val="0"/>
        <w:spacing w:line="360" w:lineRule="auto"/>
        <w:ind w:left="424" w:leftChars="202"/>
        <w:jc w:val="left"/>
        <w:rPr>
          <w:kern w:val="0"/>
        </w:rPr>
      </w:pPr>
      <w:r>
        <w:rPr>
          <w:rFonts w:cs="宋体"/>
          <w:bCs/>
          <w:snapToGrid w:val="0"/>
          <w:kern w:val="0"/>
          <w:szCs w:val="21"/>
        </w:rPr>
        <w:t>本实验支撑课程目标2</w:t>
      </w:r>
      <w:r>
        <w:rPr>
          <w:rFonts w:hint="eastAsia" w:cs="宋体"/>
          <w:bCs/>
          <w:snapToGrid w:val="0"/>
          <w:kern w:val="0"/>
          <w:szCs w:val="21"/>
        </w:rPr>
        <w:t>。</w:t>
      </w:r>
    </w:p>
    <w:p>
      <w:pPr>
        <w:widowControl/>
        <w:adjustRightInd w:val="0"/>
        <w:snapToGrid w:val="0"/>
        <w:spacing w:line="360" w:lineRule="auto"/>
        <w:ind w:left="422" w:leftChars="201"/>
        <w:jc w:val="left"/>
        <w:rPr>
          <w:rFonts w:eastAsia="黑体"/>
          <w:kern w:val="0"/>
        </w:rPr>
      </w:pPr>
      <w:r>
        <w:rPr>
          <w:rFonts w:eastAsia="黑体"/>
          <w:snapToGrid w:val="0"/>
          <w:kern w:val="0"/>
        </w:rPr>
        <w:t>实验二数据存储实验</w:t>
      </w:r>
      <w:r>
        <w:rPr>
          <w:rFonts w:eastAsia="黑体"/>
        </w:rPr>
        <w:t>（2学时）</w:t>
      </w:r>
    </w:p>
    <w:p>
      <w:pPr>
        <w:widowControl/>
        <w:adjustRightInd w:val="0"/>
        <w:snapToGrid w:val="0"/>
        <w:spacing w:line="360" w:lineRule="auto"/>
        <w:ind w:firstLine="420" w:firstLineChars="200"/>
      </w:pPr>
      <w:r>
        <w:rPr>
          <w:kern w:val="0"/>
        </w:rPr>
        <w:t>内容：</w:t>
      </w:r>
      <w:r>
        <w:t>在</w:t>
      </w:r>
      <w:r>
        <w:rPr>
          <w:snapToGrid w:val="0"/>
          <w:kern w:val="0"/>
        </w:rPr>
        <w:t>CCS集成开发环境中</w:t>
      </w:r>
      <w:r>
        <w:t>编写一个</w:t>
      </w:r>
      <w:r>
        <w:rPr>
          <w:rFonts w:hint="eastAsia"/>
        </w:rPr>
        <w:t>数据块传送的汇编</w:t>
      </w:r>
      <w:r>
        <w:t>程序，并对程序进行单步执行，使用观察窗口查看程序存储地址、数据存储地址及其中的数据内容。</w:t>
      </w:r>
    </w:p>
    <w:p>
      <w:pPr>
        <w:adjustRightInd w:val="0"/>
        <w:snapToGrid w:val="0"/>
        <w:spacing w:line="360" w:lineRule="auto"/>
        <w:ind w:left="422" w:leftChars="201"/>
        <w:rPr>
          <w:kern w:val="0"/>
        </w:rPr>
      </w:pPr>
      <w:r>
        <w:rPr>
          <w:kern w:val="0"/>
        </w:rPr>
        <w:t>基本要求：</w:t>
      </w:r>
    </w:p>
    <w:p>
      <w:pPr>
        <w:widowControl/>
        <w:numPr>
          <w:ilvl w:val="0"/>
          <w:numId w:val="40"/>
        </w:numPr>
        <w:adjustRightInd w:val="0"/>
        <w:snapToGrid w:val="0"/>
        <w:spacing w:line="360" w:lineRule="auto"/>
        <w:ind w:left="422" w:leftChars="201" w:firstLine="0"/>
        <w:jc w:val="left"/>
        <w:rPr>
          <w:kern w:val="0"/>
        </w:rPr>
      </w:pPr>
      <w:r>
        <w:rPr>
          <w:kern w:val="0"/>
        </w:rPr>
        <w:t>掌握</w:t>
      </w:r>
      <w:r>
        <w:rPr>
          <w:snapToGrid w:val="0"/>
          <w:kern w:val="0"/>
        </w:rPr>
        <w:t>TMS320C54x的程序空间的分配</w:t>
      </w:r>
      <w:r>
        <w:rPr>
          <w:rFonts w:hint="eastAsia"/>
          <w:snapToGrid w:val="0"/>
          <w:kern w:val="0"/>
        </w:rPr>
        <w:t>；</w:t>
      </w:r>
    </w:p>
    <w:p>
      <w:pPr>
        <w:widowControl/>
        <w:numPr>
          <w:ilvl w:val="0"/>
          <w:numId w:val="40"/>
        </w:numPr>
        <w:adjustRightInd w:val="0"/>
        <w:snapToGrid w:val="0"/>
        <w:spacing w:line="360" w:lineRule="auto"/>
        <w:ind w:left="422" w:leftChars="201" w:firstLine="0"/>
        <w:jc w:val="left"/>
        <w:rPr>
          <w:kern w:val="0"/>
        </w:rPr>
      </w:pPr>
      <w:r>
        <w:rPr>
          <w:kern w:val="0"/>
        </w:rPr>
        <w:t>掌握</w:t>
      </w:r>
      <w:r>
        <w:rPr>
          <w:snapToGrid w:val="0"/>
          <w:kern w:val="0"/>
        </w:rPr>
        <w:t>TMS320C54x的数据空间的分配</w:t>
      </w:r>
      <w:r>
        <w:rPr>
          <w:rFonts w:hint="eastAsia"/>
          <w:snapToGrid w:val="0"/>
          <w:kern w:val="0"/>
        </w:rPr>
        <w:t>；</w:t>
      </w:r>
    </w:p>
    <w:p>
      <w:pPr>
        <w:widowControl/>
        <w:numPr>
          <w:ilvl w:val="0"/>
          <w:numId w:val="40"/>
        </w:numPr>
        <w:adjustRightInd w:val="0"/>
        <w:snapToGrid w:val="0"/>
        <w:spacing w:line="360" w:lineRule="auto"/>
        <w:ind w:left="422" w:leftChars="201" w:firstLine="0"/>
        <w:jc w:val="left"/>
        <w:rPr>
          <w:kern w:val="0"/>
        </w:rPr>
      </w:pPr>
      <w:r>
        <w:rPr>
          <w:rFonts w:hint="eastAsia"/>
          <w:kern w:val="0"/>
        </w:rPr>
        <w:t>熟悉操作</w:t>
      </w:r>
      <w:r>
        <w:rPr>
          <w:snapToGrid w:val="0"/>
          <w:kern w:val="0"/>
        </w:rPr>
        <w:t>TMS320C54x</w:t>
      </w:r>
      <w:r>
        <w:rPr>
          <w:rFonts w:hint="eastAsia"/>
          <w:snapToGrid w:val="0"/>
          <w:kern w:val="0"/>
        </w:rPr>
        <w:t>数据空间的指令</w:t>
      </w:r>
      <w:r>
        <w:rPr>
          <w:rFonts w:hint="eastAsia"/>
          <w:kern w:val="0"/>
        </w:rPr>
        <w:t>。</w:t>
      </w:r>
    </w:p>
    <w:p>
      <w:pPr>
        <w:widowControl/>
        <w:adjustRightInd w:val="0"/>
        <w:snapToGrid w:val="0"/>
        <w:spacing w:line="360" w:lineRule="auto"/>
        <w:ind w:left="422" w:leftChars="201"/>
        <w:jc w:val="left"/>
        <w:rPr>
          <w:kern w:val="0"/>
        </w:rPr>
      </w:pPr>
      <w:r>
        <w:rPr>
          <w:rFonts w:cs="宋体"/>
          <w:bCs/>
          <w:snapToGrid w:val="0"/>
          <w:kern w:val="0"/>
          <w:szCs w:val="21"/>
        </w:rPr>
        <w:t>本实验支撑课程目标</w:t>
      </w:r>
      <w:r>
        <w:rPr>
          <w:rFonts w:hint="eastAsia" w:cs="宋体"/>
          <w:bCs/>
          <w:snapToGrid w:val="0"/>
          <w:kern w:val="0"/>
          <w:szCs w:val="21"/>
        </w:rPr>
        <w:t>1，2。</w:t>
      </w:r>
    </w:p>
    <w:p>
      <w:pPr>
        <w:widowControl/>
        <w:adjustRightInd w:val="0"/>
        <w:snapToGrid w:val="0"/>
        <w:spacing w:line="360" w:lineRule="auto"/>
        <w:ind w:left="424" w:leftChars="202"/>
        <w:jc w:val="left"/>
        <w:rPr>
          <w:kern w:val="0"/>
        </w:rPr>
      </w:pPr>
      <w:r>
        <w:rPr>
          <w:rFonts w:eastAsia="黑体"/>
          <w:snapToGrid w:val="0"/>
          <w:kern w:val="0"/>
        </w:rPr>
        <w:t>实验三  A/D转换实验（2学时）</w:t>
      </w:r>
    </w:p>
    <w:p>
      <w:pPr>
        <w:adjustRightInd w:val="0"/>
        <w:snapToGrid w:val="0"/>
        <w:spacing w:line="360" w:lineRule="auto"/>
        <w:ind w:firstLine="420" w:firstLineChars="200"/>
      </w:pPr>
      <w:r>
        <w:rPr>
          <w:kern w:val="0"/>
        </w:rPr>
        <w:t>内容：</w:t>
      </w:r>
      <w:r>
        <w:rPr>
          <w:snapToGrid w:val="0"/>
          <w:kern w:val="0"/>
        </w:rPr>
        <w:t>搭建DSP与A/D芯片的连接电路，</w:t>
      </w:r>
      <w:r>
        <w:t>在</w:t>
      </w:r>
      <w:r>
        <w:rPr>
          <w:snapToGrid w:val="0"/>
          <w:kern w:val="0"/>
        </w:rPr>
        <w:t>CCS集成开发环境中</w:t>
      </w:r>
      <w:r>
        <w:t>编写A/D控制程序，观察A/D转换的数据及数据波形；改变</w:t>
      </w:r>
      <w:r>
        <w:rPr>
          <w:snapToGrid w:val="0"/>
          <w:kern w:val="0"/>
        </w:rPr>
        <w:t>A/D</w:t>
      </w:r>
      <w:r>
        <w:t>采样率，观察A/D转换的数据波形变化；调节信号源的频率和幅度，重复观察A/D转换的数据及数据波形变化。</w:t>
      </w:r>
    </w:p>
    <w:p>
      <w:pPr>
        <w:adjustRightInd w:val="0"/>
        <w:snapToGrid w:val="0"/>
        <w:spacing w:line="360" w:lineRule="auto"/>
        <w:ind w:left="424" w:leftChars="202"/>
        <w:rPr>
          <w:kern w:val="0"/>
        </w:rPr>
      </w:pPr>
      <w:r>
        <w:rPr>
          <w:kern w:val="0"/>
        </w:rPr>
        <w:t>基本要求：</w:t>
      </w:r>
    </w:p>
    <w:p>
      <w:pPr>
        <w:widowControl/>
        <w:adjustRightInd w:val="0"/>
        <w:snapToGrid w:val="0"/>
        <w:spacing w:line="360" w:lineRule="auto"/>
        <w:ind w:left="424" w:leftChars="202"/>
        <w:jc w:val="left"/>
        <w:rPr>
          <w:kern w:val="0"/>
        </w:rPr>
      </w:pPr>
      <w:r>
        <w:rPr>
          <w:kern w:val="0"/>
        </w:rPr>
        <w:t>1、熟悉A/D转换的基本原理</w:t>
      </w:r>
      <w:r>
        <w:rPr>
          <w:rFonts w:hint="eastAsia"/>
          <w:kern w:val="0"/>
        </w:rPr>
        <w:t>；</w:t>
      </w:r>
    </w:p>
    <w:p>
      <w:pPr>
        <w:widowControl/>
        <w:tabs>
          <w:tab w:val="left" w:pos="720"/>
        </w:tabs>
        <w:adjustRightInd w:val="0"/>
        <w:snapToGrid w:val="0"/>
        <w:spacing w:line="360" w:lineRule="auto"/>
        <w:ind w:left="424" w:leftChars="202"/>
        <w:jc w:val="left"/>
        <w:rPr>
          <w:kern w:val="0"/>
        </w:rPr>
      </w:pPr>
      <w:r>
        <w:rPr>
          <w:kern w:val="0"/>
        </w:rPr>
        <w:t>2、掌握DSP与A/D转换器的接口及控制方法</w:t>
      </w:r>
      <w:r>
        <w:rPr>
          <w:rFonts w:hint="eastAsia"/>
          <w:kern w:val="0"/>
        </w:rPr>
        <w:t>。</w:t>
      </w:r>
    </w:p>
    <w:p>
      <w:pPr>
        <w:widowControl/>
        <w:tabs>
          <w:tab w:val="left" w:pos="720"/>
        </w:tabs>
        <w:adjustRightInd w:val="0"/>
        <w:snapToGrid w:val="0"/>
        <w:spacing w:line="360" w:lineRule="auto"/>
        <w:ind w:left="424" w:leftChars="202"/>
        <w:jc w:val="left"/>
        <w:rPr>
          <w:kern w:val="0"/>
        </w:rPr>
      </w:pPr>
      <w:r>
        <w:rPr>
          <w:rFonts w:cs="宋体"/>
          <w:bCs/>
          <w:snapToGrid w:val="0"/>
          <w:kern w:val="0"/>
          <w:szCs w:val="21"/>
        </w:rPr>
        <w:t>本实验支撑课程目标</w:t>
      </w:r>
      <w:r>
        <w:rPr>
          <w:rFonts w:hint="eastAsia" w:cs="宋体"/>
          <w:bCs/>
          <w:snapToGrid w:val="0"/>
          <w:kern w:val="0"/>
          <w:szCs w:val="21"/>
        </w:rPr>
        <w:t>1，2。</w:t>
      </w:r>
    </w:p>
    <w:p>
      <w:pPr>
        <w:widowControl/>
        <w:adjustRightInd w:val="0"/>
        <w:snapToGrid w:val="0"/>
        <w:spacing w:line="360" w:lineRule="auto"/>
        <w:ind w:left="424" w:leftChars="202"/>
        <w:jc w:val="left"/>
        <w:rPr>
          <w:rFonts w:eastAsia="黑体"/>
        </w:rPr>
      </w:pPr>
      <w:r>
        <w:rPr>
          <w:rFonts w:eastAsia="黑体"/>
          <w:snapToGrid w:val="0"/>
          <w:kern w:val="0"/>
        </w:rPr>
        <w:t>实验四FFT算法实验（4学时）</w:t>
      </w:r>
    </w:p>
    <w:p>
      <w:pPr>
        <w:adjustRightInd w:val="0"/>
        <w:snapToGrid w:val="0"/>
        <w:spacing w:line="360" w:lineRule="auto"/>
        <w:ind w:firstLine="424"/>
      </w:pPr>
      <w:r>
        <w:rPr>
          <w:kern w:val="0"/>
        </w:rPr>
        <w:t>内容：</w:t>
      </w:r>
      <w:r>
        <w:rPr>
          <w:snapToGrid w:val="0"/>
          <w:kern w:val="0"/>
        </w:rPr>
        <w:t>对A/D数据进行FFT变换，</w:t>
      </w:r>
      <w:r>
        <w:t>在A/D输入信号</w:t>
      </w:r>
      <w:r>
        <w:rPr>
          <w:rFonts w:hint="eastAsia"/>
        </w:rPr>
        <w:t>为不同频率正弦波叠加的情况下</w:t>
      </w:r>
      <w:r>
        <w:t>，观察信号频谱图；改变A/D输入</w:t>
      </w:r>
      <w:r>
        <w:rPr>
          <w:rFonts w:hint="eastAsia"/>
          <w:snapToGrid w:val="0"/>
          <w:kern w:val="0"/>
        </w:rPr>
        <w:t>信号频</w:t>
      </w:r>
      <w:r>
        <w:t>率</w:t>
      </w:r>
      <w:r>
        <w:rPr>
          <w:rFonts w:hint="eastAsia"/>
        </w:rPr>
        <w:t>、幅度、波形</w:t>
      </w:r>
      <w:r>
        <w:t>，观察信号频谱图的变化。</w:t>
      </w:r>
    </w:p>
    <w:p>
      <w:pPr>
        <w:adjustRightInd w:val="0"/>
        <w:snapToGrid w:val="0"/>
        <w:spacing w:line="360" w:lineRule="auto"/>
        <w:ind w:left="424" w:leftChars="202"/>
        <w:rPr>
          <w:kern w:val="0"/>
        </w:rPr>
      </w:pPr>
      <w:r>
        <w:rPr>
          <w:kern w:val="0"/>
        </w:rPr>
        <w:t>基本要求：</w:t>
      </w:r>
    </w:p>
    <w:p>
      <w:pPr>
        <w:widowControl/>
        <w:adjustRightInd w:val="0"/>
        <w:snapToGrid w:val="0"/>
        <w:spacing w:line="360" w:lineRule="auto"/>
        <w:ind w:left="424" w:leftChars="202"/>
        <w:jc w:val="left"/>
        <w:rPr>
          <w:snapToGrid w:val="0"/>
          <w:kern w:val="0"/>
        </w:rPr>
      </w:pPr>
      <w:r>
        <w:rPr>
          <w:kern w:val="0"/>
        </w:rPr>
        <w:t>1、熟悉FFT算法原理和FFT子程序的应用</w:t>
      </w:r>
      <w:r>
        <w:rPr>
          <w:rFonts w:hint="eastAsia"/>
          <w:kern w:val="0"/>
        </w:rPr>
        <w:t>；</w:t>
      </w:r>
    </w:p>
    <w:p>
      <w:pPr>
        <w:widowControl/>
        <w:tabs>
          <w:tab w:val="left" w:pos="720"/>
        </w:tabs>
        <w:adjustRightInd w:val="0"/>
        <w:snapToGrid w:val="0"/>
        <w:spacing w:line="360" w:lineRule="auto"/>
        <w:ind w:firstLine="420" w:firstLineChars="200"/>
        <w:jc w:val="left"/>
        <w:rPr>
          <w:kern w:val="0"/>
        </w:rPr>
      </w:pPr>
      <w:r>
        <w:rPr>
          <w:kern w:val="0"/>
        </w:rPr>
        <w:t>2、掌握利用DSP实现FFT算法的方法</w:t>
      </w:r>
      <w:r>
        <w:rPr>
          <w:rFonts w:hint="eastAsia"/>
          <w:kern w:val="0"/>
        </w:rPr>
        <w:t>。</w:t>
      </w:r>
    </w:p>
    <w:p>
      <w:pPr>
        <w:widowControl/>
        <w:tabs>
          <w:tab w:val="left" w:pos="720"/>
        </w:tabs>
        <w:adjustRightInd w:val="0"/>
        <w:snapToGrid w:val="0"/>
        <w:spacing w:line="360" w:lineRule="auto"/>
        <w:ind w:firstLine="420" w:firstLineChars="200"/>
        <w:jc w:val="left"/>
        <w:rPr>
          <w:kern w:val="0"/>
        </w:rPr>
      </w:pPr>
      <w:r>
        <w:rPr>
          <w:rFonts w:cs="宋体"/>
          <w:bCs/>
          <w:snapToGrid w:val="0"/>
          <w:kern w:val="0"/>
          <w:szCs w:val="21"/>
        </w:rPr>
        <w:t>本实验支撑课程目标</w:t>
      </w:r>
      <w:r>
        <w:rPr>
          <w:rFonts w:hint="eastAsia" w:cs="宋体"/>
          <w:bCs/>
          <w:snapToGrid w:val="0"/>
          <w:kern w:val="0"/>
          <w:szCs w:val="21"/>
        </w:rPr>
        <w:t>1，2。</w:t>
      </w:r>
    </w:p>
    <w:p>
      <w:pPr>
        <w:widowControl/>
        <w:adjustRightInd w:val="0"/>
        <w:snapToGrid w:val="0"/>
        <w:spacing w:line="360" w:lineRule="auto"/>
        <w:jc w:val="left"/>
        <w:rPr>
          <w:rFonts w:eastAsia="黑体"/>
          <w:kern w:val="0"/>
          <w:szCs w:val="21"/>
        </w:rPr>
      </w:pPr>
      <w:r>
        <w:rPr>
          <w:rFonts w:eastAsia="黑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25"/>
        <w:gridCol w:w="1716"/>
        <w:gridCol w:w="1538"/>
        <w:gridCol w:w="14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81" w:type="pct"/>
            <w:shd w:val="clear" w:color="auto" w:fill="auto"/>
            <w:vAlign w:val="center"/>
          </w:tcPr>
          <w:p>
            <w:pPr>
              <w:adjustRightInd w:val="0"/>
              <w:snapToGrid w:val="0"/>
              <w:jc w:val="center"/>
              <w:rPr>
                <w:sz w:val="18"/>
                <w:szCs w:val="18"/>
              </w:rPr>
            </w:pPr>
            <w:r>
              <w:rPr>
                <w:sz w:val="18"/>
                <w:szCs w:val="18"/>
              </w:rPr>
              <w:t>讲授的知识点及内容</w:t>
            </w:r>
          </w:p>
        </w:tc>
        <w:tc>
          <w:tcPr>
            <w:tcW w:w="1032" w:type="pct"/>
            <w:shd w:val="clear" w:color="auto" w:fill="auto"/>
            <w:vAlign w:val="center"/>
          </w:tcPr>
          <w:p>
            <w:pPr>
              <w:adjustRightInd w:val="0"/>
              <w:snapToGrid w:val="0"/>
              <w:jc w:val="center"/>
              <w:rPr>
                <w:sz w:val="18"/>
                <w:szCs w:val="18"/>
              </w:rPr>
            </w:pPr>
            <w:r>
              <w:rPr>
                <w:sz w:val="18"/>
                <w:szCs w:val="18"/>
              </w:rPr>
              <w:t>讲授（学时）</w:t>
            </w:r>
          </w:p>
        </w:tc>
        <w:tc>
          <w:tcPr>
            <w:tcW w:w="925" w:type="pct"/>
            <w:shd w:val="clear" w:color="auto" w:fill="auto"/>
            <w:vAlign w:val="center"/>
          </w:tcPr>
          <w:p>
            <w:pPr>
              <w:adjustRightInd w:val="0"/>
              <w:snapToGrid w:val="0"/>
              <w:jc w:val="center"/>
              <w:rPr>
                <w:sz w:val="18"/>
                <w:szCs w:val="18"/>
              </w:rPr>
            </w:pPr>
            <w:r>
              <w:rPr>
                <w:sz w:val="18"/>
                <w:szCs w:val="18"/>
              </w:rPr>
              <w:t>实验（学时）</w:t>
            </w:r>
          </w:p>
        </w:tc>
        <w:tc>
          <w:tcPr>
            <w:tcW w:w="862" w:type="pct"/>
            <w:shd w:val="clear" w:color="auto" w:fill="auto"/>
            <w:vAlign w:val="center"/>
          </w:tcPr>
          <w:p>
            <w:pPr>
              <w:adjustRightInd w:val="0"/>
              <w:snapToGrid w:val="0"/>
              <w:jc w:val="center"/>
              <w:rPr>
                <w:sz w:val="18"/>
                <w:szCs w:val="18"/>
              </w:rPr>
            </w:pPr>
            <w:r>
              <w:rPr>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18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1 绪论</w:t>
            </w:r>
          </w:p>
        </w:tc>
        <w:tc>
          <w:tcPr>
            <w:tcW w:w="1032" w:type="pct"/>
            <w:shd w:val="clear" w:color="auto" w:fill="auto"/>
            <w:vAlign w:val="center"/>
          </w:tcPr>
          <w:p>
            <w:pPr>
              <w:widowControl/>
              <w:adjustRightInd w:val="0"/>
              <w:snapToGrid w:val="0"/>
              <w:jc w:val="center"/>
              <w:rPr>
                <w:kern w:val="0"/>
                <w:sz w:val="18"/>
                <w:szCs w:val="18"/>
              </w:rPr>
            </w:pPr>
            <w:r>
              <w:rPr>
                <w:kern w:val="0"/>
                <w:sz w:val="18"/>
                <w:szCs w:val="18"/>
              </w:rPr>
              <w:t>1</w:t>
            </w:r>
          </w:p>
        </w:tc>
        <w:tc>
          <w:tcPr>
            <w:tcW w:w="925" w:type="pct"/>
            <w:shd w:val="clear" w:color="auto" w:fill="auto"/>
            <w:vAlign w:val="center"/>
          </w:tcPr>
          <w:p>
            <w:pPr>
              <w:widowControl/>
              <w:adjustRightInd w:val="0"/>
              <w:snapToGrid w:val="0"/>
              <w:jc w:val="center"/>
              <w:rPr>
                <w:kern w:val="0"/>
                <w:sz w:val="18"/>
                <w:szCs w:val="18"/>
              </w:rPr>
            </w:pPr>
          </w:p>
        </w:tc>
        <w:tc>
          <w:tcPr>
            <w:tcW w:w="862" w:type="pct"/>
            <w:shd w:val="clear" w:color="auto" w:fill="auto"/>
            <w:vAlign w:val="center"/>
          </w:tcPr>
          <w:p>
            <w:pPr>
              <w:widowControl/>
              <w:adjustRightInd w:val="0"/>
              <w:snapToGrid w:val="0"/>
              <w:jc w:val="center"/>
              <w:rPr>
                <w:kern w:val="0"/>
                <w:sz w:val="18"/>
                <w:szCs w:val="18"/>
              </w:rPr>
            </w:pPr>
            <w:r>
              <w:rPr>
                <w:kern w:val="0"/>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181" w:type="pct"/>
            <w:shd w:val="clear" w:color="auto" w:fill="auto"/>
            <w:vAlign w:val="center"/>
          </w:tcPr>
          <w:p>
            <w:pPr>
              <w:widowControl/>
              <w:adjustRightInd w:val="0"/>
              <w:snapToGrid w:val="0"/>
              <w:jc w:val="center"/>
              <w:rPr>
                <w:snapToGrid w:val="0"/>
                <w:kern w:val="0"/>
                <w:sz w:val="18"/>
                <w:szCs w:val="18"/>
              </w:rPr>
            </w:pPr>
            <w:r>
              <w:rPr>
                <w:snapToGrid w:val="0"/>
                <w:kern w:val="0"/>
                <w:sz w:val="18"/>
                <w:szCs w:val="18"/>
              </w:rPr>
              <w:t>2 TMS320C54x的结构原理</w:t>
            </w:r>
          </w:p>
        </w:tc>
        <w:tc>
          <w:tcPr>
            <w:tcW w:w="1032" w:type="pct"/>
            <w:shd w:val="clear" w:color="auto" w:fill="auto"/>
            <w:vAlign w:val="center"/>
          </w:tcPr>
          <w:p>
            <w:pPr>
              <w:widowControl/>
              <w:adjustRightInd w:val="0"/>
              <w:snapToGrid w:val="0"/>
              <w:jc w:val="center"/>
              <w:rPr>
                <w:kern w:val="0"/>
                <w:sz w:val="18"/>
                <w:szCs w:val="18"/>
              </w:rPr>
            </w:pPr>
            <w:r>
              <w:rPr>
                <w:rFonts w:hint="eastAsia"/>
                <w:kern w:val="0"/>
                <w:sz w:val="18"/>
                <w:szCs w:val="18"/>
              </w:rPr>
              <w:t>3</w:t>
            </w:r>
          </w:p>
        </w:tc>
        <w:tc>
          <w:tcPr>
            <w:tcW w:w="925" w:type="pct"/>
            <w:shd w:val="clear" w:color="auto" w:fill="auto"/>
            <w:vAlign w:val="center"/>
          </w:tcPr>
          <w:p>
            <w:pPr>
              <w:widowControl/>
              <w:adjustRightInd w:val="0"/>
              <w:snapToGrid w:val="0"/>
              <w:jc w:val="center"/>
              <w:rPr>
                <w:kern w:val="0"/>
                <w:sz w:val="18"/>
                <w:szCs w:val="18"/>
              </w:rPr>
            </w:pPr>
          </w:p>
        </w:tc>
        <w:tc>
          <w:tcPr>
            <w:tcW w:w="862" w:type="pct"/>
            <w:shd w:val="clear" w:color="auto" w:fill="auto"/>
            <w:vAlign w:val="center"/>
          </w:tcPr>
          <w:p>
            <w:pPr>
              <w:widowControl/>
              <w:adjustRightInd w:val="0"/>
              <w:snapToGrid w:val="0"/>
              <w:jc w:val="center"/>
              <w:rPr>
                <w:kern w:val="0"/>
                <w:sz w:val="18"/>
                <w:szCs w:val="18"/>
              </w:rPr>
            </w:pPr>
            <w:r>
              <w:rPr>
                <w:rFonts w:hint="eastAsia"/>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81" w:type="pct"/>
            <w:shd w:val="clear" w:color="auto" w:fill="auto"/>
            <w:vAlign w:val="center"/>
          </w:tcPr>
          <w:p>
            <w:pPr>
              <w:widowControl/>
              <w:adjustRightInd w:val="0"/>
              <w:snapToGrid w:val="0"/>
              <w:jc w:val="center"/>
              <w:rPr>
                <w:kern w:val="0"/>
                <w:sz w:val="18"/>
                <w:szCs w:val="18"/>
              </w:rPr>
            </w:pPr>
            <w:r>
              <w:rPr>
                <w:snapToGrid w:val="0"/>
                <w:kern w:val="0"/>
                <w:sz w:val="18"/>
                <w:szCs w:val="18"/>
              </w:rPr>
              <w:t>3 TMS320C54x的硬件系统设计</w:t>
            </w:r>
          </w:p>
        </w:tc>
        <w:tc>
          <w:tcPr>
            <w:tcW w:w="1032" w:type="pct"/>
            <w:shd w:val="clear" w:color="auto" w:fill="auto"/>
            <w:vAlign w:val="center"/>
          </w:tcPr>
          <w:p>
            <w:pPr>
              <w:widowControl/>
              <w:adjustRightInd w:val="0"/>
              <w:snapToGrid w:val="0"/>
              <w:jc w:val="center"/>
              <w:rPr>
                <w:kern w:val="0"/>
                <w:sz w:val="18"/>
                <w:szCs w:val="18"/>
              </w:rPr>
            </w:pPr>
            <w:r>
              <w:rPr>
                <w:rFonts w:hint="eastAsia"/>
                <w:kern w:val="0"/>
                <w:sz w:val="18"/>
                <w:szCs w:val="18"/>
              </w:rPr>
              <w:t>2</w:t>
            </w:r>
          </w:p>
        </w:tc>
        <w:tc>
          <w:tcPr>
            <w:tcW w:w="925" w:type="pct"/>
            <w:shd w:val="clear" w:color="auto" w:fill="auto"/>
            <w:vAlign w:val="center"/>
          </w:tcPr>
          <w:p>
            <w:pPr>
              <w:widowControl/>
              <w:adjustRightInd w:val="0"/>
              <w:snapToGrid w:val="0"/>
              <w:jc w:val="center"/>
              <w:rPr>
                <w:kern w:val="0"/>
                <w:sz w:val="18"/>
                <w:szCs w:val="18"/>
              </w:rPr>
            </w:pPr>
          </w:p>
        </w:tc>
        <w:tc>
          <w:tcPr>
            <w:tcW w:w="862" w:type="pct"/>
            <w:shd w:val="clear" w:color="auto" w:fill="auto"/>
            <w:vAlign w:val="center"/>
          </w:tcPr>
          <w:p>
            <w:pPr>
              <w:widowControl/>
              <w:adjustRightInd w:val="0"/>
              <w:snapToGrid w:val="0"/>
              <w:jc w:val="center"/>
              <w:rPr>
                <w:kern w:val="0"/>
                <w:sz w:val="18"/>
                <w:szCs w:val="18"/>
              </w:rPr>
            </w:pPr>
            <w:r>
              <w:rPr>
                <w:rFonts w:hint="eastAsia"/>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81" w:type="pct"/>
            <w:shd w:val="clear" w:color="auto" w:fill="auto"/>
            <w:vAlign w:val="center"/>
          </w:tcPr>
          <w:p>
            <w:pPr>
              <w:widowControl/>
              <w:adjustRightInd w:val="0"/>
              <w:snapToGrid w:val="0"/>
              <w:jc w:val="center"/>
              <w:rPr>
                <w:snapToGrid w:val="0"/>
                <w:kern w:val="0"/>
                <w:sz w:val="18"/>
                <w:szCs w:val="18"/>
              </w:rPr>
            </w:pPr>
            <w:r>
              <w:rPr>
                <w:kern w:val="0"/>
                <w:sz w:val="18"/>
                <w:szCs w:val="18"/>
              </w:rPr>
              <w:t xml:space="preserve">4 </w:t>
            </w:r>
            <w:r>
              <w:rPr>
                <w:snapToGrid w:val="0"/>
                <w:kern w:val="0"/>
                <w:sz w:val="18"/>
                <w:szCs w:val="18"/>
              </w:rPr>
              <w:t>TMS320C54x的指令系统</w:t>
            </w:r>
          </w:p>
        </w:tc>
        <w:tc>
          <w:tcPr>
            <w:tcW w:w="1032" w:type="pct"/>
            <w:shd w:val="clear" w:color="auto" w:fill="auto"/>
            <w:vAlign w:val="center"/>
          </w:tcPr>
          <w:p>
            <w:pPr>
              <w:widowControl/>
              <w:adjustRightInd w:val="0"/>
              <w:snapToGrid w:val="0"/>
              <w:jc w:val="center"/>
              <w:rPr>
                <w:kern w:val="0"/>
                <w:sz w:val="18"/>
                <w:szCs w:val="18"/>
              </w:rPr>
            </w:pPr>
            <w:r>
              <w:rPr>
                <w:rFonts w:hint="eastAsia"/>
                <w:kern w:val="0"/>
                <w:sz w:val="18"/>
                <w:szCs w:val="18"/>
              </w:rPr>
              <w:t>4</w:t>
            </w:r>
          </w:p>
        </w:tc>
        <w:tc>
          <w:tcPr>
            <w:tcW w:w="925"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862" w:type="pct"/>
            <w:shd w:val="clear" w:color="auto" w:fill="auto"/>
            <w:vAlign w:val="center"/>
          </w:tcPr>
          <w:p>
            <w:pPr>
              <w:widowControl/>
              <w:adjustRightInd w:val="0"/>
              <w:snapToGrid w:val="0"/>
              <w:jc w:val="center"/>
              <w:rPr>
                <w:kern w:val="0"/>
                <w:sz w:val="18"/>
                <w:szCs w:val="18"/>
              </w:rPr>
            </w:pPr>
            <w:r>
              <w:rPr>
                <w:rFonts w:hint="eastAsia"/>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81" w:type="pct"/>
            <w:shd w:val="clear" w:color="auto" w:fill="auto"/>
            <w:vAlign w:val="center"/>
          </w:tcPr>
          <w:p>
            <w:pPr>
              <w:widowControl/>
              <w:adjustRightInd w:val="0"/>
              <w:snapToGrid w:val="0"/>
              <w:jc w:val="center"/>
              <w:rPr>
                <w:rFonts w:eastAsia="黑体"/>
                <w:snapToGrid w:val="0"/>
                <w:kern w:val="0"/>
                <w:sz w:val="18"/>
                <w:szCs w:val="18"/>
              </w:rPr>
            </w:pPr>
            <w:r>
              <w:rPr>
                <w:snapToGrid w:val="0"/>
                <w:kern w:val="0"/>
                <w:sz w:val="18"/>
                <w:szCs w:val="18"/>
              </w:rPr>
              <w:t>5 汇编语言程序设计</w:t>
            </w:r>
          </w:p>
        </w:tc>
        <w:tc>
          <w:tcPr>
            <w:tcW w:w="1032"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925"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862" w:type="pct"/>
            <w:shd w:val="clear" w:color="auto" w:fill="auto"/>
            <w:vAlign w:val="center"/>
          </w:tcPr>
          <w:p>
            <w:pPr>
              <w:widowControl/>
              <w:adjustRightInd w:val="0"/>
              <w:snapToGrid w:val="0"/>
              <w:jc w:val="center"/>
              <w:rPr>
                <w:kern w:val="0"/>
                <w:sz w:val="18"/>
                <w:szCs w:val="18"/>
              </w:rPr>
            </w:pPr>
            <w:r>
              <w:rPr>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181" w:type="pct"/>
            <w:shd w:val="clear" w:color="auto" w:fill="auto"/>
            <w:vAlign w:val="center"/>
          </w:tcPr>
          <w:p>
            <w:pPr>
              <w:widowControl/>
              <w:adjustRightInd w:val="0"/>
              <w:snapToGrid w:val="0"/>
              <w:jc w:val="center"/>
              <w:rPr>
                <w:kern w:val="0"/>
                <w:sz w:val="18"/>
                <w:szCs w:val="18"/>
              </w:rPr>
            </w:pPr>
            <w:r>
              <w:rPr>
                <w:snapToGrid w:val="0"/>
                <w:kern w:val="0"/>
                <w:sz w:val="18"/>
                <w:szCs w:val="18"/>
              </w:rPr>
              <w:t>6 TMS320C54x的软件开发</w:t>
            </w:r>
            <w:r>
              <w:rPr>
                <w:rFonts w:hint="eastAsia"/>
                <w:snapToGrid w:val="0"/>
                <w:kern w:val="0"/>
                <w:sz w:val="18"/>
                <w:szCs w:val="18"/>
              </w:rPr>
              <w:t>与设计</w:t>
            </w:r>
          </w:p>
        </w:tc>
        <w:tc>
          <w:tcPr>
            <w:tcW w:w="1032" w:type="pct"/>
            <w:shd w:val="clear" w:color="auto" w:fill="auto"/>
            <w:vAlign w:val="center"/>
          </w:tcPr>
          <w:p>
            <w:pPr>
              <w:widowControl/>
              <w:adjustRightInd w:val="0"/>
              <w:snapToGrid w:val="0"/>
              <w:jc w:val="center"/>
              <w:rPr>
                <w:kern w:val="0"/>
                <w:sz w:val="18"/>
                <w:szCs w:val="18"/>
              </w:rPr>
            </w:pPr>
            <w:r>
              <w:rPr>
                <w:rFonts w:hint="eastAsia"/>
                <w:kern w:val="0"/>
                <w:sz w:val="18"/>
                <w:szCs w:val="18"/>
              </w:rPr>
              <w:t>2</w:t>
            </w:r>
          </w:p>
        </w:tc>
        <w:tc>
          <w:tcPr>
            <w:tcW w:w="925" w:type="pct"/>
            <w:shd w:val="clear" w:color="auto" w:fill="auto"/>
            <w:vAlign w:val="center"/>
          </w:tcPr>
          <w:p>
            <w:pPr>
              <w:widowControl/>
              <w:adjustRightInd w:val="0"/>
              <w:snapToGrid w:val="0"/>
              <w:jc w:val="center"/>
              <w:rPr>
                <w:kern w:val="0"/>
                <w:sz w:val="18"/>
                <w:szCs w:val="18"/>
              </w:rPr>
            </w:pPr>
            <w:r>
              <w:rPr>
                <w:kern w:val="0"/>
                <w:sz w:val="18"/>
                <w:szCs w:val="18"/>
              </w:rPr>
              <w:t>2</w:t>
            </w:r>
          </w:p>
        </w:tc>
        <w:tc>
          <w:tcPr>
            <w:tcW w:w="862" w:type="pct"/>
            <w:shd w:val="clear" w:color="auto" w:fill="auto"/>
            <w:vAlign w:val="center"/>
          </w:tcPr>
          <w:p>
            <w:pPr>
              <w:widowControl/>
              <w:adjustRightInd w:val="0"/>
              <w:snapToGrid w:val="0"/>
              <w:jc w:val="center"/>
              <w:rPr>
                <w:kern w:val="0"/>
                <w:sz w:val="18"/>
                <w:szCs w:val="18"/>
              </w:rPr>
            </w:pPr>
            <w:r>
              <w:rPr>
                <w:rFonts w:hint="eastAsia"/>
                <w:kern w:val="0"/>
                <w:sz w:val="18"/>
                <w:szCs w:val="18"/>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81" w:type="pct"/>
            <w:shd w:val="clear" w:color="auto" w:fill="auto"/>
            <w:vAlign w:val="center"/>
          </w:tcPr>
          <w:p>
            <w:pPr>
              <w:widowControl/>
              <w:adjustRightInd w:val="0"/>
              <w:snapToGrid w:val="0"/>
              <w:jc w:val="center"/>
              <w:rPr>
                <w:kern w:val="0"/>
                <w:sz w:val="18"/>
                <w:szCs w:val="18"/>
              </w:rPr>
            </w:pPr>
            <w:r>
              <w:rPr>
                <w:kern w:val="0"/>
                <w:sz w:val="18"/>
                <w:szCs w:val="18"/>
              </w:rPr>
              <w:t xml:space="preserve">7 </w:t>
            </w:r>
            <w:r>
              <w:rPr>
                <w:snapToGrid w:val="0"/>
                <w:kern w:val="0"/>
                <w:sz w:val="18"/>
                <w:szCs w:val="18"/>
              </w:rPr>
              <w:t>TMS320C54x的开发应用</w:t>
            </w:r>
          </w:p>
        </w:tc>
        <w:tc>
          <w:tcPr>
            <w:tcW w:w="1032" w:type="pct"/>
            <w:shd w:val="clear" w:color="auto" w:fill="auto"/>
            <w:vAlign w:val="center"/>
          </w:tcPr>
          <w:p>
            <w:pPr>
              <w:widowControl/>
              <w:adjustRightInd w:val="0"/>
              <w:snapToGrid w:val="0"/>
              <w:jc w:val="center"/>
              <w:rPr>
                <w:kern w:val="0"/>
                <w:sz w:val="18"/>
                <w:szCs w:val="18"/>
              </w:rPr>
            </w:pPr>
            <w:r>
              <w:rPr>
                <w:rFonts w:hint="eastAsia"/>
                <w:kern w:val="0"/>
                <w:sz w:val="18"/>
                <w:szCs w:val="18"/>
              </w:rPr>
              <w:t>6</w:t>
            </w:r>
          </w:p>
        </w:tc>
        <w:tc>
          <w:tcPr>
            <w:tcW w:w="925" w:type="pct"/>
            <w:shd w:val="clear" w:color="auto" w:fill="auto"/>
            <w:vAlign w:val="center"/>
          </w:tcPr>
          <w:p>
            <w:pPr>
              <w:widowControl/>
              <w:adjustRightInd w:val="0"/>
              <w:snapToGrid w:val="0"/>
              <w:jc w:val="center"/>
              <w:rPr>
                <w:kern w:val="0"/>
                <w:sz w:val="18"/>
                <w:szCs w:val="18"/>
              </w:rPr>
            </w:pPr>
            <w:r>
              <w:rPr>
                <w:kern w:val="0"/>
                <w:sz w:val="18"/>
                <w:szCs w:val="18"/>
              </w:rPr>
              <w:t>4</w:t>
            </w:r>
          </w:p>
        </w:tc>
        <w:tc>
          <w:tcPr>
            <w:tcW w:w="862" w:type="pct"/>
            <w:shd w:val="clear" w:color="auto" w:fill="auto"/>
            <w:vAlign w:val="center"/>
          </w:tcPr>
          <w:p>
            <w:pPr>
              <w:widowControl/>
              <w:adjustRightInd w:val="0"/>
              <w:snapToGrid w:val="0"/>
              <w:jc w:val="center"/>
              <w:rPr>
                <w:kern w:val="0"/>
                <w:sz w:val="18"/>
                <w:szCs w:val="18"/>
              </w:rPr>
            </w:pPr>
            <w:r>
              <w:rPr>
                <w:kern w:val="0"/>
                <w:sz w:val="18"/>
                <w:szCs w:val="18"/>
              </w:rPr>
              <w:t>1</w:t>
            </w:r>
            <w:r>
              <w:rPr>
                <w:rFonts w:hint="eastAsia"/>
                <w:kern w:val="0"/>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181" w:type="pct"/>
            <w:shd w:val="clear" w:color="auto" w:fill="auto"/>
            <w:vAlign w:val="center"/>
          </w:tcPr>
          <w:p>
            <w:pPr>
              <w:widowControl/>
              <w:adjustRightInd w:val="0"/>
              <w:snapToGrid w:val="0"/>
              <w:jc w:val="center"/>
              <w:rPr>
                <w:kern w:val="0"/>
                <w:sz w:val="18"/>
                <w:szCs w:val="18"/>
              </w:rPr>
            </w:pPr>
            <w:r>
              <w:rPr>
                <w:kern w:val="0"/>
                <w:sz w:val="18"/>
                <w:szCs w:val="18"/>
              </w:rPr>
              <w:t>小计</w:t>
            </w:r>
          </w:p>
        </w:tc>
        <w:tc>
          <w:tcPr>
            <w:tcW w:w="1032" w:type="pct"/>
            <w:shd w:val="clear" w:color="auto" w:fill="auto"/>
            <w:vAlign w:val="center"/>
          </w:tcPr>
          <w:p>
            <w:pPr>
              <w:widowControl/>
              <w:adjustRightInd w:val="0"/>
              <w:snapToGrid w:val="0"/>
              <w:jc w:val="center"/>
              <w:rPr>
                <w:kern w:val="0"/>
                <w:sz w:val="18"/>
                <w:szCs w:val="18"/>
              </w:rPr>
            </w:pPr>
            <w:r>
              <w:rPr>
                <w:kern w:val="0"/>
                <w:sz w:val="18"/>
                <w:szCs w:val="18"/>
              </w:rPr>
              <w:t>22</w:t>
            </w:r>
          </w:p>
        </w:tc>
        <w:tc>
          <w:tcPr>
            <w:tcW w:w="925" w:type="pct"/>
            <w:shd w:val="clear" w:color="auto" w:fill="auto"/>
            <w:vAlign w:val="center"/>
          </w:tcPr>
          <w:p>
            <w:pPr>
              <w:widowControl/>
              <w:adjustRightInd w:val="0"/>
              <w:snapToGrid w:val="0"/>
              <w:jc w:val="center"/>
              <w:rPr>
                <w:kern w:val="0"/>
                <w:sz w:val="18"/>
                <w:szCs w:val="18"/>
              </w:rPr>
            </w:pPr>
            <w:r>
              <w:rPr>
                <w:kern w:val="0"/>
                <w:sz w:val="18"/>
                <w:szCs w:val="18"/>
              </w:rPr>
              <w:t>10</w:t>
            </w:r>
          </w:p>
        </w:tc>
        <w:tc>
          <w:tcPr>
            <w:tcW w:w="862" w:type="pct"/>
            <w:shd w:val="clear" w:color="auto" w:fill="auto"/>
            <w:vAlign w:val="center"/>
          </w:tcPr>
          <w:p>
            <w:pPr>
              <w:widowControl/>
              <w:adjustRightInd w:val="0"/>
              <w:snapToGrid w:val="0"/>
              <w:jc w:val="center"/>
              <w:rPr>
                <w:kern w:val="0"/>
                <w:sz w:val="18"/>
                <w:szCs w:val="18"/>
              </w:rPr>
            </w:pPr>
            <w:r>
              <w:rPr>
                <w:kern w:val="0"/>
                <w:sz w:val="18"/>
                <w:szCs w:val="18"/>
              </w:rPr>
              <w:t>32</w:t>
            </w:r>
          </w:p>
        </w:tc>
      </w:tr>
    </w:tbl>
    <w:p>
      <w:pPr>
        <w:adjustRightInd w:val="0"/>
        <w:snapToGrid w:val="0"/>
        <w:spacing w:line="360" w:lineRule="auto"/>
        <w:rPr>
          <w:b/>
          <w:sz w:val="24"/>
          <w:szCs w:val="24"/>
        </w:rPr>
      </w:pPr>
    </w:p>
    <w:p>
      <w:pPr>
        <w:tabs>
          <w:tab w:val="left" w:pos="420"/>
        </w:tabs>
        <w:adjustRightInd w:val="0"/>
        <w:snapToGrid w:val="0"/>
        <w:spacing w:line="360" w:lineRule="auto"/>
        <w:ind w:left="420" w:hanging="420"/>
        <w:rPr>
          <w:rFonts w:eastAsia="黑体"/>
          <w:szCs w:val="24"/>
        </w:rPr>
      </w:pPr>
      <w:r>
        <w:rPr>
          <w:rFonts w:eastAsia="黑体"/>
          <w:szCs w:val="24"/>
        </w:rPr>
        <w:t>七、教材、补充教材及参考资料</w:t>
      </w:r>
    </w:p>
    <w:p>
      <w:pPr>
        <w:adjustRightInd w:val="0"/>
        <w:snapToGrid w:val="0"/>
        <w:spacing w:line="360" w:lineRule="auto"/>
        <w:ind w:firstLine="420" w:firstLineChars="200"/>
      </w:pPr>
      <w:r>
        <w:t>1、刘艳萍，李志军，《DSP技术原理及应用教程（第3版）》（普通高校“十二五”规划教材），ISBN 978-7-5124-0807-8，北京航空航天大学出版社。</w:t>
      </w:r>
    </w:p>
    <w:p>
      <w:pPr>
        <w:adjustRightInd w:val="0"/>
        <w:snapToGrid w:val="0"/>
        <w:spacing w:line="360" w:lineRule="auto"/>
        <w:ind w:firstLine="420" w:firstLineChars="200"/>
      </w:pPr>
      <w:r>
        <w:t>2、</w:t>
      </w:r>
      <w:r>
        <w:rPr>
          <w:rFonts w:hint="eastAsia"/>
        </w:rPr>
        <w:t>戴明桢</w:t>
      </w:r>
      <w:r>
        <w:t>，</w:t>
      </w:r>
      <w:r>
        <w:rPr>
          <w:rFonts w:hint="eastAsia"/>
        </w:rPr>
        <w:t>周建江</w:t>
      </w:r>
      <w:r>
        <w:t>，《</w:t>
      </w:r>
      <w:r>
        <w:rPr>
          <w:rFonts w:hint="eastAsia"/>
        </w:rPr>
        <w:t>TMS320C54x DSP</w:t>
      </w:r>
      <w:r>
        <w:t>原理及应用》（普通高校“十二五”规划教材），ISBN 978-7-</w:t>
      </w:r>
      <w:r>
        <w:rPr>
          <w:rFonts w:hint="eastAsia"/>
        </w:rPr>
        <w:t>5124</w:t>
      </w:r>
      <w:r>
        <w:t>-</w:t>
      </w:r>
      <w:r>
        <w:rPr>
          <w:rFonts w:hint="eastAsia"/>
        </w:rPr>
        <w:t>1725</w:t>
      </w:r>
      <w:r>
        <w:t>-0，北京航空航天大学出版社。</w:t>
      </w:r>
    </w:p>
    <w:p>
      <w:pPr>
        <w:adjustRightInd w:val="0"/>
        <w:snapToGrid w:val="0"/>
        <w:spacing w:line="360" w:lineRule="auto"/>
        <w:ind w:firstLine="420" w:firstLineChars="200"/>
      </w:pPr>
      <w:r>
        <w:t>3、</w:t>
      </w:r>
      <w:r>
        <w:rPr>
          <w:rFonts w:hint="eastAsia"/>
        </w:rPr>
        <w:t>姜沫岐</w:t>
      </w:r>
      <w:r>
        <w:t>，</w:t>
      </w:r>
      <w:r>
        <w:rPr>
          <w:rFonts w:hint="eastAsia"/>
        </w:rPr>
        <w:t>许涵</w:t>
      </w:r>
      <w:r>
        <w:t>，</w:t>
      </w:r>
      <w:r>
        <w:rPr>
          <w:rFonts w:hint="eastAsia"/>
        </w:rPr>
        <w:t>俞鹏，段国强</w:t>
      </w:r>
      <w:r>
        <w:t>，《DSP</w:t>
      </w:r>
      <w:r>
        <w:rPr>
          <w:rFonts w:hint="eastAsia"/>
        </w:rPr>
        <w:t>原理与</w:t>
      </w:r>
      <w:r>
        <w:t>应用</w:t>
      </w:r>
      <w:r>
        <w:rPr>
          <w:rFonts w:hint="eastAsia"/>
        </w:rPr>
        <w:t>从入门到提高</w:t>
      </w:r>
      <w:r>
        <w:t>》，ISBN 978</w:t>
      </w:r>
      <w:r>
        <w:rPr>
          <w:rFonts w:hint="eastAsia"/>
        </w:rPr>
        <w:t>-7-111-20611-8</w:t>
      </w:r>
      <w:r>
        <w:t>，机械工业出版社。</w:t>
      </w:r>
    </w:p>
    <w:p>
      <w:pPr>
        <w:adjustRightInd w:val="0"/>
        <w:snapToGrid w:val="0"/>
        <w:spacing w:line="360" w:lineRule="auto"/>
        <w:ind w:firstLine="420" w:firstLineChars="200"/>
      </w:pPr>
      <w:r>
        <w:rPr>
          <w:rFonts w:hint="eastAsia"/>
        </w:rPr>
        <w:t>4、郑红，王鹏，董云凤，吴冠，《DSP应用系统设计实践》，</w:t>
      </w:r>
      <w:r>
        <w:t xml:space="preserve">ISBN </w:t>
      </w:r>
      <w:r>
        <w:rPr>
          <w:rFonts w:hint="eastAsia"/>
        </w:rPr>
        <w:t>7-81077-757-2</w:t>
      </w:r>
      <w:r>
        <w:t>，北京航空航天大学出版社。</w:t>
      </w:r>
    </w:p>
    <w:p>
      <w:pPr>
        <w:adjustRightInd w:val="0"/>
        <w:snapToGrid w:val="0"/>
        <w:spacing w:line="360" w:lineRule="auto"/>
        <w:ind w:firstLine="420" w:firstLineChars="200"/>
      </w:pPr>
    </w:p>
    <w:p>
      <w:pPr>
        <w:tabs>
          <w:tab w:val="left" w:pos="420"/>
        </w:tabs>
        <w:adjustRightInd w:val="0"/>
        <w:snapToGrid w:val="0"/>
        <w:spacing w:line="360" w:lineRule="auto"/>
        <w:ind w:left="420" w:hanging="420"/>
        <w:rPr>
          <w:rFonts w:eastAsia="黑体"/>
          <w:szCs w:val="24"/>
        </w:rPr>
      </w:pPr>
      <w:r>
        <w:rPr>
          <w:rFonts w:eastAsia="黑体"/>
          <w:szCs w:val="24"/>
        </w:rPr>
        <w:t>八、课程目标达成的途径和措施</w:t>
      </w:r>
    </w:p>
    <w:p>
      <w:pPr>
        <w:adjustRightInd w:val="0"/>
        <w:snapToGrid w:val="0"/>
        <w:spacing w:line="360" w:lineRule="auto"/>
        <w:ind w:firstLine="420" w:firstLineChars="200"/>
        <w:rPr>
          <w:szCs w:val="21"/>
        </w:rPr>
      </w:pPr>
      <w:r>
        <w:rPr>
          <w:szCs w:val="21"/>
        </w:rPr>
        <w:t>1、考核目标：</w:t>
      </w:r>
      <w:r>
        <w:t>考核学生对数字信号处理器的硬件结构及其控制程序设计的掌握程度；考核学生</w:t>
      </w:r>
      <w:r>
        <w:rPr>
          <w:kern w:val="0"/>
        </w:rPr>
        <w:t>在集成开发环境下进行程序设计、调试</w:t>
      </w:r>
      <w:r>
        <w:rPr>
          <w:snapToGrid w:val="0"/>
          <w:kern w:val="0"/>
        </w:rPr>
        <w:t>及结果分析仿真等操作方法的</w:t>
      </w:r>
      <w:r>
        <w:t>掌握程度；考核学生利用数字信号处理器进行硬件系统设计方法的掌握程度。</w:t>
      </w:r>
    </w:p>
    <w:p>
      <w:pPr>
        <w:adjustRightInd w:val="0"/>
        <w:snapToGrid w:val="0"/>
        <w:spacing w:line="360" w:lineRule="auto"/>
        <w:ind w:firstLine="420" w:firstLineChars="200"/>
        <w:rPr>
          <w:szCs w:val="21"/>
        </w:rPr>
      </w:pPr>
      <w:r>
        <w:rPr>
          <w:szCs w:val="21"/>
        </w:rPr>
        <w:t>2、考核方式：</w:t>
      </w:r>
      <w:r>
        <w:rPr>
          <w:rFonts w:hint="eastAsia"/>
          <w:szCs w:val="21"/>
        </w:rPr>
        <w:t>课堂情况</w:t>
      </w:r>
      <w:r>
        <w:t>、</w:t>
      </w:r>
      <w:r>
        <w:rPr>
          <w:rFonts w:hint="eastAsia"/>
          <w:szCs w:val="21"/>
        </w:rPr>
        <w:t>课外作业、实</w:t>
      </w:r>
      <w:r>
        <w:t>验、考试。</w:t>
      </w:r>
    </w:p>
    <w:p>
      <w:pPr>
        <w:adjustRightInd w:val="0"/>
        <w:snapToGrid w:val="0"/>
        <w:spacing w:line="360" w:lineRule="auto"/>
        <w:ind w:firstLine="420" w:firstLineChars="200"/>
        <w:rPr>
          <w:szCs w:val="21"/>
        </w:rPr>
      </w:pPr>
      <w:r>
        <w:rPr>
          <w:szCs w:val="21"/>
        </w:rPr>
        <w:t>3、评价环节对课程目标达成贡献率及支撑材料：</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406"/>
        <w:gridCol w:w="2023"/>
        <w:gridCol w:w="1682"/>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070" w:type="pct"/>
            <w:tcBorders>
              <w:left w:val="nil"/>
            </w:tcBorders>
            <w:shd w:val="clear" w:color="auto" w:fill="auto"/>
            <w:vAlign w:val="center"/>
          </w:tcPr>
          <w:p>
            <w:pPr>
              <w:widowControl/>
              <w:jc w:val="center"/>
              <w:rPr>
                <w:color w:val="000000"/>
                <w:kern w:val="0"/>
                <w:sz w:val="18"/>
              </w:rPr>
            </w:pPr>
            <w:r>
              <w:rPr>
                <w:color w:val="000000"/>
                <w:kern w:val="0"/>
                <w:sz w:val="18"/>
              </w:rPr>
              <w:t>考察环节</w:t>
            </w:r>
          </w:p>
        </w:tc>
        <w:tc>
          <w:tcPr>
            <w:tcW w:w="846" w:type="pct"/>
            <w:shd w:val="clear" w:color="auto" w:fill="auto"/>
            <w:vAlign w:val="center"/>
          </w:tcPr>
          <w:p>
            <w:pPr>
              <w:widowControl/>
              <w:jc w:val="center"/>
              <w:rPr>
                <w:color w:val="000000"/>
                <w:kern w:val="0"/>
                <w:sz w:val="18"/>
              </w:rPr>
            </w:pPr>
            <w:r>
              <w:rPr>
                <w:color w:val="000000"/>
                <w:kern w:val="0"/>
                <w:sz w:val="18"/>
              </w:rPr>
              <w:t>课堂情况</w:t>
            </w:r>
          </w:p>
        </w:tc>
        <w:tc>
          <w:tcPr>
            <w:tcW w:w="1217" w:type="pct"/>
            <w:shd w:val="clear" w:color="auto" w:fill="auto"/>
            <w:vAlign w:val="center"/>
          </w:tcPr>
          <w:p>
            <w:pPr>
              <w:widowControl/>
              <w:jc w:val="center"/>
              <w:rPr>
                <w:color w:val="000000"/>
                <w:kern w:val="0"/>
                <w:sz w:val="18"/>
              </w:rPr>
            </w:pPr>
            <w:r>
              <w:rPr>
                <w:color w:val="000000"/>
                <w:kern w:val="0"/>
                <w:sz w:val="18"/>
              </w:rPr>
              <w:t>课外作业</w:t>
            </w:r>
          </w:p>
        </w:tc>
        <w:tc>
          <w:tcPr>
            <w:tcW w:w="1012" w:type="pct"/>
            <w:shd w:val="clear" w:color="auto" w:fill="auto"/>
            <w:vAlign w:val="center"/>
          </w:tcPr>
          <w:p>
            <w:pPr>
              <w:widowControl/>
              <w:jc w:val="center"/>
              <w:rPr>
                <w:color w:val="000000"/>
                <w:kern w:val="0"/>
                <w:sz w:val="18"/>
              </w:rPr>
            </w:pPr>
            <w:r>
              <w:rPr>
                <w:color w:val="000000"/>
                <w:kern w:val="0"/>
                <w:sz w:val="18"/>
              </w:rPr>
              <w:t>实验</w:t>
            </w:r>
          </w:p>
        </w:tc>
        <w:tc>
          <w:tcPr>
            <w:tcW w:w="856" w:type="pct"/>
            <w:tcBorders>
              <w:right w:val="nil"/>
            </w:tcBorders>
            <w:shd w:val="clear" w:color="auto" w:fill="auto"/>
            <w:vAlign w:val="center"/>
          </w:tcPr>
          <w:p>
            <w:pPr>
              <w:widowControl/>
              <w:jc w:val="center"/>
              <w:rPr>
                <w:color w:val="000000"/>
                <w:kern w:val="0"/>
                <w:sz w:val="18"/>
              </w:rPr>
            </w:pPr>
            <w:r>
              <w:rPr>
                <w:color w:val="000000"/>
                <w:kern w:val="0"/>
                <w:sz w:val="18"/>
              </w:rPr>
              <w:t>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070" w:type="pct"/>
            <w:tcBorders>
              <w:left w:val="nil"/>
            </w:tcBorders>
            <w:shd w:val="clear" w:color="auto" w:fill="auto"/>
            <w:vAlign w:val="center"/>
          </w:tcPr>
          <w:p>
            <w:pPr>
              <w:widowControl/>
              <w:jc w:val="center"/>
              <w:rPr>
                <w:color w:val="000000"/>
                <w:kern w:val="0"/>
                <w:sz w:val="18"/>
              </w:rPr>
            </w:pPr>
            <w:r>
              <w:rPr>
                <w:color w:val="000000"/>
                <w:kern w:val="0"/>
                <w:sz w:val="18"/>
              </w:rPr>
              <w:t>课程目标达成</w:t>
            </w:r>
          </w:p>
          <w:p>
            <w:pPr>
              <w:widowControl/>
              <w:jc w:val="center"/>
              <w:rPr>
                <w:color w:val="000000"/>
                <w:kern w:val="0"/>
                <w:sz w:val="18"/>
              </w:rPr>
            </w:pPr>
            <w:r>
              <w:rPr>
                <w:color w:val="000000"/>
                <w:kern w:val="0"/>
                <w:sz w:val="18"/>
              </w:rPr>
              <w:t>的贡献率</w:t>
            </w:r>
          </w:p>
        </w:tc>
        <w:tc>
          <w:tcPr>
            <w:tcW w:w="846" w:type="pct"/>
            <w:shd w:val="clear" w:color="auto" w:fill="auto"/>
            <w:vAlign w:val="center"/>
          </w:tcPr>
          <w:p>
            <w:pPr>
              <w:widowControl/>
              <w:jc w:val="center"/>
              <w:rPr>
                <w:color w:val="000000"/>
                <w:kern w:val="0"/>
                <w:sz w:val="18"/>
                <w:szCs w:val="18"/>
              </w:rPr>
            </w:pPr>
            <w:r>
              <w:rPr>
                <w:color w:val="000000"/>
                <w:kern w:val="0"/>
                <w:sz w:val="18"/>
                <w:szCs w:val="18"/>
              </w:rPr>
              <w:t>0.10</w:t>
            </w:r>
          </w:p>
        </w:tc>
        <w:tc>
          <w:tcPr>
            <w:tcW w:w="1217" w:type="pct"/>
            <w:shd w:val="clear" w:color="auto" w:fill="auto"/>
            <w:vAlign w:val="center"/>
          </w:tcPr>
          <w:p>
            <w:pPr>
              <w:widowControl/>
              <w:jc w:val="center"/>
              <w:rPr>
                <w:color w:val="000000"/>
                <w:kern w:val="0"/>
                <w:sz w:val="18"/>
                <w:szCs w:val="18"/>
              </w:rPr>
            </w:pPr>
            <w:r>
              <w:rPr>
                <w:color w:val="000000"/>
                <w:kern w:val="0"/>
                <w:sz w:val="18"/>
                <w:szCs w:val="18"/>
              </w:rPr>
              <w:t>0.13</w:t>
            </w:r>
          </w:p>
        </w:tc>
        <w:tc>
          <w:tcPr>
            <w:tcW w:w="1012" w:type="pct"/>
            <w:shd w:val="clear" w:color="auto" w:fill="auto"/>
            <w:vAlign w:val="center"/>
          </w:tcPr>
          <w:p>
            <w:pPr>
              <w:widowControl/>
              <w:jc w:val="center"/>
              <w:rPr>
                <w:color w:val="000000"/>
                <w:kern w:val="0"/>
                <w:sz w:val="18"/>
                <w:szCs w:val="18"/>
              </w:rPr>
            </w:pPr>
            <w:r>
              <w:rPr>
                <w:color w:val="000000"/>
                <w:kern w:val="0"/>
                <w:sz w:val="18"/>
                <w:szCs w:val="18"/>
              </w:rPr>
              <w:t>0.25</w:t>
            </w:r>
          </w:p>
        </w:tc>
        <w:tc>
          <w:tcPr>
            <w:tcW w:w="856" w:type="pct"/>
            <w:tcBorders>
              <w:right w:val="nil"/>
            </w:tcBorders>
            <w:shd w:val="clear" w:color="auto" w:fill="auto"/>
            <w:vAlign w:val="center"/>
          </w:tcPr>
          <w:p>
            <w:pPr>
              <w:widowControl/>
              <w:jc w:val="center"/>
              <w:rPr>
                <w:color w:val="000000"/>
                <w:kern w:val="0"/>
                <w:sz w:val="18"/>
                <w:szCs w:val="18"/>
              </w:rPr>
            </w:pPr>
            <w:r>
              <w:rPr>
                <w:color w:val="000000"/>
                <w:kern w:val="0"/>
                <w:sz w:val="18"/>
                <w:szCs w:val="18"/>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70" w:type="pct"/>
            <w:tcBorders>
              <w:left w:val="nil"/>
            </w:tcBorders>
            <w:shd w:val="clear" w:color="auto" w:fill="auto"/>
            <w:vAlign w:val="center"/>
          </w:tcPr>
          <w:p>
            <w:pPr>
              <w:widowControl/>
              <w:jc w:val="center"/>
              <w:rPr>
                <w:color w:val="000000"/>
                <w:kern w:val="0"/>
                <w:sz w:val="18"/>
              </w:rPr>
            </w:pPr>
            <w:r>
              <w:rPr>
                <w:color w:val="000000"/>
                <w:kern w:val="0"/>
                <w:sz w:val="18"/>
              </w:rPr>
              <w:t>支撑材料</w:t>
            </w:r>
          </w:p>
        </w:tc>
        <w:tc>
          <w:tcPr>
            <w:tcW w:w="846" w:type="pct"/>
            <w:shd w:val="clear" w:color="auto" w:fill="auto"/>
            <w:vAlign w:val="center"/>
          </w:tcPr>
          <w:p>
            <w:pPr>
              <w:widowControl/>
              <w:jc w:val="center"/>
              <w:rPr>
                <w:color w:val="000000"/>
                <w:kern w:val="0"/>
                <w:sz w:val="18"/>
              </w:rPr>
            </w:pPr>
            <w:r>
              <w:rPr>
                <w:color w:val="000000"/>
                <w:kern w:val="0"/>
                <w:sz w:val="18"/>
              </w:rPr>
              <w:t>课堂评价标准，课堂作业</w:t>
            </w:r>
          </w:p>
        </w:tc>
        <w:tc>
          <w:tcPr>
            <w:tcW w:w="1217" w:type="pct"/>
            <w:shd w:val="clear" w:color="auto" w:fill="auto"/>
            <w:vAlign w:val="center"/>
          </w:tcPr>
          <w:p>
            <w:pPr>
              <w:widowControl/>
              <w:jc w:val="center"/>
              <w:rPr>
                <w:color w:val="000000"/>
                <w:kern w:val="0"/>
                <w:sz w:val="18"/>
              </w:rPr>
            </w:pPr>
            <w:r>
              <w:rPr>
                <w:color w:val="000000"/>
                <w:kern w:val="0"/>
                <w:sz w:val="18"/>
              </w:rPr>
              <w:t>课外作业评价标准，作业文档（纸质或电子）</w:t>
            </w:r>
          </w:p>
        </w:tc>
        <w:tc>
          <w:tcPr>
            <w:tcW w:w="1012" w:type="pct"/>
            <w:shd w:val="clear" w:color="auto" w:fill="auto"/>
            <w:vAlign w:val="center"/>
          </w:tcPr>
          <w:p>
            <w:pPr>
              <w:widowControl/>
              <w:jc w:val="center"/>
              <w:rPr>
                <w:color w:val="000000"/>
                <w:kern w:val="0"/>
                <w:sz w:val="18"/>
              </w:rPr>
            </w:pPr>
            <w:r>
              <w:rPr>
                <w:color w:val="000000"/>
                <w:kern w:val="0"/>
                <w:sz w:val="18"/>
              </w:rPr>
              <w:t>实验评价标准，实验记录，实验报告</w:t>
            </w:r>
          </w:p>
        </w:tc>
        <w:tc>
          <w:tcPr>
            <w:tcW w:w="856" w:type="pct"/>
            <w:tcBorders>
              <w:right w:val="nil"/>
            </w:tcBorders>
            <w:shd w:val="clear" w:color="auto" w:fill="auto"/>
            <w:vAlign w:val="center"/>
          </w:tcPr>
          <w:p>
            <w:pPr>
              <w:widowControl/>
              <w:jc w:val="center"/>
              <w:rPr>
                <w:color w:val="000000"/>
                <w:kern w:val="0"/>
                <w:sz w:val="18"/>
              </w:rPr>
            </w:pPr>
            <w:r>
              <w:rPr>
                <w:color w:val="000000"/>
                <w:kern w:val="0"/>
                <w:sz w:val="18"/>
              </w:rPr>
              <w:t>试题评分标准，答卷</w:t>
            </w:r>
          </w:p>
        </w:tc>
      </w:tr>
    </w:tbl>
    <w:p>
      <w:pPr>
        <w:adjustRightInd w:val="0"/>
        <w:snapToGrid w:val="0"/>
        <w:spacing w:line="360" w:lineRule="auto"/>
        <w:rPr>
          <w:szCs w:val="21"/>
        </w:rPr>
      </w:pPr>
    </w:p>
    <w:p>
      <w:pPr>
        <w:tabs>
          <w:tab w:val="left" w:pos="420"/>
        </w:tabs>
        <w:adjustRightInd w:val="0"/>
        <w:snapToGrid w:val="0"/>
        <w:spacing w:line="360" w:lineRule="auto"/>
        <w:ind w:left="420" w:hanging="420"/>
        <w:rPr>
          <w:rFonts w:ascii="宋体" w:hAnsi="宋体"/>
          <w:sz w:val="18"/>
          <w:szCs w:val="18"/>
        </w:rPr>
      </w:pPr>
      <w:r>
        <w:rPr>
          <w:rFonts w:eastAsia="黑体"/>
          <w:szCs w:val="24"/>
        </w:rPr>
        <w:t>九</w:t>
      </w:r>
      <w:r>
        <w:rPr>
          <w:rFonts w:hint="eastAsia" w:eastAsia="黑体"/>
          <w:szCs w:val="24"/>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96"/>
        <w:gridCol w:w="2263"/>
        <w:gridCol w:w="2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404" w:type="pct"/>
            <w:vAlign w:val="center"/>
          </w:tcPr>
          <w:p>
            <w:pPr>
              <w:jc w:val="center"/>
              <w:rPr>
                <w:sz w:val="18"/>
                <w:szCs w:val="18"/>
                <w:highlight w:val="yellow"/>
              </w:rPr>
            </w:pPr>
            <w:r>
              <w:rPr>
                <w:sz w:val="18"/>
                <w:szCs w:val="18"/>
              </w:rPr>
              <w:t>知识点</w:t>
            </w:r>
          </w:p>
        </w:tc>
        <w:tc>
          <w:tcPr>
            <w:tcW w:w="1361" w:type="pct"/>
            <w:vAlign w:val="center"/>
          </w:tcPr>
          <w:p>
            <w:pPr>
              <w:jc w:val="center"/>
              <w:rPr>
                <w:sz w:val="18"/>
                <w:szCs w:val="18"/>
              </w:rPr>
            </w:pPr>
            <w:r>
              <w:rPr>
                <w:sz w:val="18"/>
                <w:szCs w:val="18"/>
              </w:rPr>
              <w:t>权重</w:t>
            </w:r>
          </w:p>
        </w:tc>
        <w:tc>
          <w:tcPr>
            <w:tcW w:w="1235" w:type="pct"/>
            <w:vAlign w:val="center"/>
          </w:tcPr>
          <w:p>
            <w:pPr>
              <w:jc w:val="center"/>
              <w:rPr>
                <w:sz w:val="18"/>
                <w:szCs w:val="18"/>
              </w:rPr>
            </w:pPr>
            <w:r>
              <w:rPr>
                <w:sz w:val="18"/>
                <w:szCs w:val="18"/>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404" w:type="pct"/>
            <w:vAlign w:val="center"/>
          </w:tcPr>
          <w:p>
            <w:pPr>
              <w:widowControl/>
              <w:ind w:left="174" w:leftChars="83"/>
              <w:rPr>
                <w:sz w:val="18"/>
                <w:szCs w:val="18"/>
              </w:rPr>
            </w:pPr>
            <w:r>
              <w:rPr>
                <w:snapToGrid w:val="0"/>
                <w:kern w:val="0"/>
                <w:sz w:val="18"/>
                <w:szCs w:val="18"/>
              </w:rPr>
              <w:t xml:space="preserve">1 </w:t>
            </w:r>
            <w:r>
              <w:rPr>
                <w:rFonts w:hint="eastAsia"/>
                <w:snapToGrid w:val="0"/>
                <w:kern w:val="0"/>
                <w:sz w:val="18"/>
                <w:szCs w:val="18"/>
              </w:rPr>
              <w:t>DSP的发展及应用选型</w:t>
            </w:r>
          </w:p>
        </w:tc>
        <w:tc>
          <w:tcPr>
            <w:tcW w:w="1361" w:type="pct"/>
            <w:vAlign w:val="center"/>
          </w:tcPr>
          <w:p>
            <w:pPr>
              <w:jc w:val="center"/>
              <w:rPr>
                <w:sz w:val="18"/>
                <w:szCs w:val="18"/>
              </w:rPr>
            </w:pPr>
            <w:r>
              <w:rPr>
                <w:rFonts w:hint="eastAsia"/>
                <w:sz w:val="18"/>
                <w:szCs w:val="18"/>
              </w:rPr>
              <w:t>0.05</w:t>
            </w:r>
          </w:p>
        </w:tc>
        <w:tc>
          <w:tcPr>
            <w:tcW w:w="1235" w:type="pct"/>
            <w:vAlign w:val="center"/>
          </w:tcPr>
          <w:p>
            <w:pPr>
              <w:jc w:val="center"/>
              <w:rPr>
                <w:bCs/>
                <w:sz w:val="18"/>
                <w:szCs w:val="18"/>
              </w:rPr>
            </w:pPr>
            <w:r>
              <w:rPr>
                <w:bCs/>
                <w:sz w:val="18"/>
                <w:szCs w:val="18"/>
              </w:rPr>
              <w:t>1</w:t>
            </w:r>
            <w:r>
              <w:rPr>
                <w:rFonts w:hint="eastAsia"/>
                <w:bCs/>
                <w:sz w:val="18"/>
                <w:szCs w:val="18"/>
              </w:rPr>
              <w:t>、</w:t>
            </w: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404" w:type="pct"/>
            <w:vAlign w:val="center"/>
          </w:tcPr>
          <w:p>
            <w:pPr>
              <w:widowControl/>
              <w:ind w:left="174" w:leftChars="83"/>
              <w:rPr>
                <w:b/>
                <w:sz w:val="18"/>
                <w:szCs w:val="18"/>
              </w:rPr>
            </w:pPr>
            <w:r>
              <w:rPr>
                <w:snapToGrid w:val="0"/>
                <w:kern w:val="0"/>
                <w:sz w:val="18"/>
                <w:szCs w:val="18"/>
              </w:rPr>
              <w:t>2 TMS320C54x的结构原理</w:t>
            </w:r>
          </w:p>
        </w:tc>
        <w:tc>
          <w:tcPr>
            <w:tcW w:w="1361" w:type="pct"/>
            <w:vAlign w:val="center"/>
          </w:tcPr>
          <w:p>
            <w:pPr>
              <w:jc w:val="center"/>
              <w:rPr>
                <w:sz w:val="18"/>
                <w:szCs w:val="18"/>
              </w:rPr>
            </w:pPr>
            <w:r>
              <w:rPr>
                <w:rFonts w:hint="eastAsia"/>
                <w:sz w:val="18"/>
                <w:szCs w:val="18"/>
              </w:rPr>
              <w:t>0.</w:t>
            </w:r>
            <w:r>
              <w:rPr>
                <w:sz w:val="18"/>
                <w:szCs w:val="18"/>
              </w:rPr>
              <w:t>1</w:t>
            </w:r>
            <w:r>
              <w:rPr>
                <w:rFonts w:hint="eastAsia"/>
                <w:sz w:val="18"/>
                <w:szCs w:val="18"/>
              </w:rPr>
              <w:t>0</w:t>
            </w:r>
          </w:p>
        </w:tc>
        <w:tc>
          <w:tcPr>
            <w:tcW w:w="1235" w:type="pct"/>
            <w:vAlign w:val="center"/>
          </w:tcPr>
          <w:p>
            <w:pPr>
              <w:jc w:val="center"/>
              <w:rPr>
                <w:bCs/>
                <w:sz w:val="18"/>
                <w:szCs w:val="18"/>
              </w:rPr>
            </w:pPr>
            <w:r>
              <w:rPr>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404" w:type="pct"/>
            <w:vAlign w:val="center"/>
          </w:tcPr>
          <w:p>
            <w:pPr>
              <w:widowControl/>
              <w:ind w:left="174" w:leftChars="83"/>
              <w:rPr>
                <w:sz w:val="18"/>
                <w:szCs w:val="18"/>
              </w:rPr>
            </w:pPr>
            <w:r>
              <w:rPr>
                <w:snapToGrid w:val="0"/>
                <w:kern w:val="0"/>
                <w:sz w:val="18"/>
                <w:szCs w:val="18"/>
              </w:rPr>
              <w:t>3 TMS320C54x的硬件系统设计</w:t>
            </w:r>
          </w:p>
        </w:tc>
        <w:tc>
          <w:tcPr>
            <w:tcW w:w="1361" w:type="pct"/>
            <w:vAlign w:val="center"/>
          </w:tcPr>
          <w:p>
            <w:pPr>
              <w:jc w:val="center"/>
              <w:rPr>
                <w:sz w:val="18"/>
                <w:szCs w:val="18"/>
              </w:rPr>
            </w:pPr>
            <w:r>
              <w:rPr>
                <w:rFonts w:hint="eastAsia"/>
                <w:sz w:val="18"/>
                <w:szCs w:val="18"/>
              </w:rPr>
              <w:t>0.</w:t>
            </w:r>
            <w:r>
              <w:rPr>
                <w:sz w:val="18"/>
                <w:szCs w:val="18"/>
              </w:rPr>
              <w:t>15</w:t>
            </w:r>
          </w:p>
        </w:tc>
        <w:tc>
          <w:tcPr>
            <w:tcW w:w="1235" w:type="pct"/>
            <w:vAlign w:val="center"/>
          </w:tcPr>
          <w:p>
            <w:pPr>
              <w:jc w:val="center"/>
              <w:rPr>
                <w:bCs/>
                <w:sz w:val="18"/>
                <w:szCs w:val="18"/>
              </w:rPr>
            </w:pPr>
            <w:r>
              <w:rPr>
                <w:bCs/>
                <w:sz w:val="18"/>
                <w:szCs w:val="18"/>
              </w:rPr>
              <w:t>1</w:t>
            </w:r>
            <w:r>
              <w:rPr>
                <w:rFonts w:hint="eastAsia"/>
                <w:bCs/>
                <w:sz w:val="18"/>
                <w:szCs w:val="18"/>
              </w:rPr>
              <w:t>、</w:t>
            </w: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404" w:type="pct"/>
            <w:vAlign w:val="center"/>
          </w:tcPr>
          <w:p>
            <w:pPr>
              <w:widowControl/>
              <w:ind w:left="174" w:leftChars="83"/>
              <w:rPr>
                <w:sz w:val="18"/>
                <w:szCs w:val="18"/>
              </w:rPr>
            </w:pPr>
            <w:r>
              <w:rPr>
                <w:kern w:val="0"/>
                <w:sz w:val="18"/>
                <w:szCs w:val="18"/>
              </w:rPr>
              <w:t xml:space="preserve">4 </w:t>
            </w:r>
            <w:r>
              <w:rPr>
                <w:snapToGrid w:val="0"/>
                <w:kern w:val="0"/>
                <w:sz w:val="18"/>
                <w:szCs w:val="18"/>
              </w:rPr>
              <w:t>TMS320C54x的指令系统</w:t>
            </w:r>
          </w:p>
        </w:tc>
        <w:tc>
          <w:tcPr>
            <w:tcW w:w="1361" w:type="pct"/>
            <w:vAlign w:val="center"/>
          </w:tcPr>
          <w:p>
            <w:pPr>
              <w:jc w:val="center"/>
              <w:rPr>
                <w:sz w:val="18"/>
                <w:szCs w:val="18"/>
              </w:rPr>
            </w:pPr>
            <w:r>
              <w:rPr>
                <w:rFonts w:hint="eastAsia"/>
                <w:sz w:val="18"/>
                <w:szCs w:val="18"/>
              </w:rPr>
              <w:t>0.</w:t>
            </w:r>
            <w:r>
              <w:rPr>
                <w:sz w:val="18"/>
                <w:szCs w:val="18"/>
              </w:rPr>
              <w:t>15</w:t>
            </w:r>
          </w:p>
        </w:tc>
        <w:tc>
          <w:tcPr>
            <w:tcW w:w="1235" w:type="pct"/>
            <w:vAlign w:val="center"/>
          </w:tcPr>
          <w:p>
            <w:pPr>
              <w:jc w:val="center"/>
              <w:rPr>
                <w:bCs/>
                <w:sz w:val="18"/>
                <w:szCs w:val="18"/>
              </w:rPr>
            </w:pPr>
            <w:r>
              <w:rPr>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404" w:type="pct"/>
            <w:vAlign w:val="center"/>
          </w:tcPr>
          <w:p>
            <w:pPr>
              <w:widowControl/>
              <w:ind w:left="174" w:leftChars="83"/>
              <w:rPr>
                <w:sz w:val="18"/>
                <w:szCs w:val="18"/>
              </w:rPr>
            </w:pPr>
            <w:r>
              <w:rPr>
                <w:snapToGrid w:val="0"/>
                <w:kern w:val="0"/>
                <w:sz w:val="18"/>
                <w:szCs w:val="18"/>
              </w:rPr>
              <w:t>5 汇编语言程序设计</w:t>
            </w:r>
          </w:p>
        </w:tc>
        <w:tc>
          <w:tcPr>
            <w:tcW w:w="1361" w:type="pct"/>
            <w:vAlign w:val="center"/>
          </w:tcPr>
          <w:p>
            <w:pPr>
              <w:jc w:val="center"/>
              <w:rPr>
                <w:sz w:val="18"/>
                <w:szCs w:val="18"/>
              </w:rPr>
            </w:pPr>
            <w:r>
              <w:rPr>
                <w:rFonts w:hint="eastAsia"/>
                <w:sz w:val="18"/>
                <w:szCs w:val="18"/>
              </w:rPr>
              <w:t>0.</w:t>
            </w:r>
            <w:r>
              <w:rPr>
                <w:sz w:val="18"/>
                <w:szCs w:val="18"/>
              </w:rPr>
              <w:t>20</w:t>
            </w:r>
          </w:p>
        </w:tc>
        <w:tc>
          <w:tcPr>
            <w:tcW w:w="1235" w:type="pct"/>
            <w:vAlign w:val="center"/>
          </w:tcPr>
          <w:p>
            <w:pPr>
              <w:jc w:val="center"/>
              <w:rPr>
                <w:bCs/>
                <w:sz w:val="18"/>
                <w:szCs w:val="18"/>
              </w:rPr>
            </w:pPr>
            <w:r>
              <w:rPr>
                <w:bCs/>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404" w:type="pct"/>
            <w:vAlign w:val="center"/>
          </w:tcPr>
          <w:p>
            <w:pPr>
              <w:widowControl/>
              <w:ind w:left="174" w:leftChars="83"/>
              <w:rPr>
                <w:sz w:val="18"/>
                <w:szCs w:val="18"/>
              </w:rPr>
            </w:pPr>
            <w:r>
              <w:rPr>
                <w:snapToGrid w:val="0"/>
                <w:kern w:val="0"/>
                <w:sz w:val="18"/>
                <w:szCs w:val="18"/>
              </w:rPr>
              <w:t>6 TMS320C54x的软件开发</w:t>
            </w:r>
            <w:r>
              <w:rPr>
                <w:rFonts w:hint="eastAsia"/>
                <w:snapToGrid w:val="0"/>
                <w:kern w:val="0"/>
                <w:sz w:val="18"/>
                <w:szCs w:val="18"/>
              </w:rPr>
              <w:t>与设计</w:t>
            </w:r>
          </w:p>
        </w:tc>
        <w:tc>
          <w:tcPr>
            <w:tcW w:w="1361" w:type="pct"/>
            <w:vAlign w:val="center"/>
          </w:tcPr>
          <w:p>
            <w:pPr>
              <w:jc w:val="center"/>
              <w:rPr>
                <w:sz w:val="18"/>
                <w:szCs w:val="18"/>
              </w:rPr>
            </w:pPr>
            <w:r>
              <w:rPr>
                <w:rFonts w:hint="eastAsia"/>
                <w:sz w:val="18"/>
                <w:szCs w:val="18"/>
              </w:rPr>
              <w:t>0.</w:t>
            </w:r>
            <w:r>
              <w:rPr>
                <w:sz w:val="18"/>
                <w:szCs w:val="18"/>
              </w:rPr>
              <w:t>10</w:t>
            </w:r>
          </w:p>
        </w:tc>
        <w:tc>
          <w:tcPr>
            <w:tcW w:w="1235" w:type="pct"/>
            <w:vAlign w:val="center"/>
          </w:tcPr>
          <w:p>
            <w:pPr>
              <w:jc w:val="center"/>
              <w:rPr>
                <w:bCs/>
                <w:sz w:val="18"/>
                <w:szCs w:val="18"/>
              </w:rPr>
            </w:pPr>
            <w:r>
              <w:rPr>
                <w:bCs/>
                <w:sz w:val="18"/>
                <w:szCs w:val="18"/>
              </w:rPr>
              <w:t>1</w:t>
            </w:r>
            <w:r>
              <w:rPr>
                <w:rFonts w:hint="eastAsia"/>
                <w:bCs/>
                <w:sz w:val="18"/>
                <w:szCs w:val="18"/>
              </w:rPr>
              <w:t>、</w:t>
            </w:r>
            <w:r>
              <w:rPr>
                <w:bCs/>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404" w:type="pct"/>
            <w:vAlign w:val="center"/>
          </w:tcPr>
          <w:p>
            <w:pPr>
              <w:widowControl/>
              <w:ind w:left="174" w:leftChars="83"/>
              <w:rPr>
                <w:sz w:val="18"/>
                <w:szCs w:val="18"/>
              </w:rPr>
            </w:pPr>
            <w:r>
              <w:rPr>
                <w:kern w:val="0"/>
                <w:sz w:val="18"/>
                <w:szCs w:val="18"/>
              </w:rPr>
              <w:t xml:space="preserve">7 </w:t>
            </w:r>
            <w:r>
              <w:rPr>
                <w:snapToGrid w:val="0"/>
                <w:kern w:val="0"/>
                <w:sz w:val="18"/>
                <w:szCs w:val="18"/>
              </w:rPr>
              <w:t>TMS320C54x的开发应用</w:t>
            </w:r>
          </w:p>
        </w:tc>
        <w:tc>
          <w:tcPr>
            <w:tcW w:w="1361" w:type="pct"/>
            <w:vAlign w:val="center"/>
          </w:tcPr>
          <w:p>
            <w:pPr>
              <w:jc w:val="center"/>
              <w:rPr>
                <w:sz w:val="18"/>
                <w:szCs w:val="18"/>
              </w:rPr>
            </w:pPr>
            <w:r>
              <w:rPr>
                <w:rFonts w:hint="eastAsia"/>
                <w:sz w:val="18"/>
                <w:szCs w:val="18"/>
              </w:rPr>
              <w:t>0.2</w:t>
            </w:r>
            <w:r>
              <w:rPr>
                <w:sz w:val="18"/>
                <w:szCs w:val="18"/>
              </w:rPr>
              <w:t>5</w:t>
            </w:r>
          </w:p>
        </w:tc>
        <w:tc>
          <w:tcPr>
            <w:tcW w:w="1235" w:type="pct"/>
            <w:vAlign w:val="center"/>
          </w:tcPr>
          <w:p>
            <w:pPr>
              <w:jc w:val="center"/>
              <w:rPr>
                <w:bCs/>
                <w:sz w:val="18"/>
                <w:szCs w:val="18"/>
              </w:rPr>
            </w:pPr>
            <w:r>
              <w:rPr>
                <w:bCs/>
                <w:sz w:val="18"/>
                <w:szCs w:val="18"/>
              </w:rPr>
              <w:t>1</w:t>
            </w:r>
            <w:r>
              <w:rPr>
                <w:rFonts w:hint="eastAsia"/>
                <w:bCs/>
                <w:sz w:val="18"/>
                <w:szCs w:val="18"/>
              </w:rPr>
              <w:t>、</w:t>
            </w:r>
            <w:r>
              <w:rPr>
                <w:bCs/>
                <w:sz w:val="18"/>
                <w:szCs w:val="18"/>
              </w:rPr>
              <w:t>2</w:t>
            </w:r>
          </w:p>
        </w:tc>
      </w:tr>
    </w:tbl>
    <w:p>
      <w:pPr>
        <w:adjustRightInd w:val="0"/>
        <w:snapToGrid w:val="0"/>
        <w:spacing w:before="156" w:beforeLines="50" w:line="360" w:lineRule="auto"/>
        <w:ind w:firstLine="420" w:firstLineChars="200"/>
        <w:rPr>
          <w:rFonts w:ascii="宋体" w:hAnsi="宋体"/>
          <w:szCs w:val="21"/>
        </w:rPr>
      </w:pPr>
      <w:r>
        <w:rPr>
          <w:rFonts w:hint="eastAsia"/>
        </w:rPr>
        <w:t>学生可以依据仪器与电子学院相关文件，以允许的第二课堂成果折算单项成绩，与对应知识点加权累计达到75（含）以上，且对所有课程目标的支撑不能有缺项，即可申请本门课程免修。</w:t>
      </w:r>
    </w:p>
    <w:p>
      <w:pPr>
        <w:adjustRightInd w:val="0"/>
        <w:snapToGrid w:val="0"/>
        <w:spacing w:line="360" w:lineRule="auto"/>
        <w:rPr>
          <w:color w:val="0000FF"/>
        </w:rPr>
      </w:pPr>
    </w:p>
    <w:p>
      <w:pPr>
        <w:tabs>
          <w:tab w:val="left" w:pos="420"/>
        </w:tabs>
        <w:adjustRightInd w:val="0"/>
        <w:snapToGrid w:val="0"/>
        <w:spacing w:line="360" w:lineRule="auto"/>
        <w:ind w:left="420" w:hanging="420"/>
        <w:rPr>
          <w:rFonts w:eastAsia="黑体"/>
          <w:szCs w:val="24"/>
        </w:rPr>
        <w:sectPr>
          <w:pgSz w:w="11906" w:h="16838"/>
          <w:pgMar w:top="1440" w:right="1797" w:bottom="1440" w:left="1797" w:header="851" w:footer="992" w:gutter="0"/>
          <w:cols w:space="0" w:num="1"/>
          <w:docGrid w:type="lines" w:linePitch="312" w:charSpace="0"/>
        </w:sectPr>
      </w:pPr>
    </w:p>
    <w:p>
      <w:pPr>
        <w:tabs>
          <w:tab w:val="left" w:pos="420"/>
        </w:tabs>
        <w:adjustRightInd w:val="0"/>
        <w:snapToGrid w:val="0"/>
        <w:spacing w:line="360" w:lineRule="auto"/>
        <w:ind w:left="420" w:hanging="420"/>
        <w:rPr>
          <w:rFonts w:eastAsia="黑体"/>
          <w:szCs w:val="24"/>
        </w:rPr>
      </w:pPr>
      <w:r>
        <w:rPr>
          <w:rFonts w:eastAsia="黑体"/>
          <w:szCs w:val="24"/>
        </w:rPr>
        <w:t>十、课程目标达成评价</w:t>
      </w:r>
    </w:p>
    <w:p>
      <w:pPr>
        <w:tabs>
          <w:tab w:val="left" w:pos="420"/>
        </w:tabs>
        <w:adjustRightInd w:val="0"/>
        <w:snapToGrid w:val="0"/>
        <w:spacing w:line="360" w:lineRule="auto"/>
        <w:ind w:left="420" w:hanging="420"/>
        <w:jc w:val="center"/>
      </w:pPr>
      <w:r>
        <w:rPr>
          <w:rFonts w:hint="eastAsia"/>
        </w:rPr>
        <w:t>各环节对课程目标达成评价所使用到的权重占比分配及考核权重分配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585"/>
        <w:gridCol w:w="932"/>
        <w:gridCol w:w="736"/>
        <w:gridCol w:w="768"/>
        <w:gridCol w:w="799"/>
        <w:gridCol w:w="921"/>
        <w:gridCol w:w="921"/>
        <w:gridCol w:w="910"/>
        <w:gridCol w:w="1032"/>
        <w:gridCol w:w="1085"/>
        <w:gridCol w:w="871"/>
        <w:gridCol w:w="900"/>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229" w:type="pct"/>
            <w:vMerge w:val="restart"/>
            <w:shd w:val="clear" w:color="auto" w:fill="auto"/>
            <w:vAlign w:val="center"/>
          </w:tcPr>
          <w:p>
            <w:pPr>
              <w:widowControl/>
              <w:adjustRightInd w:val="0"/>
              <w:jc w:val="center"/>
              <w:rPr>
                <w:color w:val="000000"/>
                <w:kern w:val="0"/>
                <w:sz w:val="18"/>
                <w:szCs w:val="18"/>
              </w:rPr>
            </w:pPr>
            <w:r>
              <w:rPr>
                <w:color w:val="000000"/>
                <w:kern w:val="0"/>
                <w:sz w:val="18"/>
                <w:szCs w:val="18"/>
              </w:rPr>
              <w:t>课程目标</w:t>
            </w:r>
          </w:p>
        </w:tc>
        <w:tc>
          <w:tcPr>
            <w:tcW w:w="599" w:type="pct"/>
            <w:vMerge w:val="restart"/>
            <w:shd w:val="clear" w:color="auto" w:fill="auto"/>
            <w:vAlign w:val="center"/>
          </w:tcPr>
          <w:p>
            <w:pPr>
              <w:widowControl/>
              <w:adjustRightInd w:val="0"/>
              <w:jc w:val="center"/>
              <w:rPr>
                <w:color w:val="000000"/>
                <w:kern w:val="0"/>
                <w:sz w:val="18"/>
                <w:szCs w:val="18"/>
              </w:rPr>
            </w:pPr>
            <w:r>
              <w:rPr>
                <w:color w:val="000000"/>
                <w:kern w:val="0"/>
                <w:sz w:val="18"/>
                <w:szCs w:val="18"/>
              </w:rPr>
              <w:t>知识面比例</w:t>
            </w:r>
          </w:p>
          <w:p>
            <w:pPr>
              <w:widowControl/>
              <w:adjustRightInd w:val="0"/>
              <w:jc w:val="center"/>
              <w:rPr>
                <w:color w:val="000000"/>
                <w:kern w:val="0"/>
                <w:sz w:val="18"/>
                <w:szCs w:val="18"/>
              </w:rPr>
            </w:pPr>
            <w:r>
              <w:rPr>
                <w:color w:val="000000"/>
                <w:kern w:val="0"/>
                <w:sz w:val="18"/>
                <w:szCs w:val="18"/>
              </w:rPr>
              <w:t>（本列总和为1）</w:t>
            </w:r>
          </w:p>
          <w:p>
            <w:pPr>
              <w:widowControl/>
              <w:adjustRightInd w:val="0"/>
              <w:jc w:val="center"/>
              <w:rPr>
                <w:i/>
                <w:color w:val="000000"/>
                <w:kern w:val="0"/>
                <w:sz w:val="18"/>
                <w:szCs w:val="18"/>
              </w:rPr>
            </w:pPr>
            <w:r>
              <w:rPr>
                <w:i/>
                <w:color w:val="000000"/>
                <w:kern w:val="0"/>
                <w:sz w:val="18"/>
                <w:szCs w:val="18"/>
              </w:rPr>
              <w:t>P</w:t>
            </w:r>
            <w:r>
              <w:rPr>
                <w:i/>
                <w:color w:val="000000"/>
                <w:kern w:val="0"/>
                <w:sz w:val="18"/>
                <w:szCs w:val="18"/>
                <w:vertAlign w:val="subscript"/>
              </w:rPr>
              <w:t>i</w:t>
            </w:r>
          </w:p>
        </w:tc>
        <w:tc>
          <w:tcPr>
            <w:tcW w:w="1221" w:type="pct"/>
            <w:gridSpan w:val="4"/>
            <w:shd w:val="clear" w:color="auto" w:fill="auto"/>
            <w:vAlign w:val="center"/>
          </w:tcPr>
          <w:p>
            <w:pPr>
              <w:widowControl/>
              <w:adjustRightInd w:val="0"/>
              <w:jc w:val="center"/>
              <w:rPr>
                <w:color w:val="000000"/>
                <w:kern w:val="0"/>
                <w:sz w:val="18"/>
                <w:szCs w:val="18"/>
              </w:rPr>
            </w:pPr>
            <w:r>
              <w:rPr>
                <w:color w:val="000000"/>
                <w:sz w:val="18"/>
                <w:szCs w:val="18"/>
              </w:rPr>
              <w:t>各环节评价比例分配</w:t>
            </w:r>
            <w:r>
              <w:rPr>
                <w:color w:val="000000"/>
                <w:sz w:val="18"/>
                <w:szCs w:val="18"/>
              </w:rPr>
              <w:br w:type="textWrapping"/>
            </w:r>
            <w:r>
              <w:rPr>
                <w:color w:val="000000"/>
                <w:sz w:val="18"/>
                <w:szCs w:val="18"/>
              </w:rPr>
              <w:t>（每行总和为1）</w:t>
            </w:r>
            <w:r>
              <w:rPr>
                <w:color w:val="000000"/>
                <w:sz w:val="18"/>
                <w:szCs w:val="18"/>
              </w:rPr>
              <w:br w:type="textWrapping"/>
            </w:r>
            <w:r>
              <w:rPr>
                <w:i/>
                <w:color w:val="000000"/>
                <w:sz w:val="18"/>
                <w:szCs w:val="18"/>
              </w:rPr>
              <w:t>W</w:t>
            </w:r>
            <w:r>
              <w:rPr>
                <w:i/>
                <w:color w:val="000000"/>
                <w:sz w:val="18"/>
                <w:szCs w:val="18"/>
                <w:vertAlign w:val="subscript"/>
              </w:rPr>
              <w:t>ik</w:t>
            </w:r>
          </w:p>
        </w:tc>
        <w:tc>
          <w:tcPr>
            <w:tcW w:w="1430" w:type="pct"/>
            <w:gridSpan w:val="4"/>
            <w:shd w:val="clear" w:color="auto" w:fill="auto"/>
            <w:vAlign w:val="center"/>
          </w:tcPr>
          <w:p>
            <w:pPr>
              <w:adjustRightInd w:val="0"/>
              <w:jc w:val="center"/>
              <w:rPr>
                <w:color w:val="000000"/>
                <w:sz w:val="18"/>
                <w:szCs w:val="18"/>
              </w:rPr>
            </w:pPr>
            <w:r>
              <w:rPr>
                <w:color w:val="000000"/>
                <w:sz w:val="18"/>
                <w:szCs w:val="18"/>
              </w:rPr>
              <w:t>各环节在课程达成中的占比</w:t>
            </w:r>
            <w:r>
              <w:rPr>
                <w:color w:val="000000"/>
                <w:sz w:val="18"/>
                <w:szCs w:val="18"/>
              </w:rPr>
              <w:br w:type="textWrapping"/>
            </w:r>
            <w:r>
              <w:rPr>
                <w:color w:val="000000"/>
                <w:sz w:val="18"/>
                <w:szCs w:val="18"/>
              </w:rPr>
              <w:t>（所有行列总和为1）</w:t>
            </w:r>
            <w:r>
              <w:rPr>
                <w:color w:val="000000"/>
                <w:sz w:val="18"/>
                <w:szCs w:val="18"/>
              </w:rPr>
              <w:br w:type="textWrapping"/>
            </w:r>
            <w:r>
              <w:rPr>
                <w:i/>
                <w:color w:val="000000"/>
                <w:sz w:val="18"/>
                <w:szCs w:val="18"/>
              </w:rPr>
              <w:t>S</w:t>
            </w:r>
            <w:r>
              <w:rPr>
                <w:i/>
                <w:color w:val="000000"/>
                <w:sz w:val="18"/>
                <w:szCs w:val="18"/>
                <w:vertAlign w:val="subscript"/>
              </w:rPr>
              <w:t>ik</w:t>
            </w:r>
            <w:r>
              <w:rPr>
                <w:i/>
                <w:color w:val="000000"/>
                <w:sz w:val="18"/>
                <w:szCs w:val="18"/>
              </w:rPr>
              <w:t>=P</w:t>
            </w:r>
            <w:r>
              <w:rPr>
                <w:i/>
                <w:color w:val="000000"/>
                <w:sz w:val="18"/>
                <w:szCs w:val="18"/>
                <w:vertAlign w:val="subscript"/>
              </w:rPr>
              <w:t>i</w:t>
            </w:r>
            <w:r>
              <w:rPr>
                <w:i/>
                <w:color w:val="000000"/>
                <w:sz w:val="18"/>
                <w:szCs w:val="18"/>
              </w:rPr>
              <w:t>*W</w:t>
            </w:r>
            <w:r>
              <w:rPr>
                <w:i/>
                <w:color w:val="000000"/>
                <w:sz w:val="18"/>
                <w:szCs w:val="18"/>
                <w:vertAlign w:val="subscript"/>
              </w:rPr>
              <w:t>ik</w:t>
            </w:r>
          </w:p>
        </w:tc>
        <w:tc>
          <w:tcPr>
            <w:tcW w:w="1520" w:type="pct"/>
            <w:gridSpan w:val="4"/>
            <w:shd w:val="clear" w:color="auto" w:fill="auto"/>
            <w:vAlign w:val="center"/>
          </w:tcPr>
          <w:p>
            <w:pPr>
              <w:jc w:val="center"/>
              <w:rPr>
                <w:rFonts w:ascii="宋体" w:hAnsi="宋体"/>
                <w:color w:val="000000"/>
                <w:sz w:val="18"/>
                <w:szCs w:val="18"/>
              </w:rPr>
            </w:pPr>
            <w:r>
              <w:rPr>
                <w:rFonts w:hint="eastAsia" w:ascii="宋体" w:hAnsi="宋体"/>
                <w:color w:val="000000"/>
                <w:sz w:val="18"/>
                <w:szCs w:val="18"/>
              </w:rPr>
              <w:t>各环节课程目标考核权重分布</w:t>
            </w:r>
            <w:r>
              <w:rPr>
                <w:rFonts w:ascii="宋体" w:hAnsi="宋体"/>
                <w:color w:val="000000"/>
                <w:sz w:val="18"/>
                <w:szCs w:val="18"/>
              </w:rPr>
              <w:t>（每一列总和为</w:t>
            </w:r>
            <w:r>
              <w:rPr>
                <w:rFonts w:hint="eastAsia" w:ascii="宋体" w:hAnsi="宋体"/>
                <w:color w:val="000000"/>
                <w:sz w:val="18"/>
                <w:szCs w:val="18"/>
              </w:rPr>
              <w:t>1</w:t>
            </w:r>
            <w:r>
              <w:rPr>
                <w:rFonts w:ascii="宋体" w:hAnsi="宋体"/>
                <w:color w:val="000000"/>
                <w:sz w:val="18"/>
                <w:szCs w:val="18"/>
              </w:rPr>
              <w:t>）</w:t>
            </w:r>
          </w:p>
          <w:p>
            <w:pPr>
              <w:adjustRightInd w:val="0"/>
              <w:jc w:val="center"/>
              <w:rPr>
                <w:color w:val="000000"/>
                <w:sz w:val="18"/>
                <w:szCs w:val="18"/>
              </w:rPr>
            </w:pPr>
            <w:r>
              <w:rPr>
                <w:rFonts w:hint="eastAsia" w:ascii="宋体" w:hAnsi="宋体"/>
                <w:i/>
                <w:color w:val="000000"/>
                <w:sz w:val="18"/>
                <w:szCs w:val="18"/>
              </w:rPr>
              <w:t>E</w:t>
            </w:r>
            <w:r>
              <w:rPr>
                <w:rFonts w:hint="eastAsia" w:ascii="宋体" w:hAnsi="宋体"/>
                <w:i/>
                <w:color w:val="000000"/>
                <w:sz w:val="18"/>
                <w:szCs w:val="18"/>
                <w:vertAlign w:val="subscript"/>
              </w:rPr>
              <w:t>ik</w:t>
            </w:r>
            <w:r>
              <w:rPr>
                <w:rFonts w:hint="eastAsia" w:ascii="宋体" w:hAnsi="宋体"/>
                <w:i/>
                <w:color w:val="000000"/>
                <w:sz w:val="18"/>
                <w:szCs w:val="18"/>
              </w:rPr>
              <w:t>=</w:t>
            </w:r>
            <w:r>
              <w:rPr>
                <w:rFonts w:ascii="宋体" w:hAnsi="宋体"/>
                <w:i/>
                <w:color w:val="000000"/>
                <w:sz w:val="18"/>
                <w:szCs w:val="18"/>
              </w:rPr>
              <w:t>S</w:t>
            </w:r>
            <w:r>
              <w:rPr>
                <w:rFonts w:ascii="宋体" w:hAnsi="宋体"/>
                <w:i/>
                <w:color w:val="000000"/>
                <w:sz w:val="18"/>
                <w:szCs w:val="18"/>
                <w:vertAlign w:val="subscript"/>
              </w:rPr>
              <w:t>ik</w:t>
            </w:r>
            <w:r>
              <w:rPr>
                <w:rFonts w:ascii="宋体" w:hAnsi="宋体"/>
                <w:i/>
                <w:color w:val="000000"/>
                <w:sz w:val="18"/>
                <w:szCs w:val="18"/>
              </w:rPr>
              <w:t>/M</w:t>
            </w:r>
            <w:r>
              <w:rPr>
                <w:rFonts w:ascii="宋体" w:hAnsi="宋体"/>
                <w:i/>
                <w:color w:val="000000"/>
                <w:sz w:val="18"/>
                <w:szCs w:val="18"/>
                <w:vertAlign w:val="subscript"/>
              </w:rPr>
              <w: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229" w:type="pct"/>
            <w:vMerge w:val="continue"/>
            <w:shd w:val="clear" w:color="auto" w:fill="auto"/>
            <w:vAlign w:val="center"/>
          </w:tcPr>
          <w:p>
            <w:pPr>
              <w:widowControl/>
              <w:adjustRightInd w:val="0"/>
              <w:jc w:val="left"/>
              <w:rPr>
                <w:color w:val="000000"/>
                <w:kern w:val="0"/>
                <w:sz w:val="18"/>
                <w:szCs w:val="18"/>
              </w:rPr>
            </w:pPr>
          </w:p>
        </w:tc>
        <w:tc>
          <w:tcPr>
            <w:tcW w:w="599" w:type="pct"/>
            <w:vMerge w:val="continue"/>
            <w:shd w:val="clear" w:color="auto" w:fill="auto"/>
            <w:vAlign w:val="center"/>
          </w:tcPr>
          <w:p>
            <w:pPr>
              <w:widowControl/>
              <w:adjustRightInd w:val="0"/>
              <w:jc w:val="left"/>
              <w:rPr>
                <w:color w:val="000000"/>
                <w:kern w:val="0"/>
                <w:sz w:val="18"/>
                <w:szCs w:val="18"/>
              </w:rPr>
            </w:pPr>
          </w:p>
        </w:tc>
        <w:tc>
          <w:tcPr>
            <w:tcW w:w="352" w:type="pct"/>
            <w:shd w:val="clear" w:color="auto" w:fill="auto"/>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278" w:type="pct"/>
            <w:shd w:val="clear" w:color="auto" w:fill="auto"/>
            <w:vAlign w:val="center"/>
          </w:tcPr>
          <w:p>
            <w:pPr>
              <w:widowControl/>
              <w:adjustRightInd w:val="0"/>
              <w:jc w:val="center"/>
              <w:rPr>
                <w:color w:val="000000"/>
                <w:kern w:val="0"/>
                <w:sz w:val="18"/>
                <w:szCs w:val="18"/>
              </w:rPr>
            </w:pPr>
            <w:r>
              <w:rPr>
                <w:color w:val="000000"/>
                <w:kern w:val="0"/>
                <w:sz w:val="18"/>
                <w:szCs w:val="18"/>
              </w:rPr>
              <w:t>作业</w:t>
            </w:r>
          </w:p>
        </w:tc>
        <w:tc>
          <w:tcPr>
            <w:tcW w:w="290" w:type="pct"/>
            <w:shd w:val="clear" w:color="auto" w:fill="auto"/>
            <w:vAlign w:val="center"/>
          </w:tcPr>
          <w:p>
            <w:pPr>
              <w:widowControl/>
              <w:adjustRightInd w:val="0"/>
              <w:jc w:val="center"/>
              <w:rPr>
                <w:color w:val="000000"/>
                <w:kern w:val="0"/>
                <w:sz w:val="18"/>
                <w:szCs w:val="18"/>
              </w:rPr>
            </w:pPr>
            <w:r>
              <w:rPr>
                <w:color w:val="000000"/>
                <w:kern w:val="0"/>
                <w:sz w:val="18"/>
                <w:szCs w:val="18"/>
              </w:rPr>
              <w:t>实验</w:t>
            </w:r>
          </w:p>
        </w:tc>
        <w:tc>
          <w:tcPr>
            <w:tcW w:w="302" w:type="pct"/>
            <w:shd w:val="clear" w:color="auto" w:fill="auto"/>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c>
          <w:tcPr>
            <w:tcW w:w="348" w:type="pct"/>
            <w:shd w:val="clear" w:color="auto" w:fill="auto"/>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348" w:type="pct"/>
            <w:shd w:val="clear" w:color="auto" w:fill="auto"/>
            <w:vAlign w:val="center"/>
          </w:tcPr>
          <w:p>
            <w:pPr>
              <w:widowControl/>
              <w:adjustRightInd w:val="0"/>
              <w:jc w:val="center"/>
              <w:rPr>
                <w:color w:val="000000"/>
                <w:kern w:val="0"/>
                <w:sz w:val="18"/>
                <w:szCs w:val="18"/>
              </w:rPr>
            </w:pPr>
            <w:r>
              <w:rPr>
                <w:color w:val="000000"/>
                <w:kern w:val="0"/>
                <w:sz w:val="18"/>
                <w:szCs w:val="18"/>
              </w:rPr>
              <w:t>作业</w:t>
            </w:r>
          </w:p>
        </w:tc>
        <w:tc>
          <w:tcPr>
            <w:tcW w:w="344" w:type="pct"/>
            <w:shd w:val="clear" w:color="auto" w:fill="auto"/>
            <w:vAlign w:val="center"/>
          </w:tcPr>
          <w:p>
            <w:pPr>
              <w:widowControl/>
              <w:adjustRightInd w:val="0"/>
              <w:jc w:val="center"/>
              <w:rPr>
                <w:color w:val="000000"/>
                <w:kern w:val="0"/>
                <w:sz w:val="18"/>
                <w:szCs w:val="18"/>
              </w:rPr>
            </w:pPr>
            <w:r>
              <w:rPr>
                <w:color w:val="000000"/>
                <w:kern w:val="0"/>
                <w:sz w:val="18"/>
                <w:szCs w:val="18"/>
              </w:rPr>
              <w:t>实验</w:t>
            </w:r>
          </w:p>
        </w:tc>
        <w:tc>
          <w:tcPr>
            <w:tcW w:w="390" w:type="pct"/>
            <w:shd w:val="clear" w:color="auto" w:fill="auto"/>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c>
          <w:tcPr>
            <w:tcW w:w="410" w:type="pct"/>
            <w:shd w:val="clear" w:color="auto" w:fill="auto"/>
            <w:vAlign w:val="center"/>
          </w:tcPr>
          <w:p>
            <w:pPr>
              <w:widowControl/>
              <w:adjustRightInd w:val="0"/>
              <w:jc w:val="center"/>
              <w:rPr>
                <w:color w:val="000000"/>
                <w:kern w:val="0"/>
                <w:sz w:val="18"/>
                <w:szCs w:val="18"/>
              </w:rPr>
            </w:pPr>
            <w:r>
              <w:rPr>
                <w:color w:val="000000"/>
                <w:kern w:val="0"/>
                <w:sz w:val="18"/>
                <w:szCs w:val="18"/>
              </w:rPr>
              <w:t>课堂</w:t>
            </w:r>
          </w:p>
          <w:p>
            <w:pPr>
              <w:widowControl/>
              <w:adjustRightInd w:val="0"/>
              <w:jc w:val="center"/>
              <w:rPr>
                <w:color w:val="000000"/>
                <w:kern w:val="0"/>
                <w:sz w:val="18"/>
                <w:szCs w:val="18"/>
              </w:rPr>
            </w:pPr>
            <w:r>
              <w:rPr>
                <w:color w:val="000000"/>
                <w:kern w:val="0"/>
                <w:sz w:val="18"/>
                <w:szCs w:val="18"/>
              </w:rPr>
              <w:t>情况</w:t>
            </w:r>
          </w:p>
        </w:tc>
        <w:tc>
          <w:tcPr>
            <w:tcW w:w="329" w:type="pct"/>
            <w:shd w:val="clear" w:color="auto" w:fill="auto"/>
            <w:vAlign w:val="center"/>
          </w:tcPr>
          <w:p>
            <w:pPr>
              <w:widowControl/>
              <w:adjustRightInd w:val="0"/>
              <w:jc w:val="center"/>
              <w:rPr>
                <w:color w:val="000000"/>
                <w:kern w:val="0"/>
                <w:sz w:val="18"/>
                <w:szCs w:val="18"/>
              </w:rPr>
            </w:pPr>
            <w:r>
              <w:rPr>
                <w:color w:val="000000"/>
                <w:kern w:val="0"/>
                <w:sz w:val="18"/>
                <w:szCs w:val="18"/>
              </w:rPr>
              <w:t>作业</w:t>
            </w:r>
          </w:p>
        </w:tc>
        <w:tc>
          <w:tcPr>
            <w:tcW w:w="340" w:type="pct"/>
            <w:shd w:val="clear" w:color="auto" w:fill="auto"/>
            <w:vAlign w:val="center"/>
          </w:tcPr>
          <w:p>
            <w:pPr>
              <w:widowControl/>
              <w:adjustRightInd w:val="0"/>
              <w:jc w:val="center"/>
              <w:rPr>
                <w:color w:val="000000"/>
                <w:kern w:val="0"/>
                <w:sz w:val="18"/>
                <w:szCs w:val="18"/>
              </w:rPr>
            </w:pPr>
            <w:r>
              <w:rPr>
                <w:color w:val="000000"/>
                <w:kern w:val="0"/>
                <w:sz w:val="18"/>
                <w:szCs w:val="18"/>
              </w:rPr>
              <w:t>实验</w:t>
            </w:r>
          </w:p>
        </w:tc>
        <w:tc>
          <w:tcPr>
            <w:tcW w:w="442" w:type="pct"/>
            <w:shd w:val="clear" w:color="auto" w:fill="auto"/>
            <w:vAlign w:val="center"/>
          </w:tcPr>
          <w:p>
            <w:pPr>
              <w:widowControl/>
              <w:adjustRightInd w:val="0"/>
              <w:jc w:val="center"/>
              <w:rPr>
                <w:color w:val="000000"/>
                <w:kern w:val="0"/>
                <w:sz w:val="18"/>
                <w:szCs w:val="18"/>
              </w:rPr>
            </w:pPr>
            <w:r>
              <w:rPr>
                <w:color w:val="000000"/>
                <w:kern w:val="0"/>
                <w:sz w:val="18"/>
                <w:szCs w:val="18"/>
              </w:rPr>
              <w:t>期末</w:t>
            </w:r>
          </w:p>
          <w:p>
            <w:pPr>
              <w:widowControl/>
              <w:adjustRightInd w:val="0"/>
              <w:jc w:val="center"/>
              <w:rPr>
                <w:color w:val="000000"/>
                <w:kern w:val="0"/>
                <w:sz w:val="18"/>
                <w:szCs w:val="18"/>
              </w:rPr>
            </w:pPr>
            <w:r>
              <w:rPr>
                <w:color w:val="000000"/>
                <w:kern w:val="0"/>
                <w:sz w:val="18"/>
                <w:szCs w:val="18"/>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229" w:type="pct"/>
            <w:shd w:val="clear" w:color="auto" w:fill="auto"/>
            <w:vAlign w:val="center"/>
          </w:tcPr>
          <w:p>
            <w:pPr>
              <w:widowControl/>
              <w:adjustRightInd w:val="0"/>
              <w:jc w:val="center"/>
              <w:rPr>
                <w:kern w:val="0"/>
                <w:sz w:val="18"/>
                <w:szCs w:val="18"/>
              </w:rPr>
            </w:pPr>
            <w:r>
              <w:rPr>
                <w:rFonts w:hint="eastAsia"/>
                <w:kern w:val="0"/>
                <w:sz w:val="18"/>
                <w:szCs w:val="18"/>
              </w:rPr>
              <w:t>1</w:t>
            </w:r>
          </w:p>
        </w:tc>
        <w:tc>
          <w:tcPr>
            <w:tcW w:w="599"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85</w:t>
            </w:r>
          </w:p>
        </w:tc>
        <w:tc>
          <w:tcPr>
            <w:tcW w:w="352" w:type="pct"/>
            <w:shd w:val="clear" w:color="auto" w:fill="auto"/>
            <w:vAlign w:val="center"/>
          </w:tcPr>
          <w:p>
            <w:pPr>
              <w:widowControl/>
              <w:adjustRightInd w:val="0"/>
              <w:jc w:val="center"/>
              <w:rPr>
                <w:kern w:val="0"/>
                <w:sz w:val="18"/>
                <w:szCs w:val="18"/>
              </w:rPr>
            </w:pPr>
            <w:r>
              <w:rPr>
                <w:kern w:val="0"/>
                <w:sz w:val="18"/>
                <w:szCs w:val="18"/>
              </w:rPr>
              <w:t>0.1</w:t>
            </w:r>
          </w:p>
        </w:tc>
        <w:tc>
          <w:tcPr>
            <w:tcW w:w="278"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15</w:t>
            </w:r>
          </w:p>
        </w:tc>
        <w:tc>
          <w:tcPr>
            <w:tcW w:w="290"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20</w:t>
            </w:r>
          </w:p>
        </w:tc>
        <w:tc>
          <w:tcPr>
            <w:tcW w:w="302"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55</w:t>
            </w:r>
          </w:p>
        </w:tc>
        <w:tc>
          <w:tcPr>
            <w:tcW w:w="348"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085</w:t>
            </w:r>
          </w:p>
        </w:tc>
        <w:tc>
          <w:tcPr>
            <w:tcW w:w="348"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13</w:t>
            </w:r>
          </w:p>
        </w:tc>
        <w:tc>
          <w:tcPr>
            <w:tcW w:w="344"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17</w:t>
            </w:r>
          </w:p>
        </w:tc>
        <w:tc>
          <w:tcPr>
            <w:tcW w:w="390"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46</w:t>
            </w:r>
          </w:p>
        </w:tc>
        <w:tc>
          <w:tcPr>
            <w:tcW w:w="410" w:type="pct"/>
            <w:shd w:val="clear" w:color="auto" w:fill="auto"/>
            <w:vAlign w:val="center"/>
          </w:tcPr>
          <w:p>
            <w:pPr>
              <w:widowControl/>
              <w:adjustRightInd w:val="0"/>
              <w:jc w:val="center"/>
              <w:rPr>
                <w:kern w:val="0"/>
                <w:sz w:val="18"/>
                <w:szCs w:val="18"/>
              </w:rPr>
            </w:pPr>
            <w:r>
              <w:rPr>
                <w:rFonts w:hint="eastAsia"/>
                <w:kern w:val="0"/>
                <w:sz w:val="18"/>
                <w:szCs w:val="18"/>
              </w:rPr>
              <w:t>0.85</w:t>
            </w:r>
          </w:p>
        </w:tc>
        <w:tc>
          <w:tcPr>
            <w:tcW w:w="329" w:type="pct"/>
            <w:shd w:val="clear" w:color="auto" w:fill="auto"/>
            <w:vAlign w:val="center"/>
          </w:tcPr>
          <w:p>
            <w:pPr>
              <w:widowControl/>
              <w:adjustRightInd w:val="0"/>
              <w:jc w:val="center"/>
              <w:rPr>
                <w:kern w:val="0"/>
                <w:sz w:val="18"/>
                <w:szCs w:val="18"/>
              </w:rPr>
            </w:pPr>
            <w:r>
              <w:rPr>
                <w:rFonts w:hint="eastAsia"/>
                <w:kern w:val="0"/>
                <w:sz w:val="18"/>
                <w:szCs w:val="18"/>
              </w:rPr>
              <w:t>1</w:t>
            </w:r>
          </w:p>
        </w:tc>
        <w:tc>
          <w:tcPr>
            <w:tcW w:w="340" w:type="pct"/>
            <w:shd w:val="clear" w:color="auto" w:fill="auto"/>
            <w:vAlign w:val="center"/>
          </w:tcPr>
          <w:p>
            <w:pPr>
              <w:widowControl/>
              <w:adjustRightInd w:val="0"/>
              <w:jc w:val="center"/>
              <w:rPr>
                <w:kern w:val="0"/>
                <w:sz w:val="18"/>
                <w:szCs w:val="18"/>
              </w:rPr>
            </w:pPr>
            <w:r>
              <w:rPr>
                <w:rFonts w:hint="eastAsia"/>
                <w:kern w:val="0"/>
                <w:sz w:val="18"/>
                <w:szCs w:val="18"/>
              </w:rPr>
              <w:t>0.68</w:t>
            </w:r>
          </w:p>
        </w:tc>
        <w:tc>
          <w:tcPr>
            <w:tcW w:w="442" w:type="pct"/>
            <w:shd w:val="clear" w:color="auto" w:fill="auto"/>
            <w:vAlign w:val="center"/>
          </w:tcPr>
          <w:p>
            <w:pPr>
              <w:widowControl/>
              <w:adjustRightInd w:val="0"/>
              <w:jc w:val="center"/>
              <w:rPr>
                <w:kern w:val="0"/>
                <w:sz w:val="18"/>
                <w:szCs w:val="18"/>
              </w:rPr>
            </w:pPr>
            <w:r>
              <w:rPr>
                <w:rFonts w:hint="eastAsia"/>
                <w:kern w:val="0"/>
                <w:sz w:val="18"/>
                <w:szCs w:val="18"/>
              </w:rPr>
              <w:t>0.</w:t>
            </w:r>
            <w:r>
              <w:rPr>
                <w:kern w:val="0"/>
                <w:sz w:val="18"/>
                <w:szCs w:val="18"/>
              </w:rPr>
              <w:t>8</w:t>
            </w:r>
            <w:r>
              <w:rPr>
                <w:rFonts w:hint="eastAsia"/>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229" w:type="pct"/>
            <w:shd w:val="clear" w:color="auto" w:fill="auto"/>
            <w:vAlign w:val="center"/>
          </w:tcPr>
          <w:p>
            <w:pPr>
              <w:widowControl/>
              <w:adjustRightInd w:val="0"/>
              <w:jc w:val="center"/>
              <w:rPr>
                <w:kern w:val="0"/>
                <w:sz w:val="18"/>
                <w:szCs w:val="18"/>
              </w:rPr>
            </w:pPr>
            <w:r>
              <w:rPr>
                <w:rFonts w:hint="eastAsia"/>
                <w:kern w:val="0"/>
                <w:sz w:val="18"/>
                <w:szCs w:val="18"/>
              </w:rPr>
              <w:t>2</w:t>
            </w:r>
          </w:p>
        </w:tc>
        <w:tc>
          <w:tcPr>
            <w:tcW w:w="599"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15</w:t>
            </w:r>
          </w:p>
        </w:tc>
        <w:tc>
          <w:tcPr>
            <w:tcW w:w="352"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w:t>
            </w:r>
          </w:p>
        </w:tc>
        <w:tc>
          <w:tcPr>
            <w:tcW w:w="278" w:type="pct"/>
            <w:shd w:val="clear" w:color="auto" w:fill="auto"/>
            <w:vAlign w:val="center"/>
          </w:tcPr>
          <w:p>
            <w:pPr>
              <w:widowControl/>
              <w:adjustRightInd w:val="0"/>
              <w:jc w:val="center"/>
              <w:rPr>
                <w:kern w:val="0"/>
                <w:sz w:val="18"/>
                <w:szCs w:val="18"/>
              </w:rPr>
            </w:pPr>
            <w:r>
              <w:rPr>
                <w:rFonts w:hint="eastAsia"/>
                <w:kern w:val="0"/>
                <w:sz w:val="18"/>
                <w:szCs w:val="18"/>
              </w:rPr>
              <w:t>0</w:t>
            </w:r>
          </w:p>
        </w:tc>
        <w:tc>
          <w:tcPr>
            <w:tcW w:w="290"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5</w:t>
            </w:r>
          </w:p>
        </w:tc>
        <w:tc>
          <w:tcPr>
            <w:tcW w:w="302"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4</w:t>
            </w:r>
          </w:p>
        </w:tc>
        <w:tc>
          <w:tcPr>
            <w:tcW w:w="348"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015</w:t>
            </w:r>
          </w:p>
        </w:tc>
        <w:tc>
          <w:tcPr>
            <w:tcW w:w="348" w:type="pct"/>
            <w:shd w:val="clear" w:color="auto" w:fill="auto"/>
            <w:vAlign w:val="center"/>
          </w:tcPr>
          <w:p>
            <w:pPr>
              <w:widowControl/>
              <w:adjustRightInd w:val="0"/>
              <w:jc w:val="center"/>
              <w:rPr>
                <w:kern w:val="0"/>
                <w:sz w:val="18"/>
                <w:szCs w:val="18"/>
              </w:rPr>
            </w:pPr>
            <w:r>
              <w:rPr>
                <w:rFonts w:hint="eastAsia"/>
                <w:kern w:val="0"/>
                <w:sz w:val="18"/>
                <w:szCs w:val="18"/>
              </w:rPr>
              <w:t>0.0</w:t>
            </w:r>
          </w:p>
        </w:tc>
        <w:tc>
          <w:tcPr>
            <w:tcW w:w="344"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08</w:t>
            </w:r>
          </w:p>
        </w:tc>
        <w:tc>
          <w:tcPr>
            <w:tcW w:w="390" w:type="pct"/>
            <w:shd w:val="clear" w:color="auto" w:fill="auto"/>
            <w:vAlign w:val="center"/>
          </w:tcPr>
          <w:p>
            <w:pPr>
              <w:widowControl/>
              <w:adjustRightInd w:val="0"/>
              <w:jc w:val="center"/>
              <w:rPr>
                <w:kern w:val="0"/>
                <w:sz w:val="18"/>
                <w:szCs w:val="18"/>
              </w:rPr>
            </w:pPr>
            <w:r>
              <w:rPr>
                <w:kern w:val="0"/>
                <w:sz w:val="18"/>
                <w:szCs w:val="18"/>
              </w:rPr>
              <w:t>0.0</w:t>
            </w:r>
            <w:r>
              <w:rPr>
                <w:rFonts w:hint="eastAsia"/>
                <w:kern w:val="0"/>
                <w:sz w:val="18"/>
                <w:szCs w:val="18"/>
              </w:rPr>
              <w:t>6</w:t>
            </w:r>
          </w:p>
        </w:tc>
        <w:tc>
          <w:tcPr>
            <w:tcW w:w="410" w:type="pct"/>
            <w:shd w:val="clear" w:color="auto" w:fill="auto"/>
            <w:vAlign w:val="center"/>
          </w:tcPr>
          <w:p>
            <w:pPr>
              <w:widowControl/>
              <w:adjustRightInd w:val="0"/>
              <w:jc w:val="center"/>
              <w:rPr>
                <w:kern w:val="0"/>
                <w:sz w:val="18"/>
                <w:szCs w:val="18"/>
              </w:rPr>
            </w:pPr>
            <w:r>
              <w:rPr>
                <w:rFonts w:hint="eastAsia"/>
                <w:kern w:val="0"/>
                <w:sz w:val="18"/>
                <w:szCs w:val="18"/>
              </w:rPr>
              <w:t>0.15</w:t>
            </w:r>
          </w:p>
        </w:tc>
        <w:tc>
          <w:tcPr>
            <w:tcW w:w="329" w:type="pct"/>
            <w:shd w:val="clear" w:color="auto" w:fill="auto"/>
            <w:vAlign w:val="center"/>
          </w:tcPr>
          <w:p>
            <w:pPr>
              <w:widowControl/>
              <w:adjustRightInd w:val="0"/>
              <w:jc w:val="center"/>
              <w:rPr>
                <w:kern w:val="0"/>
                <w:sz w:val="18"/>
                <w:szCs w:val="18"/>
              </w:rPr>
            </w:pPr>
            <w:r>
              <w:rPr>
                <w:rFonts w:hint="eastAsia"/>
                <w:kern w:val="0"/>
                <w:sz w:val="18"/>
                <w:szCs w:val="18"/>
              </w:rPr>
              <w:t>0</w:t>
            </w:r>
          </w:p>
        </w:tc>
        <w:tc>
          <w:tcPr>
            <w:tcW w:w="340" w:type="pct"/>
            <w:shd w:val="clear" w:color="auto" w:fill="auto"/>
            <w:vAlign w:val="center"/>
          </w:tcPr>
          <w:p>
            <w:pPr>
              <w:widowControl/>
              <w:adjustRightInd w:val="0"/>
              <w:jc w:val="center"/>
              <w:rPr>
                <w:kern w:val="0"/>
                <w:sz w:val="18"/>
                <w:szCs w:val="18"/>
              </w:rPr>
            </w:pPr>
            <w:r>
              <w:rPr>
                <w:rFonts w:hint="eastAsia"/>
                <w:kern w:val="0"/>
                <w:sz w:val="18"/>
                <w:szCs w:val="18"/>
              </w:rPr>
              <w:t>0.32</w:t>
            </w:r>
          </w:p>
        </w:tc>
        <w:tc>
          <w:tcPr>
            <w:tcW w:w="442" w:type="pct"/>
            <w:shd w:val="clear" w:color="auto" w:fill="auto"/>
            <w:vAlign w:val="center"/>
          </w:tcPr>
          <w:p>
            <w:pPr>
              <w:widowControl/>
              <w:adjustRightInd w:val="0"/>
              <w:jc w:val="center"/>
              <w:rPr>
                <w:kern w:val="0"/>
                <w:sz w:val="18"/>
                <w:szCs w:val="18"/>
              </w:rPr>
            </w:pPr>
            <w:r>
              <w:rPr>
                <w:rFonts w:hint="eastAsia"/>
                <w:kern w:val="0"/>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2049" w:type="pct"/>
            <w:gridSpan w:val="6"/>
            <w:shd w:val="clear" w:color="auto" w:fill="auto"/>
            <w:vAlign w:val="center"/>
          </w:tcPr>
          <w:p>
            <w:pPr>
              <w:widowControl/>
              <w:adjustRightInd w:val="0"/>
              <w:jc w:val="center"/>
              <w:rPr>
                <w:kern w:val="0"/>
                <w:sz w:val="18"/>
                <w:szCs w:val="18"/>
              </w:rPr>
            </w:pPr>
            <w:r>
              <w:rPr>
                <w:kern w:val="0"/>
                <w:sz w:val="18"/>
                <w:szCs w:val="18"/>
              </w:rPr>
              <w:t>各环节对课程目标达成的贡献率（</w:t>
            </w:r>
            <w:r>
              <w:rPr>
                <w:i/>
                <w:kern w:val="0"/>
                <w:sz w:val="18"/>
                <w:szCs w:val="18"/>
              </w:rPr>
              <w:t>M</w:t>
            </w:r>
            <w:r>
              <w:rPr>
                <w:i/>
                <w:kern w:val="0"/>
                <w:sz w:val="18"/>
                <w:szCs w:val="18"/>
                <w:vertAlign w:val="subscript"/>
              </w:rPr>
              <w:t>k</w:t>
            </w:r>
            <w:r>
              <w:rPr>
                <w:kern w:val="0"/>
                <w:sz w:val="18"/>
                <w:szCs w:val="18"/>
              </w:rPr>
              <w:t>）</w:t>
            </w:r>
          </w:p>
        </w:tc>
        <w:tc>
          <w:tcPr>
            <w:tcW w:w="348" w:type="pct"/>
            <w:shd w:val="clear" w:color="auto" w:fill="auto"/>
            <w:vAlign w:val="center"/>
          </w:tcPr>
          <w:p>
            <w:pPr>
              <w:widowControl/>
              <w:adjustRightInd w:val="0"/>
              <w:jc w:val="center"/>
              <w:rPr>
                <w:kern w:val="0"/>
                <w:sz w:val="18"/>
                <w:szCs w:val="18"/>
              </w:rPr>
            </w:pPr>
            <w:r>
              <w:rPr>
                <w:kern w:val="0"/>
                <w:sz w:val="18"/>
                <w:szCs w:val="18"/>
              </w:rPr>
              <w:t>0.10</w:t>
            </w:r>
          </w:p>
        </w:tc>
        <w:tc>
          <w:tcPr>
            <w:tcW w:w="348"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13</w:t>
            </w:r>
          </w:p>
        </w:tc>
        <w:tc>
          <w:tcPr>
            <w:tcW w:w="344" w:type="pct"/>
            <w:shd w:val="clear" w:color="auto" w:fill="auto"/>
            <w:vAlign w:val="center"/>
          </w:tcPr>
          <w:p>
            <w:pPr>
              <w:widowControl/>
              <w:adjustRightInd w:val="0"/>
              <w:jc w:val="center"/>
              <w:rPr>
                <w:kern w:val="0"/>
                <w:sz w:val="18"/>
                <w:szCs w:val="18"/>
              </w:rPr>
            </w:pPr>
            <w:r>
              <w:rPr>
                <w:kern w:val="0"/>
                <w:sz w:val="18"/>
                <w:szCs w:val="18"/>
              </w:rPr>
              <w:t>0.2</w:t>
            </w:r>
            <w:r>
              <w:rPr>
                <w:rFonts w:hint="eastAsia"/>
                <w:kern w:val="0"/>
                <w:sz w:val="18"/>
                <w:szCs w:val="18"/>
              </w:rPr>
              <w:t>5</w:t>
            </w:r>
          </w:p>
        </w:tc>
        <w:tc>
          <w:tcPr>
            <w:tcW w:w="390" w:type="pct"/>
            <w:shd w:val="clear" w:color="auto" w:fill="auto"/>
            <w:vAlign w:val="center"/>
          </w:tcPr>
          <w:p>
            <w:pPr>
              <w:widowControl/>
              <w:adjustRightInd w:val="0"/>
              <w:jc w:val="center"/>
              <w:rPr>
                <w:kern w:val="0"/>
                <w:sz w:val="18"/>
                <w:szCs w:val="18"/>
              </w:rPr>
            </w:pPr>
            <w:r>
              <w:rPr>
                <w:kern w:val="0"/>
                <w:sz w:val="18"/>
                <w:szCs w:val="18"/>
              </w:rPr>
              <w:t>0.</w:t>
            </w:r>
            <w:r>
              <w:rPr>
                <w:rFonts w:hint="eastAsia"/>
                <w:kern w:val="0"/>
                <w:sz w:val="18"/>
                <w:szCs w:val="18"/>
              </w:rPr>
              <w:t>52</w:t>
            </w:r>
          </w:p>
        </w:tc>
        <w:tc>
          <w:tcPr>
            <w:tcW w:w="1520" w:type="pct"/>
            <w:gridSpan w:val="4"/>
            <w:shd w:val="clear" w:color="auto" w:fill="auto"/>
            <w:vAlign w:val="center"/>
          </w:tcPr>
          <w:p>
            <w:pPr>
              <w:jc w:val="center"/>
              <w:rPr>
                <w:kern w:val="0"/>
                <w:sz w:val="18"/>
                <w:szCs w:val="18"/>
              </w:rPr>
            </w:pPr>
            <w:r>
              <w:rPr>
                <w:sz w:val="18"/>
                <w:szCs w:val="18"/>
              </w:rPr>
              <w:t>教师出题或布置作业时要尽量做到按照以上比例布局</w:t>
            </w:r>
          </w:p>
        </w:tc>
      </w:tr>
    </w:tbl>
    <w:p>
      <w:pPr>
        <w:spacing w:line="360" w:lineRule="auto"/>
        <w:ind w:firstLine="420" w:firstLineChars="200"/>
        <w:rPr>
          <w:szCs w:val="21"/>
        </w:rPr>
        <w:sectPr>
          <w:pgSz w:w="16838" w:h="11906" w:orient="landscape"/>
          <w:pgMar w:top="1440" w:right="1797" w:bottom="1440" w:left="1797" w:header="851" w:footer="992" w:gutter="0"/>
          <w:cols w:space="0" w:num="1"/>
          <w:docGrid w:type="lines" w:linePitch="319"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34"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34" DrawAspect="Content" ObjectID="_1468075934" r:id="rId407">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35"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35" DrawAspect="Content" ObjectID="_1468075935" r:id="rId408">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36"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36" DrawAspect="Content" ObjectID="_1468075936" r:id="rId409">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37"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37" DrawAspect="Content" ObjectID="_1468075937" r:id="rId410">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38"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38" DrawAspect="Content" ObjectID="_1468075938" r:id="rId411">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39"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39" DrawAspect="Content" ObjectID="_1468075939" r:id="rId412">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pStyle w:val="20"/>
        <w:spacing w:before="240" w:after="360"/>
      </w:pPr>
      <w:bookmarkStart w:id="260" w:name="_Toc46996589"/>
      <w:bookmarkStart w:id="261" w:name="_Toc28341"/>
      <w:r>
        <w:rPr>
          <w:rFonts w:hint="eastAsia"/>
        </w:rPr>
        <w:t>《</w:t>
      </w:r>
      <w:r>
        <w:t>Z06060213-电磁兼容设计</w:t>
      </w:r>
      <w:r>
        <w:rPr>
          <w:rFonts w:hint="eastAsia"/>
        </w:rPr>
        <w:t>》教学大纲</w:t>
      </w:r>
      <w:bookmarkEnd w:id="260"/>
      <w:bookmarkEnd w:id="261"/>
    </w:p>
    <w:p>
      <w:pPr>
        <w:adjustRightInd w:val="0"/>
        <w:snapToGrid w:val="0"/>
        <w:spacing w:line="360" w:lineRule="auto"/>
        <w:rPr>
          <w:bCs/>
          <w:kern w:val="0"/>
        </w:rPr>
      </w:pPr>
      <w:r>
        <w:rPr>
          <w:rFonts w:hint="eastAsia" w:eastAsia="黑体"/>
          <w:szCs w:val="21"/>
        </w:rPr>
        <w:t>课程编号：</w:t>
      </w:r>
      <w:r>
        <w:rPr>
          <w:rFonts w:hint="eastAsia"/>
          <w:bCs/>
          <w:kern w:val="0"/>
        </w:rPr>
        <w:t>Z</w:t>
      </w:r>
      <w:r>
        <w:rPr>
          <w:bCs/>
          <w:kern w:val="0"/>
        </w:rPr>
        <w:t>06060213</w:t>
      </w:r>
    </w:p>
    <w:p>
      <w:pPr>
        <w:adjustRightInd w:val="0"/>
        <w:snapToGrid w:val="0"/>
        <w:spacing w:line="360" w:lineRule="auto"/>
        <w:rPr>
          <w:snapToGrid w:val="0"/>
          <w:kern w:val="0"/>
          <w:szCs w:val="21"/>
        </w:rPr>
      </w:pPr>
      <w:r>
        <w:rPr>
          <w:rFonts w:hint="eastAsia" w:eastAsia="黑体"/>
          <w:szCs w:val="21"/>
        </w:rPr>
        <w:t>课程名称：</w:t>
      </w:r>
      <w:r>
        <w:rPr>
          <w:rFonts w:hint="eastAsia"/>
          <w:szCs w:val="21"/>
        </w:rPr>
        <w:t>电磁兼容设计</w:t>
      </w:r>
      <w:r>
        <w:rPr>
          <w:szCs w:val="21"/>
        </w:rPr>
        <w:tab/>
      </w:r>
      <w:r>
        <w:rPr>
          <w:szCs w:val="21"/>
        </w:rPr>
        <w:tab/>
      </w:r>
      <w:r>
        <w:rPr>
          <w:szCs w:val="21"/>
        </w:rPr>
        <w:tab/>
      </w:r>
      <w:r>
        <w:rPr>
          <w:szCs w:val="21"/>
        </w:rPr>
        <w:tab/>
      </w:r>
      <w:r>
        <w:rPr>
          <w:szCs w:val="21"/>
        </w:rPr>
        <w:tab/>
      </w:r>
      <w:r>
        <w:rPr>
          <w:rFonts w:hint="eastAsia" w:eastAsia="黑体"/>
          <w:szCs w:val="21"/>
        </w:rPr>
        <w:t>开课单位：</w:t>
      </w:r>
      <w:r>
        <w:rPr>
          <w:rFonts w:hint="eastAsia"/>
          <w:szCs w:val="21"/>
        </w:rPr>
        <w:t>仪器与电子学院</w:t>
      </w:r>
      <w:r>
        <w:rPr>
          <w:rFonts w:eastAsia="黑体"/>
          <w:szCs w:val="21"/>
        </w:rPr>
        <w:tab/>
      </w:r>
    </w:p>
    <w:p>
      <w:pPr>
        <w:adjustRightInd w:val="0"/>
        <w:snapToGrid w:val="0"/>
        <w:spacing w:line="360" w:lineRule="auto"/>
        <w:rPr>
          <w:rFonts w:eastAsia="黑体"/>
          <w:szCs w:val="21"/>
        </w:rPr>
      </w:pPr>
      <w:r>
        <w:rPr>
          <w:rFonts w:hint="eastAsia" w:eastAsia="黑体"/>
          <w:szCs w:val="21"/>
        </w:rPr>
        <w:t>总 学 时：</w:t>
      </w:r>
      <w:r>
        <w:rPr>
          <w:szCs w:val="21"/>
        </w:rPr>
        <w:t xml:space="preserve">32              </w:t>
      </w:r>
      <w:r>
        <w:rPr>
          <w:rFonts w:eastAsia="黑体"/>
          <w:szCs w:val="21"/>
        </w:rPr>
        <w:tab/>
      </w:r>
      <w:r>
        <w:rPr>
          <w:rFonts w:eastAsia="黑体"/>
          <w:szCs w:val="21"/>
        </w:rPr>
        <w:tab/>
      </w:r>
      <w:r>
        <w:rPr>
          <w:rFonts w:eastAsia="黑体"/>
          <w:szCs w:val="21"/>
        </w:rPr>
        <w:tab/>
      </w:r>
      <w:r>
        <w:rPr>
          <w:rFonts w:eastAsia="黑体"/>
          <w:szCs w:val="21"/>
        </w:rPr>
        <w:tab/>
      </w:r>
      <w:r>
        <w:rPr>
          <w:rFonts w:hint="eastAsia" w:eastAsia="黑体"/>
          <w:szCs w:val="21"/>
        </w:rPr>
        <w:t>学    分：</w:t>
      </w:r>
      <w:r>
        <w:rPr>
          <w:rFonts w:eastAsia="黑体"/>
          <w:szCs w:val="21"/>
        </w:rPr>
        <w:t>2</w:t>
      </w:r>
    </w:p>
    <w:p>
      <w:pPr>
        <w:adjustRightInd w:val="0"/>
        <w:snapToGrid w:val="0"/>
        <w:spacing w:line="360" w:lineRule="auto"/>
        <w:rPr>
          <w:rFonts w:eastAsia="黑体"/>
          <w:szCs w:val="21"/>
        </w:rPr>
      </w:pPr>
      <w:r>
        <w:rPr>
          <w:rFonts w:hint="eastAsia" w:eastAsia="黑体"/>
          <w:szCs w:val="21"/>
        </w:rPr>
        <w:t>适用专业：</w:t>
      </w:r>
      <w:r>
        <w:rPr>
          <w:rFonts w:hint="eastAsia"/>
          <w:szCs w:val="21"/>
        </w:rPr>
        <w:t>电子科学与技术专业</w:t>
      </w:r>
    </w:p>
    <w:p>
      <w:pPr>
        <w:adjustRightInd w:val="0"/>
        <w:snapToGrid w:val="0"/>
        <w:spacing w:line="360" w:lineRule="auto"/>
        <w:rPr>
          <w:szCs w:val="21"/>
        </w:rPr>
      </w:pPr>
      <w:r>
        <w:rPr>
          <w:rFonts w:hint="eastAsia" w:eastAsia="黑体"/>
          <w:szCs w:val="21"/>
        </w:rPr>
        <w:t>先修课程：</w:t>
      </w:r>
      <w:r>
        <w:t>电路分析基础</w:t>
      </w:r>
      <w:r>
        <w:rPr>
          <w:rFonts w:hint="eastAsia"/>
        </w:rPr>
        <w:t>、</w:t>
      </w:r>
      <w:r>
        <w:t>模拟电子技术</w:t>
      </w:r>
      <w:r>
        <w:rPr>
          <w:rFonts w:hint="eastAsia"/>
        </w:rPr>
        <w:t>、</w:t>
      </w:r>
      <w:r>
        <w:t>数字电子技术</w:t>
      </w:r>
    </w:p>
    <w:p>
      <w:pPr>
        <w:adjustRightInd w:val="0"/>
        <w:snapToGrid w:val="0"/>
        <w:spacing w:line="360" w:lineRule="auto"/>
        <w:rPr>
          <w:szCs w:val="21"/>
        </w:rPr>
      </w:pPr>
      <w:r>
        <w:rPr>
          <w:rFonts w:hint="eastAsia" w:eastAsia="黑体"/>
          <w:szCs w:val="21"/>
        </w:rPr>
        <w:t>大纲撰写人：</w:t>
      </w:r>
      <w:r>
        <w:rPr>
          <w:rFonts w:hint="eastAsia"/>
          <w:szCs w:val="21"/>
        </w:rPr>
        <w:t>段俊萍</w:t>
      </w:r>
    </w:p>
    <w:p>
      <w:pPr>
        <w:adjustRightInd w:val="0"/>
        <w:snapToGrid w:val="0"/>
        <w:spacing w:line="360" w:lineRule="auto"/>
        <w:rPr>
          <w:szCs w:val="21"/>
        </w:rPr>
      </w:pPr>
      <w:r>
        <w:rPr>
          <w:rFonts w:hint="eastAsia" w:eastAsia="黑体"/>
          <w:szCs w:val="21"/>
        </w:rPr>
        <w:t>大纲编写（修订）时间：</w:t>
      </w:r>
      <w:r>
        <w:rPr>
          <w:szCs w:val="21"/>
        </w:rPr>
        <w:t>2019年5月</w:t>
      </w:r>
    </w:p>
    <w:p>
      <w:pPr>
        <w:rPr>
          <w:b/>
          <w:szCs w:val="21"/>
        </w:rPr>
      </w:pPr>
    </w:p>
    <w:p>
      <w:pPr>
        <w:tabs>
          <w:tab w:val="left" w:pos="562"/>
        </w:tabs>
        <w:adjustRightInd w:val="0"/>
        <w:snapToGrid w:val="0"/>
        <w:spacing w:line="360" w:lineRule="auto"/>
        <w:rPr>
          <w:rFonts w:eastAsia="黑体"/>
          <w:szCs w:val="21"/>
        </w:rPr>
      </w:pPr>
      <w:r>
        <w:rPr>
          <w:rFonts w:hint="eastAsia" w:eastAsia="黑体"/>
          <w:szCs w:val="21"/>
        </w:rPr>
        <w:t>一、课程在教学计划中的地位、作用</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本课程属于电子科学与技术专业</w:t>
      </w:r>
      <w:r>
        <w:rPr>
          <w:rFonts w:hint="eastAsia"/>
          <w:color w:val="000000" w:themeColor="text1"/>
          <w14:textFill>
            <w14:solidFill>
              <w14:schemeClr w14:val="tx1"/>
            </w14:solidFill>
          </w14:textFill>
        </w:rPr>
        <w:t>工具类</w:t>
      </w:r>
      <w:r>
        <w:rPr>
          <w:color w:val="000000" w:themeColor="text1"/>
          <w14:textFill>
            <w14:solidFill>
              <w14:schemeClr w14:val="tx1"/>
            </w14:solidFill>
          </w14:textFill>
        </w:rPr>
        <w:t>方向的选修课。电子电气产品的电磁兼容设计是从事高速电路设计、电子系统设计、大电流高电压工程等相关电类专业的学生必须掌握的一项基本技能。高频信号和高电压大电流是电子设备中的主要干扰源，因此设计电力电子产品必须掌握扎实的电磁兼容设计理论和实践。本门课程主要介绍电磁兼容的基本原理和技术，同时着重于介绍高速电路和电力电子电路的电磁干扰抑制技术。</w:t>
      </w:r>
    </w:p>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3406"/>
        <w:gridCol w:w="42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4" w:type="pct"/>
            <w:vAlign w:val="center"/>
          </w:tcPr>
          <w:p>
            <w:pPr>
              <w:spacing w:line="360" w:lineRule="auto"/>
              <w:jc w:val="center"/>
              <w:rPr>
                <w:sz w:val="18"/>
                <w:szCs w:val="18"/>
              </w:rPr>
            </w:pPr>
            <w:r>
              <w:rPr>
                <w:sz w:val="18"/>
                <w:szCs w:val="18"/>
              </w:rPr>
              <w:t>序号</w:t>
            </w:r>
          </w:p>
        </w:tc>
        <w:tc>
          <w:tcPr>
            <w:tcW w:w="2049" w:type="pct"/>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课程目标</w:t>
            </w:r>
          </w:p>
        </w:tc>
        <w:tc>
          <w:tcPr>
            <w:tcW w:w="2526" w:type="pct"/>
            <w:vAlign w:val="center"/>
          </w:tcPr>
          <w:p>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支撑毕业要求指标点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spacing w:line="360" w:lineRule="auto"/>
              <w:jc w:val="center"/>
              <w:rPr>
                <w:sz w:val="18"/>
                <w:szCs w:val="18"/>
              </w:rPr>
            </w:pPr>
            <w:r>
              <w:rPr>
                <w:rFonts w:hint="eastAsia"/>
                <w:sz w:val="18"/>
                <w:szCs w:val="18"/>
              </w:rPr>
              <w:t>1</w:t>
            </w:r>
          </w:p>
        </w:tc>
        <w:tc>
          <w:tcPr>
            <w:tcW w:w="2049" w:type="pct"/>
            <w:vAlign w:val="center"/>
          </w:tcPr>
          <w:p>
            <w:pPr>
              <w:tabs>
                <w:tab w:val="left" w:pos="420"/>
              </w:tabs>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具备一定的专业技术研究能力</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能够对</w:t>
            </w:r>
            <w:r>
              <w:rPr>
                <w:color w:val="000000" w:themeColor="text1"/>
                <w:sz w:val="18"/>
                <w:szCs w:val="18"/>
                <w14:textFill>
                  <w14:solidFill>
                    <w14:schemeClr w14:val="tx1"/>
                  </w14:solidFill>
                </w14:textFill>
              </w:rPr>
              <w:t>某一具体电路或者电子系统选择合适的电磁兼容设计模型</w:t>
            </w:r>
            <w:r>
              <w:rPr>
                <w:rFonts w:hint="eastAsia"/>
                <w:color w:val="000000" w:themeColor="text1"/>
                <w:sz w:val="18"/>
                <w:szCs w:val="18"/>
                <w14:textFill>
                  <w14:solidFill>
                    <w14:schemeClr w14:val="tx1"/>
                  </w14:solidFill>
                </w14:textFill>
              </w:rPr>
              <w:t>。</w:t>
            </w:r>
          </w:p>
        </w:tc>
        <w:tc>
          <w:tcPr>
            <w:tcW w:w="2526" w:type="pct"/>
          </w:tcPr>
          <w:p>
            <w:pPr>
              <w:tabs>
                <w:tab w:val="left" w:pos="420"/>
              </w:tabs>
              <w:spacing w:line="360" w:lineRule="auto"/>
              <w:rPr>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指标点4-2实验设计能力：</w:t>
            </w:r>
            <w:r>
              <w:rPr>
                <w:rFonts w:hint="eastAsia"/>
                <w:color w:val="000000" w:themeColor="text1"/>
                <w:sz w:val="18"/>
                <w:szCs w:val="18"/>
                <w14:textFill>
                  <w14:solidFill>
                    <w14:schemeClr w14:val="tx1"/>
                  </w14:solidFill>
                </w14:textFill>
              </w:rPr>
              <w:t>能够基于专业理论，根据所面对的复杂问题特征，选择研究路线，设计可行的实验方案，并选用或搭建实验装置，开展研究。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spacing w:line="360" w:lineRule="auto"/>
              <w:jc w:val="center"/>
              <w:rPr>
                <w:sz w:val="18"/>
                <w:szCs w:val="18"/>
              </w:rPr>
            </w:pPr>
            <w:r>
              <w:rPr>
                <w:rFonts w:hint="eastAsia"/>
                <w:sz w:val="18"/>
                <w:szCs w:val="18"/>
              </w:rPr>
              <w:t>2</w:t>
            </w:r>
          </w:p>
        </w:tc>
        <w:tc>
          <w:tcPr>
            <w:tcW w:w="2049" w:type="pct"/>
            <w:vAlign w:val="center"/>
          </w:tcPr>
          <w:p>
            <w:pPr>
              <w:tabs>
                <w:tab w:val="left" w:pos="420"/>
              </w:tabs>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具备电磁污染防护意识，能够针对复杂系统对人类、生态环境发展的影响，在实践过程中采用电磁屏蔽等有效方法</w:t>
            </w:r>
            <w:r>
              <w:rPr>
                <w:color w:val="000000" w:themeColor="text1"/>
                <w:sz w:val="18"/>
                <w:szCs w:val="18"/>
                <w14:textFill>
                  <w14:solidFill>
                    <w14:schemeClr w14:val="tx1"/>
                  </w14:solidFill>
                </w14:textFill>
              </w:rPr>
              <w:t>消除或减小电磁干扰的影响</w:t>
            </w:r>
            <w:r>
              <w:rPr>
                <w:rFonts w:hint="eastAsia"/>
                <w:color w:val="000000" w:themeColor="text1"/>
                <w:sz w:val="18"/>
                <w:szCs w:val="18"/>
                <w14:textFill>
                  <w14:solidFill>
                    <w14:schemeClr w14:val="tx1"/>
                  </w14:solidFill>
                </w14:textFill>
              </w:rPr>
              <w:t>。</w:t>
            </w:r>
          </w:p>
        </w:tc>
        <w:tc>
          <w:tcPr>
            <w:tcW w:w="2526" w:type="pct"/>
            <w:vAlign w:val="center"/>
          </w:tcPr>
          <w:p>
            <w:pPr>
              <w:tabs>
                <w:tab w:val="left" w:pos="420"/>
              </w:tabs>
              <w:spacing w:line="360" w:lineRule="auto"/>
              <w:rPr>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 xml:space="preserve">指标点7-1 环境影响评价： </w:t>
            </w:r>
            <w:r>
              <w:rPr>
                <w:rFonts w:hint="eastAsia"/>
                <w:color w:val="000000" w:themeColor="text1"/>
                <w:sz w:val="18"/>
                <w:szCs w:val="18"/>
                <w14:textFill>
                  <w14:solidFill>
                    <w14:schemeClr w14:val="tx1"/>
                  </w14:solidFill>
                </w14:textFill>
              </w:rPr>
              <w:t>充分了解本专业工程实践所使用的原材料、工艺、生产过程对各类资源的消耗情况，能合理评价生产试验和产品运行过程中可能产生的功耗、噪声、辐射、废料对环境的影响。</w:t>
            </w:r>
          </w:p>
        </w:tc>
      </w:tr>
    </w:tbl>
    <w:p>
      <w:pPr>
        <w:tabs>
          <w:tab w:val="left" w:pos="420"/>
        </w:tabs>
        <w:adjustRightInd w:val="0"/>
        <w:snapToGrid w:val="0"/>
        <w:spacing w:line="360" w:lineRule="auto"/>
        <w:ind w:left="420" w:hanging="420"/>
        <w:rPr>
          <w:rFonts w:eastAsia="黑体"/>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三、基本要求</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本课程为电子科学与技术专业的专业选修课，要求先修电路分析基础、模拟电子技术、数字电子技术等课程，在教学中应注重基础知识、基本概念和分析方法的传授，同时运用启发式教学，通过实际案例分析掌握电磁兼容设计的方法与手段，以培养其在电磁干扰分析和电磁兼容设计方面的能力。</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2、教师通过多媒体投影教学，结合经典的实际案例分析，提高学生的分析与设计能力。</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3、学生通过对接地、屏蔽、滤波等电磁兼容设计方法的相关实例的分析，掌握在电磁兼容设计中如何选择和使用这些方法，开发出符合电磁兼容设计要求的实际电子电路，掌握电子电路的电磁兼容设计技巧。</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深度和广度说明：简单介绍电磁兼容的基本理论及其在电子仪器和电子系统设计中的发展趋势，深入讲解应用于电子电路电磁兼容设计中的各项技术，以及在PCB板级和系统层面如何进行电磁兼容设计，熟练掌握各项电磁兼容技术在设计中的应用。接地技术、屏蔽技术和滤波技术在电磁兼容设计中占有非常重要的地位，因此教师要重点讲授。</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5、偏差说明：为了鼓励教师引入个人授课风格或者适应技术发展的紧迫性，本课程允许教师授课内容做适当调整，最大正偏差为5</w:t>
      </w:r>
      <w:r>
        <w:rPr>
          <w:rFonts w:hint="eastAsia"/>
          <w:color w:val="000000" w:themeColor="text1"/>
          <w14:textFill>
            <w14:solidFill>
              <w14:schemeClr w14:val="tx1"/>
            </w14:solidFill>
          </w14:textFill>
        </w:rPr>
        <w:t>%，不允许负偏差。正偏差通过压缩同等内容的学时数来完成。特殊情况，最大正偏差和置换偏差累计可达到</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0%，但在开课前要申请专业责任人批准。（正偏差指大纲知识点不变，新增知识点；负偏差是大纲知识点减少；置换偏差是指大纲中部分知识点被其它类似知识点替换）。</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四、教学内容和教学方法</w:t>
      </w:r>
    </w:p>
    <w:p>
      <w:pPr>
        <w:tabs>
          <w:tab w:val="left" w:pos="420"/>
        </w:tabs>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本课程重点讲授的内容包括：</w:t>
      </w:r>
      <w:r>
        <w:rPr>
          <w:color w:val="000000" w:themeColor="text1"/>
          <w:szCs w:val="24"/>
          <w14:textFill>
            <w14:solidFill>
              <w14:schemeClr w14:val="tx1"/>
            </w14:solidFill>
          </w14:textFill>
        </w:rPr>
        <w:t>电磁兼容的基本概念、干扰耦合机理</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电磁兼容法规、电磁兼容测量以及高速电路和电力电子电路的EMI抑制技术。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电磁兼容设计在电子系统设计中占有非常重要的地位，因此教师要重点讲授以使学生完全掌握。</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为了提高学生的学习兴趣，并取得良好的教学效果，教师在知识讲解的过程中要充分利用问题引导、案例分析等多种教学方法，以进一步提高教学质量。</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1 概述（3学时）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1.1</w:t>
      </w:r>
      <w:r>
        <w:rPr>
          <w:rFonts w:hint="eastAsia"/>
          <w:color w:val="000000" w:themeColor="text1"/>
          <w:szCs w:val="24"/>
          <w14:textFill>
            <w14:solidFill>
              <w14:schemeClr w14:val="tx1"/>
            </w14:solidFill>
          </w14:textFill>
        </w:rPr>
        <w:t>、电磁干扰</w:t>
      </w:r>
      <w:r>
        <w:rPr>
          <w:color w:val="000000" w:themeColor="text1"/>
          <w:szCs w:val="24"/>
          <w14:textFill>
            <w14:solidFill>
              <w14:schemeClr w14:val="tx1"/>
            </w14:solidFill>
          </w14:textFill>
        </w:rPr>
        <w:t>的危害</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1.2</w:t>
      </w:r>
      <w:r>
        <w:rPr>
          <w:rFonts w:hint="eastAsia"/>
          <w:color w:val="000000" w:themeColor="text1"/>
          <w:szCs w:val="24"/>
          <w14:textFill>
            <w14:solidFill>
              <w14:schemeClr w14:val="tx1"/>
            </w14:solidFill>
          </w14:textFill>
        </w:rPr>
        <w:t>、电磁兼容</w:t>
      </w:r>
      <w:r>
        <w:rPr>
          <w:color w:val="000000" w:themeColor="text1"/>
          <w:szCs w:val="24"/>
          <w14:textFill>
            <w14:solidFill>
              <w14:schemeClr w14:val="tx1"/>
            </w14:solidFill>
          </w14:textFill>
        </w:rPr>
        <w:t>的含义</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电磁干扰的三要素</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1.4</w:t>
      </w:r>
      <w:r>
        <w:rPr>
          <w:rFonts w:hint="eastAsia"/>
          <w:color w:val="000000" w:themeColor="text1"/>
          <w:szCs w:val="24"/>
          <w14:textFill>
            <w14:solidFill>
              <w14:schemeClr w14:val="tx1"/>
            </w14:solidFill>
          </w14:textFill>
        </w:rPr>
        <w:t>、电磁兼容</w:t>
      </w:r>
      <w:r>
        <w:rPr>
          <w:color w:val="000000" w:themeColor="text1"/>
          <w:szCs w:val="24"/>
          <w14:textFill>
            <w14:solidFill>
              <w14:schemeClr w14:val="tx1"/>
            </w14:solidFill>
          </w14:textFill>
        </w:rPr>
        <w:t>研究领域及发展趋势</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难点：认识到电磁兼容设计的重要性。</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重点：认识</w:t>
      </w:r>
      <w:r>
        <w:rPr>
          <w:rFonts w:hint="eastAsia"/>
          <w:color w:val="000000" w:themeColor="text1"/>
          <w:szCs w:val="24"/>
          <w14:textFill>
            <w14:solidFill>
              <w14:schemeClr w14:val="tx1"/>
            </w14:solidFill>
          </w14:textFill>
        </w:rPr>
        <w:t>电磁兼容</w:t>
      </w:r>
      <w:r>
        <w:rPr>
          <w:color w:val="000000" w:themeColor="text1"/>
          <w:szCs w:val="24"/>
          <w14:textFill>
            <w14:solidFill>
              <w14:schemeClr w14:val="tx1"/>
            </w14:solidFill>
          </w14:textFill>
        </w:rPr>
        <w:t>的三要素：干扰源、传播途径、被干扰对象。</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hint="eastAsia"/>
          <w:color w:val="000000" w:themeColor="text1"/>
          <w:szCs w:val="24"/>
          <w14:textFill>
            <w14:solidFill>
              <w14:schemeClr w14:val="tx1"/>
            </w14:solidFill>
          </w14:textFill>
        </w:rPr>
        <w:t>2</w:t>
      </w:r>
      <w:r>
        <w:rPr>
          <w:rFonts w:eastAsia="黑体"/>
          <w:snapToGrid w:val="0"/>
          <w:color w:val="000000" w:themeColor="text1"/>
          <w:kern w:val="0"/>
          <w:szCs w:val="21"/>
          <w14:textFill>
            <w14:solidFill>
              <w14:schemeClr w14:val="tx1"/>
            </w14:solidFill>
          </w14:textFill>
        </w:rPr>
        <w:t>干扰耦合机理</w:t>
      </w:r>
      <w:r>
        <w:rPr>
          <w:rFonts w:hint="eastAsia" w:eastAsia="黑体"/>
          <w:snapToGrid w:val="0"/>
          <w:color w:val="000000" w:themeColor="text1"/>
          <w:kern w:val="0"/>
          <w:szCs w:val="21"/>
          <w14:textFill>
            <w14:solidFill>
              <w14:schemeClr w14:val="tx1"/>
            </w14:solidFill>
          </w14:textFill>
        </w:rPr>
        <w:t>（</w:t>
      </w:r>
      <w:r>
        <w:rPr>
          <w:rFonts w:eastAsia="黑体"/>
          <w:snapToGrid w:val="0"/>
          <w:color w:val="000000" w:themeColor="text1"/>
          <w:kern w:val="0"/>
          <w:szCs w:val="21"/>
          <w14:textFill>
            <w14:solidFill>
              <w14:schemeClr w14:val="tx1"/>
            </w14:solidFill>
          </w14:textFill>
        </w:rPr>
        <w:t>2</w:t>
      </w:r>
      <w:r>
        <w:rPr>
          <w:rFonts w:hint="eastAsia" w:eastAsia="黑体"/>
          <w:snapToGrid w:val="0"/>
          <w:color w:val="000000" w:themeColor="text1"/>
          <w:kern w:val="0"/>
          <w:szCs w:val="21"/>
          <w14:textFill>
            <w14:solidFill>
              <w14:schemeClr w14:val="tx1"/>
            </w14:solidFill>
          </w14:textFill>
        </w:rPr>
        <w:t>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传导耦合</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高频耦合</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辐射耦合</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3 接地技术（6学时）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电子设备接地的含义</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接地系统</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重点掌握接地相关实例的分析方法</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难点：如何在电路设计中采用接地技术消除或减小电磁干扰的影响。</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重点：接地技术的种类和方法，设计中如何使用。</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4 屏蔽技术（5学时）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4.1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电磁屏蔽原理</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4.2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电磁屏蔽的类型</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4.3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屏蔽技术相关实例的分析方法</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难点：如何采用正确的屏蔽技术</w:t>
      </w:r>
      <w:r>
        <w:rPr>
          <w:rFonts w:hint="eastAsia"/>
          <w:color w:val="000000" w:themeColor="text1"/>
          <w:szCs w:val="24"/>
          <w14:textFill>
            <w14:solidFill>
              <w14:schemeClr w14:val="tx1"/>
            </w14:solidFill>
          </w14:textFill>
        </w:rPr>
        <w:t>达到</w:t>
      </w:r>
      <w:r>
        <w:rPr>
          <w:color w:val="000000" w:themeColor="text1"/>
          <w:szCs w:val="24"/>
          <w14:textFill>
            <w14:solidFill>
              <w14:schemeClr w14:val="tx1"/>
            </w14:solidFill>
          </w14:textFill>
        </w:rPr>
        <w:t>较高的屏蔽效能。</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重点：屏蔽技术的种类和方法，设计中如何使用。</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5 滤波技术（6学时）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5.1、电磁干扰滤波器</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5.2、滤波的分类及特性</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5.3、滤波相关实例的分析方法</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难点：采用滤波技术消除或减小电磁干扰的影响。</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重点：滤波技术的种类和方法，设计中如何使用。</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6 PCB板级EMC设计（5学时）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6.1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板级EMC设计概述</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6.2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板级EMC设计技术</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6.3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板级EMC设计相关实例的分析方法</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难点：如何将接地、滤波等抗电磁干扰技术灵活应用在PCB板级设计中。</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重点：PCB板级设计时需要采用的抗电磁干扰技术。</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w:t>
      </w:r>
    </w:p>
    <w:p>
      <w:pPr>
        <w:tabs>
          <w:tab w:val="left" w:pos="420"/>
        </w:tabs>
        <w:adjustRightInd w:val="0"/>
        <w:snapToGrid w:val="0"/>
        <w:spacing w:line="360" w:lineRule="auto"/>
        <w:ind w:left="420" w:leftChars="200"/>
        <w:rPr>
          <w:rFonts w:eastAsia="黑体"/>
          <w:snapToGrid w:val="0"/>
          <w:color w:val="000000" w:themeColor="text1"/>
          <w:kern w:val="0"/>
          <w:szCs w:val="21"/>
          <w14:textFill>
            <w14:solidFill>
              <w14:schemeClr w14:val="tx1"/>
            </w14:solidFill>
          </w14:textFill>
        </w:rPr>
      </w:pPr>
      <w:r>
        <w:rPr>
          <w:rFonts w:eastAsia="黑体"/>
          <w:snapToGrid w:val="0"/>
          <w:color w:val="000000" w:themeColor="text1"/>
          <w:kern w:val="0"/>
          <w:szCs w:val="21"/>
          <w14:textFill>
            <w14:solidFill>
              <w14:schemeClr w14:val="tx1"/>
            </w14:solidFill>
          </w14:textFill>
        </w:rPr>
        <w:t>7 系统EMC设计及测试基础（5学时）</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系统EMC设计概述</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系统EMC设计相关技术</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7.3</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系统EMC设计相关实例的分析方法</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7.4</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EMC测试概述</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7.5</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EMC测试项目</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7.6</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EMC测试与认证</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难点：在系统设计层面如何考虑EMC及其在设计时如何落实。</w:t>
      </w:r>
    </w:p>
    <w:p>
      <w:pPr>
        <w:tabs>
          <w:tab w:val="left" w:pos="420"/>
        </w:tabs>
        <w:adjustRightInd w:val="0"/>
        <w:snapToGrid w:val="0"/>
        <w:spacing w:line="360" w:lineRule="auto"/>
        <w:ind w:left="420" w:left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重点：系统级EMC设计时应用的相关技术</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EMC测试项目及其测试方法。</w:t>
      </w:r>
    </w:p>
    <w:p>
      <w:pPr>
        <w:adjustRightInd w:val="0"/>
        <w:snapToGrid w:val="0"/>
        <w:spacing w:line="360" w:lineRule="auto"/>
        <w:ind w:firstLine="420" w:firstLineChars="200"/>
        <w:rPr>
          <w:rFonts w:cs="宋体"/>
          <w:bCs/>
          <w:snapToGrid w:val="0"/>
          <w:color w:val="000000" w:themeColor="text1"/>
          <w:kern w:val="0"/>
          <w:szCs w:val="21"/>
          <w14:textFill>
            <w14:solidFill>
              <w14:schemeClr w14:val="tx1"/>
            </w14:solidFill>
          </w14:textFill>
        </w:rPr>
      </w:pPr>
      <w:r>
        <w:rPr>
          <w:color w:val="000000" w:themeColor="text1"/>
          <w:szCs w:val="24"/>
          <w14:textFill>
            <w14:solidFill>
              <w14:schemeClr w14:val="tx1"/>
            </w14:solidFill>
          </w14:textFill>
        </w:rPr>
        <w:t>本章内容支撑课程目标1</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ab/>
      </w:r>
      <w:r>
        <w:rPr>
          <w:rFonts w:cs="宋体"/>
          <w:bCs/>
          <w:snapToGrid w:val="0"/>
          <w:color w:val="000000" w:themeColor="text1"/>
          <w:kern w:val="0"/>
          <w:szCs w:val="21"/>
          <w14:textFill>
            <w14:solidFill>
              <w14:schemeClr w14:val="tx1"/>
            </w14:solidFill>
          </w14:textFill>
        </w:rPr>
        <w:tab/>
      </w:r>
      <w:r>
        <w:rPr>
          <w:rFonts w:cs="宋体"/>
          <w:bCs/>
          <w:snapToGrid w:val="0"/>
          <w:color w:val="000000" w:themeColor="text1"/>
          <w:kern w:val="0"/>
          <w:szCs w:val="21"/>
          <w14:textFill>
            <w14:solidFill>
              <w14:schemeClr w14:val="tx1"/>
            </w14:solidFill>
          </w14:textFill>
        </w:rPr>
        <w:tab/>
      </w:r>
      <w:r>
        <w:rPr>
          <w:rFonts w:cs="宋体"/>
          <w:bCs/>
          <w:snapToGrid w:val="0"/>
          <w:color w:val="000000" w:themeColor="text1"/>
          <w:kern w:val="0"/>
          <w:szCs w:val="21"/>
          <w14:textFill>
            <w14:solidFill>
              <w14:schemeClr w14:val="tx1"/>
            </w14:solidFill>
          </w14:textFill>
        </w:rPr>
        <w:tab/>
      </w:r>
      <w:r>
        <w:rPr>
          <w:rFonts w:cs="宋体"/>
          <w:bCs/>
          <w:snapToGrid w:val="0"/>
          <w:color w:val="000000" w:themeColor="text1"/>
          <w:kern w:val="0"/>
          <w:szCs w:val="21"/>
          <w14:textFill>
            <w14:solidFill>
              <w14:schemeClr w14:val="tx1"/>
            </w14:solidFill>
          </w14:textFill>
        </w:rPr>
        <w:tab/>
      </w:r>
    </w:p>
    <w:p>
      <w:pPr>
        <w:tabs>
          <w:tab w:val="left" w:pos="420"/>
        </w:tabs>
        <w:adjustRightInd w:val="0"/>
        <w:snapToGrid w:val="0"/>
        <w:spacing w:line="360" w:lineRule="auto"/>
        <w:ind w:left="420" w:hanging="420"/>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五、实验内容</w:t>
      </w:r>
    </w:p>
    <w:p>
      <w:pPr>
        <w:spacing w:line="360" w:lineRule="auto"/>
        <w:ind w:firstLine="420" w:firstLineChars="200"/>
        <w:rPr>
          <w:szCs w:val="21"/>
        </w:rPr>
      </w:pPr>
      <w:r>
        <w:rPr>
          <w:rFonts w:hint="eastAsia"/>
          <w:szCs w:val="21"/>
        </w:rPr>
        <w:t>无</w:t>
      </w:r>
    </w:p>
    <w:p>
      <w:pPr>
        <w:widowControl/>
        <w:spacing w:line="360" w:lineRule="auto"/>
        <w:jc w:val="left"/>
        <w:rPr>
          <w:rFonts w:ascii="黑体" w:hAnsi="宋体" w:eastAsia="黑体" w:cs="宋体"/>
          <w:kern w:val="0"/>
          <w:szCs w:val="21"/>
        </w:rPr>
      </w:pPr>
    </w:p>
    <w:p>
      <w:pPr>
        <w:widowControl/>
        <w:spacing w:line="360" w:lineRule="auto"/>
        <w:jc w:val="left"/>
        <w:rPr>
          <w:rFonts w:ascii="黑体" w:hAnsi="宋体" w:eastAsia="黑体" w:cs="宋体"/>
          <w:kern w:val="0"/>
          <w:szCs w:val="21"/>
        </w:rPr>
      </w:pPr>
      <w:r>
        <w:rPr>
          <w:rFonts w:hint="eastAsia" w:ascii="黑体" w:hAnsi="宋体" w:eastAsia="黑体" w:cs="宋体"/>
          <w:kern w:val="0"/>
          <w:szCs w:val="21"/>
        </w:rPr>
        <w:t>六、学时分配</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9"/>
        <w:gridCol w:w="1987"/>
        <w:gridCol w:w="1729"/>
        <w:gridCol w:w="1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讲授的知识点及内容</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讲授（学时）</w:t>
            </w:r>
          </w:p>
        </w:tc>
        <w:tc>
          <w:tcPr>
            <w:tcW w:w="1040"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实验（学时）</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小计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1、概述</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2、干扰耦合机理</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2</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3、接地技术</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6</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4、屏蔽技术</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5、滤波技术</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6</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6、PCB板级EMC设计</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ind w:left="174" w:leftChars="83"/>
              <w:jc w:val="left"/>
              <w:rPr>
                <w:rFonts w:cs="宋体"/>
                <w:kern w:val="0"/>
                <w:sz w:val="18"/>
                <w:szCs w:val="18"/>
              </w:rPr>
            </w:pPr>
            <w:r>
              <w:rPr>
                <w:rFonts w:cs="宋体"/>
                <w:kern w:val="0"/>
                <w:sz w:val="18"/>
                <w:szCs w:val="18"/>
              </w:rPr>
              <w:t>7、系统EMC设计及测试基础</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960"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合计</w:t>
            </w:r>
          </w:p>
        </w:tc>
        <w:tc>
          <w:tcPr>
            <w:tcW w:w="1195"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32</w:t>
            </w:r>
          </w:p>
        </w:tc>
        <w:tc>
          <w:tcPr>
            <w:tcW w:w="1040" w:type="pct"/>
            <w:shd w:val="clear" w:color="auto" w:fill="auto"/>
            <w:vAlign w:val="center"/>
          </w:tcPr>
          <w:p>
            <w:pPr>
              <w:widowControl/>
              <w:adjustRightInd w:val="0"/>
              <w:snapToGrid w:val="0"/>
              <w:jc w:val="center"/>
              <w:rPr>
                <w:rFonts w:cs="宋体"/>
                <w:kern w:val="0"/>
                <w:sz w:val="18"/>
                <w:szCs w:val="18"/>
              </w:rPr>
            </w:pPr>
            <w:r>
              <w:rPr>
                <w:rFonts w:hint="eastAsia" w:cs="宋体"/>
                <w:kern w:val="0"/>
                <w:sz w:val="18"/>
                <w:szCs w:val="18"/>
              </w:rPr>
              <w:t>0</w:t>
            </w:r>
          </w:p>
        </w:tc>
        <w:tc>
          <w:tcPr>
            <w:tcW w:w="804" w:type="pct"/>
            <w:shd w:val="clear" w:color="auto" w:fill="auto"/>
            <w:vAlign w:val="center"/>
          </w:tcPr>
          <w:p>
            <w:pPr>
              <w:widowControl/>
              <w:adjustRightInd w:val="0"/>
              <w:snapToGrid w:val="0"/>
              <w:jc w:val="center"/>
              <w:rPr>
                <w:rFonts w:cs="宋体"/>
                <w:kern w:val="0"/>
                <w:sz w:val="18"/>
                <w:szCs w:val="18"/>
              </w:rPr>
            </w:pPr>
            <w:r>
              <w:rPr>
                <w:rFonts w:cs="宋体"/>
                <w:kern w:val="0"/>
                <w:sz w:val="18"/>
                <w:szCs w:val="18"/>
              </w:rPr>
              <w:t>32</w:t>
            </w:r>
          </w:p>
        </w:tc>
      </w:tr>
    </w:tbl>
    <w:p>
      <w:pPr>
        <w:spacing w:line="360" w:lineRule="auto"/>
        <w:rPr>
          <w:b/>
          <w:sz w:val="24"/>
          <w:szCs w:val="24"/>
        </w:rPr>
      </w:pPr>
    </w:p>
    <w:p>
      <w:pPr>
        <w:tabs>
          <w:tab w:val="left" w:pos="420"/>
        </w:tabs>
        <w:spacing w:line="360" w:lineRule="auto"/>
        <w:ind w:left="420" w:hanging="420"/>
        <w:rPr>
          <w:rFonts w:eastAsia="黑体"/>
          <w:szCs w:val="24"/>
        </w:rPr>
      </w:pPr>
      <w:r>
        <w:rPr>
          <w:rFonts w:hint="eastAsia" w:eastAsia="黑体"/>
          <w:szCs w:val="24"/>
        </w:rPr>
        <w:t>七、教材、补充教材及参考资料</w:t>
      </w:r>
    </w:p>
    <w:p>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1、杨克俊编著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《电磁兼容</w:t>
      </w:r>
      <w:r>
        <w:rPr>
          <w:rFonts w:hint="eastAsia"/>
          <w:color w:val="000000" w:themeColor="text1"/>
          <w:szCs w:val="21"/>
          <w14:textFill>
            <w14:solidFill>
              <w14:schemeClr w14:val="tx1"/>
            </w14:solidFill>
          </w14:textFill>
        </w:rPr>
        <w:t>原理</w:t>
      </w:r>
      <w:r>
        <w:rPr>
          <w:color w:val="000000" w:themeColor="text1"/>
          <w:szCs w:val="21"/>
          <w14:textFill>
            <w14:solidFill>
              <w14:schemeClr w14:val="tx1"/>
            </w14:solidFill>
          </w14:textFill>
        </w:rPr>
        <w:t>及设计技术》，ISBN 7-115-12387-X/TN，</w:t>
      </w:r>
      <w:r>
        <w:rPr>
          <w:rFonts w:hint="eastAsia"/>
          <w:color w:val="000000" w:themeColor="text1"/>
          <w:szCs w:val="21"/>
          <w14:textFill>
            <w14:solidFill>
              <w14:schemeClr w14:val="tx1"/>
            </w14:solidFill>
          </w14:textFill>
        </w:rPr>
        <w:t>人民邮电</w:t>
      </w:r>
      <w:r>
        <w:rPr>
          <w:color w:val="000000" w:themeColor="text1"/>
          <w:szCs w:val="21"/>
          <w14:textFill>
            <w14:solidFill>
              <w14:schemeClr w14:val="tx1"/>
            </w14:solidFill>
          </w14:textFill>
        </w:rPr>
        <w:t>出版社。</w:t>
      </w:r>
    </w:p>
    <w:p>
      <w:pPr>
        <w:adjustRightInd w:val="0"/>
        <w:snapToGrid w:val="0"/>
        <w:spacing w:line="360" w:lineRule="auto"/>
        <w:ind w:firstLine="42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尚开明编著，《电磁兼容（EMC）设计与测试》，ISBN 9787121193248，电子工业出版社。</w:t>
      </w:r>
    </w:p>
    <w:p>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3、梁振光编，《电磁兼容原理、技术及应用》，ISBN 9787111216070，机械工业出版社。</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4、（美）曼特罗斯（Montrose，M.I.）著，吕英华等译，《电磁兼容的印制电路板设计（原书第2版）》，ISBN 9787111228998，机械工业出版社。</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5、白同云等编著，《电磁兼容设计（第2版）》，ISBN 9787563526468，北京邮电大学出版社。</w:t>
      </w:r>
    </w:p>
    <w:p>
      <w:pPr>
        <w:adjustRightInd w:val="0"/>
        <w:snapToGrid w:val="0"/>
        <w:spacing w:line="360" w:lineRule="auto"/>
        <w:ind w:firstLine="420" w:firstLineChars="200"/>
        <w:rPr>
          <w:color w:val="000000" w:themeColor="text1"/>
          <w:szCs w:val="21"/>
          <w14:textFill>
            <w14:solidFill>
              <w14:schemeClr w14:val="tx1"/>
            </w14:solidFill>
          </w14:textFill>
        </w:rPr>
      </w:pPr>
    </w:p>
    <w:p>
      <w:pPr>
        <w:tabs>
          <w:tab w:val="left" w:pos="420"/>
        </w:tabs>
        <w:spacing w:line="360" w:lineRule="auto"/>
        <w:ind w:left="420" w:hanging="420"/>
        <w:rPr>
          <w:rFonts w:eastAsia="黑体"/>
          <w:szCs w:val="24"/>
        </w:rPr>
      </w:pPr>
      <w:r>
        <w:rPr>
          <w:rFonts w:hint="eastAsia" w:eastAsia="黑体"/>
          <w:szCs w:val="24"/>
        </w:rPr>
        <w:t>八、课程目标达成的途径和措施</w:t>
      </w:r>
    </w:p>
    <w:p>
      <w:pPr>
        <w:adjustRightInd w:val="0"/>
        <w:snapToGrid w:val="0"/>
        <w:spacing w:line="360" w:lineRule="auto"/>
        <w:ind w:firstLine="420" w:firstLineChars="200"/>
        <w:rPr>
          <w:szCs w:val="21"/>
        </w:rPr>
      </w:pPr>
      <w:r>
        <w:rPr>
          <w:szCs w:val="21"/>
        </w:rPr>
        <w:t>1</w:t>
      </w:r>
      <w:r>
        <w:rPr>
          <w:rFonts w:hint="eastAsia"/>
          <w:szCs w:val="21"/>
        </w:rPr>
        <w:t>、考核目标：</w:t>
      </w:r>
      <w:r>
        <w:rPr>
          <w:szCs w:val="21"/>
        </w:rPr>
        <w:t>在考核学生对</w:t>
      </w:r>
      <w:r>
        <w:rPr>
          <w:szCs w:val="24"/>
        </w:rPr>
        <w:t>电磁兼容的基本理论及其在电子电路和电子系统设计中的应用的</w:t>
      </w:r>
      <w:r>
        <w:rPr>
          <w:szCs w:val="21"/>
        </w:rPr>
        <w:t>基础上，重点考核学生对高速电路和电力电子电路中的电磁干扰抑制技术的掌握程度。</w:t>
      </w:r>
    </w:p>
    <w:p>
      <w:pPr>
        <w:spacing w:line="360" w:lineRule="auto"/>
        <w:ind w:firstLine="420" w:firstLineChars="200"/>
        <w:rPr>
          <w:szCs w:val="21"/>
        </w:rPr>
      </w:pPr>
      <w:r>
        <w:rPr>
          <w:szCs w:val="21"/>
        </w:rPr>
        <w:t>2</w:t>
      </w:r>
      <w:r>
        <w:rPr>
          <w:rFonts w:hint="eastAsia"/>
          <w:szCs w:val="21"/>
        </w:rPr>
        <w:t>、考核方式：考试、作业及课堂提问。</w:t>
      </w:r>
    </w:p>
    <w:p>
      <w:pPr>
        <w:spacing w:line="360" w:lineRule="auto"/>
        <w:ind w:firstLine="420" w:firstLineChars="200"/>
        <w:rPr>
          <w:color w:val="0000FF"/>
        </w:rPr>
      </w:pPr>
      <w:r>
        <w:rPr>
          <w:szCs w:val="21"/>
        </w:rPr>
        <w:t>3、</w:t>
      </w:r>
      <w:r>
        <w:rPr>
          <w:rFonts w:hint="eastAsia"/>
          <w:szCs w:val="21"/>
        </w:rPr>
        <w:t>评价环节对课程目标达成贡献率及支撑材料：</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078"/>
        <w:gridCol w:w="2078"/>
        <w:gridCol w:w="20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250" w:type="pct"/>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考察环节</w:t>
            </w:r>
          </w:p>
        </w:tc>
        <w:tc>
          <w:tcPr>
            <w:tcW w:w="1250"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课堂情况</w:t>
            </w:r>
          </w:p>
        </w:tc>
        <w:tc>
          <w:tcPr>
            <w:tcW w:w="1250"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作业</w:t>
            </w:r>
          </w:p>
        </w:tc>
        <w:tc>
          <w:tcPr>
            <w:tcW w:w="1250" w:type="pc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期末考试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250" w:type="pct"/>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课程目标达成</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的贡献率</w:t>
            </w:r>
          </w:p>
        </w:tc>
        <w:tc>
          <w:tcPr>
            <w:tcW w:w="1250" w:type="pct"/>
            <w:shd w:val="clear" w:color="auto" w:fill="auto"/>
            <w:noWrap/>
            <w:vAlign w:val="center"/>
          </w:tcPr>
          <w:p>
            <w:pPr>
              <w:jc w:val="center"/>
              <w:rPr>
                <w:sz w:val="18"/>
                <w:szCs w:val="18"/>
              </w:rPr>
            </w:pPr>
            <w:r>
              <w:rPr>
                <w:sz w:val="18"/>
                <w:szCs w:val="18"/>
              </w:rPr>
              <w:t>0.10</w:t>
            </w:r>
          </w:p>
        </w:tc>
        <w:tc>
          <w:tcPr>
            <w:tcW w:w="1250" w:type="pct"/>
            <w:shd w:val="clear" w:color="auto" w:fill="auto"/>
            <w:noWrap/>
            <w:vAlign w:val="center"/>
          </w:tcPr>
          <w:p>
            <w:pPr>
              <w:jc w:val="center"/>
              <w:rPr>
                <w:sz w:val="18"/>
                <w:szCs w:val="18"/>
              </w:rPr>
            </w:pPr>
            <w:r>
              <w:rPr>
                <w:sz w:val="18"/>
                <w:szCs w:val="18"/>
              </w:rPr>
              <w:t>0.27</w:t>
            </w:r>
          </w:p>
        </w:tc>
        <w:tc>
          <w:tcPr>
            <w:tcW w:w="1250" w:type="pct"/>
            <w:shd w:val="clear" w:color="auto" w:fill="auto"/>
            <w:noWrap/>
            <w:vAlign w:val="center"/>
          </w:tcPr>
          <w:p>
            <w:pPr>
              <w:jc w:val="center"/>
              <w:rPr>
                <w:sz w:val="18"/>
                <w:szCs w:val="18"/>
              </w:rPr>
            </w:pPr>
            <w:r>
              <w:rPr>
                <w:sz w:val="18"/>
                <w:szCs w:val="18"/>
              </w:rPr>
              <w:t>0.63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250" w:type="pct"/>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支撑材料</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课堂评价标准，</w:t>
            </w:r>
            <w:r>
              <w:rPr>
                <w:rFonts w:hint="eastAsia" w:ascii="宋体" w:hAnsi="宋体" w:cs="宋体"/>
                <w:color w:val="000000"/>
                <w:kern w:val="0"/>
                <w:sz w:val="18"/>
                <w:szCs w:val="18"/>
              </w:rPr>
              <w:t>课堂提问记录</w:t>
            </w:r>
            <w:r>
              <w:rPr>
                <w:rFonts w:ascii="宋体" w:hAnsi="宋体" w:cs="宋体"/>
                <w:color w:val="000000"/>
                <w:kern w:val="0"/>
                <w:sz w:val="18"/>
                <w:szCs w:val="18"/>
              </w:rPr>
              <w:t>或随堂考试，结合出勤率等</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作业评价标准，</w:t>
            </w:r>
            <w:r>
              <w:rPr>
                <w:rFonts w:hint="eastAsia" w:ascii="宋体" w:hAnsi="宋体" w:cs="宋体"/>
                <w:color w:val="000000"/>
                <w:kern w:val="0"/>
                <w:sz w:val="18"/>
                <w:szCs w:val="18"/>
              </w:rPr>
              <w:t>典型作业</w:t>
            </w:r>
            <w:r>
              <w:rPr>
                <w:rFonts w:ascii="宋体" w:hAnsi="宋体" w:cs="宋体"/>
                <w:color w:val="000000"/>
                <w:kern w:val="0"/>
                <w:sz w:val="18"/>
                <w:szCs w:val="18"/>
              </w:rPr>
              <w:t>拍照，或电子版</w:t>
            </w:r>
          </w:p>
        </w:tc>
        <w:tc>
          <w:tcPr>
            <w:tcW w:w="1250" w:type="pct"/>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试题评分标准，</w:t>
            </w:r>
            <w:r>
              <w:rPr>
                <w:rFonts w:ascii="宋体" w:hAnsi="宋体" w:cs="宋体"/>
                <w:color w:val="000000"/>
                <w:kern w:val="0"/>
                <w:sz w:val="18"/>
                <w:szCs w:val="18"/>
              </w:rPr>
              <w:t>试卷，</w:t>
            </w:r>
          </w:p>
        </w:tc>
      </w:tr>
    </w:tbl>
    <w:p>
      <w:pPr>
        <w:tabs>
          <w:tab w:val="left" w:pos="420"/>
        </w:tabs>
        <w:adjustRightInd w:val="0"/>
        <w:snapToGrid w:val="0"/>
        <w:spacing w:line="360" w:lineRule="auto"/>
        <w:ind w:left="420" w:hanging="420"/>
        <w:rPr>
          <w:rFonts w:eastAsia="黑体"/>
          <w:color w:val="FF0000"/>
          <w:szCs w:val="24"/>
        </w:rPr>
      </w:pPr>
    </w:p>
    <w:p>
      <w:pPr>
        <w:tabs>
          <w:tab w:val="left" w:pos="420"/>
        </w:tabs>
        <w:adjustRightInd w:val="0"/>
        <w:snapToGrid w:val="0"/>
        <w:spacing w:line="360" w:lineRule="auto"/>
        <w:ind w:left="420" w:hanging="420"/>
        <w:rPr>
          <w:rFonts w:asciiTheme="minorEastAsia" w:hAnsiTheme="minorEastAsia" w:eastAsiaTheme="minorEastAsia"/>
          <w:color w:val="000000" w:themeColor="text1"/>
          <w:sz w:val="18"/>
          <w:szCs w:val="18"/>
          <w14:textFill>
            <w14:solidFill>
              <w14:schemeClr w14:val="tx1"/>
            </w14:solidFill>
          </w14:textFill>
        </w:rPr>
      </w:pPr>
      <w:r>
        <w:rPr>
          <w:rFonts w:eastAsia="黑体"/>
          <w:color w:val="000000" w:themeColor="text1"/>
          <w:szCs w:val="24"/>
          <w14:textFill>
            <w14:solidFill>
              <w14:schemeClr w14:val="tx1"/>
            </w14:solidFill>
          </w14:textFill>
        </w:rPr>
        <w:t>九</w:t>
      </w:r>
      <w:r>
        <w:rPr>
          <w:rFonts w:hint="eastAsia" w:eastAsia="黑体"/>
          <w:color w:val="000000" w:themeColor="text1"/>
          <w:szCs w:val="24"/>
          <w14:textFill>
            <w14:solidFill>
              <w14:schemeClr w14:val="tx1"/>
            </w14:solidFill>
          </w14:textFill>
        </w:rPr>
        <w:t>、覆盖课程目标达成评价的知识点及权重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4"/>
        <w:gridCol w:w="1466"/>
        <w:gridCol w:w="1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知识点</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权重</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tabs>
                <w:tab w:val="left" w:pos="420"/>
              </w:tabs>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1、电磁兼容设计的重要性及认识电磁兼容的三要素</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2、干扰耦合机理</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3、接地技术的种类、方法和设计</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4、屏蔽技术的种类、方法和设计</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5、滤波技术的种类、方法和设计</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6、接地、滤波等抗电磁干扰技术在PCB中的灵活应用</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7、EMC测试项目及其测试方法</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r>
    </w:tbl>
    <w:p>
      <w:pPr>
        <w:spacing w:before="120" w:beforeLines="50" w:line="360" w:lineRule="auto"/>
        <w:ind w:firstLine="420" w:firstLineChars="200"/>
        <w:rPr>
          <w:color w:val="000000"/>
          <w:sz w:val="24"/>
          <w:szCs w:val="24"/>
        </w:rPr>
      </w:pPr>
      <w:r>
        <w:rPr>
          <w:rFonts w:hint="eastAsia" w:ascii="宋体" w:hAnsi="宋体" w:cs="宋体"/>
          <w:szCs w:val="21"/>
        </w:rPr>
        <w:t>本课程不可以申请免修。</w:t>
      </w: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sectPr>
          <w:headerReference r:id="rId143" w:type="first"/>
          <w:footerReference r:id="rId146" w:type="first"/>
          <w:headerReference r:id="rId141" w:type="default"/>
          <w:footerReference r:id="rId144" w:type="default"/>
          <w:headerReference r:id="rId142" w:type="even"/>
          <w:footerReference r:id="rId145" w:type="even"/>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color w:val="000000" w:themeColor="text1"/>
          <w:szCs w:val="24"/>
          <w14:textFill>
            <w14:solidFill>
              <w14:schemeClr w14:val="tx1"/>
            </w14:solidFill>
          </w14:textFill>
        </w:rPr>
      </w:pPr>
      <w:bookmarkStart w:id="262" w:name="_Hlk37795985"/>
      <w:r>
        <w:rPr>
          <w:rFonts w:hint="eastAsia" w:eastAsia="黑体"/>
          <w:color w:val="000000" w:themeColor="text1"/>
          <w:szCs w:val="24"/>
          <w14:textFill>
            <w14:solidFill>
              <w14:schemeClr w14:val="tx1"/>
            </w14:solidFill>
          </w14:textFill>
        </w:rPr>
        <w:t>十、课程目标达成评价</w:t>
      </w:r>
    </w:p>
    <w:p>
      <w:pPr>
        <w:spacing w:line="360" w:lineRule="auto"/>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776"/>
        <w:gridCol w:w="1272"/>
        <w:gridCol w:w="1286"/>
        <w:gridCol w:w="1180"/>
        <w:gridCol w:w="1375"/>
        <w:gridCol w:w="1060"/>
        <w:gridCol w:w="1180"/>
        <w:gridCol w:w="1375"/>
        <w:gridCol w:w="1375"/>
        <w:gridCol w:w="1180"/>
        <w:gridCol w:w="1889"/>
      </w:tblGrid>
      <w:tr>
        <w:tblPrEx>
          <w:tblCellMar>
            <w:top w:w="0" w:type="dxa"/>
            <w:left w:w="108" w:type="dxa"/>
            <w:bottom w:w="0" w:type="dxa"/>
            <w:right w:w="108" w:type="dxa"/>
          </w:tblCellMar>
        </w:tblPrEx>
        <w:trPr>
          <w:trHeight w:val="1015" w:hRule="atLeast"/>
          <w:jc w:val="center"/>
        </w:trPr>
        <w:tc>
          <w:tcPr>
            <w:tcW w:w="2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课程目标</w:t>
            </w:r>
          </w:p>
        </w:tc>
        <w:tc>
          <w:tcPr>
            <w:tcW w:w="4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知识面比例</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（本列总和为1）</w:t>
            </w:r>
          </w:p>
          <w:p>
            <w:pPr>
              <w:widowControl/>
              <w:jc w:val="center"/>
              <w:rPr>
                <w:rFonts w:ascii="宋体" w:hAnsi="宋体" w:cs="宋体"/>
                <w:i/>
                <w:color w:val="000000" w:themeColor="text1"/>
                <w:kern w:val="0"/>
                <w:sz w:val="18"/>
                <w:szCs w:val="18"/>
                <w14:textFill>
                  <w14:solidFill>
                    <w14:schemeClr w14:val="tx1"/>
                  </w14:solidFill>
                </w14:textFill>
              </w:rPr>
            </w:pPr>
            <w:r>
              <w:rPr>
                <w:rFonts w:ascii="宋体" w:hAnsi="宋体" w:cs="宋体"/>
                <w:i/>
                <w:color w:val="000000" w:themeColor="text1"/>
                <w:kern w:val="0"/>
                <w:sz w:val="18"/>
                <w:szCs w:val="18"/>
                <w14:textFill>
                  <w14:solidFill>
                    <w14:schemeClr w14:val="tx1"/>
                  </w14:solidFill>
                </w14:textFill>
              </w:rPr>
              <w:t>P</w:t>
            </w:r>
            <w:r>
              <w:rPr>
                <w:rFonts w:ascii="宋体" w:hAnsi="宋体" w:cs="宋体"/>
                <w:i/>
                <w:color w:val="000000" w:themeColor="text1"/>
                <w:kern w:val="0"/>
                <w:sz w:val="18"/>
                <w:szCs w:val="18"/>
                <w:vertAlign w:val="subscript"/>
                <w14:textFill>
                  <w14:solidFill>
                    <w14:schemeClr w14:val="tx1"/>
                  </w14:solidFill>
                </w14:textFill>
              </w:rPr>
              <w:t>i</w:t>
            </w:r>
          </w:p>
        </w:tc>
        <w:tc>
          <w:tcPr>
            <w:tcW w:w="137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olor w:val="000000" w:themeColor="text1"/>
                <w:kern w:val="0"/>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各环节评价比例分配</w:t>
            </w:r>
            <w:r>
              <w:rPr>
                <w:rFonts w:hint="eastAsia" w:ascii="宋体" w:hAnsi="宋体"/>
                <w:color w:val="000000" w:themeColor="text1"/>
                <w:sz w:val="18"/>
                <w:szCs w:val="18"/>
                <w14:textFill>
                  <w14:solidFill>
                    <w14:schemeClr w14:val="tx1"/>
                  </w14:solidFill>
                </w14:textFill>
              </w:rPr>
              <w:br w:type="textWrapping"/>
            </w:r>
            <w:r>
              <w:rPr>
                <w:rFonts w:hint="eastAsia" w:ascii="宋体" w:hAnsi="宋体"/>
                <w:color w:val="000000" w:themeColor="text1"/>
                <w:sz w:val="18"/>
                <w:szCs w:val="18"/>
                <w14:textFill>
                  <w14:solidFill>
                    <w14:schemeClr w14:val="tx1"/>
                  </w14:solidFill>
                </w14:textFill>
              </w:rPr>
              <w:t>（每行总和为1）</w:t>
            </w:r>
            <w:r>
              <w:rPr>
                <w:rFonts w:hint="eastAsia" w:ascii="宋体" w:hAnsi="宋体"/>
                <w:color w:val="000000" w:themeColor="text1"/>
                <w:sz w:val="18"/>
                <w:szCs w:val="18"/>
                <w14:textFill>
                  <w14:solidFill>
                    <w14:schemeClr w14:val="tx1"/>
                  </w14:solidFill>
                </w14:textFill>
              </w:rPr>
              <w:br w:type="textWrapping"/>
            </w:r>
            <w:r>
              <w:rPr>
                <w:rFonts w:hint="eastAsia" w:ascii="宋体" w:hAnsi="宋体"/>
                <w:i/>
                <w:color w:val="000000" w:themeColor="text1"/>
                <w:sz w:val="18"/>
                <w:szCs w:val="18"/>
                <w14:textFill>
                  <w14:solidFill>
                    <w14:schemeClr w14:val="tx1"/>
                  </w14:solidFill>
                </w14:textFill>
              </w:rPr>
              <w:t>W</w:t>
            </w:r>
            <w:r>
              <w:rPr>
                <w:rFonts w:hint="eastAsia" w:ascii="宋体" w:hAnsi="宋体"/>
                <w:i/>
                <w:color w:val="000000" w:themeColor="text1"/>
                <w:sz w:val="18"/>
                <w:szCs w:val="18"/>
                <w:vertAlign w:val="subscript"/>
                <w14:textFill>
                  <w14:solidFill>
                    <w14:schemeClr w14:val="tx1"/>
                  </w14:solidFill>
                </w14:textFill>
              </w:rPr>
              <w:t>ik</w:t>
            </w:r>
          </w:p>
        </w:tc>
        <w:tc>
          <w:tcPr>
            <w:tcW w:w="1296"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各环节在课程达成中的占比</w:t>
            </w:r>
            <w:r>
              <w:rPr>
                <w:rFonts w:hint="eastAsia" w:ascii="宋体" w:hAnsi="宋体"/>
                <w:color w:val="000000" w:themeColor="text1"/>
                <w:sz w:val="18"/>
                <w:szCs w:val="18"/>
                <w14:textFill>
                  <w14:solidFill>
                    <w14:schemeClr w14:val="tx1"/>
                  </w14:solidFill>
                </w14:textFill>
              </w:rPr>
              <w:br w:type="textWrapping"/>
            </w:r>
            <w:r>
              <w:rPr>
                <w:rFonts w:hint="eastAsia" w:ascii="宋体" w:hAnsi="宋体"/>
                <w:color w:val="000000" w:themeColor="text1"/>
                <w:sz w:val="18"/>
                <w:szCs w:val="18"/>
                <w14:textFill>
                  <w14:solidFill>
                    <w14:schemeClr w14:val="tx1"/>
                  </w14:solidFill>
                </w14:textFill>
              </w:rPr>
              <w:t>（所有行列总和为1）</w:t>
            </w:r>
            <w:r>
              <w:rPr>
                <w:rFonts w:hint="eastAsia" w:ascii="宋体" w:hAnsi="宋体"/>
                <w:color w:val="000000" w:themeColor="text1"/>
                <w:sz w:val="18"/>
                <w:szCs w:val="18"/>
                <w14:textFill>
                  <w14:solidFill>
                    <w14:schemeClr w14:val="tx1"/>
                  </w14:solidFill>
                </w14:textFill>
              </w:rPr>
              <w:br w:type="textWrapping"/>
            </w:r>
            <w:r>
              <w:rPr>
                <w:rFonts w:hint="eastAsia" w:ascii="宋体" w:hAnsi="宋体"/>
                <w:i/>
                <w:color w:val="000000" w:themeColor="text1"/>
                <w:sz w:val="18"/>
                <w:szCs w:val="18"/>
                <w14:textFill>
                  <w14:solidFill>
                    <w14:schemeClr w14:val="tx1"/>
                  </w14:solidFill>
                </w14:textFill>
              </w:rPr>
              <w:t>S</w:t>
            </w:r>
            <w:r>
              <w:rPr>
                <w:rFonts w:hint="eastAsia" w:ascii="宋体" w:hAnsi="宋体"/>
                <w:i/>
                <w:color w:val="000000" w:themeColor="text1"/>
                <w:sz w:val="18"/>
                <w:szCs w:val="18"/>
                <w:vertAlign w:val="subscript"/>
                <w14:textFill>
                  <w14:solidFill>
                    <w14:schemeClr w14:val="tx1"/>
                  </w14:solidFill>
                </w14:textFill>
              </w:rPr>
              <w:t>ik</w:t>
            </w:r>
            <w:r>
              <w:rPr>
                <w:rFonts w:hint="eastAsia" w:ascii="宋体" w:hAnsi="宋体"/>
                <w:i/>
                <w:color w:val="000000" w:themeColor="text1"/>
                <w:sz w:val="18"/>
                <w:szCs w:val="18"/>
                <w14:textFill>
                  <w14:solidFill>
                    <w14:schemeClr w14:val="tx1"/>
                  </w14:solidFill>
                </w14:textFill>
              </w:rPr>
              <w:t>=P</w:t>
            </w:r>
            <w:r>
              <w:rPr>
                <w:rFonts w:hint="eastAsia" w:ascii="宋体" w:hAnsi="宋体"/>
                <w:i/>
                <w:color w:val="000000" w:themeColor="text1"/>
                <w:sz w:val="18"/>
                <w:szCs w:val="18"/>
                <w:vertAlign w:val="subscript"/>
                <w14:textFill>
                  <w14:solidFill>
                    <w14:schemeClr w14:val="tx1"/>
                  </w14:solidFill>
                </w14:textFill>
              </w:rPr>
              <w:t>i</w:t>
            </w:r>
            <w:r>
              <w:rPr>
                <w:rFonts w:hint="eastAsia" w:ascii="宋体" w:hAnsi="宋体"/>
                <w:i/>
                <w:color w:val="000000" w:themeColor="text1"/>
                <w:sz w:val="18"/>
                <w:szCs w:val="18"/>
                <w14:textFill>
                  <w14:solidFill>
                    <w14:schemeClr w14:val="tx1"/>
                  </w14:solidFill>
                </w14:textFill>
              </w:rPr>
              <w:t>*W</w:t>
            </w:r>
            <w:r>
              <w:rPr>
                <w:rFonts w:hint="eastAsia" w:ascii="宋体" w:hAnsi="宋体"/>
                <w:i/>
                <w:color w:val="000000" w:themeColor="text1"/>
                <w:sz w:val="18"/>
                <w:szCs w:val="18"/>
                <w:vertAlign w:val="subscript"/>
                <w14:textFill>
                  <w14:solidFill>
                    <w14:schemeClr w14:val="tx1"/>
                  </w14:solidFill>
                </w14:textFill>
              </w:rPr>
              <w:t>ik</w:t>
            </w:r>
          </w:p>
        </w:tc>
        <w:tc>
          <w:tcPr>
            <w:tcW w:w="159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各环节课程目标考核权重分布</w:t>
            </w:r>
          </w:p>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（每一列总和为</w:t>
            </w:r>
            <w:r>
              <w:rPr>
                <w:rFonts w:hint="eastAsia" w:ascii="宋体" w:hAnsi="宋体"/>
                <w:color w:val="000000" w:themeColor="text1"/>
                <w:sz w:val="18"/>
                <w:szCs w:val="18"/>
                <w14:textFill>
                  <w14:solidFill>
                    <w14:schemeClr w14:val="tx1"/>
                  </w14:solidFill>
                </w14:textFill>
              </w:rPr>
              <w:t>1</w:t>
            </w:r>
            <w:r>
              <w:rPr>
                <w:rFonts w:ascii="宋体" w:hAnsi="宋体"/>
                <w:color w:val="000000" w:themeColor="text1"/>
                <w:sz w:val="18"/>
                <w:szCs w:val="18"/>
                <w14:textFill>
                  <w14:solidFill>
                    <w14:schemeClr w14:val="tx1"/>
                  </w14:solidFill>
                </w14:textFill>
              </w:rPr>
              <w:t>）</w:t>
            </w:r>
          </w:p>
          <w:p>
            <w:pPr>
              <w:jc w:val="center"/>
              <w:rPr>
                <w:rFonts w:ascii="宋体" w:hAnsi="宋体"/>
                <w:i/>
                <w:color w:val="000000" w:themeColor="text1"/>
                <w:sz w:val="18"/>
                <w:szCs w:val="18"/>
                <w14:textFill>
                  <w14:solidFill>
                    <w14:schemeClr w14:val="tx1"/>
                  </w14:solidFill>
                </w14:textFill>
              </w:rPr>
            </w:pPr>
            <w:r>
              <w:rPr>
                <w:rFonts w:hint="eastAsia" w:ascii="宋体" w:hAnsi="宋体"/>
                <w:i/>
                <w:color w:val="000000" w:themeColor="text1"/>
                <w:sz w:val="18"/>
                <w:szCs w:val="18"/>
                <w14:textFill>
                  <w14:solidFill>
                    <w14:schemeClr w14:val="tx1"/>
                  </w14:solidFill>
                </w14:textFill>
              </w:rPr>
              <w:t>E</w:t>
            </w:r>
            <w:r>
              <w:rPr>
                <w:rFonts w:hint="eastAsia" w:ascii="宋体" w:hAnsi="宋体"/>
                <w:i/>
                <w:color w:val="000000" w:themeColor="text1"/>
                <w:sz w:val="18"/>
                <w:szCs w:val="18"/>
                <w:vertAlign w:val="subscript"/>
                <w14:textFill>
                  <w14:solidFill>
                    <w14:schemeClr w14:val="tx1"/>
                  </w14:solidFill>
                </w14:textFill>
              </w:rPr>
              <w:t>ik</w:t>
            </w:r>
            <w:r>
              <w:rPr>
                <w:rFonts w:hint="eastAsia" w:ascii="宋体" w:hAnsi="宋体"/>
                <w:i/>
                <w:color w:val="000000" w:themeColor="text1"/>
                <w:sz w:val="18"/>
                <w:szCs w:val="18"/>
                <w14:textFill>
                  <w14:solidFill>
                    <w14:schemeClr w14:val="tx1"/>
                  </w14:solidFill>
                </w14:textFill>
              </w:rPr>
              <w:t>=</w:t>
            </w:r>
            <w:r>
              <w:rPr>
                <w:rFonts w:ascii="宋体" w:hAnsi="宋体"/>
                <w:i/>
                <w:color w:val="000000" w:themeColor="text1"/>
                <w:sz w:val="18"/>
                <w:szCs w:val="18"/>
                <w14:textFill>
                  <w14:solidFill>
                    <w14:schemeClr w14:val="tx1"/>
                  </w14:solidFill>
                </w14:textFill>
              </w:rPr>
              <w:t>S</w:t>
            </w:r>
            <w:r>
              <w:rPr>
                <w:rFonts w:ascii="宋体" w:hAnsi="宋体"/>
                <w:i/>
                <w:color w:val="000000" w:themeColor="text1"/>
                <w:sz w:val="18"/>
                <w:szCs w:val="18"/>
                <w:vertAlign w:val="subscript"/>
                <w14:textFill>
                  <w14:solidFill>
                    <w14:schemeClr w14:val="tx1"/>
                  </w14:solidFill>
                </w14:textFill>
              </w:rPr>
              <w:t>ik</w:t>
            </w:r>
            <w:r>
              <w:rPr>
                <w:rFonts w:ascii="宋体" w:hAnsi="宋体"/>
                <w:i/>
                <w:color w:val="000000" w:themeColor="text1"/>
                <w:sz w:val="18"/>
                <w:szCs w:val="18"/>
                <w14:textFill>
                  <w14:solidFill>
                    <w14:schemeClr w14:val="tx1"/>
                  </w14:solidFill>
                </w14:textFill>
              </w:rPr>
              <w:t>/M</w:t>
            </w:r>
            <w:r>
              <w:rPr>
                <w:rFonts w:ascii="宋体" w:hAnsi="宋体"/>
                <w:i/>
                <w:color w:val="000000" w:themeColor="text1"/>
                <w:sz w:val="18"/>
                <w:szCs w:val="18"/>
                <w:vertAlign w:val="subscript"/>
                <w14:textFill>
                  <w14:solidFill>
                    <w14:schemeClr w14:val="tx1"/>
                  </w14:solidFill>
                </w14:textFill>
              </w:rPr>
              <w:t>ik</w:t>
            </w:r>
          </w:p>
        </w:tc>
      </w:tr>
      <w:tr>
        <w:tblPrEx>
          <w:tblCellMar>
            <w:top w:w="0" w:type="dxa"/>
            <w:left w:w="108" w:type="dxa"/>
            <w:bottom w:w="0" w:type="dxa"/>
            <w:right w:w="108" w:type="dxa"/>
          </w:tblCellMar>
        </w:tblPrEx>
        <w:trPr>
          <w:trHeight w:val="986" w:hRule="atLeast"/>
          <w:jc w:val="center"/>
        </w:trPr>
        <w:tc>
          <w:tcPr>
            <w:tcW w:w="2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4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themeColor="text1"/>
                <w:kern w:val="0"/>
                <w:sz w:val="18"/>
                <w:szCs w:val="18"/>
                <w14:textFill>
                  <w14:solidFill>
                    <w14:schemeClr w14:val="tx1"/>
                  </w14:solidFill>
                </w14:textFill>
              </w:rPr>
            </w:pPr>
          </w:p>
        </w:tc>
        <w:tc>
          <w:tcPr>
            <w:tcW w:w="46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课堂</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情况</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作业</w:t>
            </w:r>
          </w:p>
        </w:tc>
        <w:tc>
          <w:tcPr>
            <w:tcW w:w="49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期末</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380"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课堂</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情况</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作业</w:t>
            </w:r>
          </w:p>
        </w:tc>
        <w:tc>
          <w:tcPr>
            <w:tcW w:w="49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期末</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课堂</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情况</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作业</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期末</w:t>
            </w:r>
          </w:p>
          <w:p>
            <w:pPr>
              <w:widowControl/>
              <w:jc w:val="center"/>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考试</w:t>
            </w:r>
          </w:p>
        </w:tc>
      </w:tr>
      <w:tr>
        <w:tblPrEx>
          <w:tblCellMar>
            <w:top w:w="0" w:type="dxa"/>
            <w:left w:w="108" w:type="dxa"/>
            <w:bottom w:w="0" w:type="dxa"/>
            <w:right w:w="108" w:type="dxa"/>
          </w:tblCellMar>
        </w:tblPrEx>
        <w:trPr>
          <w:trHeight w:val="1020" w:hRule="atLeast"/>
          <w:jc w:val="center"/>
        </w:trPr>
        <w:tc>
          <w:tcPr>
            <w:tcW w:w="278" w:type="pc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1</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0.7</w:t>
            </w:r>
          </w:p>
        </w:tc>
        <w:tc>
          <w:tcPr>
            <w:tcW w:w="461"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.1</w:t>
            </w:r>
          </w:p>
        </w:tc>
        <w:tc>
          <w:tcPr>
            <w:tcW w:w="42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.3</w:t>
            </w:r>
          </w:p>
        </w:tc>
        <w:tc>
          <w:tcPr>
            <w:tcW w:w="49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.6</w:t>
            </w:r>
          </w:p>
        </w:tc>
        <w:tc>
          <w:tcPr>
            <w:tcW w:w="380"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0.07</w:t>
            </w:r>
          </w:p>
        </w:tc>
        <w:tc>
          <w:tcPr>
            <w:tcW w:w="42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0.21</w:t>
            </w:r>
          </w:p>
        </w:tc>
        <w:tc>
          <w:tcPr>
            <w:tcW w:w="493"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0.42</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0.7</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0.70</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.7</w:t>
            </w:r>
          </w:p>
        </w:tc>
      </w:tr>
      <w:tr>
        <w:tblPrEx>
          <w:tblCellMar>
            <w:top w:w="0" w:type="dxa"/>
            <w:left w:w="108" w:type="dxa"/>
            <w:bottom w:w="0" w:type="dxa"/>
            <w:right w:w="108" w:type="dxa"/>
          </w:tblCellMar>
        </w:tblPrEx>
        <w:trPr>
          <w:trHeight w:val="694" w:hRule="atLeast"/>
          <w:jc w:val="center"/>
        </w:trPr>
        <w:tc>
          <w:tcPr>
            <w:tcW w:w="278" w:type="pc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2</w:t>
            </w:r>
          </w:p>
        </w:tc>
        <w:tc>
          <w:tcPr>
            <w:tcW w:w="456"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0.3</w:t>
            </w:r>
          </w:p>
        </w:tc>
        <w:tc>
          <w:tcPr>
            <w:tcW w:w="461"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.1</w:t>
            </w:r>
          </w:p>
        </w:tc>
        <w:tc>
          <w:tcPr>
            <w:tcW w:w="42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.2</w:t>
            </w:r>
          </w:p>
        </w:tc>
        <w:tc>
          <w:tcPr>
            <w:tcW w:w="49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.7</w:t>
            </w:r>
          </w:p>
        </w:tc>
        <w:tc>
          <w:tcPr>
            <w:tcW w:w="380"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.03</w:t>
            </w:r>
          </w:p>
        </w:tc>
        <w:tc>
          <w:tcPr>
            <w:tcW w:w="42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0.06</w:t>
            </w:r>
          </w:p>
        </w:tc>
        <w:tc>
          <w:tcPr>
            <w:tcW w:w="49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0.21</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.3</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.30</w:t>
            </w:r>
          </w:p>
        </w:tc>
        <w:tc>
          <w:tcPr>
            <w:tcW w:w="6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.3</w:t>
            </w:r>
          </w:p>
        </w:tc>
      </w:tr>
      <w:tr>
        <w:tblPrEx>
          <w:tblCellMar>
            <w:top w:w="0" w:type="dxa"/>
            <w:left w:w="108" w:type="dxa"/>
            <w:bottom w:w="0" w:type="dxa"/>
            <w:right w:w="108" w:type="dxa"/>
          </w:tblCellMar>
        </w:tblPrEx>
        <w:trPr>
          <w:trHeight w:val="694" w:hRule="atLeast"/>
          <w:jc w:val="center"/>
        </w:trPr>
        <w:tc>
          <w:tcPr>
            <w:tcW w:w="2111" w:type="pct"/>
            <w:gridSpan w:val="5"/>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cs="宋体"/>
                <w:bCs/>
                <w:color w:val="000000" w:themeColor="text1"/>
                <w:kern w:val="0"/>
                <w:sz w:val="18"/>
                <w:szCs w:val="18"/>
                <w14:textFill>
                  <w14:solidFill>
                    <w14:schemeClr w14:val="tx1"/>
                  </w14:solidFill>
                </w14:textFill>
              </w:rPr>
              <w:t>各环节对课程目标达成的贡献率（</w:t>
            </w:r>
            <w:r>
              <w:rPr>
                <w:rFonts w:hint="eastAsia" w:ascii="宋体" w:hAnsi="宋体" w:cs="宋体"/>
                <w:bCs/>
                <w:i/>
                <w:color w:val="000000" w:themeColor="text1"/>
                <w:kern w:val="0"/>
                <w:sz w:val="18"/>
                <w:szCs w:val="18"/>
                <w14:textFill>
                  <w14:solidFill>
                    <w14:schemeClr w14:val="tx1"/>
                  </w14:solidFill>
                </w14:textFill>
              </w:rPr>
              <w:t>M</w:t>
            </w:r>
            <w:r>
              <w:rPr>
                <w:rFonts w:hint="eastAsia" w:ascii="宋体" w:hAnsi="宋体" w:cs="宋体"/>
                <w:bCs/>
                <w:i/>
                <w:color w:val="000000" w:themeColor="text1"/>
                <w:kern w:val="0"/>
                <w:sz w:val="18"/>
                <w:szCs w:val="18"/>
                <w:vertAlign w:val="subscript"/>
                <w14:textFill>
                  <w14:solidFill>
                    <w14:schemeClr w14:val="tx1"/>
                  </w14:solidFill>
                </w14:textFill>
              </w:rPr>
              <w:t>k</w:t>
            </w:r>
            <w:r>
              <w:rPr>
                <w:rFonts w:hint="eastAsia" w:ascii="宋体" w:hAnsi="宋体" w:cs="宋体"/>
                <w:bCs/>
                <w:color w:val="000000" w:themeColor="text1"/>
                <w:kern w:val="0"/>
                <w:sz w:val="18"/>
                <w:szCs w:val="18"/>
                <w14:textFill>
                  <w14:solidFill>
                    <w14:schemeClr w14:val="tx1"/>
                  </w14:solidFill>
                </w14:textFill>
              </w:rPr>
              <w:t>）</w:t>
            </w:r>
          </w:p>
        </w:tc>
        <w:tc>
          <w:tcPr>
            <w:tcW w:w="380"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.10</w:t>
            </w:r>
          </w:p>
        </w:tc>
        <w:tc>
          <w:tcPr>
            <w:tcW w:w="42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.27</w:t>
            </w:r>
          </w:p>
        </w:tc>
        <w:tc>
          <w:tcPr>
            <w:tcW w:w="493" w:type="pct"/>
            <w:tcBorders>
              <w:top w:val="nil"/>
              <w:left w:val="nil"/>
              <w:bottom w:val="single" w:color="auto" w:sz="4" w:space="0"/>
              <w:right w:val="single" w:color="auto" w:sz="4" w:space="0"/>
            </w:tcBorders>
            <w:shd w:val="clear" w:color="auto" w:fill="auto"/>
            <w:noWrap/>
            <w:vAlign w:val="center"/>
          </w:tcPr>
          <w:p>
            <w:pPr>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.63</w:t>
            </w:r>
          </w:p>
        </w:tc>
        <w:tc>
          <w:tcPr>
            <w:tcW w:w="159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教师出题或布置作业时</w:t>
            </w:r>
          </w:p>
          <w:p>
            <w:pPr>
              <w:jc w:val="center"/>
              <w:rPr>
                <w:rFonts w:ascii="宋体" w:hAnsi="宋体"/>
                <w:bCs/>
                <w:color w:val="000000" w:themeColor="text1"/>
                <w:sz w:val="18"/>
                <w:szCs w:val="18"/>
                <w14:textFill>
                  <w14:solidFill>
                    <w14:schemeClr w14:val="tx1"/>
                  </w14:solidFill>
                </w14:textFill>
              </w:rPr>
            </w:pPr>
            <w:r>
              <w:rPr>
                <w:rFonts w:ascii="宋体" w:hAnsi="宋体"/>
                <w:bCs/>
                <w:color w:val="000000" w:themeColor="text1"/>
                <w:sz w:val="18"/>
                <w:szCs w:val="18"/>
                <w14:textFill>
                  <w14:solidFill>
                    <w14:schemeClr w14:val="tx1"/>
                  </w14:solidFill>
                </w14:textFill>
              </w:rPr>
              <w:t>要尽量做到按照以上比例布局</w:t>
            </w:r>
          </w:p>
        </w:tc>
      </w:tr>
    </w:tbl>
    <w:p>
      <w:pPr>
        <w:spacing w:line="360" w:lineRule="auto"/>
        <w:ind w:firstLine="420" w:firstLineChars="200"/>
        <w:rPr>
          <w:szCs w:val="21"/>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40"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40" DrawAspect="Content" ObjectID="_1468075940" r:id="rId413">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41"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41" DrawAspect="Content" ObjectID="_1468075941" r:id="rId414">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42"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42" DrawAspect="Content" ObjectID="_1468075942" r:id="rId415">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43"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43" DrawAspect="Content" ObjectID="_1468075943" r:id="rId416">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44"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44" DrawAspect="Content" ObjectID="_1468075944" r:id="rId417">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45"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45" DrawAspect="Content" ObjectID="_1468075945" r:id="rId418">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w:t>
      </w:r>
      <w:r>
        <w:rPr>
          <w:rFonts w:hint="eastAsia" w:ascii="宋体" w:hAnsi="宋体"/>
          <w:szCs w:val="21"/>
        </w:rPr>
        <w:t>SIE-CT-01：</w:t>
      </w:r>
      <w:r>
        <w:rPr>
          <w:rFonts w:hint="eastAsia"/>
          <w:szCs w:val="21"/>
        </w:rPr>
        <w:t>授课计划》中明确并向学生公布，教学过程中的考核评价应当严格按照标准完成。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bookmarkEnd w:id="262"/>
    </w:p>
    <w:p>
      <w:pPr>
        <w:spacing w:line="360" w:lineRule="auto"/>
        <w:ind w:firstLine="420" w:firstLineChars="200"/>
        <w:rPr>
          <w:szCs w:val="21"/>
        </w:rPr>
      </w:pPr>
    </w:p>
    <w:p>
      <w:pPr>
        <w:widowControl/>
        <w:jc w:val="left"/>
        <w:rPr>
          <w:rFonts w:eastAsia="黑体"/>
          <w:sz w:val="28"/>
          <w:szCs w:val="24"/>
        </w:rPr>
      </w:pPr>
      <w:r>
        <w:rPr>
          <w:rFonts w:eastAsia="黑体"/>
          <w:sz w:val="28"/>
          <w:szCs w:val="24"/>
        </w:rPr>
        <w:br w:type="page"/>
      </w:r>
    </w:p>
    <w:p>
      <w:pPr>
        <w:pStyle w:val="20"/>
        <w:spacing w:before="312" w:after="312" w:afterLines="100"/>
      </w:pPr>
      <w:bookmarkStart w:id="263" w:name="_Toc17411"/>
      <w:r>
        <w:rPr>
          <w:rFonts w:hint="eastAsia"/>
        </w:rPr>
        <w:t>《</w:t>
      </w:r>
      <w:r>
        <w:t>Z07060210-</w:t>
      </w:r>
      <w:r>
        <w:rPr>
          <w:rFonts w:hint="eastAsia"/>
        </w:rPr>
        <w:t>电子系统设计综合实践》教学大纲</w:t>
      </w:r>
      <w:bookmarkEnd w:id="263"/>
    </w:p>
    <w:p>
      <w:pPr>
        <w:adjustRightInd w:val="0"/>
        <w:snapToGrid w:val="0"/>
        <w:spacing w:line="360" w:lineRule="auto"/>
        <w:rPr>
          <w:rFonts w:ascii="黑体" w:eastAsia="黑体"/>
          <w:szCs w:val="21"/>
        </w:rPr>
      </w:pPr>
      <w:r>
        <w:rPr>
          <w:rFonts w:hint="eastAsia" w:ascii="黑体" w:eastAsia="黑体"/>
          <w:szCs w:val="21"/>
        </w:rPr>
        <w:t>课程编号：</w:t>
      </w:r>
      <w:r>
        <w:rPr>
          <w:rFonts w:hint="eastAsia" w:ascii="宋体" w:hAnsi="宋体" w:cs="Arial"/>
          <w:kern w:val="0"/>
          <w:sz w:val="20"/>
        </w:rPr>
        <w:t>Z</w:t>
      </w:r>
      <w:r>
        <w:rPr>
          <w:rFonts w:ascii="宋体" w:hAnsi="宋体" w:cs="Arial"/>
          <w:kern w:val="0"/>
          <w:sz w:val="20"/>
        </w:rPr>
        <w:t>0</w:t>
      </w:r>
      <w:r>
        <w:rPr>
          <w:rFonts w:hint="eastAsia" w:ascii="宋体" w:hAnsi="宋体" w:cs="Arial"/>
          <w:kern w:val="0"/>
          <w:sz w:val="20"/>
        </w:rPr>
        <w:t>7</w:t>
      </w:r>
      <w:r>
        <w:rPr>
          <w:rFonts w:ascii="宋体" w:hAnsi="宋体" w:cs="Arial"/>
          <w:kern w:val="0"/>
          <w:sz w:val="20"/>
        </w:rPr>
        <w:t>060210</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黑体" w:eastAsia="黑体"/>
          <w:szCs w:val="21"/>
        </w:rPr>
        <w:t xml:space="preserve"> </w:t>
      </w:r>
      <w:r>
        <w:rPr>
          <w:rFonts w:ascii="黑体" w:eastAsia="黑体"/>
          <w:szCs w:val="21"/>
        </w:rPr>
        <w:t xml:space="preserve"> </w:t>
      </w:r>
      <w:r>
        <w:rPr>
          <w:rFonts w:hint="eastAsia" w:ascii="黑体" w:eastAsia="黑体"/>
          <w:szCs w:val="21"/>
        </w:rPr>
        <w:tab/>
      </w:r>
      <w:r>
        <w:rPr>
          <w:rFonts w:ascii="黑体" w:eastAsia="黑体"/>
          <w:szCs w:val="21"/>
        </w:rPr>
        <w:t xml:space="preserve">    </w:t>
      </w:r>
    </w:p>
    <w:p>
      <w:pPr>
        <w:adjustRightInd w:val="0"/>
        <w:snapToGrid w:val="0"/>
        <w:spacing w:line="360" w:lineRule="auto"/>
        <w:rPr>
          <w:rFonts w:ascii="黑体" w:eastAsia="黑体"/>
          <w:szCs w:val="21"/>
        </w:rPr>
      </w:pPr>
      <w:r>
        <w:rPr>
          <w:rFonts w:hint="eastAsia" w:ascii="黑体" w:eastAsia="黑体"/>
          <w:szCs w:val="21"/>
        </w:rPr>
        <w:t>课程名称：</w:t>
      </w:r>
      <w:r>
        <w:rPr>
          <w:rFonts w:hint="eastAsia" w:asciiTheme="minorEastAsia" w:hAnsiTheme="minorEastAsia" w:eastAsiaTheme="minorEastAsia"/>
          <w:szCs w:val="21"/>
        </w:rPr>
        <w:t>电子系统设计综合实践</w:t>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hint="eastAsia" w:ascii="黑体" w:eastAsia="黑体"/>
          <w:szCs w:val="21"/>
        </w:rPr>
        <w:t>开课单位：</w:t>
      </w:r>
      <w:r>
        <w:rPr>
          <w:rFonts w:hint="eastAsia" w:asciiTheme="minorEastAsia" w:hAnsiTheme="minorEastAsia" w:eastAsiaTheme="minorEastAsia"/>
          <w:szCs w:val="21"/>
        </w:rPr>
        <w:t>仪器与电子学院</w:t>
      </w:r>
      <w:r>
        <w:rPr>
          <w:rFonts w:hint="eastAsia" w:ascii="黑体" w:eastAsia="黑体"/>
          <w:szCs w:val="21"/>
        </w:rPr>
        <w:t xml:space="preserve">   </w:t>
      </w:r>
    </w:p>
    <w:p>
      <w:pPr>
        <w:adjustRightInd w:val="0"/>
        <w:snapToGrid w:val="0"/>
        <w:spacing w:line="360" w:lineRule="auto"/>
        <w:rPr>
          <w:rFonts w:ascii="黑体" w:eastAsia="黑体"/>
          <w:szCs w:val="21"/>
        </w:rPr>
      </w:pPr>
      <w:r>
        <w:rPr>
          <w:rFonts w:hint="eastAsia" w:ascii="黑体" w:eastAsia="黑体"/>
          <w:szCs w:val="21"/>
        </w:rPr>
        <w:t>课程类别：</w:t>
      </w:r>
      <w:r>
        <w:rPr>
          <w:rFonts w:hint="eastAsia" w:asciiTheme="minorEastAsia" w:hAnsiTheme="minorEastAsia" w:eastAsiaTheme="minorEastAsia"/>
          <w:szCs w:val="21"/>
        </w:rPr>
        <w:t>实践</w:t>
      </w:r>
      <w:r>
        <w:rPr>
          <w:rFonts w:asciiTheme="minorEastAsia" w:hAnsiTheme="minorEastAsia" w:eastAsiaTheme="minorEastAsia"/>
          <w:szCs w:val="21"/>
        </w:rPr>
        <w:t>教学环节</w:t>
      </w:r>
      <w:r>
        <w:rPr>
          <w:rFonts w:hint="eastAsia" w:ascii="黑体" w:eastAsia="黑体"/>
          <w:szCs w:val="21"/>
        </w:rPr>
        <w:t xml:space="preserve">            </w:t>
      </w:r>
      <w:r>
        <w:rPr>
          <w:rFonts w:hint="eastAsia" w:ascii="黑体" w:eastAsia="黑体"/>
          <w:szCs w:val="21"/>
        </w:rPr>
        <w:tab/>
      </w:r>
      <w:r>
        <w:rPr>
          <w:rFonts w:hint="eastAsia" w:ascii="黑体" w:eastAsia="黑体"/>
          <w:szCs w:val="21"/>
        </w:rPr>
        <w:tab/>
      </w:r>
      <w:r>
        <w:rPr>
          <w:rFonts w:hint="eastAsia" w:ascii="黑体" w:eastAsia="黑体"/>
          <w:szCs w:val="21"/>
        </w:rPr>
        <w:t>课程性质：</w:t>
      </w:r>
      <w:r>
        <w:rPr>
          <w:rFonts w:hint="eastAsia"/>
          <w:szCs w:val="21"/>
        </w:rPr>
        <w:t>必修</w:t>
      </w:r>
    </w:p>
    <w:p>
      <w:pPr>
        <w:adjustRightInd w:val="0"/>
        <w:snapToGrid w:val="0"/>
        <w:spacing w:line="360" w:lineRule="auto"/>
        <w:rPr>
          <w:rFonts w:ascii="黑体" w:eastAsia="黑体"/>
          <w:szCs w:val="21"/>
        </w:rPr>
      </w:pPr>
      <w:r>
        <w:rPr>
          <w:rFonts w:hint="eastAsia" w:ascii="黑体" w:eastAsia="黑体"/>
          <w:szCs w:val="21"/>
        </w:rPr>
        <w:t>总 学 时：</w:t>
      </w:r>
      <w:r>
        <w:rPr>
          <w:rFonts w:asciiTheme="minorEastAsia" w:hAnsiTheme="minorEastAsia" w:eastAsiaTheme="minorEastAsia"/>
          <w:szCs w:val="21"/>
        </w:rPr>
        <w:t xml:space="preserve">168         </w:t>
      </w:r>
      <w:r>
        <w:rPr>
          <w:rFonts w:hint="eastAsia" w:ascii="黑体" w:eastAsia="黑体"/>
          <w:szCs w:val="21"/>
        </w:rPr>
        <w:t xml:space="preserve">               </w:t>
      </w:r>
      <w:r>
        <w:rPr>
          <w:rFonts w:ascii="黑体" w:eastAsia="黑体"/>
          <w:szCs w:val="21"/>
        </w:rPr>
        <w:tab/>
      </w:r>
      <w:r>
        <w:rPr>
          <w:rFonts w:hint="eastAsia" w:ascii="黑体" w:eastAsia="黑体"/>
          <w:szCs w:val="21"/>
        </w:rPr>
        <w:t>学    分：7</w:t>
      </w:r>
    </w:p>
    <w:p>
      <w:pPr>
        <w:adjustRightInd w:val="0"/>
        <w:snapToGrid w:val="0"/>
        <w:spacing w:line="360" w:lineRule="auto"/>
        <w:rPr>
          <w:rFonts w:ascii="黑体" w:eastAsia="黑体"/>
          <w:szCs w:val="21"/>
        </w:rPr>
      </w:pPr>
      <w:r>
        <w:rPr>
          <w:rFonts w:hint="eastAsia" w:ascii="黑体" w:eastAsia="黑体"/>
          <w:szCs w:val="21"/>
        </w:rPr>
        <w:t>适用专业：</w:t>
      </w:r>
      <w:r>
        <w:rPr>
          <w:rFonts w:hint="eastAsia" w:asciiTheme="minorEastAsia" w:hAnsiTheme="minorEastAsia" w:eastAsiaTheme="minorEastAsia"/>
          <w:szCs w:val="21"/>
        </w:rPr>
        <w:t>电子科学与技术</w:t>
      </w:r>
    </w:p>
    <w:p>
      <w:pPr>
        <w:adjustRightInd w:val="0"/>
        <w:snapToGrid w:val="0"/>
        <w:spacing w:line="360" w:lineRule="auto"/>
        <w:rPr>
          <w:rFonts w:asciiTheme="minorEastAsia" w:hAnsiTheme="minorEastAsia" w:eastAsiaTheme="minorEastAsia"/>
          <w:szCs w:val="21"/>
        </w:rPr>
      </w:pPr>
      <w:r>
        <w:rPr>
          <w:rFonts w:hint="eastAsia" w:ascii="黑体" w:eastAsia="黑体"/>
          <w:szCs w:val="21"/>
        </w:rPr>
        <w:t>先修课程：</w:t>
      </w:r>
      <w:r>
        <w:rPr>
          <w:rFonts w:hint="eastAsia" w:asciiTheme="minorEastAsia" w:hAnsiTheme="minorEastAsia" w:eastAsiaTheme="minorEastAsia"/>
          <w:szCs w:val="21"/>
        </w:rPr>
        <w:t>模拟电子技术、数字电子技术、可编程逻辑器件及应用、微机原理及接口技术</w:t>
      </w:r>
    </w:p>
    <w:p>
      <w:pPr>
        <w:adjustRightInd w:val="0"/>
        <w:snapToGrid w:val="0"/>
        <w:spacing w:line="360" w:lineRule="auto"/>
        <w:rPr>
          <w:rFonts w:asciiTheme="minorEastAsia" w:hAnsiTheme="minorEastAsia" w:eastAsiaTheme="minorEastAsia"/>
          <w:szCs w:val="21"/>
        </w:rPr>
      </w:pPr>
      <w:r>
        <w:rPr>
          <w:rFonts w:hint="eastAsia" w:ascii="黑体" w:eastAsia="黑体"/>
          <w:szCs w:val="21"/>
        </w:rPr>
        <w:t>大纲撰写人：</w:t>
      </w:r>
      <w:r>
        <w:rPr>
          <w:rFonts w:hint="eastAsia" w:asciiTheme="minorEastAsia" w:hAnsiTheme="minorEastAsia" w:eastAsiaTheme="minorEastAsia"/>
          <w:szCs w:val="21"/>
        </w:rPr>
        <w:t>刘文怡</w:t>
      </w:r>
    </w:p>
    <w:p>
      <w:pPr>
        <w:adjustRightInd w:val="0"/>
        <w:snapToGrid w:val="0"/>
        <w:spacing w:line="360" w:lineRule="auto"/>
        <w:rPr>
          <w:rFonts w:asciiTheme="minorEastAsia" w:hAnsiTheme="minorEastAsia" w:eastAsiaTheme="minorEastAsia"/>
          <w:szCs w:val="21"/>
        </w:rPr>
      </w:pPr>
      <w:r>
        <w:rPr>
          <w:rFonts w:hint="eastAsia" w:ascii="黑体" w:hAnsi="黑体" w:eastAsia="黑体"/>
          <w:szCs w:val="21"/>
        </w:rPr>
        <w:t>大纲编写（修订）时间：</w:t>
      </w:r>
      <w:r>
        <w:rPr>
          <w:rFonts w:hint="eastAsia" w:asciiTheme="minorEastAsia" w:hAnsiTheme="minorEastAsia" w:eastAsiaTheme="minorEastAsia"/>
          <w:szCs w:val="21"/>
        </w:rPr>
        <w:t>2019年5月</w:t>
      </w:r>
    </w:p>
    <w:p>
      <w:pPr>
        <w:rPr>
          <w:b/>
          <w:szCs w:val="21"/>
        </w:rPr>
      </w:pPr>
    </w:p>
    <w:p>
      <w:pPr>
        <w:adjustRightInd w:val="0"/>
        <w:snapToGrid w:val="0"/>
        <w:spacing w:before="156" w:beforeLines="50" w:after="156" w:afterLines="50"/>
        <w:rPr>
          <w:rFonts w:eastAsia="黑体"/>
          <w:szCs w:val="21"/>
        </w:rPr>
      </w:pPr>
      <w:r>
        <w:rPr>
          <w:rFonts w:hint="eastAsia" w:eastAsia="黑体"/>
          <w:szCs w:val="21"/>
        </w:rPr>
        <w:t>一、课程在教学计划中的地位、作用</w:t>
      </w:r>
    </w:p>
    <w:p>
      <w:pPr>
        <w:spacing w:line="360" w:lineRule="auto"/>
        <w:ind w:firstLine="420" w:firstLineChars="200"/>
        <w:rPr>
          <w:szCs w:val="21"/>
        </w:rPr>
      </w:pPr>
      <w:r>
        <w:rPr>
          <w:rFonts w:hint="eastAsia"/>
          <w:szCs w:val="21"/>
        </w:rPr>
        <w:t>本课程是我院建设研究教学型学院总体目标的重要组成部分。本课程设置的目标是加强本科生的动手实践能力，加大实践活动在培养计划中的比重。通过覆盖信息感知、数据采集、传输、信息互联等技术训练以使得学生将基础理论知识运用到实践中去，让学生能够把基础知识融会贯通，具备从事现场总线及物联网设计应用的能力，并体现一定创新意识。同时，在以项目形式组织完成的综合性大型项目设计过程中，培养学生非技术因素的考虑，以及大型专业工具的选择使用，并通过分组形式培养学生的团队精神和沟通协作能力。课程旨在以很强的综合性来培养学生解决复杂工程问题的综合素养。</w:t>
      </w:r>
    </w:p>
    <w:p>
      <w:pPr>
        <w:adjustRightInd w:val="0"/>
        <w:snapToGrid w:val="0"/>
        <w:spacing w:before="156" w:beforeLines="50" w:after="156" w:afterLines="50"/>
        <w:rPr>
          <w:rFonts w:eastAsia="黑体"/>
          <w:szCs w:val="21"/>
        </w:rPr>
      </w:pPr>
      <w:r>
        <w:rPr>
          <w:rFonts w:hint="eastAsia" w:eastAsia="黑体"/>
          <w:szCs w:val="21"/>
        </w:rPr>
        <w:t>二、课程目标</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265"/>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tcBorders>
              <w:left w:val="nil"/>
            </w:tcBorders>
            <w:vAlign w:val="center"/>
          </w:tcPr>
          <w:p>
            <w:pPr>
              <w:adjustRightInd w:val="0"/>
              <w:snapToGrid w:val="0"/>
              <w:spacing w:line="360" w:lineRule="auto"/>
              <w:jc w:val="center"/>
              <w:rPr>
                <w:sz w:val="18"/>
                <w:szCs w:val="18"/>
              </w:rPr>
            </w:pPr>
            <w:r>
              <w:rPr>
                <w:sz w:val="18"/>
                <w:szCs w:val="18"/>
              </w:rPr>
              <w:t>序号</w:t>
            </w:r>
          </w:p>
        </w:tc>
        <w:tc>
          <w:tcPr>
            <w:tcW w:w="1967" w:type="pct"/>
            <w:vAlign w:val="center"/>
          </w:tcPr>
          <w:p>
            <w:pPr>
              <w:adjustRightInd w:val="0"/>
              <w:snapToGrid w:val="0"/>
              <w:spacing w:line="360" w:lineRule="auto"/>
              <w:jc w:val="center"/>
              <w:rPr>
                <w:sz w:val="18"/>
                <w:szCs w:val="18"/>
              </w:rPr>
            </w:pPr>
            <w:r>
              <w:rPr>
                <w:sz w:val="18"/>
                <w:szCs w:val="18"/>
              </w:rPr>
              <w:t>课程目标</w:t>
            </w:r>
          </w:p>
        </w:tc>
        <w:tc>
          <w:tcPr>
            <w:tcW w:w="2609" w:type="pct"/>
            <w:tcBorders>
              <w:right w:val="nil"/>
            </w:tcBorders>
            <w:vAlign w:val="center"/>
          </w:tcPr>
          <w:p>
            <w:pPr>
              <w:adjustRightInd w:val="0"/>
              <w:snapToGrid w:val="0"/>
              <w:spacing w:line="360" w:lineRule="auto"/>
              <w:jc w:val="center"/>
              <w:rPr>
                <w:sz w:val="18"/>
                <w:szCs w:val="18"/>
              </w:rPr>
            </w:pPr>
            <w:r>
              <w:rPr>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1</w:t>
            </w:r>
          </w:p>
        </w:tc>
        <w:tc>
          <w:tcPr>
            <w:tcW w:w="1967" w:type="pct"/>
          </w:tcPr>
          <w:p>
            <w:pPr>
              <w:adjustRightInd w:val="0"/>
              <w:snapToGrid w:val="0"/>
              <w:spacing w:line="360" w:lineRule="auto"/>
              <w:rPr>
                <w:sz w:val="18"/>
                <w:szCs w:val="18"/>
              </w:rPr>
            </w:pPr>
            <w:r>
              <w:rPr>
                <w:rFonts w:hint="eastAsia"/>
                <w:sz w:val="18"/>
                <w:szCs w:val="18"/>
              </w:rPr>
              <w:t>能够通过参加三个环节的学习与实践，根据给定的实验和项目需求，将工程问题转化为技术问题，合理选择和优化设计方案，完成任务指标和功能；</w:t>
            </w:r>
          </w:p>
        </w:tc>
        <w:tc>
          <w:tcPr>
            <w:tcW w:w="2609" w:type="pct"/>
            <w:tcBorders>
              <w:right w:val="nil"/>
            </w:tcBorders>
          </w:tcPr>
          <w:p>
            <w:pPr>
              <w:adjustRightInd w:val="0"/>
              <w:snapToGrid w:val="0"/>
              <w:spacing w:line="360" w:lineRule="auto"/>
              <w:rPr>
                <w:sz w:val="18"/>
                <w:szCs w:val="18"/>
              </w:rPr>
            </w:pPr>
            <w:r>
              <w:rPr>
                <w:rFonts w:hint="eastAsia"/>
                <w:b/>
                <w:sz w:val="18"/>
                <w:szCs w:val="18"/>
              </w:rPr>
              <w:t>指标点3-1 按需设计</w:t>
            </w:r>
            <w:r>
              <w:rPr>
                <w:rFonts w:hint="eastAsia"/>
                <w:sz w:val="18"/>
                <w:szCs w:val="18"/>
              </w:rPr>
              <w:t>：</w:t>
            </w:r>
            <w:r>
              <w:rPr>
                <w:rFonts w:hint="eastAsia" w:ascii="宋体" w:hAnsi="宋体"/>
                <w:kern w:val="0"/>
                <w:sz w:val="18"/>
                <w:szCs w:val="18"/>
              </w:rPr>
              <w:t>能够根据用户特定需求设计复杂工程问题的解决方案，设计相关的电路系统</w:t>
            </w:r>
            <w:r>
              <w:rPr>
                <w:rFonts w:hint="eastAsia"/>
                <w:sz w:val="18"/>
                <w:szCs w:val="18"/>
              </w:rPr>
              <w:t>及</w:t>
            </w:r>
            <w:r>
              <w:rPr>
                <w:rFonts w:hint="eastAsia" w:ascii="宋体" w:hAnsi="宋体"/>
                <w:kern w:val="0"/>
                <w:sz w:val="18"/>
                <w:szCs w:val="18"/>
              </w:rPr>
              <w:t>工艺流程，并能够针对方案进行优化选择。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2</w:t>
            </w:r>
          </w:p>
        </w:tc>
        <w:tc>
          <w:tcPr>
            <w:tcW w:w="1967" w:type="pct"/>
          </w:tcPr>
          <w:p>
            <w:pPr>
              <w:adjustRightInd w:val="0"/>
              <w:snapToGrid w:val="0"/>
              <w:spacing w:line="360" w:lineRule="auto"/>
              <w:rPr>
                <w:sz w:val="18"/>
                <w:szCs w:val="18"/>
              </w:rPr>
            </w:pPr>
            <w:r>
              <w:rPr>
                <w:rFonts w:hint="eastAsia"/>
                <w:sz w:val="18"/>
                <w:szCs w:val="18"/>
              </w:rPr>
              <w:t>能够针对选择的题目，在设计方案中考虑可能涉及到的社会、健康、安全、法律、文化以及环境等因素的影响；</w:t>
            </w:r>
          </w:p>
        </w:tc>
        <w:tc>
          <w:tcPr>
            <w:tcW w:w="2609" w:type="pct"/>
            <w:tcBorders>
              <w:right w:val="nil"/>
            </w:tcBorders>
          </w:tcPr>
          <w:p>
            <w:pPr>
              <w:adjustRightInd w:val="0"/>
              <w:snapToGrid w:val="0"/>
              <w:spacing w:line="360" w:lineRule="auto"/>
              <w:rPr>
                <w:sz w:val="18"/>
                <w:szCs w:val="18"/>
              </w:rPr>
            </w:pPr>
            <w:r>
              <w:rPr>
                <w:rFonts w:hint="eastAsia"/>
                <w:b/>
                <w:sz w:val="18"/>
                <w:szCs w:val="18"/>
              </w:rPr>
              <w:t>指标点3-2 非技术因素</w:t>
            </w:r>
            <w:r>
              <w:rPr>
                <w:rFonts w:hint="eastAsia"/>
                <w:sz w:val="18"/>
                <w:szCs w:val="18"/>
              </w:rPr>
              <w:t>：设计方案的过程中，能够考虑并分析社会、健康、安全、法律、文化以及环境等因素的影响。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3</w:t>
            </w:r>
          </w:p>
        </w:tc>
        <w:tc>
          <w:tcPr>
            <w:tcW w:w="1967" w:type="pct"/>
          </w:tcPr>
          <w:p>
            <w:pPr>
              <w:adjustRightInd w:val="0"/>
              <w:snapToGrid w:val="0"/>
              <w:spacing w:line="360" w:lineRule="auto"/>
              <w:rPr>
                <w:color w:val="000000"/>
                <w:sz w:val="18"/>
                <w:szCs w:val="18"/>
              </w:rPr>
            </w:pPr>
            <w:r>
              <w:rPr>
                <w:rFonts w:hint="eastAsia"/>
                <w:color w:val="000000"/>
                <w:sz w:val="18"/>
                <w:szCs w:val="18"/>
              </w:rPr>
              <w:t>能够在第三个开放实训环节的项目设计开发过程中，积极主动寻求新思路、新方法或新架构；</w:t>
            </w:r>
          </w:p>
        </w:tc>
        <w:tc>
          <w:tcPr>
            <w:tcW w:w="2609" w:type="pct"/>
            <w:tcBorders>
              <w:right w:val="nil"/>
            </w:tcBorders>
          </w:tcPr>
          <w:p>
            <w:pPr>
              <w:adjustRightInd w:val="0"/>
              <w:snapToGrid w:val="0"/>
              <w:spacing w:line="360" w:lineRule="auto"/>
              <w:rPr>
                <w:sz w:val="18"/>
                <w:szCs w:val="18"/>
              </w:rPr>
            </w:pPr>
            <w:r>
              <w:rPr>
                <w:rFonts w:hint="eastAsia"/>
                <w:b/>
                <w:sz w:val="18"/>
                <w:szCs w:val="18"/>
              </w:rPr>
              <w:t>指标点3-3 创新意识</w:t>
            </w:r>
            <w:r>
              <w:rPr>
                <w:rFonts w:hint="eastAsia"/>
                <w:sz w:val="18"/>
                <w:szCs w:val="18"/>
              </w:rPr>
              <w:t>：积极参与各类创新活动，在专业设计过程中能够体现创新意识。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4</w:t>
            </w:r>
          </w:p>
        </w:tc>
        <w:tc>
          <w:tcPr>
            <w:tcW w:w="1967" w:type="pct"/>
          </w:tcPr>
          <w:p>
            <w:pPr>
              <w:adjustRightInd w:val="0"/>
              <w:snapToGrid w:val="0"/>
              <w:spacing w:line="360" w:lineRule="auto"/>
              <w:rPr>
                <w:sz w:val="18"/>
                <w:szCs w:val="18"/>
              </w:rPr>
            </w:pPr>
            <w:r>
              <w:rPr>
                <w:rFonts w:hint="eastAsia"/>
                <w:sz w:val="18"/>
                <w:szCs w:val="18"/>
              </w:rPr>
              <w:t>针对第二环节指定实验内容和第三环节开放实践项目需求，对比选择FPGA、ARM或不同型号的单片机开展方案设计；</w:t>
            </w:r>
          </w:p>
        </w:tc>
        <w:tc>
          <w:tcPr>
            <w:tcW w:w="2609" w:type="pct"/>
            <w:tcBorders>
              <w:right w:val="nil"/>
            </w:tcBorders>
          </w:tcPr>
          <w:p>
            <w:pPr>
              <w:adjustRightInd w:val="0"/>
              <w:snapToGrid w:val="0"/>
              <w:spacing w:line="360" w:lineRule="auto"/>
              <w:rPr>
                <w:sz w:val="18"/>
                <w:szCs w:val="18"/>
              </w:rPr>
            </w:pPr>
            <w:r>
              <w:rPr>
                <w:rFonts w:hint="eastAsia"/>
                <w:b/>
                <w:sz w:val="18"/>
                <w:szCs w:val="18"/>
              </w:rPr>
              <w:t>指标点5-1 工具选择与开发</w:t>
            </w:r>
            <w:r>
              <w:rPr>
                <w:rFonts w:hint="eastAsia"/>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5</w:t>
            </w:r>
          </w:p>
        </w:tc>
        <w:tc>
          <w:tcPr>
            <w:tcW w:w="1967" w:type="pct"/>
          </w:tcPr>
          <w:p>
            <w:pPr>
              <w:adjustRightInd w:val="0"/>
              <w:snapToGrid w:val="0"/>
              <w:spacing w:line="360" w:lineRule="auto"/>
              <w:rPr>
                <w:sz w:val="18"/>
                <w:szCs w:val="18"/>
              </w:rPr>
            </w:pPr>
            <w:r>
              <w:rPr>
                <w:rFonts w:hint="eastAsia"/>
                <w:sz w:val="18"/>
                <w:szCs w:val="18"/>
              </w:rPr>
              <w:t>能够在相应的开发环境下完成软硬件设计；在调试环节能够按需使用相关的示波器、信号源等仪器，辅助完成项目；</w:t>
            </w:r>
          </w:p>
        </w:tc>
        <w:tc>
          <w:tcPr>
            <w:tcW w:w="2609" w:type="pct"/>
            <w:tcBorders>
              <w:right w:val="nil"/>
            </w:tcBorders>
          </w:tcPr>
          <w:p>
            <w:pPr>
              <w:adjustRightInd w:val="0"/>
              <w:snapToGrid w:val="0"/>
              <w:spacing w:line="360" w:lineRule="auto"/>
              <w:rPr>
                <w:sz w:val="18"/>
                <w:szCs w:val="18"/>
              </w:rPr>
            </w:pPr>
            <w:r>
              <w:rPr>
                <w:rFonts w:hint="eastAsia"/>
                <w:b/>
                <w:sz w:val="18"/>
                <w:szCs w:val="18"/>
              </w:rPr>
              <w:t>指标点5-2专业工具使用</w:t>
            </w:r>
            <w:r>
              <w:rPr>
                <w:rFonts w:hint="eastAsia"/>
                <w:sz w:val="18"/>
                <w:szCs w:val="18"/>
              </w:rPr>
              <w:t>：能使用工具对电路系统、协议等进行设计和仿真，确定功能和相关设计参数；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6</w:t>
            </w:r>
          </w:p>
        </w:tc>
        <w:tc>
          <w:tcPr>
            <w:tcW w:w="1967" w:type="pct"/>
          </w:tcPr>
          <w:p>
            <w:pPr>
              <w:adjustRightInd w:val="0"/>
              <w:snapToGrid w:val="0"/>
              <w:spacing w:line="360" w:lineRule="auto"/>
              <w:rPr>
                <w:sz w:val="18"/>
                <w:szCs w:val="18"/>
              </w:rPr>
            </w:pPr>
            <w:r>
              <w:rPr>
                <w:rFonts w:hint="eastAsia"/>
                <w:sz w:val="18"/>
                <w:szCs w:val="18"/>
              </w:rPr>
              <w:t>能够使用多种方法检索获取有效的文献优化设计方案；能够使用通用数据处理软件或自己开发辅助程序完成数据分析；能够利用字处理软件规范完成方案设计报告、中期总结报告、项目验收报告；</w:t>
            </w:r>
          </w:p>
        </w:tc>
        <w:tc>
          <w:tcPr>
            <w:tcW w:w="2609" w:type="pct"/>
            <w:tcBorders>
              <w:right w:val="nil"/>
            </w:tcBorders>
          </w:tcPr>
          <w:p>
            <w:pPr>
              <w:adjustRightInd w:val="0"/>
              <w:snapToGrid w:val="0"/>
              <w:spacing w:line="360" w:lineRule="auto"/>
              <w:rPr>
                <w:sz w:val="18"/>
                <w:szCs w:val="18"/>
              </w:rPr>
            </w:pPr>
            <w:r>
              <w:rPr>
                <w:rFonts w:hint="eastAsia"/>
                <w:b/>
                <w:sz w:val="18"/>
                <w:szCs w:val="18"/>
              </w:rPr>
              <w:t>指标点5-3 其它手段与资源</w:t>
            </w:r>
            <w:r>
              <w:rPr>
                <w:rFonts w:hint="eastAsia"/>
                <w:sz w:val="18"/>
                <w:szCs w:val="18"/>
              </w:rPr>
              <w:t>：能够充分利用高级语言、通用数据处理软件和字处理等其它信息技术工具与资源，提高工作效率。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7</w:t>
            </w:r>
          </w:p>
        </w:tc>
        <w:tc>
          <w:tcPr>
            <w:tcW w:w="1967" w:type="pct"/>
          </w:tcPr>
          <w:p>
            <w:pPr>
              <w:adjustRightInd w:val="0"/>
              <w:snapToGrid w:val="0"/>
              <w:spacing w:line="360" w:lineRule="auto"/>
              <w:rPr>
                <w:sz w:val="18"/>
                <w:szCs w:val="18"/>
              </w:rPr>
            </w:pPr>
            <w:r>
              <w:rPr>
                <w:rFonts w:hint="eastAsia"/>
                <w:sz w:val="18"/>
                <w:szCs w:val="18"/>
              </w:rPr>
              <w:t>能够针对设计方案分析是否存在对环境可能产生的功耗、噪声、辐射、废料等影响。</w:t>
            </w:r>
          </w:p>
        </w:tc>
        <w:tc>
          <w:tcPr>
            <w:tcW w:w="2609" w:type="pct"/>
            <w:tcBorders>
              <w:right w:val="nil"/>
            </w:tcBorders>
          </w:tcPr>
          <w:p>
            <w:pPr>
              <w:adjustRightInd w:val="0"/>
              <w:snapToGrid w:val="0"/>
              <w:spacing w:line="360" w:lineRule="auto"/>
              <w:rPr>
                <w:sz w:val="18"/>
                <w:szCs w:val="18"/>
              </w:rPr>
            </w:pPr>
            <w:r>
              <w:rPr>
                <w:rFonts w:hint="eastAsia"/>
                <w:b/>
                <w:sz w:val="18"/>
                <w:szCs w:val="18"/>
              </w:rPr>
              <w:t>指标点7-1 环境影响评价</w:t>
            </w:r>
            <w:r>
              <w:rPr>
                <w:rFonts w:hint="eastAsia"/>
                <w:sz w:val="18"/>
                <w:szCs w:val="18"/>
              </w:rPr>
              <w:t>：充分了解本专业工程实践所使用的原材料、工艺、生产过程对各类资源的消耗情况，能合理评价生产试验和产品运行过程中可能产生的功耗、噪声、辐射、废料对环境的影响。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8</w:t>
            </w:r>
          </w:p>
        </w:tc>
        <w:tc>
          <w:tcPr>
            <w:tcW w:w="1967" w:type="pct"/>
          </w:tcPr>
          <w:p>
            <w:pPr>
              <w:adjustRightInd w:val="0"/>
              <w:snapToGrid w:val="0"/>
              <w:spacing w:line="360" w:lineRule="auto"/>
              <w:rPr>
                <w:sz w:val="18"/>
                <w:szCs w:val="18"/>
              </w:rPr>
            </w:pPr>
            <w:r>
              <w:rPr>
                <w:rFonts w:hint="eastAsia"/>
                <w:sz w:val="18"/>
                <w:szCs w:val="18"/>
              </w:rPr>
              <w:t>通过环境影响评价，能够有意识在方案中降低功耗或平衡成本；</w:t>
            </w:r>
          </w:p>
        </w:tc>
        <w:tc>
          <w:tcPr>
            <w:tcW w:w="2609" w:type="pct"/>
            <w:tcBorders>
              <w:right w:val="nil"/>
            </w:tcBorders>
          </w:tcPr>
          <w:p>
            <w:pPr>
              <w:adjustRightInd w:val="0"/>
              <w:snapToGrid w:val="0"/>
              <w:spacing w:line="360" w:lineRule="auto"/>
              <w:rPr>
                <w:sz w:val="18"/>
                <w:szCs w:val="18"/>
              </w:rPr>
            </w:pPr>
            <w:r>
              <w:rPr>
                <w:rFonts w:hint="eastAsia"/>
                <w:b/>
                <w:sz w:val="18"/>
                <w:szCs w:val="18"/>
              </w:rPr>
              <w:t>指标点7-2 环保设计与环保意识</w:t>
            </w:r>
            <w:r>
              <w:rPr>
                <w:rFonts w:hint="eastAsia"/>
                <w:sz w:val="18"/>
                <w:szCs w:val="18"/>
              </w:rPr>
              <w:t>：接受过相关的环保教育及环保案例教育，了解国家可持续发展的理念，在工程设计中体现保护环境、维持社会可持续发展的意识。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9</w:t>
            </w:r>
          </w:p>
        </w:tc>
        <w:tc>
          <w:tcPr>
            <w:tcW w:w="1967" w:type="pct"/>
          </w:tcPr>
          <w:p>
            <w:pPr>
              <w:adjustRightInd w:val="0"/>
              <w:snapToGrid w:val="0"/>
              <w:spacing w:line="360" w:lineRule="auto"/>
              <w:rPr>
                <w:sz w:val="18"/>
                <w:szCs w:val="18"/>
              </w:rPr>
            </w:pPr>
            <w:r>
              <w:rPr>
                <w:rFonts w:hint="eastAsia"/>
                <w:sz w:val="18"/>
                <w:szCs w:val="18"/>
              </w:rPr>
              <w:t>在第三个环节的分组实训中，能够顺利组建团队，分工明确，友好协作，具有团队意识；</w:t>
            </w:r>
          </w:p>
        </w:tc>
        <w:tc>
          <w:tcPr>
            <w:tcW w:w="2609" w:type="pct"/>
            <w:tcBorders>
              <w:right w:val="nil"/>
            </w:tcBorders>
          </w:tcPr>
          <w:p>
            <w:pPr>
              <w:adjustRightInd w:val="0"/>
              <w:snapToGrid w:val="0"/>
              <w:spacing w:line="360" w:lineRule="auto"/>
              <w:rPr>
                <w:sz w:val="18"/>
                <w:szCs w:val="18"/>
              </w:rPr>
            </w:pPr>
            <w:r>
              <w:rPr>
                <w:rFonts w:hint="eastAsia"/>
                <w:b/>
                <w:sz w:val="18"/>
                <w:szCs w:val="18"/>
              </w:rPr>
              <w:t>指标点9-1 团队意识</w:t>
            </w:r>
            <w:r>
              <w:rPr>
                <w:rFonts w:hint="eastAsia"/>
                <w:sz w:val="18"/>
                <w:szCs w:val="18"/>
              </w:rPr>
              <w:t>：具备团队合作意识，愿意与团队其他成员共享信息，并给予他人帮助。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10</w:t>
            </w:r>
          </w:p>
        </w:tc>
        <w:tc>
          <w:tcPr>
            <w:tcW w:w="1967" w:type="pct"/>
          </w:tcPr>
          <w:p>
            <w:pPr>
              <w:adjustRightInd w:val="0"/>
              <w:snapToGrid w:val="0"/>
              <w:spacing w:line="360" w:lineRule="auto"/>
              <w:rPr>
                <w:sz w:val="18"/>
                <w:szCs w:val="18"/>
              </w:rPr>
            </w:pPr>
            <w:r>
              <w:rPr>
                <w:rFonts w:hint="eastAsia"/>
                <w:sz w:val="18"/>
                <w:szCs w:val="18"/>
              </w:rPr>
              <w:t>在第三个环节的分组实训中，个人能够明确自己在项目中的分工和责任，并保证完成自己的工作；且该部分工作能够和整个项目有效对接；</w:t>
            </w:r>
          </w:p>
        </w:tc>
        <w:tc>
          <w:tcPr>
            <w:tcW w:w="2609" w:type="pct"/>
            <w:tcBorders>
              <w:right w:val="nil"/>
            </w:tcBorders>
          </w:tcPr>
          <w:p>
            <w:pPr>
              <w:adjustRightInd w:val="0"/>
              <w:snapToGrid w:val="0"/>
              <w:spacing w:line="360" w:lineRule="auto"/>
              <w:rPr>
                <w:sz w:val="18"/>
                <w:szCs w:val="18"/>
              </w:rPr>
            </w:pPr>
            <w:r>
              <w:rPr>
                <w:rFonts w:hint="eastAsia"/>
                <w:b/>
                <w:sz w:val="18"/>
                <w:szCs w:val="18"/>
              </w:rPr>
              <w:t>指标点9-2 明确个人责任</w:t>
            </w:r>
            <w:r>
              <w:rPr>
                <w:rFonts w:hint="eastAsia"/>
                <w:sz w:val="18"/>
                <w:szCs w:val="18"/>
              </w:rPr>
              <w:t>：能够在多学科背景下的团队中承担个体、团队成员以及负责人的角色并理解该角色应当承担的责任、权利和义务。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11</w:t>
            </w:r>
          </w:p>
        </w:tc>
        <w:tc>
          <w:tcPr>
            <w:tcW w:w="1967" w:type="pct"/>
          </w:tcPr>
          <w:p>
            <w:pPr>
              <w:adjustRightInd w:val="0"/>
              <w:snapToGrid w:val="0"/>
              <w:spacing w:line="360" w:lineRule="auto"/>
              <w:rPr>
                <w:sz w:val="18"/>
                <w:szCs w:val="18"/>
              </w:rPr>
            </w:pPr>
            <w:r>
              <w:rPr>
                <w:rFonts w:hint="eastAsia"/>
                <w:sz w:val="18"/>
                <w:szCs w:val="18"/>
              </w:rPr>
              <w:t>在第三个环节的分组实训中，能够与其他组保持良好的竞争与合作关系；</w:t>
            </w:r>
          </w:p>
        </w:tc>
        <w:tc>
          <w:tcPr>
            <w:tcW w:w="2609" w:type="pct"/>
            <w:tcBorders>
              <w:right w:val="nil"/>
            </w:tcBorders>
          </w:tcPr>
          <w:p>
            <w:pPr>
              <w:adjustRightInd w:val="0"/>
              <w:snapToGrid w:val="0"/>
              <w:spacing w:line="360" w:lineRule="auto"/>
              <w:rPr>
                <w:sz w:val="18"/>
                <w:szCs w:val="18"/>
              </w:rPr>
            </w:pPr>
            <w:r>
              <w:rPr>
                <w:rFonts w:hint="eastAsia"/>
                <w:b/>
                <w:sz w:val="18"/>
                <w:szCs w:val="18"/>
              </w:rPr>
              <w:t>指标点9-3 竞争与合作</w:t>
            </w:r>
            <w:r>
              <w:rPr>
                <w:rFonts w:hint="eastAsia"/>
                <w:sz w:val="18"/>
                <w:szCs w:val="18"/>
              </w:rPr>
              <w:t>：能在多学科背景下和不同层次间正确理解和处理团队内部和团队之间的竞争与合作关系。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sz w:val="18"/>
                <w:szCs w:val="18"/>
              </w:rPr>
            </w:pPr>
            <w:r>
              <w:rPr>
                <w:rFonts w:hint="eastAsia"/>
                <w:sz w:val="18"/>
                <w:szCs w:val="18"/>
              </w:rPr>
              <w:t>12</w:t>
            </w:r>
          </w:p>
        </w:tc>
        <w:tc>
          <w:tcPr>
            <w:tcW w:w="1967" w:type="pct"/>
          </w:tcPr>
          <w:p>
            <w:pPr>
              <w:adjustRightInd w:val="0"/>
              <w:snapToGrid w:val="0"/>
              <w:spacing w:line="360" w:lineRule="auto"/>
              <w:rPr>
                <w:sz w:val="18"/>
                <w:szCs w:val="18"/>
              </w:rPr>
            </w:pPr>
            <w:r>
              <w:rPr>
                <w:rFonts w:hint="eastAsia"/>
                <w:sz w:val="18"/>
                <w:szCs w:val="18"/>
              </w:rPr>
              <w:t>在第三个环节的分组实训中，能够在整个项目开发的过程中考虑成本、时间、资源，进行可行性分析，并在资源和成本间做到平衡。</w:t>
            </w:r>
          </w:p>
        </w:tc>
        <w:tc>
          <w:tcPr>
            <w:tcW w:w="2609" w:type="pct"/>
            <w:tcBorders>
              <w:right w:val="nil"/>
            </w:tcBorders>
          </w:tcPr>
          <w:p>
            <w:pPr>
              <w:adjustRightInd w:val="0"/>
              <w:snapToGrid w:val="0"/>
              <w:spacing w:line="360" w:lineRule="auto"/>
              <w:rPr>
                <w:sz w:val="18"/>
                <w:szCs w:val="18"/>
              </w:rPr>
            </w:pPr>
            <w:r>
              <w:rPr>
                <w:rFonts w:hint="eastAsia"/>
                <w:b/>
                <w:sz w:val="18"/>
                <w:szCs w:val="18"/>
              </w:rPr>
              <w:t>指标点11-2 项目管理实践</w:t>
            </w:r>
            <w:r>
              <w:rPr>
                <w:rFonts w:hint="eastAsia"/>
                <w:sz w:val="18"/>
                <w:szCs w:val="18"/>
              </w:rPr>
              <w:t>：能够在多学科环境中将工程项目管理与经济决策的知识和方法应用到专业工程实践中，协调平衡多种资源，使工程实践经济效益得到优化。</w:t>
            </w:r>
          </w:p>
        </w:tc>
      </w:tr>
    </w:tbl>
    <w:p>
      <w:pPr>
        <w:spacing w:line="360" w:lineRule="auto"/>
        <w:ind w:firstLine="420" w:firstLineChars="200"/>
        <w:rPr>
          <w:rFonts w:ascii="宋体" w:hAnsi="宋体"/>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szCs w:val="21"/>
        </w:rPr>
        <w:t>通过</w:t>
      </w:r>
      <w:r>
        <w:rPr>
          <w:rFonts w:hint="eastAsia"/>
          <w:szCs w:val="21"/>
        </w:rPr>
        <w:t>多种类型的实践题目</w:t>
      </w:r>
      <w:r>
        <w:rPr>
          <w:szCs w:val="21"/>
        </w:rPr>
        <w:t>，学生能够在系统实现方案中尊重社会、环境、法律、经济、道德、政策、文化等因素影响，具有法律意识，遵守职业道德规范。</w:t>
      </w:r>
    </w:p>
    <w:p>
      <w:pPr>
        <w:spacing w:line="360" w:lineRule="auto"/>
        <w:ind w:firstLine="420" w:firstLineChars="200"/>
        <w:rPr>
          <w:szCs w:val="21"/>
        </w:rPr>
      </w:pPr>
      <w:r>
        <w:rPr>
          <w:rFonts w:hint="eastAsia"/>
          <w:szCs w:val="21"/>
        </w:rPr>
        <w:t>根据社会与民生需求解决问题</w:t>
      </w:r>
      <w:r>
        <w:rPr>
          <w:szCs w:val="21"/>
        </w:rPr>
        <w:t>，</w:t>
      </w:r>
      <w:r>
        <w:rPr>
          <w:rFonts w:hint="eastAsia"/>
          <w:szCs w:val="21"/>
        </w:rPr>
        <w:t>培养</w:t>
      </w:r>
      <w:r>
        <w:rPr>
          <w:szCs w:val="21"/>
        </w:rPr>
        <w:t>以服务国</w:t>
      </w:r>
      <w:r>
        <w:rPr>
          <w:rFonts w:hint="eastAsia"/>
          <w:szCs w:val="21"/>
        </w:rPr>
        <w:t>家</w:t>
      </w:r>
      <w:r>
        <w:rPr>
          <w:szCs w:val="21"/>
        </w:rPr>
        <w:t>、服务社会为己任</w:t>
      </w:r>
      <w:r>
        <w:rPr>
          <w:rFonts w:hint="eastAsia"/>
          <w:szCs w:val="21"/>
        </w:rPr>
        <w:t>的素质</w:t>
      </w:r>
      <w:r>
        <w:rPr>
          <w:szCs w:val="21"/>
        </w:rPr>
        <w:t>；</w:t>
      </w:r>
    </w:p>
    <w:p>
      <w:pPr>
        <w:spacing w:line="360" w:lineRule="auto"/>
        <w:ind w:firstLine="420" w:firstLineChars="200"/>
        <w:rPr>
          <w:szCs w:val="21"/>
        </w:rPr>
      </w:pPr>
      <w:r>
        <w:rPr>
          <w:rFonts w:hint="eastAsia"/>
          <w:szCs w:val="21"/>
        </w:rPr>
        <w:t>正确处理</w:t>
      </w:r>
      <w:r>
        <w:rPr>
          <w:szCs w:val="21"/>
        </w:rPr>
        <w:t>分组实践中的团队协作</w:t>
      </w:r>
      <w:r>
        <w:rPr>
          <w:rFonts w:hint="eastAsia"/>
          <w:szCs w:val="21"/>
        </w:rPr>
        <w:t>关系，</w:t>
      </w:r>
      <w:r>
        <w:rPr>
          <w:szCs w:val="21"/>
        </w:rPr>
        <w:t>遵守职业道德规范，</w:t>
      </w:r>
      <w:r>
        <w:rPr>
          <w:rFonts w:hint="eastAsia"/>
          <w:szCs w:val="21"/>
        </w:rPr>
        <w:t>对同学诚信友善，</w:t>
      </w:r>
      <w:r>
        <w:rPr>
          <w:szCs w:val="21"/>
        </w:rPr>
        <w:t>重视沟通交流；</w:t>
      </w:r>
    </w:p>
    <w:p>
      <w:pPr>
        <w:spacing w:line="360" w:lineRule="auto"/>
        <w:ind w:firstLine="420" w:firstLineChars="200"/>
        <w:rPr>
          <w:szCs w:val="21"/>
        </w:rPr>
      </w:pPr>
      <w:r>
        <w:rPr>
          <w:rFonts w:hint="eastAsia"/>
          <w:szCs w:val="21"/>
        </w:rPr>
        <w:t>重视自主设计和创新，重视专业技术能力的提升和科学素养的提高，坚持自主学习，培养敬业精神；</w:t>
      </w:r>
    </w:p>
    <w:p>
      <w:pPr>
        <w:spacing w:line="360" w:lineRule="auto"/>
        <w:ind w:firstLine="420" w:firstLineChars="200"/>
        <w:rPr>
          <w:szCs w:val="21"/>
        </w:rPr>
      </w:pPr>
      <w:r>
        <w:rPr>
          <w:rFonts w:hint="eastAsia"/>
          <w:szCs w:val="21"/>
        </w:rPr>
        <w:t>善于综合协调多种影响因素，考虑并尊重多元文化。</w:t>
      </w:r>
    </w:p>
    <w:p>
      <w:pPr>
        <w:spacing w:line="360" w:lineRule="auto"/>
        <w:ind w:firstLine="420" w:firstLineChars="200"/>
        <w:rPr>
          <w:szCs w:val="21"/>
        </w:rPr>
      </w:pPr>
    </w:p>
    <w:p>
      <w:pPr>
        <w:adjustRightInd w:val="0"/>
        <w:snapToGrid w:val="0"/>
        <w:spacing w:before="156" w:beforeLines="50" w:after="156" w:afterLines="50"/>
        <w:rPr>
          <w:rFonts w:eastAsia="黑体"/>
          <w:szCs w:val="21"/>
        </w:rPr>
      </w:pPr>
      <w:r>
        <w:rPr>
          <w:rFonts w:hint="eastAsia" w:eastAsia="黑体"/>
          <w:szCs w:val="21"/>
        </w:rPr>
        <w:t>三、 基本要求</w:t>
      </w:r>
    </w:p>
    <w:p>
      <w:pPr>
        <w:spacing w:line="360" w:lineRule="auto"/>
        <w:ind w:firstLine="420" w:firstLineChars="200"/>
        <w:rPr>
          <w:szCs w:val="21"/>
        </w:rPr>
      </w:pPr>
      <w:r>
        <w:rPr>
          <w:rFonts w:hint="eastAsia"/>
          <w:szCs w:val="21"/>
        </w:rPr>
        <w:t>1、本课程为动手实践课，要求先修</w:t>
      </w:r>
      <w:r>
        <w:rPr>
          <w:rFonts w:hint="eastAsia" w:asciiTheme="minorEastAsia" w:hAnsiTheme="minorEastAsia" w:eastAsiaTheme="minorEastAsia"/>
          <w:szCs w:val="21"/>
        </w:rPr>
        <w:t>模拟电子技术、数字电子技术、可编程逻辑器件及应用、微机原理及接口技术等</w:t>
      </w:r>
      <w:r>
        <w:rPr>
          <w:rFonts w:asciiTheme="minorEastAsia" w:hAnsiTheme="minorEastAsia" w:eastAsiaTheme="minorEastAsia"/>
          <w:szCs w:val="21"/>
        </w:rPr>
        <w:t>课程。在</w:t>
      </w:r>
      <w:r>
        <w:rPr>
          <w:rFonts w:hint="eastAsia"/>
          <w:szCs w:val="21"/>
        </w:rPr>
        <w:t>教学中应注重培养</w:t>
      </w:r>
      <w:r>
        <w:rPr>
          <w:szCs w:val="21"/>
        </w:rPr>
        <w:t>学生综合应用知识</w:t>
      </w:r>
      <w:r>
        <w:rPr>
          <w:rFonts w:hint="eastAsia"/>
          <w:szCs w:val="21"/>
        </w:rPr>
        <w:t>、</w:t>
      </w:r>
      <w:r>
        <w:rPr>
          <w:szCs w:val="21"/>
        </w:rPr>
        <w:t>掌握“</w:t>
      </w:r>
      <w:r>
        <w:rPr>
          <w:rFonts w:hint="eastAsia"/>
          <w:szCs w:val="21"/>
        </w:rPr>
        <w:t>系统设计</w:t>
      </w:r>
      <w:r>
        <w:rPr>
          <w:szCs w:val="21"/>
        </w:rPr>
        <w:t>”</w:t>
      </w:r>
      <w:r>
        <w:rPr>
          <w:rFonts w:hint="eastAsia"/>
          <w:szCs w:val="21"/>
        </w:rPr>
        <w:t>的思维方法和把握</w:t>
      </w:r>
      <w:r>
        <w:rPr>
          <w:szCs w:val="21"/>
        </w:rPr>
        <w:t>整体</w:t>
      </w:r>
      <w:r>
        <w:rPr>
          <w:rFonts w:hint="eastAsia"/>
          <w:szCs w:val="21"/>
        </w:rPr>
        <w:t>的</w:t>
      </w:r>
      <w:r>
        <w:rPr>
          <w:szCs w:val="21"/>
        </w:rPr>
        <w:t>能力</w:t>
      </w:r>
      <w:r>
        <w:rPr>
          <w:rFonts w:hint="eastAsia"/>
          <w:szCs w:val="21"/>
        </w:rPr>
        <w:t>。</w:t>
      </w:r>
    </w:p>
    <w:p>
      <w:pPr>
        <w:spacing w:line="360" w:lineRule="auto"/>
        <w:ind w:firstLine="420" w:firstLineChars="200"/>
        <w:rPr>
          <w:szCs w:val="21"/>
        </w:rPr>
      </w:pPr>
      <w:r>
        <w:rPr>
          <w:rFonts w:hint="eastAsia"/>
          <w:szCs w:val="21"/>
        </w:rPr>
        <w:t>2、学生需要在</w:t>
      </w:r>
      <w:r>
        <w:rPr>
          <w:szCs w:val="21"/>
        </w:rPr>
        <w:t>规定的时间节点</w:t>
      </w:r>
      <w:r>
        <w:rPr>
          <w:rFonts w:hint="eastAsia"/>
          <w:szCs w:val="21"/>
        </w:rPr>
        <w:t>提交方案设计报告</w:t>
      </w:r>
      <w:r>
        <w:rPr>
          <w:szCs w:val="21"/>
        </w:rPr>
        <w:t>、</w:t>
      </w:r>
      <w:r>
        <w:rPr>
          <w:rFonts w:hint="eastAsia"/>
          <w:szCs w:val="21"/>
        </w:rPr>
        <w:t>中期</w:t>
      </w:r>
      <w:r>
        <w:rPr>
          <w:szCs w:val="21"/>
        </w:rPr>
        <w:t>总结</w:t>
      </w:r>
      <w:r>
        <w:rPr>
          <w:rFonts w:hint="eastAsia"/>
          <w:szCs w:val="21"/>
        </w:rPr>
        <w:t>报告、验收总结报告等文档</w:t>
      </w:r>
      <w:r>
        <w:rPr>
          <w:szCs w:val="21"/>
        </w:rPr>
        <w:t>资料</w:t>
      </w:r>
      <w:r>
        <w:rPr>
          <w:rFonts w:hint="eastAsia"/>
          <w:szCs w:val="21"/>
        </w:rPr>
        <w:t>；</w:t>
      </w:r>
      <w:r>
        <w:rPr>
          <w:szCs w:val="21"/>
        </w:rPr>
        <w:t>每种文档应当</w:t>
      </w:r>
      <w:r>
        <w:rPr>
          <w:rFonts w:hint="eastAsia"/>
          <w:szCs w:val="21"/>
        </w:rPr>
        <w:t>体现</w:t>
      </w:r>
      <w:r>
        <w:rPr>
          <w:szCs w:val="21"/>
        </w:rPr>
        <w:t>小组成员各自的分工及</w:t>
      </w:r>
      <w:r>
        <w:rPr>
          <w:rFonts w:hint="eastAsia"/>
          <w:szCs w:val="21"/>
        </w:rPr>
        <w:t>分工</w:t>
      </w:r>
      <w:r>
        <w:rPr>
          <w:szCs w:val="21"/>
        </w:rPr>
        <w:t>完成情况</w:t>
      </w:r>
      <w:r>
        <w:rPr>
          <w:rFonts w:hint="eastAsia"/>
          <w:szCs w:val="21"/>
        </w:rPr>
        <w:t>。</w:t>
      </w:r>
    </w:p>
    <w:p>
      <w:pPr>
        <w:spacing w:line="360" w:lineRule="auto"/>
        <w:ind w:firstLine="420" w:firstLineChars="200"/>
        <w:rPr>
          <w:szCs w:val="21"/>
        </w:rPr>
      </w:pPr>
      <w:r>
        <w:rPr>
          <w:rFonts w:hint="eastAsia"/>
          <w:szCs w:val="21"/>
        </w:rPr>
        <w:t>3、动手</w:t>
      </w:r>
      <w:r>
        <w:rPr>
          <w:szCs w:val="21"/>
        </w:rPr>
        <w:t>实践部分</w:t>
      </w:r>
      <w:r>
        <w:rPr>
          <w:rFonts w:hint="eastAsia"/>
          <w:szCs w:val="21"/>
        </w:rPr>
        <w:t>考查</w:t>
      </w:r>
      <w:r>
        <w:rPr>
          <w:szCs w:val="21"/>
        </w:rPr>
        <w:t>过程分为</w:t>
      </w:r>
      <w:r>
        <w:rPr>
          <w:rFonts w:hint="eastAsia"/>
          <w:szCs w:val="21"/>
        </w:rPr>
        <w:t>设计</w:t>
      </w:r>
      <w:r>
        <w:rPr>
          <w:szCs w:val="21"/>
        </w:rPr>
        <w:t>方案</w:t>
      </w:r>
      <w:r>
        <w:rPr>
          <w:rFonts w:hint="eastAsia"/>
          <w:szCs w:val="21"/>
        </w:rPr>
        <w:t>答辩</w:t>
      </w:r>
      <w:r>
        <w:rPr>
          <w:szCs w:val="21"/>
        </w:rPr>
        <w:t>、中期</w:t>
      </w:r>
      <w:r>
        <w:rPr>
          <w:rFonts w:hint="eastAsia"/>
          <w:szCs w:val="21"/>
        </w:rPr>
        <w:t>检查</w:t>
      </w:r>
      <w:r>
        <w:rPr>
          <w:szCs w:val="21"/>
        </w:rPr>
        <w:t>、设计答辩三个环节，</w:t>
      </w:r>
      <w:r>
        <w:rPr>
          <w:rFonts w:hint="eastAsia"/>
          <w:szCs w:val="21"/>
        </w:rPr>
        <w:t>检查</w:t>
      </w:r>
      <w:r>
        <w:rPr>
          <w:szCs w:val="21"/>
        </w:rPr>
        <w:t>按照</w:t>
      </w:r>
      <w:r>
        <w:rPr>
          <w:rFonts w:hint="eastAsia"/>
          <w:szCs w:val="21"/>
        </w:rPr>
        <w:t>实践</w:t>
      </w:r>
      <w:r>
        <w:rPr>
          <w:szCs w:val="21"/>
        </w:rPr>
        <w:t>题目分组进行，</w:t>
      </w:r>
      <w:r>
        <w:rPr>
          <w:rFonts w:hint="eastAsia"/>
          <w:szCs w:val="21"/>
        </w:rPr>
        <w:t>设计</w:t>
      </w:r>
      <w:r>
        <w:rPr>
          <w:szCs w:val="21"/>
        </w:rPr>
        <w:t>小组成员</w:t>
      </w:r>
      <w:r>
        <w:rPr>
          <w:rFonts w:hint="eastAsia"/>
          <w:szCs w:val="21"/>
        </w:rPr>
        <w:t>需要</w:t>
      </w:r>
      <w:r>
        <w:rPr>
          <w:szCs w:val="21"/>
        </w:rPr>
        <w:t>全部参加。</w:t>
      </w:r>
    </w:p>
    <w:p>
      <w:pPr>
        <w:spacing w:line="360" w:lineRule="auto"/>
        <w:ind w:firstLine="420" w:firstLineChars="200"/>
        <w:rPr>
          <w:szCs w:val="21"/>
        </w:rPr>
      </w:pPr>
      <w:r>
        <w:rPr>
          <w:rFonts w:hint="eastAsia"/>
          <w:szCs w:val="21"/>
        </w:rPr>
        <w:t>4、本课程是一门实践性很强的课程，要求学生在指定</w:t>
      </w:r>
      <w:r>
        <w:rPr>
          <w:szCs w:val="21"/>
        </w:rPr>
        <w:t>的时间、地点接受指导</w:t>
      </w:r>
      <w:r>
        <w:rPr>
          <w:rFonts w:hint="eastAsia"/>
          <w:szCs w:val="21"/>
        </w:rPr>
        <w:t>，要求</w:t>
      </w:r>
      <w:r>
        <w:rPr>
          <w:szCs w:val="21"/>
        </w:rPr>
        <w:t>教师在指定的时间、地点对学生进行指</w:t>
      </w:r>
      <w:r>
        <w:rPr>
          <w:rFonts w:hint="eastAsia"/>
          <w:szCs w:val="21"/>
        </w:rPr>
        <w:t>导。</w:t>
      </w:r>
    </w:p>
    <w:p>
      <w:pPr>
        <w:spacing w:line="360" w:lineRule="auto"/>
        <w:ind w:firstLine="420" w:firstLineChars="200"/>
        <w:rPr>
          <w:szCs w:val="21"/>
        </w:rPr>
      </w:pPr>
    </w:p>
    <w:p>
      <w:pPr>
        <w:adjustRightInd w:val="0"/>
        <w:snapToGrid w:val="0"/>
        <w:spacing w:before="156" w:beforeLines="50" w:after="156" w:afterLines="50"/>
        <w:rPr>
          <w:rFonts w:eastAsia="黑体"/>
          <w:szCs w:val="21"/>
        </w:rPr>
      </w:pPr>
      <w:r>
        <w:rPr>
          <w:rFonts w:hint="eastAsia" w:eastAsia="黑体"/>
          <w:szCs w:val="21"/>
        </w:rPr>
        <w:t>四、教学内容和教学方法</w:t>
      </w:r>
    </w:p>
    <w:p>
      <w:pPr>
        <w:spacing w:line="360" w:lineRule="auto"/>
        <w:ind w:firstLine="422" w:firstLineChars="200"/>
        <w:rPr>
          <w:szCs w:val="21"/>
        </w:rPr>
      </w:pPr>
      <w:r>
        <w:rPr>
          <w:rFonts w:hint="eastAsia"/>
          <w:b/>
          <w:bCs/>
          <w:szCs w:val="21"/>
        </w:rPr>
        <w:t>组织方式：</w:t>
      </w:r>
      <w:r>
        <w:rPr>
          <w:rFonts w:hint="eastAsia"/>
          <w:szCs w:val="21"/>
        </w:rPr>
        <w:t>本课程包含三个环节，第一个环节为理论知识讲授，主要是针对设计过程、组织方式、可能用到的一些知识点进行原理讲解，20学时，跨时1周；第二环节为大型实验，用3周时间，每周集中指导时间为20学时，共60学时，每周完成一个确定实验，内容覆盖总线数据传输、无线数据传输、图像数据处理等知识；第三环节为开放式实训，集中指导88学时，跨度8周，教师设计</w:t>
      </w:r>
      <w:r>
        <w:rPr>
          <w:szCs w:val="21"/>
        </w:rPr>
        <w:t>不同</w:t>
      </w:r>
      <w:r>
        <w:rPr>
          <w:rFonts w:hint="eastAsia"/>
          <w:szCs w:val="21"/>
        </w:rPr>
        <w:t>领域</w:t>
      </w:r>
      <w:r>
        <w:rPr>
          <w:szCs w:val="21"/>
        </w:rPr>
        <w:t>的</w:t>
      </w:r>
      <w:r>
        <w:rPr>
          <w:rFonts w:hint="eastAsia"/>
          <w:szCs w:val="21"/>
        </w:rPr>
        <w:t>3</w:t>
      </w:r>
      <w:r>
        <w:rPr>
          <w:szCs w:val="21"/>
        </w:rPr>
        <w:t>~4</w:t>
      </w:r>
      <w:r>
        <w:rPr>
          <w:rFonts w:hint="eastAsia"/>
          <w:szCs w:val="21"/>
        </w:rPr>
        <w:t>个工程性</w:t>
      </w:r>
      <w:r>
        <w:rPr>
          <w:szCs w:val="21"/>
        </w:rPr>
        <w:t>题目，</w:t>
      </w:r>
      <w:r>
        <w:rPr>
          <w:rFonts w:hint="eastAsia"/>
          <w:szCs w:val="21"/>
        </w:rPr>
        <w:t>学生2</w:t>
      </w:r>
      <w:r>
        <w:rPr>
          <w:szCs w:val="21"/>
        </w:rPr>
        <w:t>~4</w:t>
      </w:r>
      <w:r>
        <w:rPr>
          <w:rFonts w:hint="eastAsia"/>
          <w:szCs w:val="21"/>
        </w:rPr>
        <w:t>人</w:t>
      </w:r>
      <w:r>
        <w:rPr>
          <w:szCs w:val="21"/>
        </w:rPr>
        <w:t>一组，自由组合选择实践题目。</w:t>
      </w:r>
      <w:r>
        <w:rPr>
          <w:rFonts w:hint="eastAsia"/>
          <w:szCs w:val="21"/>
        </w:rPr>
        <w:t>教师</w:t>
      </w:r>
      <w:r>
        <w:rPr>
          <w:szCs w:val="21"/>
        </w:rPr>
        <w:t>在动手实践开始前</w:t>
      </w:r>
      <w:r>
        <w:rPr>
          <w:rFonts w:hint="eastAsia"/>
          <w:szCs w:val="21"/>
        </w:rPr>
        <w:t>，</w:t>
      </w:r>
      <w:r>
        <w:rPr>
          <w:szCs w:val="21"/>
        </w:rPr>
        <w:t>针对实践题目涉及的主要</w:t>
      </w:r>
      <w:r>
        <w:rPr>
          <w:rFonts w:hint="eastAsia"/>
          <w:szCs w:val="21"/>
        </w:rPr>
        <w:t>技术</w:t>
      </w:r>
      <w:r>
        <w:rPr>
          <w:szCs w:val="21"/>
        </w:rPr>
        <w:t>问题安排专题讲座</w:t>
      </w:r>
      <w:r>
        <w:rPr>
          <w:rFonts w:hint="eastAsia"/>
          <w:szCs w:val="21"/>
        </w:rPr>
        <w:t>，</w:t>
      </w:r>
      <w:r>
        <w:rPr>
          <w:szCs w:val="21"/>
        </w:rPr>
        <w:t>并指导学生完成相应的实验。</w:t>
      </w:r>
      <w:r>
        <w:rPr>
          <w:rFonts w:hint="eastAsia"/>
          <w:szCs w:val="21"/>
        </w:rPr>
        <w:t>教师</w:t>
      </w:r>
      <w:r>
        <w:rPr>
          <w:szCs w:val="21"/>
        </w:rPr>
        <w:t>根据</w:t>
      </w:r>
      <w:r>
        <w:rPr>
          <w:rFonts w:hint="eastAsia"/>
          <w:szCs w:val="21"/>
        </w:rPr>
        <w:t>项目开发过程</w:t>
      </w:r>
      <w:r>
        <w:rPr>
          <w:szCs w:val="21"/>
        </w:rPr>
        <w:t>和</w:t>
      </w:r>
      <w:r>
        <w:rPr>
          <w:rFonts w:hint="eastAsia"/>
          <w:szCs w:val="21"/>
        </w:rPr>
        <w:t>效</w:t>
      </w:r>
      <w:r>
        <w:rPr>
          <w:szCs w:val="21"/>
        </w:rPr>
        <w:t>果评定实验成绩，作为该实践课程</w:t>
      </w:r>
      <w:r>
        <w:rPr>
          <w:rFonts w:hint="eastAsia"/>
          <w:szCs w:val="21"/>
        </w:rPr>
        <w:t>成绩</w:t>
      </w:r>
      <w:r>
        <w:rPr>
          <w:szCs w:val="21"/>
        </w:rPr>
        <w:t>的一部分。</w:t>
      </w:r>
    </w:p>
    <w:p>
      <w:pPr>
        <w:spacing w:line="360" w:lineRule="auto"/>
        <w:ind w:firstLine="422" w:firstLineChars="200"/>
        <w:rPr>
          <w:b/>
          <w:bCs/>
          <w:szCs w:val="21"/>
        </w:rPr>
      </w:pPr>
      <w:r>
        <w:rPr>
          <w:rFonts w:hint="eastAsia"/>
          <w:b/>
          <w:bCs/>
          <w:szCs w:val="21"/>
        </w:rPr>
        <w:t>思政元素：</w:t>
      </w:r>
    </w:p>
    <w:p>
      <w:pPr>
        <w:spacing w:line="360" w:lineRule="auto"/>
        <w:ind w:firstLine="422" w:firstLineChars="200"/>
        <w:rPr>
          <w:b/>
          <w:bCs/>
          <w:szCs w:val="21"/>
        </w:rPr>
      </w:pPr>
      <w:r>
        <w:rPr>
          <w:b/>
          <w:bCs/>
          <w:szCs w:val="21"/>
        </w:rPr>
        <w:t>正确处理分组实践中的团队协作关系，遵守职业道德规范，对同学诚信友善，重视沟通交流；</w:t>
      </w:r>
    </w:p>
    <w:p>
      <w:pPr>
        <w:spacing w:line="360" w:lineRule="auto"/>
        <w:ind w:firstLine="422" w:firstLineChars="200"/>
        <w:rPr>
          <w:szCs w:val="21"/>
        </w:rPr>
      </w:pPr>
      <w:r>
        <w:rPr>
          <w:rFonts w:hint="eastAsia"/>
          <w:b/>
          <w:bCs/>
          <w:szCs w:val="21"/>
        </w:rPr>
        <w:t>讲授的内容</w:t>
      </w:r>
      <w:r>
        <w:rPr>
          <w:rFonts w:hint="eastAsia"/>
          <w:szCs w:val="21"/>
        </w:rPr>
        <w:t>：实践</w:t>
      </w:r>
      <w:r>
        <w:rPr>
          <w:szCs w:val="21"/>
        </w:rPr>
        <w:t>安排</w:t>
      </w:r>
      <w:r>
        <w:rPr>
          <w:rFonts w:hint="eastAsia"/>
          <w:szCs w:val="21"/>
        </w:rPr>
        <w:t>与</w:t>
      </w:r>
      <w:r>
        <w:rPr>
          <w:szCs w:val="21"/>
        </w:rPr>
        <w:t>考核要求、</w:t>
      </w:r>
      <w:r>
        <w:rPr>
          <w:rFonts w:hint="eastAsia"/>
          <w:szCs w:val="21"/>
        </w:rPr>
        <w:t>数据</w:t>
      </w:r>
      <w:r>
        <w:rPr>
          <w:szCs w:val="21"/>
        </w:rPr>
        <w:t>传输</w:t>
      </w:r>
      <w:r>
        <w:rPr>
          <w:rFonts w:hint="eastAsia"/>
          <w:szCs w:val="21"/>
        </w:rPr>
        <w:t>、图像</w:t>
      </w:r>
      <w:r>
        <w:rPr>
          <w:szCs w:val="21"/>
        </w:rPr>
        <w:t>采集处理</w:t>
      </w:r>
      <w:r>
        <w:rPr>
          <w:rFonts w:hint="eastAsia"/>
          <w:szCs w:val="21"/>
        </w:rPr>
        <w:t>、</w:t>
      </w:r>
      <w:r>
        <w:rPr>
          <w:szCs w:val="21"/>
        </w:rPr>
        <w:t>实践基础与系统方案设计</w:t>
      </w:r>
      <w:r>
        <w:rPr>
          <w:rFonts w:hint="eastAsia"/>
          <w:szCs w:val="21"/>
        </w:rPr>
        <w:t>等，</w:t>
      </w:r>
      <w:r>
        <w:rPr>
          <w:szCs w:val="21"/>
        </w:rPr>
        <w:t>讲授完成后</w:t>
      </w:r>
      <w:r>
        <w:rPr>
          <w:rFonts w:hint="eastAsia"/>
          <w:szCs w:val="21"/>
        </w:rPr>
        <w:t>安排</w:t>
      </w:r>
      <w:r>
        <w:rPr>
          <w:szCs w:val="21"/>
        </w:rPr>
        <w:t>专项实验训练学生掌握有线与无线</w:t>
      </w:r>
      <w:r>
        <w:rPr>
          <w:rFonts w:hint="eastAsia"/>
          <w:szCs w:val="21"/>
        </w:rPr>
        <w:t>数据</w:t>
      </w:r>
      <w:r>
        <w:rPr>
          <w:szCs w:val="21"/>
        </w:rPr>
        <w:t>传输</w:t>
      </w:r>
      <w:r>
        <w:rPr>
          <w:rFonts w:hint="eastAsia"/>
          <w:szCs w:val="21"/>
        </w:rPr>
        <w:t>、图像</w:t>
      </w:r>
      <w:r>
        <w:rPr>
          <w:szCs w:val="21"/>
        </w:rPr>
        <w:t>采集处理</w:t>
      </w:r>
      <w:r>
        <w:rPr>
          <w:rFonts w:hint="eastAsia"/>
          <w:szCs w:val="21"/>
        </w:rPr>
        <w:t>部分</w:t>
      </w:r>
      <w:r>
        <w:rPr>
          <w:szCs w:val="21"/>
        </w:rPr>
        <w:t>的</w:t>
      </w:r>
      <w:r>
        <w:rPr>
          <w:rFonts w:hint="eastAsia"/>
          <w:szCs w:val="21"/>
        </w:rPr>
        <w:t>动手能力。实践</w:t>
      </w:r>
      <w:r>
        <w:rPr>
          <w:szCs w:val="21"/>
        </w:rPr>
        <w:t>题目</w:t>
      </w:r>
      <w:r>
        <w:rPr>
          <w:rFonts w:hint="eastAsia"/>
          <w:szCs w:val="21"/>
        </w:rPr>
        <w:t>包括</w:t>
      </w:r>
      <w:r>
        <w:rPr>
          <w:szCs w:val="21"/>
        </w:rPr>
        <w:t>：</w:t>
      </w:r>
      <w:r>
        <w:rPr>
          <w:rFonts w:hint="eastAsia"/>
          <w:szCs w:val="21"/>
        </w:rPr>
        <w:t>基于物联网的校园安全监测系统设计、基于图像识别的校园车道控制系统设计、总线型温室大棚监控系统。</w:t>
      </w:r>
    </w:p>
    <w:p>
      <w:pPr>
        <w:widowControl/>
        <w:spacing w:line="360" w:lineRule="auto"/>
        <w:ind w:firstLine="422" w:firstLineChars="200"/>
        <w:jc w:val="left"/>
        <w:rPr>
          <w:rFonts w:cs="宋体"/>
          <w:szCs w:val="21"/>
        </w:rPr>
      </w:pPr>
      <w:r>
        <w:rPr>
          <w:rFonts w:cs="宋体"/>
          <w:b/>
          <w:bCs/>
          <w:szCs w:val="21"/>
        </w:rPr>
        <w:t>偏差说明</w:t>
      </w:r>
      <w:r>
        <w:rPr>
          <w:rFonts w:cs="宋体"/>
          <w:szCs w:val="21"/>
        </w:rPr>
        <w:t>：为了鼓励教师引入个人授课风格或者适应技术发展的紧迫性，本课程允许教师</w:t>
      </w:r>
      <w:r>
        <w:rPr>
          <w:rFonts w:hint="eastAsia" w:cs="宋体"/>
          <w:szCs w:val="21"/>
        </w:rPr>
        <w:t>理论</w:t>
      </w:r>
      <w:r>
        <w:rPr>
          <w:rFonts w:cs="宋体"/>
          <w:szCs w:val="21"/>
        </w:rPr>
        <w:t>授课内容做适当调整，最大正偏差为</w:t>
      </w:r>
      <w:r>
        <w:rPr>
          <w:rFonts w:hint="eastAsia" w:cs="宋体"/>
          <w:szCs w:val="21"/>
        </w:rPr>
        <w:t>10%，不允许负偏差。正偏差通过压缩同等内容的学时数来完成。特殊情况，最大正偏差和置换偏差累计可达到20%，但在开课前要申请专业责任人批准。（正偏差指大纲知识点不变，新增知识点；负偏差是大纲知识点减少；置换偏差是指大纲中部分知识点被其它类似知识点替换）。</w:t>
      </w:r>
      <w:r>
        <w:rPr>
          <w:szCs w:val="21"/>
        </w:rPr>
        <w:t>允许教师制定新实践题目</w:t>
      </w:r>
      <w:r>
        <w:rPr>
          <w:rFonts w:hint="eastAsia"/>
          <w:szCs w:val="21"/>
        </w:rPr>
        <w:t>，新</w:t>
      </w:r>
      <w:r>
        <w:rPr>
          <w:szCs w:val="21"/>
        </w:rPr>
        <w:t>实践题目需要</w:t>
      </w:r>
      <w:r>
        <w:rPr>
          <w:rFonts w:hint="eastAsia"/>
          <w:szCs w:val="21"/>
        </w:rPr>
        <w:t>制定出详细</w:t>
      </w:r>
      <w:r>
        <w:rPr>
          <w:szCs w:val="21"/>
        </w:rPr>
        <w:t>的实践要求和实践培养能力说明</w:t>
      </w:r>
      <w:r>
        <w:rPr>
          <w:rFonts w:hint="eastAsia"/>
          <w:szCs w:val="21"/>
        </w:rPr>
        <w:t>，</w:t>
      </w:r>
      <w:r>
        <w:rPr>
          <w:szCs w:val="21"/>
        </w:rPr>
        <w:t>经过</w:t>
      </w:r>
      <w:r>
        <w:rPr>
          <w:rFonts w:hint="eastAsia" w:cs="宋体"/>
          <w:szCs w:val="21"/>
        </w:rPr>
        <w:t>专业责任人批准。</w:t>
      </w:r>
    </w:p>
    <w:p>
      <w:pPr>
        <w:spacing w:line="360" w:lineRule="auto"/>
        <w:ind w:firstLine="422" w:firstLineChars="200"/>
        <w:rPr>
          <w:szCs w:val="21"/>
        </w:rPr>
      </w:pPr>
      <w:r>
        <w:rPr>
          <w:rFonts w:hint="eastAsia"/>
          <w:b/>
          <w:bCs/>
          <w:szCs w:val="21"/>
        </w:rPr>
        <w:t>深度和广度说明</w:t>
      </w:r>
      <w:r>
        <w:rPr>
          <w:rFonts w:hint="eastAsia"/>
          <w:szCs w:val="21"/>
        </w:rPr>
        <w:t>：对数据</w:t>
      </w:r>
      <w:r>
        <w:rPr>
          <w:szCs w:val="21"/>
        </w:rPr>
        <w:t>传输</w:t>
      </w:r>
      <w:r>
        <w:rPr>
          <w:rFonts w:hint="eastAsia"/>
          <w:szCs w:val="21"/>
        </w:rPr>
        <w:t>、图像</w:t>
      </w:r>
      <w:r>
        <w:rPr>
          <w:szCs w:val="21"/>
        </w:rPr>
        <w:t>采集处理</w:t>
      </w:r>
      <w:r>
        <w:rPr>
          <w:rFonts w:hint="eastAsia"/>
          <w:szCs w:val="21"/>
        </w:rPr>
        <w:t>部分要深入讲解，对</w:t>
      </w:r>
      <w:r>
        <w:rPr>
          <w:szCs w:val="21"/>
        </w:rPr>
        <w:t>实践基础与系统方案设计</w:t>
      </w:r>
      <w:r>
        <w:rPr>
          <w:rFonts w:hint="eastAsia"/>
          <w:szCs w:val="21"/>
        </w:rPr>
        <w:t>只做介绍和</w:t>
      </w:r>
      <w:r>
        <w:rPr>
          <w:szCs w:val="21"/>
        </w:rPr>
        <w:t>规范性说明</w:t>
      </w:r>
      <w:r>
        <w:rPr>
          <w:rFonts w:hint="eastAsia"/>
          <w:szCs w:val="21"/>
        </w:rPr>
        <w:t>；实践题目</w:t>
      </w:r>
      <w:r>
        <w:rPr>
          <w:szCs w:val="21"/>
        </w:rPr>
        <w:t>按时</w:t>
      </w:r>
      <w:r>
        <w:rPr>
          <w:rFonts w:hint="eastAsia"/>
          <w:szCs w:val="21"/>
        </w:rPr>
        <w:t>按</w:t>
      </w:r>
      <w:r>
        <w:rPr>
          <w:szCs w:val="21"/>
        </w:rPr>
        <w:t>规定要求完成</w:t>
      </w:r>
      <w:r>
        <w:rPr>
          <w:rFonts w:hint="eastAsia"/>
          <w:szCs w:val="21"/>
        </w:rPr>
        <w:t>是重点。</w:t>
      </w:r>
    </w:p>
    <w:p>
      <w:pPr>
        <w:spacing w:line="360" w:lineRule="auto"/>
        <w:ind w:firstLine="420" w:firstLineChars="200"/>
        <w:rPr>
          <w:szCs w:val="21"/>
        </w:rPr>
      </w:pPr>
      <w:r>
        <w:rPr>
          <w:rFonts w:hint="eastAsia"/>
          <w:szCs w:val="21"/>
        </w:rPr>
        <w:t>为了提高学生的学习兴趣，并取得良好的教学效果，教师在知识讲解和</w:t>
      </w:r>
      <w:r>
        <w:rPr>
          <w:szCs w:val="21"/>
        </w:rPr>
        <w:t>辅导</w:t>
      </w:r>
      <w:r>
        <w:rPr>
          <w:rFonts w:hint="eastAsia"/>
          <w:szCs w:val="21"/>
        </w:rPr>
        <w:t>的过程中要充分利用问题引导、案例分析等多种教学方法，以进一步提高教学质量。</w:t>
      </w:r>
    </w:p>
    <w:p>
      <w:pPr>
        <w:spacing w:line="360" w:lineRule="auto"/>
        <w:ind w:firstLine="420"/>
        <w:rPr>
          <w:rFonts w:ascii="微软雅黑" w:hAnsi="微软雅黑" w:eastAsia="微软雅黑" w:cs="微软雅黑"/>
          <w:bCs/>
          <w:szCs w:val="21"/>
        </w:rPr>
      </w:pPr>
      <w:r>
        <w:rPr>
          <w:rFonts w:hint="eastAsia" w:ascii="微软雅黑" w:hAnsi="微软雅黑" w:eastAsia="微软雅黑" w:cs="微软雅黑"/>
          <w:bCs/>
          <w:szCs w:val="21"/>
        </w:rPr>
        <w:t>第一环节：集中理论教学环节（20学时，1周内完成）</w:t>
      </w:r>
    </w:p>
    <w:p>
      <w:pPr>
        <w:spacing w:line="360" w:lineRule="auto"/>
        <w:ind w:firstLine="420" w:firstLineChars="200"/>
        <w:rPr>
          <w:szCs w:val="21"/>
        </w:rPr>
      </w:pPr>
      <w:r>
        <w:rPr>
          <w:rFonts w:hint="eastAsia"/>
          <w:szCs w:val="21"/>
        </w:rPr>
        <w:t>第一环节教学内容要求全体学生修学，采取集中教学。</w:t>
      </w:r>
    </w:p>
    <w:p>
      <w:pPr>
        <w:widowControl/>
        <w:spacing w:line="360" w:lineRule="auto"/>
        <w:ind w:left="426"/>
        <w:jc w:val="left"/>
        <w:rPr>
          <w:rFonts w:eastAsia="黑体" w:cs="宋体"/>
          <w:kern w:val="0"/>
          <w:szCs w:val="21"/>
        </w:rPr>
      </w:pPr>
      <w:r>
        <w:rPr>
          <w:rFonts w:hint="eastAsia" w:eastAsia="黑体" w:cs="宋体"/>
          <w:snapToGrid w:val="0"/>
          <w:kern w:val="0"/>
          <w:szCs w:val="21"/>
        </w:rPr>
        <w:t>1</w:t>
      </w:r>
      <w:r>
        <w:rPr>
          <w:rFonts w:eastAsia="黑体" w:cs="宋体"/>
          <w:snapToGrid w:val="0"/>
          <w:kern w:val="0"/>
          <w:szCs w:val="21"/>
        </w:rPr>
        <w:t xml:space="preserve"> </w:t>
      </w:r>
      <w:r>
        <w:rPr>
          <w:rFonts w:hint="eastAsia" w:eastAsia="黑体" w:cs="宋体"/>
          <w:snapToGrid w:val="0"/>
          <w:kern w:val="0"/>
          <w:szCs w:val="21"/>
        </w:rPr>
        <w:t>实践安排与考核要求（</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hint="eastAsia" w:cs="宋体"/>
          <w:snapToGrid w:val="0"/>
          <w:kern w:val="0"/>
          <w:szCs w:val="21"/>
        </w:rPr>
        <w:t>1.1、本课程在专业课程体系中的地位和作用介绍；</w:t>
      </w:r>
    </w:p>
    <w:p>
      <w:pPr>
        <w:widowControl/>
        <w:spacing w:line="360" w:lineRule="auto"/>
        <w:ind w:left="426"/>
        <w:jc w:val="left"/>
        <w:rPr>
          <w:rFonts w:cs="宋体"/>
          <w:snapToGrid w:val="0"/>
          <w:kern w:val="0"/>
          <w:szCs w:val="21"/>
        </w:rPr>
      </w:pPr>
      <w:r>
        <w:rPr>
          <w:rFonts w:hint="eastAsia" w:cs="宋体"/>
          <w:snapToGrid w:val="0"/>
          <w:kern w:val="0"/>
          <w:szCs w:val="21"/>
        </w:rPr>
        <w:t>1.2、课程内容、学习组织方法、讲授与</w:t>
      </w:r>
      <w:r>
        <w:rPr>
          <w:rFonts w:cs="宋体"/>
          <w:snapToGrid w:val="0"/>
          <w:kern w:val="0"/>
          <w:szCs w:val="21"/>
        </w:rPr>
        <w:t>辅导</w:t>
      </w:r>
      <w:r>
        <w:rPr>
          <w:rFonts w:hint="eastAsia" w:cs="宋体"/>
          <w:snapToGrid w:val="0"/>
          <w:kern w:val="0"/>
          <w:szCs w:val="21"/>
        </w:rPr>
        <w:t>方式、评价方式介绍；</w:t>
      </w:r>
    </w:p>
    <w:p>
      <w:pPr>
        <w:widowControl/>
        <w:spacing w:line="360" w:lineRule="auto"/>
        <w:ind w:left="426"/>
        <w:jc w:val="left"/>
        <w:rPr>
          <w:rFonts w:cs="宋体"/>
          <w:snapToGrid w:val="0"/>
          <w:kern w:val="0"/>
          <w:szCs w:val="21"/>
        </w:rPr>
      </w:pPr>
      <w:r>
        <w:rPr>
          <w:rFonts w:hint="eastAsia" w:cs="宋体"/>
          <w:snapToGrid w:val="0"/>
          <w:kern w:val="0"/>
          <w:szCs w:val="21"/>
        </w:rPr>
        <w:t>1.</w:t>
      </w:r>
      <w:r>
        <w:rPr>
          <w:rFonts w:cs="宋体"/>
          <w:snapToGrid w:val="0"/>
          <w:kern w:val="0"/>
          <w:szCs w:val="21"/>
        </w:rPr>
        <w:t>3</w:t>
      </w:r>
      <w:r>
        <w:rPr>
          <w:rFonts w:hint="eastAsia" w:cs="宋体"/>
          <w:snapToGrid w:val="0"/>
          <w:kern w:val="0"/>
          <w:szCs w:val="21"/>
        </w:rPr>
        <w:t>、教学内容</w:t>
      </w:r>
      <w:r>
        <w:rPr>
          <w:rFonts w:cs="宋体"/>
          <w:snapToGrid w:val="0"/>
          <w:kern w:val="0"/>
          <w:szCs w:val="21"/>
        </w:rPr>
        <w:t>与</w:t>
      </w:r>
      <w:r>
        <w:rPr>
          <w:rFonts w:hint="eastAsia" w:cs="宋体"/>
          <w:snapToGrid w:val="0"/>
          <w:kern w:val="0"/>
          <w:szCs w:val="21"/>
        </w:rPr>
        <w:t>实践</w:t>
      </w:r>
      <w:r>
        <w:rPr>
          <w:rFonts w:cs="宋体"/>
          <w:snapToGrid w:val="0"/>
          <w:kern w:val="0"/>
          <w:szCs w:val="21"/>
        </w:rPr>
        <w:t>题目说明</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1.4、</w:t>
      </w:r>
      <w:r>
        <w:rPr>
          <w:rFonts w:hint="eastAsia" w:cs="宋体"/>
          <w:snapToGrid w:val="0"/>
          <w:kern w:val="0"/>
          <w:szCs w:val="21"/>
        </w:rPr>
        <w:t>工程产品研制程序及基本要求；</w:t>
      </w:r>
    </w:p>
    <w:p>
      <w:pPr>
        <w:widowControl/>
        <w:spacing w:line="360" w:lineRule="auto"/>
        <w:ind w:left="426"/>
        <w:jc w:val="left"/>
        <w:rPr>
          <w:rFonts w:cs="宋体"/>
          <w:snapToGrid w:val="0"/>
          <w:kern w:val="0"/>
          <w:szCs w:val="21"/>
        </w:rPr>
      </w:pPr>
      <w:r>
        <w:rPr>
          <w:rFonts w:cs="宋体"/>
          <w:snapToGrid w:val="0"/>
          <w:kern w:val="0"/>
          <w:szCs w:val="21"/>
        </w:rPr>
        <w:t>1.5、</w:t>
      </w:r>
      <w:r>
        <w:rPr>
          <w:rFonts w:hint="eastAsia" w:cs="宋体"/>
          <w:snapToGrid w:val="0"/>
          <w:kern w:val="0"/>
          <w:szCs w:val="21"/>
        </w:rPr>
        <w:t>工程标准与规范简介。</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难点：无</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重点：过程组织与考核</w:t>
      </w:r>
      <w:r>
        <w:rPr>
          <w:rFonts w:ascii="宋体" w:hAnsi="宋体" w:cs="宋体"/>
          <w:snapToGrid w:val="0"/>
          <w:kern w:val="0"/>
          <w:szCs w:val="21"/>
        </w:rPr>
        <w:t>要求，实践题目要求</w:t>
      </w:r>
    </w:p>
    <w:p>
      <w:pPr>
        <w:widowControl/>
        <w:spacing w:line="360" w:lineRule="auto"/>
        <w:ind w:left="426"/>
        <w:jc w:val="left"/>
        <w:rPr>
          <w:rFonts w:eastAsia="黑体" w:cs="宋体"/>
          <w:kern w:val="0"/>
          <w:szCs w:val="21"/>
        </w:rPr>
      </w:pPr>
      <w:r>
        <w:rPr>
          <w:rFonts w:eastAsia="黑体" w:cs="宋体"/>
          <w:snapToGrid w:val="0"/>
          <w:kern w:val="0"/>
          <w:szCs w:val="21"/>
        </w:rPr>
        <w:t xml:space="preserve">2 </w:t>
      </w:r>
      <w:r>
        <w:rPr>
          <w:rFonts w:hint="eastAsia" w:eastAsia="黑体" w:cs="宋体"/>
          <w:snapToGrid w:val="0"/>
          <w:kern w:val="0"/>
          <w:szCs w:val="21"/>
        </w:rPr>
        <w:t>SPI数据传输基础（</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2</w:t>
      </w:r>
      <w:r>
        <w:rPr>
          <w:rFonts w:hint="eastAsia" w:cs="宋体"/>
          <w:snapToGrid w:val="0"/>
          <w:kern w:val="0"/>
          <w:szCs w:val="21"/>
        </w:rPr>
        <w:t>.1、SPI数据</w:t>
      </w:r>
      <w:r>
        <w:rPr>
          <w:rFonts w:cs="宋体"/>
          <w:snapToGrid w:val="0"/>
          <w:kern w:val="0"/>
          <w:szCs w:val="21"/>
        </w:rPr>
        <w:t>传输原理</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2</w:t>
      </w:r>
      <w:r>
        <w:rPr>
          <w:rFonts w:hint="eastAsia" w:cs="宋体"/>
          <w:snapToGrid w:val="0"/>
          <w:kern w:val="0"/>
          <w:szCs w:val="21"/>
        </w:rPr>
        <w:t>.2、SPI数据传输实现</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2</w:t>
      </w:r>
      <w:r>
        <w:rPr>
          <w:rFonts w:hint="eastAsia" w:cs="宋体"/>
          <w:snapToGrid w:val="0"/>
          <w:kern w:val="0"/>
          <w:szCs w:val="21"/>
        </w:rPr>
        <w:t>.</w:t>
      </w:r>
      <w:r>
        <w:rPr>
          <w:rFonts w:cs="宋体"/>
          <w:snapToGrid w:val="0"/>
          <w:kern w:val="0"/>
          <w:szCs w:val="21"/>
        </w:rPr>
        <w:t>3</w:t>
      </w:r>
      <w:r>
        <w:rPr>
          <w:rFonts w:hint="eastAsia" w:cs="宋体"/>
          <w:snapToGrid w:val="0"/>
          <w:kern w:val="0"/>
          <w:szCs w:val="21"/>
        </w:rPr>
        <w:t>、SPI数据传输用途</w:t>
      </w:r>
      <w:r>
        <w:rPr>
          <w:rFonts w:cs="宋体"/>
          <w:snapToGrid w:val="0"/>
          <w:kern w:val="0"/>
          <w:szCs w:val="21"/>
        </w:rPr>
        <w:t>与</w:t>
      </w:r>
      <w:r>
        <w:rPr>
          <w:rFonts w:hint="eastAsia" w:cs="宋体"/>
          <w:snapToGrid w:val="0"/>
          <w:kern w:val="0"/>
          <w:szCs w:val="21"/>
        </w:rPr>
        <w:t>使用</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hint="eastAsia" w:cs="宋体"/>
          <w:snapToGrid w:val="0"/>
          <w:kern w:val="0"/>
          <w:szCs w:val="21"/>
        </w:rPr>
        <w:t>SPI数据传输实现</w:t>
      </w:r>
      <w:r>
        <w:rPr>
          <w:rFonts w:cs="宋体"/>
          <w:snapToGrid w:val="0"/>
          <w:kern w:val="0"/>
          <w:szCs w:val="21"/>
        </w:rPr>
        <w:t>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hint="eastAsia" w:cs="宋体"/>
          <w:snapToGrid w:val="0"/>
          <w:kern w:val="0"/>
          <w:szCs w:val="21"/>
        </w:rPr>
        <w:t>SPI数据传输实现</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w:t>
      </w:r>
    </w:p>
    <w:p>
      <w:pPr>
        <w:widowControl/>
        <w:spacing w:line="360" w:lineRule="auto"/>
        <w:ind w:left="426"/>
        <w:jc w:val="left"/>
        <w:rPr>
          <w:rFonts w:eastAsia="黑体" w:cs="宋体"/>
          <w:kern w:val="0"/>
          <w:szCs w:val="21"/>
        </w:rPr>
      </w:pPr>
      <w:r>
        <w:rPr>
          <w:rFonts w:eastAsia="黑体" w:cs="宋体"/>
          <w:snapToGrid w:val="0"/>
          <w:kern w:val="0"/>
          <w:szCs w:val="21"/>
        </w:rPr>
        <w:t>3 ZigBee</w:t>
      </w:r>
      <w:r>
        <w:rPr>
          <w:rFonts w:hint="eastAsia" w:eastAsia="黑体" w:cs="宋体"/>
          <w:snapToGrid w:val="0"/>
          <w:kern w:val="0"/>
          <w:szCs w:val="21"/>
        </w:rPr>
        <w:t>数据传输基础（</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3</w:t>
      </w:r>
      <w:r>
        <w:rPr>
          <w:rFonts w:hint="eastAsia" w:cs="宋体"/>
          <w:snapToGrid w:val="0"/>
          <w:kern w:val="0"/>
          <w:szCs w:val="21"/>
        </w:rPr>
        <w:t>.1、</w:t>
      </w:r>
      <w:r>
        <w:rPr>
          <w:rFonts w:cs="宋体"/>
          <w:snapToGrid w:val="0"/>
          <w:kern w:val="0"/>
          <w:szCs w:val="21"/>
        </w:rPr>
        <w:t>ZigBee传输原理</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3</w:t>
      </w:r>
      <w:r>
        <w:rPr>
          <w:rFonts w:hint="eastAsia" w:cs="宋体"/>
          <w:snapToGrid w:val="0"/>
          <w:kern w:val="0"/>
          <w:szCs w:val="21"/>
        </w:rPr>
        <w:t>.2、</w:t>
      </w:r>
      <w:r>
        <w:rPr>
          <w:rFonts w:cs="宋体"/>
          <w:snapToGrid w:val="0"/>
          <w:kern w:val="0"/>
          <w:szCs w:val="21"/>
        </w:rPr>
        <w:t>ZigBee</w:t>
      </w:r>
      <w:r>
        <w:rPr>
          <w:rFonts w:hint="eastAsia" w:cs="宋体"/>
          <w:snapToGrid w:val="0"/>
          <w:kern w:val="0"/>
          <w:szCs w:val="21"/>
        </w:rPr>
        <w:t>数据传输实现</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3</w:t>
      </w:r>
      <w:r>
        <w:rPr>
          <w:rFonts w:hint="eastAsia" w:cs="宋体"/>
          <w:snapToGrid w:val="0"/>
          <w:kern w:val="0"/>
          <w:szCs w:val="21"/>
        </w:rPr>
        <w:t>.</w:t>
      </w:r>
      <w:r>
        <w:rPr>
          <w:rFonts w:cs="宋体"/>
          <w:snapToGrid w:val="0"/>
          <w:kern w:val="0"/>
          <w:szCs w:val="21"/>
        </w:rPr>
        <w:t>3</w:t>
      </w:r>
      <w:r>
        <w:rPr>
          <w:rFonts w:hint="eastAsia" w:cs="宋体"/>
          <w:snapToGrid w:val="0"/>
          <w:kern w:val="0"/>
          <w:szCs w:val="21"/>
        </w:rPr>
        <w:t>、</w:t>
      </w:r>
      <w:r>
        <w:rPr>
          <w:rFonts w:cs="宋体"/>
          <w:snapToGrid w:val="0"/>
          <w:kern w:val="0"/>
          <w:szCs w:val="21"/>
        </w:rPr>
        <w:t>ZigBee</w:t>
      </w:r>
      <w:r>
        <w:rPr>
          <w:rFonts w:hint="eastAsia" w:cs="宋体"/>
          <w:snapToGrid w:val="0"/>
          <w:kern w:val="0"/>
          <w:szCs w:val="21"/>
        </w:rPr>
        <w:t>数据传输用途</w:t>
      </w:r>
      <w:r>
        <w:rPr>
          <w:rFonts w:cs="宋体"/>
          <w:snapToGrid w:val="0"/>
          <w:kern w:val="0"/>
          <w:szCs w:val="21"/>
        </w:rPr>
        <w:t>与</w:t>
      </w:r>
      <w:r>
        <w:rPr>
          <w:rFonts w:hint="eastAsia" w:cs="宋体"/>
          <w:snapToGrid w:val="0"/>
          <w:kern w:val="0"/>
          <w:szCs w:val="21"/>
        </w:rPr>
        <w:t>使用</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cs="宋体"/>
          <w:snapToGrid w:val="0"/>
          <w:kern w:val="0"/>
          <w:szCs w:val="21"/>
        </w:rPr>
        <w:t>ZigBee</w:t>
      </w:r>
      <w:r>
        <w:rPr>
          <w:rFonts w:hint="eastAsia" w:cs="宋体"/>
          <w:snapToGrid w:val="0"/>
          <w:kern w:val="0"/>
          <w:szCs w:val="21"/>
        </w:rPr>
        <w:t>数据传输实现</w:t>
      </w:r>
      <w:r>
        <w:rPr>
          <w:rFonts w:cs="宋体"/>
          <w:snapToGrid w:val="0"/>
          <w:kern w:val="0"/>
          <w:szCs w:val="21"/>
        </w:rPr>
        <w:t>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cs="宋体"/>
          <w:snapToGrid w:val="0"/>
          <w:kern w:val="0"/>
          <w:szCs w:val="21"/>
        </w:rPr>
        <w:t>ZigBee</w:t>
      </w:r>
      <w:r>
        <w:rPr>
          <w:rFonts w:hint="eastAsia" w:cs="宋体"/>
          <w:snapToGrid w:val="0"/>
          <w:kern w:val="0"/>
          <w:szCs w:val="21"/>
        </w:rPr>
        <w:t>数据传输实现</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w:t>
      </w:r>
    </w:p>
    <w:p>
      <w:pPr>
        <w:widowControl/>
        <w:spacing w:line="360" w:lineRule="auto"/>
        <w:ind w:left="426"/>
        <w:jc w:val="left"/>
        <w:rPr>
          <w:rFonts w:eastAsia="黑体" w:cs="宋体"/>
          <w:snapToGrid w:val="0"/>
          <w:kern w:val="0"/>
          <w:szCs w:val="21"/>
        </w:rPr>
      </w:pPr>
      <w:r>
        <w:rPr>
          <w:rFonts w:eastAsia="黑体" w:cs="宋体"/>
          <w:snapToGrid w:val="0"/>
          <w:kern w:val="0"/>
          <w:szCs w:val="21"/>
        </w:rPr>
        <w:t>4 WiFi</w:t>
      </w:r>
      <w:r>
        <w:rPr>
          <w:rFonts w:hint="eastAsia" w:eastAsia="黑体" w:cs="宋体"/>
          <w:snapToGrid w:val="0"/>
          <w:kern w:val="0"/>
          <w:szCs w:val="21"/>
        </w:rPr>
        <w:t>数据传输基础（</w:t>
      </w:r>
      <w:r>
        <w:rPr>
          <w:rFonts w:eastAsia="黑体" w:cs="宋体"/>
          <w:snapToGrid w:val="0"/>
          <w:kern w:val="0"/>
          <w:szCs w:val="21"/>
        </w:rPr>
        <w:t>4</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4</w:t>
      </w:r>
      <w:r>
        <w:rPr>
          <w:rFonts w:hint="eastAsia" w:cs="宋体"/>
          <w:snapToGrid w:val="0"/>
          <w:kern w:val="0"/>
          <w:szCs w:val="21"/>
        </w:rPr>
        <w:t>.1、</w:t>
      </w:r>
      <w:r>
        <w:rPr>
          <w:rFonts w:eastAsia="黑体" w:cs="宋体"/>
          <w:snapToGrid w:val="0"/>
          <w:kern w:val="0"/>
          <w:szCs w:val="21"/>
        </w:rPr>
        <w:t>WiFi</w:t>
      </w:r>
      <w:r>
        <w:rPr>
          <w:rFonts w:cs="宋体"/>
          <w:snapToGrid w:val="0"/>
          <w:kern w:val="0"/>
          <w:szCs w:val="21"/>
        </w:rPr>
        <w:t>传输原理</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4</w:t>
      </w:r>
      <w:r>
        <w:rPr>
          <w:rFonts w:hint="eastAsia" w:cs="宋体"/>
          <w:snapToGrid w:val="0"/>
          <w:kern w:val="0"/>
          <w:szCs w:val="21"/>
        </w:rPr>
        <w:t>.2、</w:t>
      </w:r>
      <w:r>
        <w:rPr>
          <w:rFonts w:eastAsia="黑体" w:cs="宋体"/>
          <w:snapToGrid w:val="0"/>
          <w:kern w:val="0"/>
          <w:szCs w:val="21"/>
        </w:rPr>
        <w:t>WiFi</w:t>
      </w:r>
      <w:r>
        <w:rPr>
          <w:rFonts w:hint="eastAsia" w:cs="宋体"/>
          <w:snapToGrid w:val="0"/>
          <w:kern w:val="0"/>
          <w:szCs w:val="21"/>
        </w:rPr>
        <w:t>数据传输实现</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4</w:t>
      </w:r>
      <w:r>
        <w:rPr>
          <w:rFonts w:hint="eastAsia" w:cs="宋体"/>
          <w:snapToGrid w:val="0"/>
          <w:kern w:val="0"/>
          <w:szCs w:val="21"/>
        </w:rPr>
        <w:t>.</w:t>
      </w:r>
      <w:r>
        <w:rPr>
          <w:rFonts w:cs="宋体"/>
          <w:snapToGrid w:val="0"/>
          <w:kern w:val="0"/>
          <w:szCs w:val="21"/>
        </w:rPr>
        <w:t>3</w:t>
      </w:r>
      <w:r>
        <w:rPr>
          <w:rFonts w:hint="eastAsia" w:cs="宋体"/>
          <w:snapToGrid w:val="0"/>
          <w:kern w:val="0"/>
          <w:szCs w:val="21"/>
        </w:rPr>
        <w:t>、</w:t>
      </w:r>
      <w:r>
        <w:rPr>
          <w:rFonts w:eastAsia="黑体" w:cs="宋体"/>
          <w:snapToGrid w:val="0"/>
          <w:kern w:val="0"/>
          <w:szCs w:val="21"/>
        </w:rPr>
        <w:t>WiFi</w:t>
      </w:r>
      <w:r>
        <w:rPr>
          <w:rFonts w:hint="eastAsia" w:cs="宋体"/>
          <w:snapToGrid w:val="0"/>
          <w:kern w:val="0"/>
          <w:szCs w:val="21"/>
        </w:rPr>
        <w:t>数据传输用途</w:t>
      </w:r>
      <w:r>
        <w:rPr>
          <w:rFonts w:cs="宋体"/>
          <w:snapToGrid w:val="0"/>
          <w:kern w:val="0"/>
          <w:szCs w:val="21"/>
        </w:rPr>
        <w:t>与</w:t>
      </w:r>
      <w:r>
        <w:rPr>
          <w:rFonts w:hint="eastAsia" w:cs="宋体"/>
          <w:snapToGrid w:val="0"/>
          <w:kern w:val="0"/>
          <w:szCs w:val="21"/>
        </w:rPr>
        <w:t>使用</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eastAsia="黑体" w:cs="宋体"/>
          <w:snapToGrid w:val="0"/>
          <w:kern w:val="0"/>
          <w:szCs w:val="21"/>
        </w:rPr>
        <w:t>WiFi</w:t>
      </w:r>
      <w:r>
        <w:rPr>
          <w:rFonts w:hint="eastAsia" w:cs="宋体"/>
          <w:snapToGrid w:val="0"/>
          <w:kern w:val="0"/>
          <w:szCs w:val="21"/>
        </w:rPr>
        <w:t>数据传输实现</w:t>
      </w:r>
      <w:r>
        <w:rPr>
          <w:rFonts w:cs="宋体"/>
          <w:snapToGrid w:val="0"/>
          <w:kern w:val="0"/>
          <w:szCs w:val="21"/>
        </w:rPr>
        <w:t>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eastAsia="黑体" w:cs="宋体"/>
          <w:snapToGrid w:val="0"/>
          <w:kern w:val="0"/>
          <w:szCs w:val="21"/>
        </w:rPr>
        <w:t>WiFi</w:t>
      </w:r>
      <w:r>
        <w:rPr>
          <w:rFonts w:hint="eastAsia" w:cs="宋体"/>
          <w:snapToGrid w:val="0"/>
          <w:kern w:val="0"/>
          <w:szCs w:val="21"/>
        </w:rPr>
        <w:t>数据传输实现</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w:t>
      </w:r>
    </w:p>
    <w:p>
      <w:pPr>
        <w:widowControl/>
        <w:spacing w:line="360" w:lineRule="auto"/>
        <w:ind w:left="426"/>
        <w:jc w:val="left"/>
        <w:rPr>
          <w:rFonts w:eastAsia="黑体" w:cs="宋体"/>
          <w:snapToGrid w:val="0"/>
          <w:kern w:val="0"/>
          <w:szCs w:val="21"/>
        </w:rPr>
      </w:pPr>
      <w:r>
        <w:rPr>
          <w:rFonts w:eastAsia="黑体" w:cs="宋体"/>
          <w:snapToGrid w:val="0"/>
          <w:kern w:val="0"/>
          <w:szCs w:val="21"/>
        </w:rPr>
        <w:t xml:space="preserve">5 </w:t>
      </w:r>
      <w:r>
        <w:rPr>
          <w:rFonts w:hint="eastAsia" w:eastAsia="黑体" w:cs="宋体"/>
          <w:snapToGrid w:val="0"/>
          <w:kern w:val="0"/>
          <w:szCs w:val="21"/>
        </w:rPr>
        <w:t>CAN总线数据传输（</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5</w:t>
      </w:r>
      <w:r>
        <w:rPr>
          <w:rFonts w:hint="eastAsia" w:cs="宋体"/>
          <w:snapToGrid w:val="0"/>
          <w:kern w:val="0"/>
          <w:szCs w:val="21"/>
        </w:rPr>
        <w:t>.1、</w:t>
      </w:r>
      <w:r>
        <w:rPr>
          <w:rFonts w:hint="eastAsia" w:eastAsia="黑体" w:cs="宋体"/>
          <w:snapToGrid w:val="0"/>
          <w:kern w:val="0"/>
          <w:szCs w:val="21"/>
        </w:rPr>
        <w:t>CAN</w:t>
      </w:r>
      <w:r>
        <w:rPr>
          <w:rFonts w:cs="宋体"/>
          <w:snapToGrid w:val="0"/>
          <w:kern w:val="0"/>
          <w:szCs w:val="21"/>
        </w:rPr>
        <w:t>传输原理</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5</w:t>
      </w:r>
      <w:r>
        <w:rPr>
          <w:rFonts w:hint="eastAsia" w:cs="宋体"/>
          <w:snapToGrid w:val="0"/>
          <w:kern w:val="0"/>
          <w:szCs w:val="21"/>
        </w:rPr>
        <w:t>.2、</w:t>
      </w:r>
      <w:r>
        <w:rPr>
          <w:rFonts w:hint="eastAsia" w:eastAsia="黑体" w:cs="宋体"/>
          <w:snapToGrid w:val="0"/>
          <w:kern w:val="0"/>
          <w:szCs w:val="21"/>
        </w:rPr>
        <w:t>CAN</w:t>
      </w:r>
      <w:r>
        <w:rPr>
          <w:rFonts w:hint="eastAsia" w:cs="宋体"/>
          <w:snapToGrid w:val="0"/>
          <w:kern w:val="0"/>
          <w:szCs w:val="21"/>
        </w:rPr>
        <w:t>数据传输实现</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5</w:t>
      </w:r>
      <w:r>
        <w:rPr>
          <w:rFonts w:hint="eastAsia" w:cs="宋体"/>
          <w:snapToGrid w:val="0"/>
          <w:kern w:val="0"/>
          <w:szCs w:val="21"/>
        </w:rPr>
        <w:t>.</w:t>
      </w:r>
      <w:r>
        <w:rPr>
          <w:rFonts w:cs="宋体"/>
          <w:snapToGrid w:val="0"/>
          <w:kern w:val="0"/>
          <w:szCs w:val="21"/>
        </w:rPr>
        <w:t>3</w:t>
      </w:r>
      <w:r>
        <w:rPr>
          <w:rFonts w:hint="eastAsia" w:cs="宋体"/>
          <w:snapToGrid w:val="0"/>
          <w:kern w:val="0"/>
          <w:szCs w:val="21"/>
        </w:rPr>
        <w:t>、</w:t>
      </w:r>
      <w:r>
        <w:rPr>
          <w:rFonts w:hint="eastAsia" w:eastAsia="黑体" w:cs="宋体"/>
          <w:snapToGrid w:val="0"/>
          <w:kern w:val="0"/>
          <w:szCs w:val="21"/>
        </w:rPr>
        <w:t>CAN</w:t>
      </w:r>
      <w:r>
        <w:rPr>
          <w:rFonts w:hint="eastAsia" w:cs="宋体"/>
          <w:snapToGrid w:val="0"/>
          <w:kern w:val="0"/>
          <w:szCs w:val="21"/>
        </w:rPr>
        <w:t>数据传输用途</w:t>
      </w:r>
      <w:r>
        <w:rPr>
          <w:rFonts w:cs="宋体"/>
          <w:snapToGrid w:val="0"/>
          <w:kern w:val="0"/>
          <w:szCs w:val="21"/>
        </w:rPr>
        <w:t>与</w:t>
      </w:r>
      <w:r>
        <w:rPr>
          <w:rFonts w:hint="eastAsia" w:cs="宋体"/>
          <w:snapToGrid w:val="0"/>
          <w:kern w:val="0"/>
          <w:szCs w:val="21"/>
        </w:rPr>
        <w:t>使用</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hint="eastAsia" w:eastAsia="黑体" w:cs="宋体"/>
          <w:snapToGrid w:val="0"/>
          <w:kern w:val="0"/>
          <w:szCs w:val="21"/>
        </w:rPr>
        <w:t>CAN</w:t>
      </w:r>
      <w:r>
        <w:rPr>
          <w:rFonts w:hint="eastAsia" w:cs="宋体"/>
          <w:snapToGrid w:val="0"/>
          <w:kern w:val="0"/>
          <w:szCs w:val="21"/>
        </w:rPr>
        <w:t>数据传输实现</w:t>
      </w:r>
      <w:r>
        <w:rPr>
          <w:rFonts w:cs="宋体"/>
          <w:snapToGrid w:val="0"/>
          <w:kern w:val="0"/>
          <w:szCs w:val="21"/>
        </w:rPr>
        <w:t>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hint="eastAsia" w:eastAsia="黑体" w:cs="宋体"/>
          <w:snapToGrid w:val="0"/>
          <w:kern w:val="0"/>
          <w:szCs w:val="21"/>
        </w:rPr>
        <w:t>CAN</w:t>
      </w:r>
      <w:r>
        <w:rPr>
          <w:rFonts w:hint="eastAsia" w:cs="宋体"/>
          <w:snapToGrid w:val="0"/>
          <w:kern w:val="0"/>
          <w:szCs w:val="21"/>
        </w:rPr>
        <w:t>数据传输实现</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w:t>
      </w:r>
    </w:p>
    <w:p>
      <w:pPr>
        <w:widowControl/>
        <w:spacing w:line="360" w:lineRule="auto"/>
        <w:ind w:left="426"/>
        <w:jc w:val="left"/>
        <w:rPr>
          <w:rFonts w:eastAsia="黑体" w:cs="宋体"/>
          <w:snapToGrid w:val="0"/>
          <w:kern w:val="0"/>
          <w:szCs w:val="21"/>
        </w:rPr>
      </w:pPr>
      <w:r>
        <w:rPr>
          <w:rFonts w:hint="eastAsia" w:eastAsia="黑体" w:cs="宋体"/>
          <w:snapToGrid w:val="0"/>
          <w:kern w:val="0"/>
          <w:szCs w:val="21"/>
        </w:rPr>
        <w:t>6 图像</w:t>
      </w:r>
      <w:r>
        <w:rPr>
          <w:rFonts w:eastAsia="黑体" w:cs="宋体"/>
          <w:snapToGrid w:val="0"/>
          <w:kern w:val="0"/>
          <w:szCs w:val="21"/>
        </w:rPr>
        <w:t>采集</w:t>
      </w:r>
      <w:r>
        <w:rPr>
          <w:rFonts w:hint="eastAsia" w:eastAsia="黑体" w:cs="宋体"/>
          <w:snapToGrid w:val="0"/>
          <w:kern w:val="0"/>
          <w:szCs w:val="21"/>
        </w:rPr>
        <w:t>处理基础（</w:t>
      </w:r>
      <w:r>
        <w:rPr>
          <w:rFonts w:eastAsia="黑体" w:cs="宋体"/>
          <w:snapToGrid w:val="0"/>
          <w:kern w:val="0"/>
          <w:szCs w:val="21"/>
        </w:rPr>
        <w:t>4</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6</w:t>
      </w:r>
      <w:r>
        <w:rPr>
          <w:rFonts w:hint="eastAsia" w:cs="宋体"/>
          <w:snapToGrid w:val="0"/>
          <w:kern w:val="0"/>
          <w:szCs w:val="21"/>
        </w:rPr>
        <w:t>.1、图像采集</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6</w:t>
      </w:r>
      <w:r>
        <w:rPr>
          <w:rFonts w:hint="eastAsia" w:cs="宋体"/>
          <w:snapToGrid w:val="0"/>
          <w:kern w:val="0"/>
          <w:szCs w:val="21"/>
        </w:rPr>
        <w:t>.2、图像处理</w:t>
      </w:r>
      <w:r>
        <w:rPr>
          <w:rFonts w:cs="宋体"/>
          <w:snapToGrid w:val="0"/>
          <w:kern w:val="0"/>
          <w:szCs w:val="21"/>
        </w:rPr>
        <w:t>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6</w:t>
      </w:r>
      <w:r>
        <w:rPr>
          <w:rFonts w:hint="eastAsia" w:cs="宋体"/>
          <w:snapToGrid w:val="0"/>
          <w:kern w:val="0"/>
          <w:szCs w:val="21"/>
        </w:rPr>
        <w:t>.</w:t>
      </w:r>
      <w:r>
        <w:rPr>
          <w:rFonts w:cs="宋体"/>
          <w:snapToGrid w:val="0"/>
          <w:kern w:val="0"/>
          <w:szCs w:val="21"/>
        </w:rPr>
        <w:t>3</w:t>
      </w:r>
      <w:r>
        <w:rPr>
          <w:rFonts w:hint="eastAsia" w:cs="宋体"/>
          <w:snapToGrid w:val="0"/>
          <w:kern w:val="0"/>
          <w:szCs w:val="21"/>
        </w:rPr>
        <w:t>、图像采集</w:t>
      </w:r>
      <w:r>
        <w:rPr>
          <w:rFonts w:cs="宋体"/>
          <w:snapToGrid w:val="0"/>
          <w:kern w:val="0"/>
          <w:szCs w:val="21"/>
        </w:rPr>
        <w:t>处理</w:t>
      </w:r>
      <w:r>
        <w:rPr>
          <w:rFonts w:hint="eastAsia" w:cs="宋体"/>
          <w:snapToGrid w:val="0"/>
          <w:kern w:val="0"/>
          <w:szCs w:val="21"/>
        </w:rPr>
        <w:t>用途</w:t>
      </w:r>
      <w:r>
        <w:rPr>
          <w:rFonts w:cs="宋体"/>
          <w:snapToGrid w:val="0"/>
          <w:kern w:val="0"/>
          <w:szCs w:val="21"/>
        </w:rPr>
        <w:t>与</w:t>
      </w:r>
      <w:r>
        <w:rPr>
          <w:rFonts w:hint="eastAsia" w:cs="宋体"/>
          <w:snapToGrid w:val="0"/>
          <w:kern w:val="0"/>
          <w:szCs w:val="21"/>
        </w:rPr>
        <w:t>使用</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难点：图像采集</w:t>
      </w:r>
      <w:r>
        <w:rPr>
          <w:rFonts w:ascii="宋体" w:hAnsi="宋体" w:cs="宋体"/>
          <w:snapToGrid w:val="0"/>
          <w:kern w:val="0"/>
          <w:szCs w:val="21"/>
        </w:rPr>
        <w:t>处理时效性</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重点：图像</w:t>
      </w:r>
      <w:r>
        <w:rPr>
          <w:rFonts w:ascii="宋体" w:hAnsi="宋体" w:cs="宋体"/>
          <w:snapToGrid w:val="0"/>
          <w:kern w:val="0"/>
          <w:szCs w:val="21"/>
        </w:rPr>
        <w:t>采集的实现与处理方法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w:t>
      </w:r>
    </w:p>
    <w:p>
      <w:pPr>
        <w:widowControl/>
        <w:spacing w:line="360" w:lineRule="auto"/>
        <w:ind w:left="426"/>
        <w:jc w:val="left"/>
        <w:rPr>
          <w:rFonts w:eastAsia="黑体" w:cs="宋体"/>
          <w:snapToGrid w:val="0"/>
          <w:kern w:val="0"/>
          <w:szCs w:val="21"/>
        </w:rPr>
      </w:pPr>
      <w:r>
        <w:rPr>
          <w:rFonts w:eastAsia="黑体" w:cs="宋体"/>
          <w:snapToGrid w:val="0"/>
          <w:kern w:val="0"/>
          <w:szCs w:val="21"/>
        </w:rPr>
        <w:t xml:space="preserve">7 </w:t>
      </w:r>
      <w:r>
        <w:rPr>
          <w:rFonts w:hint="eastAsia" w:eastAsia="黑体" w:cs="宋体"/>
          <w:snapToGrid w:val="0"/>
          <w:kern w:val="0"/>
          <w:szCs w:val="21"/>
        </w:rPr>
        <w:t>电子技术实践基础（</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7</w:t>
      </w:r>
      <w:r>
        <w:rPr>
          <w:rFonts w:hint="eastAsia" w:cs="宋体"/>
          <w:snapToGrid w:val="0"/>
          <w:kern w:val="0"/>
          <w:szCs w:val="21"/>
        </w:rPr>
        <w:t>.1、电子器件分类</w:t>
      </w:r>
      <w:r>
        <w:rPr>
          <w:rFonts w:cs="宋体"/>
          <w:snapToGrid w:val="0"/>
          <w:kern w:val="0"/>
          <w:szCs w:val="21"/>
        </w:rPr>
        <w:t>与</w:t>
      </w:r>
      <w:r>
        <w:rPr>
          <w:rFonts w:hint="eastAsia" w:cs="宋体"/>
          <w:snapToGrid w:val="0"/>
          <w:kern w:val="0"/>
          <w:szCs w:val="21"/>
        </w:rPr>
        <w:t>选型；</w:t>
      </w:r>
    </w:p>
    <w:p>
      <w:pPr>
        <w:widowControl/>
        <w:spacing w:line="360" w:lineRule="auto"/>
        <w:ind w:left="426"/>
        <w:jc w:val="left"/>
        <w:rPr>
          <w:rFonts w:cs="宋体"/>
          <w:snapToGrid w:val="0"/>
          <w:kern w:val="0"/>
          <w:szCs w:val="21"/>
        </w:rPr>
      </w:pPr>
      <w:r>
        <w:rPr>
          <w:rFonts w:cs="宋体"/>
          <w:snapToGrid w:val="0"/>
          <w:kern w:val="0"/>
          <w:szCs w:val="21"/>
        </w:rPr>
        <w:t>7</w:t>
      </w:r>
      <w:r>
        <w:rPr>
          <w:rFonts w:hint="eastAsia" w:cs="宋体"/>
          <w:snapToGrid w:val="0"/>
          <w:kern w:val="0"/>
          <w:szCs w:val="21"/>
        </w:rPr>
        <w:t>.2、电子器件</w:t>
      </w:r>
      <w:r>
        <w:rPr>
          <w:rFonts w:cs="宋体"/>
          <w:snapToGrid w:val="0"/>
          <w:kern w:val="0"/>
          <w:szCs w:val="21"/>
        </w:rPr>
        <w:t>的</w:t>
      </w:r>
      <w:r>
        <w:rPr>
          <w:rFonts w:hint="eastAsia" w:cs="宋体"/>
          <w:snapToGrid w:val="0"/>
          <w:kern w:val="0"/>
          <w:szCs w:val="21"/>
        </w:rPr>
        <w:t>匹配</w:t>
      </w:r>
      <w:r>
        <w:rPr>
          <w:rFonts w:cs="宋体"/>
          <w:snapToGrid w:val="0"/>
          <w:kern w:val="0"/>
          <w:szCs w:val="21"/>
        </w:rPr>
        <w:t>与连接</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7</w:t>
      </w:r>
      <w:r>
        <w:rPr>
          <w:rFonts w:hint="eastAsia" w:cs="宋体"/>
          <w:snapToGrid w:val="0"/>
          <w:kern w:val="0"/>
          <w:szCs w:val="21"/>
        </w:rPr>
        <w:t>.</w:t>
      </w:r>
      <w:r>
        <w:rPr>
          <w:rFonts w:cs="宋体"/>
          <w:snapToGrid w:val="0"/>
          <w:kern w:val="0"/>
          <w:szCs w:val="21"/>
        </w:rPr>
        <w:t>3</w:t>
      </w:r>
      <w:r>
        <w:rPr>
          <w:rFonts w:hint="eastAsia" w:cs="宋体"/>
          <w:snapToGrid w:val="0"/>
          <w:kern w:val="0"/>
          <w:szCs w:val="21"/>
        </w:rPr>
        <w:t>、电子技术动手实践注意</w:t>
      </w:r>
      <w:r>
        <w:rPr>
          <w:rFonts w:cs="宋体"/>
          <w:snapToGrid w:val="0"/>
          <w:kern w:val="0"/>
          <w:szCs w:val="21"/>
        </w:rPr>
        <w:t>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hint="eastAsia" w:cs="宋体"/>
          <w:snapToGrid w:val="0"/>
          <w:kern w:val="0"/>
          <w:szCs w:val="21"/>
        </w:rPr>
        <w:t>器件</w:t>
      </w:r>
      <w:r>
        <w:rPr>
          <w:rFonts w:hint="eastAsia" w:ascii="宋体" w:hAnsi="宋体" w:cs="宋体"/>
          <w:snapToGrid w:val="0"/>
          <w:kern w:val="0"/>
          <w:szCs w:val="21"/>
        </w:rPr>
        <w:t>匹配与连接</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hint="eastAsia" w:cs="宋体"/>
          <w:snapToGrid w:val="0"/>
          <w:kern w:val="0"/>
          <w:szCs w:val="21"/>
        </w:rPr>
        <w:t>器件</w:t>
      </w:r>
      <w:r>
        <w:rPr>
          <w:rFonts w:hint="eastAsia" w:ascii="宋体" w:hAnsi="宋体" w:cs="宋体"/>
          <w:snapToGrid w:val="0"/>
          <w:kern w:val="0"/>
          <w:szCs w:val="21"/>
        </w:rPr>
        <w:t>匹配与连接及</w:t>
      </w:r>
      <w:r>
        <w:rPr>
          <w:rFonts w:hint="eastAsia" w:cs="宋体"/>
          <w:snapToGrid w:val="0"/>
          <w:kern w:val="0"/>
          <w:szCs w:val="21"/>
        </w:rPr>
        <w:t>动手实践注意</w:t>
      </w:r>
      <w:r>
        <w:rPr>
          <w:rFonts w:cs="宋体"/>
          <w:snapToGrid w:val="0"/>
          <w:kern w:val="0"/>
          <w:szCs w:val="21"/>
        </w:rPr>
        <w:t>事项</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支撑课程目标1、8。</w:t>
      </w:r>
    </w:p>
    <w:p>
      <w:pPr>
        <w:widowControl/>
        <w:spacing w:line="360" w:lineRule="auto"/>
        <w:ind w:left="426"/>
        <w:jc w:val="left"/>
        <w:rPr>
          <w:rFonts w:eastAsia="黑体" w:cs="宋体"/>
          <w:snapToGrid w:val="0"/>
          <w:kern w:val="0"/>
          <w:szCs w:val="21"/>
        </w:rPr>
      </w:pPr>
      <w:r>
        <w:rPr>
          <w:rFonts w:hint="eastAsia" w:eastAsia="黑体" w:cs="宋体"/>
          <w:snapToGrid w:val="0"/>
          <w:kern w:val="0"/>
          <w:szCs w:val="21"/>
        </w:rPr>
        <w:t>8 系统方案设计（</w:t>
      </w:r>
      <w:r>
        <w:rPr>
          <w:rFonts w:eastAsia="黑体" w:cs="宋体"/>
          <w:snapToGrid w:val="0"/>
          <w:kern w:val="0"/>
          <w:szCs w:val="21"/>
        </w:rPr>
        <w:t>2</w:t>
      </w:r>
      <w:r>
        <w:rPr>
          <w:rFonts w:hint="eastAsia" w:eastAsia="黑体" w:cs="宋体"/>
          <w:snapToGrid w:val="0"/>
          <w:kern w:val="0"/>
          <w:szCs w:val="21"/>
        </w:rPr>
        <w:t>学时）</w:t>
      </w:r>
    </w:p>
    <w:p>
      <w:pPr>
        <w:widowControl/>
        <w:spacing w:line="360" w:lineRule="auto"/>
        <w:ind w:left="426"/>
        <w:jc w:val="left"/>
        <w:rPr>
          <w:rFonts w:cs="宋体"/>
          <w:snapToGrid w:val="0"/>
          <w:kern w:val="0"/>
          <w:szCs w:val="21"/>
        </w:rPr>
      </w:pPr>
      <w:r>
        <w:rPr>
          <w:rFonts w:cs="宋体"/>
          <w:snapToGrid w:val="0"/>
          <w:kern w:val="0"/>
          <w:szCs w:val="21"/>
        </w:rPr>
        <w:t>8</w:t>
      </w:r>
      <w:r>
        <w:rPr>
          <w:rFonts w:hint="eastAsia" w:cs="宋体"/>
          <w:snapToGrid w:val="0"/>
          <w:kern w:val="0"/>
          <w:szCs w:val="21"/>
        </w:rPr>
        <w:t>.1、系统方案</w:t>
      </w:r>
      <w:r>
        <w:rPr>
          <w:rFonts w:cs="宋体"/>
          <w:snapToGrid w:val="0"/>
          <w:kern w:val="0"/>
          <w:szCs w:val="21"/>
        </w:rPr>
        <w:t>设计</w:t>
      </w:r>
      <w:r>
        <w:rPr>
          <w:rFonts w:hint="eastAsia" w:cs="宋体"/>
          <w:snapToGrid w:val="0"/>
          <w:kern w:val="0"/>
          <w:szCs w:val="21"/>
        </w:rPr>
        <w:t>原则</w:t>
      </w:r>
      <w:r>
        <w:rPr>
          <w:rFonts w:cs="宋体"/>
          <w:snapToGrid w:val="0"/>
          <w:kern w:val="0"/>
          <w:szCs w:val="21"/>
        </w:rPr>
        <w:t>与方法</w:t>
      </w:r>
      <w:r>
        <w:rPr>
          <w:rFonts w:hint="eastAsia" w:cs="宋体"/>
          <w:snapToGrid w:val="0"/>
          <w:kern w:val="0"/>
          <w:szCs w:val="21"/>
        </w:rPr>
        <w:t>；</w:t>
      </w:r>
    </w:p>
    <w:p>
      <w:pPr>
        <w:widowControl/>
        <w:spacing w:line="360" w:lineRule="auto"/>
        <w:ind w:left="426"/>
        <w:jc w:val="left"/>
        <w:rPr>
          <w:rFonts w:cs="宋体"/>
          <w:snapToGrid w:val="0"/>
          <w:kern w:val="0"/>
          <w:szCs w:val="21"/>
        </w:rPr>
      </w:pPr>
      <w:r>
        <w:rPr>
          <w:rFonts w:cs="宋体"/>
          <w:snapToGrid w:val="0"/>
          <w:kern w:val="0"/>
          <w:szCs w:val="21"/>
        </w:rPr>
        <w:t>8</w:t>
      </w:r>
      <w:r>
        <w:rPr>
          <w:rFonts w:hint="eastAsia" w:cs="宋体"/>
          <w:snapToGrid w:val="0"/>
          <w:kern w:val="0"/>
          <w:szCs w:val="21"/>
        </w:rPr>
        <w:t>.2、系统方案</w:t>
      </w:r>
      <w:r>
        <w:rPr>
          <w:rFonts w:cs="宋体"/>
          <w:snapToGrid w:val="0"/>
          <w:kern w:val="0"/>
          <w:szCs w:val="21"/>
        </w:rPr>
        <w:t>设计</w:t>
      </w:r>
      <w:r>
        <w:rPr>
          <w:rFonts w:hint="eastAsia" w:cs="宋体"/>
          <w:snapToGrid w:val="0"/>
          <w:kern w:val="0"/>
          <w:szCs w:val="21"/>
        </w:rPr>
        <w:t>实例；</w:t>
      </w:r>
    </w:p>
    <w:p>
      <w:pPr>
        <w:widowControl/>
        <w:spacing w:line="360" w:lineRule="auto"/>
        <w:ind w:left="426"/>
        <w:jc w:val="left"/>
        <w:rPr>
          <w:rFonts w:cs="宋体"/>
          <w:snapToGrid w:val="0"/>
          <w:kern w:val="0"/>
          <w:szCs w:val="21"/>
        </w:rPr>
      </w:pPr>
      <w:r>
        <w:rPr>
          <w:rFonts w:cs="宋体"/>
          <w:snapToGrid w:val="0"/>
          <w:kern w:val="0"/>
          <w:szCs w:val="21"/>
        </w:rPr>
        <w:t>8</w:t>
      </w:r>
      <w:r>
        <w:rPr>
          <w:rFonts w:hint="eastAsia" w:cs="宋体"/>
          <w:snapToGrid w:val="0"/>
          <w:kern w:val="0"/>
          <w:szCs w:val="21"/>
        </w:rPr>
        <w:t>.</w:t>
      </w:r>
      <w:r>
        <w:rPr>
          <w:rFonts w:cs="宋体"/>
          <w:snapToGrid w:val="0"/>
          <w:kern w:val="0"/>
          <w:szCs w:val="21"/>
        </w:rPr>
        <w:t>3</w:t>
      </w:r>
      <w:r>
        <w:rPr>
          <w:rFonts w:hint="eastAsia" w:cs="宋体"/>
          <w:snapToGrid w:val="0"/>
          <w:kern w:val="0"/>
          <w:szCs w:val="21"/>
        </w:rPr>
        <w:t>、系统方案设计</w:t>
      </w:r>
      <w:r>
        <w:rPr>
          <w:rFonts w:cs="宋体"/>
          <w:snapToGrid w:val="0"/>
          <w:kern w:val="0"/>
          <w:szCs w:val="21"/>
        </w:rPr>
        <w:t>注意事项</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难点：</w:t>
      </w:r>
      <w:r>
        <w:rPr>
          <w:rFonts w:hint="eastAsia" w:cs="宋体"/>
          <w:snapToGrid w:val="0"/>
          <w:kern w:val="0"/>
          <w:szCs w:val="21"/>
        </w:rPr>
        <w:t>系统方案</w:t>
      </w:r>
      <w:r>
        <w:rPr>
          <w:rFonts w:cs="宋体"/>
          <w:snapToGrid w:val="0"/>
          <w:kern w:val="0"/>
          <w:szCs w:val="21"/>
        </w:rPr>
        <w:t>设计方法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重点：</w:t>
      </w:r>
      <w:r>
        <w:rPr>
          <w:rFonts w:hint="eastAsia" w:cs="宋体"/>
          <w:snapToGrid w:val="0"/>
          <w:kern w:val="0"/>
          <w:szCs w:val="21"/>
        </w:rPr>
        <w:t>系统方案</w:t>
      </w:r>
      <w:r>
        <w:rPr>
          <w:rFonts w:cs="宋体"/>
          <w:snapToGrid w:val="0"/>
          <w:kern w:val="0"/>
          <w:szCs w:val="21"/>
        </w:rPr>
        <w:t>设计方法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支撑课程目标1、2、4、7。</w:t>
      </w:r>
    </w:p>
    <w:p>
      <w:pPr>
        <w:widowControl/>
        <w:spacing w:line="360" w:lineRule="auto"/>
        <w:ind w:left="426"/>
        <w:jc w:val="left"/>
        <w:rPr>
          <w:rFonts w:ascii="宋体" w:hAnsi="宋体" w:cs="宋体"/>
          <w:b/>
          <w:bCs/>
          <w:snapToGrid w:val="0"/>
          <w:kern w:val="0"/>
          <w:szCs w:val="21"/>
        </w:rPr>
      </w:pPr>
      <w:r>
        <w:rPr>
          <w:rFonts w:hint="eastAsia" w:ascii="宋体" w:hAnsi="宋体" w:cs="宋体"/>
          <w:b/>
          <w:bCs/>
          <w:snapToGrid w:val="0"/>
          <w:kern w:val="0"/>
          <w:szCs w:val="21"/>
        </w:rPr>
        <w:t>思政元素：</w:t>
      </w:r>
    </w:p>
    <w:p>
      <w:pPr>
        <w:widowControl/>
        <w:spacing w:line="360" w:lineRule="auto"/>
        <w:ind w:left="426"/>
        <w:jc w:val="left"/>
        <w:rPr>
          <w:rFonts w:ascii="宋体" w:hAnsi="宋体" w:cs="宋体"/>
          <w:b/>
          <w:bCs/>
          <w:snapToGrid w:val="0"/>
          <w:kern w:val="0"/>
          <w:szCs w:val="21"/>
        </w:rPr>
      </w:pPr>
      <w:r>
        <w:rPr>
          <w:rFonts w:ascii="宋体" w:hAnsi="宋体" w:cs="宋体"/>
          <w:b/>
          <w:bCs/>
          <w:snapToGrid w:val="0"/>
          <w:kern w:val="0"/>
          <w:szCs w:val="21"/>
        </w:rPr>
        <w:t>通过多种类型的实践题目，学生能够在系统实现方案中尊重社会、环境、法律、经济、道德、政策、文化等因素影响，具有法律意识，遵守职业道德规范。</w:t>
      </w:r>
    </w:p>
    <w:p>
      <w:pPr>
        <w:spacing w:before="156" w:beforeLines="50" w:after="156" w:afterLines="50" w:line="360" w:lineRule="auto"/>
        <w:rPr>
          <w:rFonts w:eastAsia="黑体"/>
          <w:szCs w:val="21"/>
        </w:rPr>
      </w:pPr>
      <w:r>
        <w:rPr>
          <w:rFonts w:hint="eastAsia" w:eastAsia="黑体"/>
          <w:szCs w:val="21"/>
        </w:rPr>
        <w:t>五、实践内容</w:t>
      </w:r>
    </w:p>
    <w:p>
      <w:pPr>
        <w:spacing w:line="360" w:lineRule="auto"/>
        <w:ind w:firstLine="420" w:firstLineChars="200"/>
        <w:rPr>
          <w:rFonts w:cs="宋体"/>
          <w:kern w:val="0"/>
          <w:szCs w:val="21"/>
        </w:rPr>
      </w:pPr>
      <w:r>
        <w:rPr>
          <w:rFonts w:hint="eastAsia" w:cs="宋体"/>
          <w:kern w:val="0"/>
          <w:szCs w:val="21"/>
        </w:rPr>
        <w:t>包括第二环节和第三环节，共计11周。</w:t>
      </w:r>
    </w:p>
    <w:p>
      <w:pPr>
        <w:spacing w:line="360" w:lineRule="auto"/>
        <w:ind w:firstLine="420"/>
        <w:rPr>
          <w:rFonts w:ascii="微软雅黑" w:hAnsi="微软雅黑" w:eastAsia="微软雅黑" w:cs="微软雅黑"/>
          <w:bCs/>
          <w:szCs w:val="21"/>
        </w:rPr>
      </w:pPr>
      <w:r>
        <w:rPr>
          <w:rFonts w:hint="eastAsia" w:ascii="微软雅黑" w:hAnsi="微软雅黑" w:eastAsia="微软雅黑" w:cs="微软雅黑"/>
          <w:bCs/>
          <w:szCs w:val="21"/>
        </w:rPr>
        <w:t>第二环节：集中大型实验环节（60学时，3周内完成）</w:t>
      </w:r>
    </w:p>
    <w:p>
      <w:pPr>
        <w:spacing w:line="360" w:lineRule="auto"/>
        <w:ind w:firstLine="420" w:firstLineChars="200"/>
        <w:rPr>
          <w:rFonts w:cs="宋体"/>
          <w:kern w:val="0"/>
          <w:szCs w:val="21"/>
        </w:rPr>
      </w:pPr>
      <w:r>
        <w:rPr>
          <w:rFonts w:hint="eastAsia" w:cs="宋体"/>
          <w:kern w:val="0"/>
          <w:szCs w:val="21"/>
        </w:rPr>
        <w:t>第二环节大型实验环节为固定题目实验，所有学生必须独立完成。主要是利用后续开放</w:t>
      </w:r>
      <w:r>
        <w:rPr>
          <w:rFonts w:cs="宋体"/>
          <w:kern w:val="0"/>
          <w:szCs w:val="21"/>
        </w:rPr>
        <w:t>实践</w:t>
      </w:r>
      <w:r>
        <w:rPr>
          <w:rFonts w:hint="eastAsia" w:cs="宋体"/>
          <w:kern w:val="0"/>
          <w:szCs w:val="21"/>
        </w:rPr>
        <w:t>过程</w:t>
      </w:r>
      <w:r>
        <w:rPr>
          <w:rFonts w:cs="宋体"/>
          <w:kern w:val="0"/>
          <w:szCs w:val="21"/>
        </w:rPr>
        <w:t>中使用</w:t>
      </w:r>
      <w:r>
        <w:rPr>
          <w:rFonts w:hint="eastAsia" w:cs="宋体"/>
          <w:kern w:val="0"/>
          <w:szCs w:val="21"/>
        </w:rPr>
        <w:t>到</w:t>
      </w:r>
      <w:r>
        <w:rPr>
          <w:rFonts w:cs="宋体"/>
          <w:kern w:val="0"/>
          <w:szCs w:val="21"/>
        </w:rPr>
        <w:t>的各种元器件及模块</w:t>
      </w:r>
      <w:r>
        <w:rPr>
          <w:rFonts w:hint="eastAsia" w:cs="宋体"/>
          <w:kern w:val="0"/>
          <w:szCs w:val="21"/>
        </w:rPr>
        <w:t>进行</w:t>
      </w:r>
      <w:r>
        <w:rPr>
          <w:rFonts w:cs="宋体"/>
          <w:kern w:val="0"/>
          <w:szCs w:val="21"/>
        </w:rPr>
        <w:t>实验</w:t>
      </w:r>
      <w:r>
        <w:rPr>
          <w:rFonts w:hint="eastAsia" w:cs="宋体"/>
          <w:kern w:val="0"/>
          <w:szCs w:val="21"/>
        </w:rPr>
        <w:t>。要求学生熟练掌握器件</w:t>
      </w:r>
      <w:r>
        <w:rPr>
          <w:rFonts w:cs="宋体"/>
          <w:kern w:val="0"/>
          <w:szCs w:val="21"/>
        </w:rPr>
        <w:t>与模块的连接方法及数据传输实现方法、图像采集处理方法。</w:t>
      </w:r>
    </w:p>
    <w:p>
      <w:pPr>
        <w:widowControl/>
        <w:spacing w:line="360" w:lineRule="auto"/>
        <w:ind w:firstLine="420" w:firstLineChars="200"/>
        <w:jc w:val="left"/>
        <w:rPr>
          <w:rFonts w:cs="宋体"/>
          <w:kern w:val="0"/>
          <w:szCs w:val="21"/>
        </w:rPr>
      </w:pPr>
      <w:r>
        <w:rPr>
          <w:rFonts w:hint="eastAsia" w:eastAsia="黑体" w:cs="宋体"/>
          <w:snapToGrid w:val="0"/>
          <w:kern w:val="0"/>
          <w:szCs w:val="21"/>
        </w:rPr>
        <w:t>实验一 SPI数据传输基础实验（</w:t>
      </w:r>
      <w:r>
        <w:rPr>
          <w:rFonts w:eastAsia="黑体" w:cs="宋体"/>
          <w:snapToGrid w:val="0"/>
          <w:kern w:val="0"/>
          <w:szCs w:val="21"/>
        </w:rPr>
        <w:t>20</w:t>
      </w:r>
      <w:r>
        <w:rPr>
          <w:rFonts w:hint="eastAsia" w:eastAsia="黑体" w:cs="宋体"/>
          <w:snapToGrid w:val="0"/>
          <w:kern w:val="0"/>
          <w:szCs w:val="21"/>
        </w:rPr>
        <w:t>学时）</w:t>
      </w:r>
    </w:p>
    <w:p>
      <w:pPr>
        <w:spacing w:line="360" w:lineRule="auto"/>
        <w:ind w:firstLine="420" w:firstLineChars="200"/>
        <w:rPr>
          <w:szCs w:val="21"/>
        </w:rPr>
      </w:pPr>
      <w:r>
        <w:rPr>
          <w:rFonts w:hint="eastAsia" w:cs="宋体"/>
          <w:kern w:val="0"/>
          <w:szCs w:val="21"/>
        </w:rPr>
        <w:t>内容：</w:t>
      </w:r>
      <w:r>
        <w:rPr>
          <w:rFonts w:hint="eastAsia" w:cs="宋体"/>
          <w:snapToGrid w:val="0"/>
          <w:kern w:val="0"/>
          <w:szCs w:val="21"/>
        </w:rPr>
        <w:t>使用FPGA</w:t>
      </w:r>
      <w:r>
        <w:rPr>
          <w:rFonts w:cs="宋体"/>
          <w:snapToGrid w:val="0"/>
          <w:kern w:val="0"/>
          <w:szCs w:val="21"/>
        </w:rPr>
        <w:t>/ARM/</w:t>
      </w:r>
      <w:r>
        <w:rPr>
          <w:rFonts w:hint="eastAsia" w:cs="宋体"/>
          <w:snapToGrid w:val="0"/>
          <w:kern w:val="0"/>
          <w:szCs w:val="21"/>
        </w:rPr>
        <w:t xml:space="preserve"> C</w:t>
      </w:r>
      <w:r>
        <w:rPr>
          <w:rFonts w:cs="宋体"/>
          <w:snapToGrid w:val="0"/>
          <w:kern w:val="0"/>
          <w:szCs w:val="21"/>
        </w:rPr>
        <w:t>8051</w:t>
      </w:r>
      <w:r>
        <w:rPr>
          <w:rFonts w:hint="eastAsia" w:cs="宋体"/>
          <w:snapToGrid w:val="0"/>
          <w:kern w:val="0"/>
          <w:szCs w:val="21"/>
        </w:rPr>
        <w:t>单片机实现SPI数据</w:t>
      </w:r>
      <w:r>
        <w:rPr>
          <w:rFonts w:cs="宋体"/>
          <w:snapToGrid w:val="0"/>
          <w:kern w:val="0"/>
          <w:szCs w:val="21"/>
        </w:rPr>
        <w:t>传输实验</w:t>
      </w:r>
      <w:r>
        <w:rPr>
          <w:szCs w:val="21"/>
        </w:rPr>
        <w:t>；</w:t>
      </w:r>
      <w:r>
        <w:rPr>
          <w:rFonts w:hint="eastAsia"/>
          <w:szCs w:val="21"/>
        </w:rPr>
        <w:t>实现</w:t>
      </w:r>
      <w:r>
        <w:rPr>
          <w:szCs w:val="21"/>
        </w:rPr>
        <w:t>数据传输</w:t>
      </w:r>
      <w:r>
        <w:rPr>
          <w:rFonts w:hint="eastAsia"/>
          <w:szCs w:val="21"/>
        </w:rPr>
        <w:t>程序的</w:t>
      </w:r>
      <w:r>
        <w:rPr>
          <w:szCs w:val="21"/>
        </w:rPr>
        <w:t>编写、下载、传输验证、传输波形测量，</w:t>
      </w:r>
      <w:r>
        <w:rPr>
          <w:rFonts w:hint="eastAsia"/>
          <w:szCs w:val="21"/>
        </w:rPr>
        <w:t>发送</w:t>
      </w:r>
      <w:r>
        <w:rPr>
          <w:szCs w:val="21"/>
        </w:rPr>
        <w:t>的数据及其数据传送过程须通过示波器</w:t>
      </w:r>
      <w:r>
        <w:rPr>
          <w:rFonts w:hint="eastAsia"/>
          <w:szCs w:val="21"/>
        </w:rPr>
        <w:t>测量</w:t>
      </w:r>
      <w:r>
        <w:rPr>
          <w:szCs w:val="21"/>
        </w:rPr>
        <w:t>波形验证正确性。</w:t>
      </w:r>
    </w:p>
    <w:p>
      <w:pPr>
        <w:spacing w:line="360" w:lineRule="auto"/>
        <w:ind w:firstLine="420" w:firstLineChars="200"/>
        <w:rPr>
          <w:rFonts w:cs="宋体"/>
          <w:kern w:val="0"/>
          <w:szCs w:val="21"/>
        </w:rPr>
      </w:pPr>
      <w:r>
        <w:rPr>
          <w:rFonts w:hint="eastAsia" w:cs="宋体"/>
          <w:kern w:val="0"/>
          <w:szCs w:val="21"/>
        </w:rPr>
        <w:t>基本要求：</w:t>
      </w:r>
    </w:p>
    <w:p>
      <w:pPr>
        <w:widowControl/>
        <w:spacing w:line="360" w:lineRule="auto"/>
        <w:ind w:firstLine="420" w:firstLineChars="200"/>
        <w:jc w:val="left"/>
        <w:rPr>
          <w:rFonts w:cs="宋体"/>
          <w:kern w:val="0"/>
          <w:szCs w:val="21"/>
        </w:rPr>
      </w:pPr>
      <w:r>
        <w:rPr>
          <w:rFonts w:hint="eastAsia" w:cs="宋体"/>
          <w:kern w:val="0"/>
          <w:szCs w:val="21"/>
        </w:rPr>
        <w:t>1、掌握</w:t>
      </w:r>
      <w:r>
        <w:rPr>
          <w:rFonts w:cs="宋体"/>
          <w:kern w:val="0"/>
          <w:szCs w:val="21"/>
        </w:rPr>
        <w:t>SPI</w:t>
      </w:r>
      <w:r>
        <w:rPr>
          <w:rFonts w:hint="eastAsia" w:cs="宋体"/>
          <w:kern w:val="0"/>
          <w:szCs w:val="21"/>
        </w:rPr>
        <w:t>数据</w:t>
      </w:r>
      <w:r>
        <w:rPr>
          <w:rFonts w:cs="宋体"/>
          <w:kern w:val="0"/>
          <w:szCs w:val="21"/>
        </w:rPr>
        <w:t>传输的理论基础</w:t>
      </w:r>
      <w:r>
        <w:rPr>
          <w:rFonts w:hint="eastAsia" w:cs="宋体"/>
          <w:kern w:val="0"/>
          <w:szCs w:val="21"/>
        </w:rPr>
        <w:t>；</w:t>
      </w:r>
    </w:p>
    <w:p>
      <w:pPr>
        <w:widowControl/>
        <w:tabs>
          <w:tab w:val="left" w:pos="720"/>
        </w:tabs>
        <w:spacing w:line="360" w:lineRule="auto"/>
        <w:ind w:firstLine="420" w:firstLineChars="200"/>
        <w:jc w:val="left"/>
        <w:rPr>
          <w:rFonts w:cs="宋体"/>
          <w:kern w:val="0"/>
          <w:szCs w:val="21"/>
        </w:rPr>
      </w:pPr>
      <w:r>
        <w:rPr>
          <w:rFonts w:hint="eastAsia" w:cs="宋体"/>
          <w:kern w:val="0"/>
          <w:szCs w:val="21"/>
        </w:rPr>
        <w:t>2、掌握</w:t>
      </w:r>
      <w:r>
        <w:rPr>
          <w:rFonts w:hint="eastAsia" w:cs="宋体"/>
          <w:snapToGrid w:val="0"/>
          <w:kern w:val="0"/>
          <w:szCs w:val="21"/>
        </w:rPr>
        <w:t>数据</w:t>
      </w:r>
      <w:r>
        <w:rPr>
          <w:rFonts w:cs="宋体"/>
          <w:snapToGrid w:val="0"/>
          <w:kern w:val="0"/>
          <w:szCs w:val="21"/>
        </w:rPr>
        <w:t>传输</w:t>
      </w:r>
      <w:r>
        <w:rPr>
          <w:rFonts w:hint="eastAsia" w:cs="宋体"/>
          <w:snapToGrid w:val="0"/>
          <w:kern w:val="0"/>
          <w:szCs w:val="21"/>
        </w:rPr>
        <w:t>程序</w:t>
      </w:r>
      <w:r>
        <w:rPr>
          <w:rFonts w:cs="宋体"/>
          <w:snapToGrid w:val="0"/>
          <w:kern w:val="0"/>
          <w:szCs w:val="21"/>
        </w:rPr>
        <w:t>的编写方法</w:t>
      </w:r>
      <w:r>
        <w:rPr>
          <w:rFonts w:hint="eastAsia" w:cs="宋体"/>
          <w:snapToGrid w:val="0"/>
          <w:kern w:val="0"/>
          <w:szCs w:val="21"/>
        </w:rPr>
        <w:t>；</w:t>
      </w:r>
    </w:p>
    <w:p>
      <w:pPr>
        <w:widowControl/>
        <w:spacing w:line="360" w:lineRule="auto"/>
        <w:ind w:firstLine="420" w:firstLineChars="200"/>
        <w:jc w:val="left"/>
        <w:rPr>
          <w:rFonts w:cs="宋体"/>
          <w:kern w:val="0"/>
          <w:szCs w:val="21"/>
        </w:rPr>
      </w:pPr>
      <w:r>
        <w:rPr>
          <w:rFonts w:hint="eastAsia" w:cs="宋体"/>
          <w:kern w:val="0"/>
          <w:szCs w:val="21"/>
        </w:rPr>
        <w:t>3、掌握</w:t>
      </w:r>
      <w:r>
        <w:rPr>
          <w:rFonts w:cs="宋体"/>
          <w:kern w:val="0"/>
          <w:szCs w:val="21"/>
        </w:rPr>
        <w:t>数据传输程序的下载与验证方法；</w:t>
      </w:r>
    </w:p>
    <w:p>
      <w:pPr>
        <w:widowControl/>
        <w:spacing w:line="360" w:lineRule="auto"/>
        <w:ind w:firstLine="420" w:firstLineChars="200"/>
        <w:jc w:val="left"/>
        <w:rPr>
          <w:rFonts w:cs="宋体"/>
          <w:kern w:val="0"/>
          <w:szCs w:val="21"/>
        </w:rPr>
      </w:pPr>
      <w:r>
        <w:rPr>
          <w:rFonts w:cs="宋体"/>
          <w:kern w:val="0"/>
          <w:szCs w:val="21"/>
        </w:rPr>
        <w:t>4</w:t>
      </w:r>
      <w:r>
        <w:rPr>
          <w:rFonts w:hint="eastAsia" w:cs="宋体"/>
          <w:kern w:val="0"/>
          <w:szCs w:val="21"/>
        </w:rPr>
        <w:t>、</w:t>
      </w:r>
      <w:r>
        <w:rPr>
          <w:rFonts w:cs="宋体"/>
          <w:kern w:val="0"/>
          <w:szCs w:val="21"/>
        </w:rPr>
        <w:t>掌握示波器测量波形的正确方法</w:t>
      </w:r>
      <w:r>
        <w:rPr>
          <w:rFonts w:hint="eastAsia" w:cs="宋体"/>
          <w:kern w:val="0"/>
          <w:szCs w:val="21"/>
        </w:rPr>
        <w:t>；</w:t>
      </w:r>
    </w:p>
    <w:p>
      <w:pPr>
        <w:widowControl/>
        <w:spacing w:line="360" w:lineRule="auto"/>
        <w:ind w:firstLine="420" w:firstLineChars="200"/>
        <w:jc w:val="left"/>
        <w:rPr>
          <w:rFonts w:eastAsia="黑体" w:cs="宋体"/>
          <w:snapToGrid w:val="0"/>
          <w:kern w:val="0"/>
          <w:szCs w:val="21"/>
        </w:rPr>
      </w:pPr>
      <w:r>
        <w:rPr>
          <w:rFonts w:cs="宋体"/>
          <w:kern w:val="0"/>
          <w:szCs w:val="21"/>
        </w:rPr>
        <w:t>5</w:t>
      </w:r>
      <w:r>
        <w:rPr>
          <w:rFonts w:hint="eastAsia" w:cs="宋体"/>
          <w:kern w:val="0"/>
          <w:szCs w:val="21"/>
        </w:rPr>
        <w:t>、</w:t>
      </w:r>
      <w:r>
        <w:rPr>
          <w:rFonts w:cs="宋体"/>
          <w:kern w:val="0"/>
          <w:szCs w:val="21"/>
        </w:rPr>
        <w:t>掌握示波器波形的分析方法。</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支撑课程目标1、4、5。</w:t>
      </w:r>
    </w:p>
    <w:p>
      <w:pPr>
        <w:widowControl/>
        <w:spacing w:line="360" w:lineRule="auto"/>
        <w:ind w:firstLine="420" w:firstLineChars="200"/>
        <w:jc w:val="left"/>
        <w:rPr>
          <w:rFonts w:cs="宋体"/>
          <w:kern w:val="0"/>
          <w:szCs w:val="21"/>
        </w:rPr>
      </w:pPr>
      <w:r>
        <w:rPr>
          <w:rFonts w:hint="eastAsia" w:eastAsia="黑体" w:cs="宋体"/>
          <w:snapToGrid w:val="0"/>
          <w:kern w:val="0"/>
          <w:szCs w:val="21"/>
        </w:rPr>
        <w:t>实验二 WiFi数据传输实验（</w:t>
      </w:r>
      <w:r>
        <w:rPr>
          <w:rFonts w:eastAsia="黑体" w:cs="宋体"/>
          <w:snapToGrid w:val="0"/>
          <w:kern w:val="0"/>
          <w:szCs w:val="21"/>
        </w:rPr>
        <w:t>20</w:t>
      </w:r>
      <w:r>
        <w:rPr>
          <w:rFonts w:hint="eastAsia" w:eastAsia="黑体" w:cs="宋体"/>
          <w:snapToGrid w:val="0"/>
          <w:kern w:val="0"/>
          <w:szCs w:val="21"/>
        </w:rPr>
        <w:t>学时）</w:t>
      </w:r>
    </w:p>
    <w:p>
      <w:pPr>
        <w:spacing w:line="360" w:lineRule="auto"/>
        <w:ind w:firstLine="420" w:firstLineChars="200"/>
        <w:rPr>
          <w:szCs w:val="21"/>
        </w:rPr>
      </w:pPr>
      <w:r>
        <w:rPr>
          <w:rFonts w:hint="eastAsia" w:cs="宋体"/>
          <w:kern w:val="0"/>
          <w:szCs w:val="21"/>
        </w:rPr>
        <w:t>内容：</w:t>
      </w:r>
      <w:r>
        <w:rPr>
          <w:rFonts w:hint="eastAsia" w:cs="宋体"/>
          <w:snapToGrid w:val="0"/>
          <w:kern w:val="0"/>
          <w:szCs w:val="21"/>
        </w:rPr>
        <w:t>实现C</w:t>
      </w:r>
      <w:r>
        <w:rPr>
          <w:rFonts w:cs="宋体"/>
          <w:snapToGrid w:val="0"/>
          <w:kern w:val="0"/>
          <w:szCs w:val="21"/>
        </w:rPr>
        <w:t>8051</w:t>
      </w:r>
      <w:r>
        <w:rPr>
          <w:rFonts w:hint="eastAsia" w:cs="宋体"/>
          <w:snapToGrid w:val="0"/>
          <w:kern w:val="0"/>
          <w:szCs w:val="21"/>
        </w:rPr>
        <w:t>单片机/</w:t>
      </w:r>
      <w:r>
        <w:rPr>
          <w:rFonts w:cs="宋体"/>
          <w:snapToGrid w:val="0"/>
          <w:kern w:val="0"/>
          <w:szCs w:val="21"/>
        </w:rPr>
        <w:t>ARM</w:t>
      </w:r>
      <w:r>
        <w:rPr>
          <w:rFonts w:hint="eastAsia" w:cs="宋体"/>
          <w:snapToGrid w:val="0"/>
          <w:kern w:val="0"/>
          <w:szCs w:val="21"/>
        </w:rPr>
        <w:t>/FPGA控制</w:t>
      </w:r>
      <w:r>
        <w:rPr>
          <w:rFonts w:cs="宋体"/>
          <w:snapToGrid w:val="0"/>
          <w:kern w:val="0"/>
          <w:szCs w:val="21"/>
        </w:rPr>
        <w:t>WiFi接口模块实现无线数据收发</w:t>
      </w:r>
      <w:r>
        <w:rPr>
          <w:rFonts w:hint="eastAsia"/>
          <w:szCs w:val="21"/>
        </w:rPr>
        <w:t>。可以</w:t>
      </w:r>
      <w:r>
        <w:rPr>
          <w:szCs w:val="21"/>
        </w:rPr>
        <w:t>两组同学配合实现收发，通过指示灯指示数据发送和接收成功；可以与PC机进行无线数据传输，通过上位机软件指示数据收发成功。</w:t>
      </w:r>
      <w:r>
        <w:rPr>
          <w:rFonts w:hint="eastAsia"/>
          <w:szCs w:val="21"/>
        </w:rPr>
        <w:t>主要</w:t>
      </w:r>
      <w:r>
        <w:rPr>
          <w:szCs w:val="21"/>
        </w:rPr>
        <w:t>内容包括：</w:t>
      </w:r>
      <w:r>
        <w:rPr>
          <w:rFonts w:hint="eastAsia" w:cs="宋体"/>
          <w:kern w:val="0"/>
          <w:szCs w:val="21"/>
        </w:rPr>
        <w:t>实现两个WiFi模块的点对点通信；通过路由器（AP），实现两个WiFi模块的通信；通过路由器（AP），实现三个WiFi模块的通信（一发两收）；</w:t>
      </w:r>
      <w:r>
        <w:rPr>
          <w:rFonts w:hint="eastAsia"/>
          <w:szCs w:val="21"/>
        </w:rPr>
        <w:t>将计算机WiFi连接至路由器，由某一节点发送数据至计算机终端等</w:t>
      </w:r>
      <w:r>
        <w:rPr>
          <w:szCs w:val="21"/>
        </w:rPr>
        <w:t>内容</w:t>
      </w:r>
      <w:r>
        <w:rPr>
          <w:rFonts w:hint="eastAsia"/>
          <w:szCs w:val="21"/>
        </w:rPr>
        <w:t>。</w:t>
      </w:r>
    </w:p>
    <w:p>
      <w:pPr>
        <w:spacing w:line="360" w:lineRule="auto"/>
        <w:ind w:firstLine="420" w:firstLineChars="200"/>
        <w:rPr>
          <w:rFonts w:cs="宋体"/>
          <w:kern w:val="0"/>
          <w:szCs w:val="21"/>
        </w:rPr>
      </w:pPr>
      <w:r>
        <w:rPr>
          <w:rFonts w:hint="eastAsia" w:cs="宋体"/>
          <w:kern w:val="0"/>
          <w:szCs w:val="21"/>
        </w:rPr>
        <w:t>基本要求：</w:t>
      </w:r>
    </w:p>
    <w:p>
      <w:pPr>
        <w:widowControl/>
        <w:spacing w:line="360" w:lineRule="auto"/>
        <w:ind w:firstLine="420" w:firstLineChars="200"/>
        <w:jc w:val="left"/>
        <w:rPr>
          <w:rFonts w:cs="宋体"/>
          <w:kern w:val="0"/>
          <w:szCs w:val="21"/>
        </w:rPr>
      </w:pPr>
      <w:r>
        <w:rPr>
          <w:rFonts w:hint="eastAsia" w:cs="宋体"/>
          <w:kern w:val="0"/>
          <w:szCs w:val="21"/>
        </w:rPr>
        <w:t>1、掌握WiFi模块</w:t>
      </w:r>
      <w:r>
        <w:rPr>
          <w:rFonts w:cs="宋体"/>
          <w:kern w:val="0"/>
          <w:szCs w:val="21"/>
        </w:rPr>
        <w:t>与控制器的连接方法</w:t>
      </w:r>
      <w:r>
        <w:rPr>
          <w:rFonts w:hint="eastAsia" w:cs="宋体"/>
          <w:kern w:val="0"/>
          <w:szCs w:val="21"/>
        </w:rPr>
        <w:t>；</w:t>
      </w:r>
    </w:p>
    <w:p>
      <w:pPr>
        <w:widowControl/>
        <w:tabs>
          <w:tab w:val="left" w:pos="720"/>
        </w:tabs>
        <w:spacing w:line="360" w:lineRule="auto"/>
        <w:ind w:firstLine="420" w:firstLineChars="200"/>
        <w:jc w:val="left"/>
        <w:rPr>
          <w:szCs w:val="21"/>
        </w:rPr>
      </w:pPr>
      <w:r>
        <w:rPr>
          <w:rFonts w:hint="eastAsia" w:cs="宋体"/>
          <w:kern w:val="0"/>
          <w:szCs w:val="21"/>
        </w:rPr>
        <w:t>2、掌握</w:t>
      </w:r>
      <w:r>
        <w:rPr>
          <w:rFonts w:hint="eastAsia"/>
          <w:szCs w:val="21"/>
        </w:rPr>
        <w:t>串口助手XCOM使用</w:t>
      </w:r>
      <w:r>
        <w:rPr>
          <w:szCs w:val="21"/>
        </w:rPr>
        <w:t>方法；</w:t>
      </w:r>
    </w:p>
    <w:p>
      <w:pPr>
        <w:widowControl/>
        <w:tabs>
          <w:tab w:val="left" w:pos="720"/>
        </w:tabs>
        <w:spacing w:line="360" w:lineRule="auto"/>
        <w:ind w:firstLine="420" w:firstLineChars="200"/>
        <w:jc w:val="left"/>
        <w:rPr>
          <w:rFonts w:cs="宋体"/>
          <w:kern w:val="0"/>
          <w:szCs w:val="21"/>
        </w:rPr>
      </w:pPr>
      <w:r>
        <w:rPr>
          <w:rFonts w:hint="eastAsia" w:cs="宋体"/>
          <w:kern w:val="0"/>
          <w:szCs w:val="21"/>
        </w:rPr>
        <w:t>3、掌握</w:t>
      </w:r>
      <w:r>
        <w:rPr>
          <w:rFonts w:hint="eastAsia" w:cs="宋体"/>
          <w:snapToGrid w:val="0"/>
          <w:kern w:val="0"/>
          <w:szCs w:val="21"/>
        </w:rPr>
        <w:t>无线数据</w:t>
      </w:r>
      <w:r>
        <w:rPr>
          <w:rFonts w:cs="宋体"/>
          <w:snapToGrid w:val="0"/>
          <w:kern w:val="0"/>
          <w:szCs w:val="21"/>
        </w:rPr>
        <w:t>传输实现方法</w:t>
      </w:r>
      <w:r>
        <w:rPr>
          <w:rFonts w:hint="eastAsia" w:cs="宋体"/>
          <w:snapToGrid w:val="0"/>
          <w:kern w:val="0"/>
          <w:szCs w:val="21"/>
        </w:rPr>
        <w:t>；</w:t>
      </w:r>
    </w:p>
    <w:p>
      <w:pPr>
        <w:widowControl/>
        <w:tabs>
          <w:tab w:val="left" w:pos="720"/>
        </w:tabs>
        <w:spacing w:line="360" w:lineRule="auto"/>
        <w:ind w:firstLine="420" w:firstLineChars="200"/>
        <w:jc w:val="left"/>
        <w:rPr>
          <w:rFonts w:cs="宋体"/>
          <w:snapToGrid w:val="0"/>
          <w:kern w:val="0"/>
          <w:szCs w:val="21"/>
        </w:rPr>
      </w:pPr>
      <w:r>
        <w:rPr>
          <w:rFonts w:cs="宋体"/>
          <w:snapToGrid w:val="0"/>
          <w:kern w:val="0"/>
          <w:szCs w:val="21"/>
        </w:rPr>
        <w:t>4</w:t>
      </w:r>
      <w:r>
        <w:rPr>
          <w:rFonts w:hint="eastAsia" w:cs="宋体"/>
          <w:snapToGrid w:val="0"/>
          <w:kern w:val="0"/>
          <w:szCs w:val="21"/>
        </w:rPr>
        <w:t>、</w:t>
      </w:r>
      <w:r>
        <w:rPr>
          <w:rFonts w:cs="宋体"/>
          <w:snapToGrid w:val="0"/>
          <w:kern w:val="0"/>
          <w:szCs w:val="21"/>
        </w:rPr>
        <w:t>掌握</w:t>
      </w:r>
      <w:r>
        <w:rPr>
          <w:rFonts w:hint="eastAsia" w:cs="宋体"/>
          <w:snapToGrid w:val="0"/>
          <w:kern w:val="0"/>
          <w:szCs w:val="21"/>
        </w:rPr>
        <w:t>无线</w:t>
      </w:r>
      <w:r>
        <w:rPr>
          <w:rFonts w:cs="宋体"/>
          <w:snapToGrid w:val="0"/>
          <w:kern w:val="0"/>
          <w:szCs w:val="21"/>
        </w:rPr>
        <w:t>数据传输网络</w:t>
      </w:r>
      <w:r>
        <w:rPr>
          <w:rFonts w:hint="eastAsia" w:cs="宋体"/>
          <w:snapToGrid w:val="0"/>
          <w:kern w:val="0"/>
          <w:szCs w:val="21"/>
        </w:rPr>
        <w:t>参数</w:t>
      </w:r>
      <w:r>
        <w:rPr>
          <w:rFonts w:cs="宋体"/>
          <w:snapToGrid w:val="0"/>
          <w:kern w:val="0"/>
          <w:szCs w:val="21"/>
        </w:rPr>
        <w:t>配置</w:t>
      </w:r>
      <w:r>
        <w:rPr>
          <w:rFonts w:hint="eastAsia" w:cs="宋体"/>
          <w:snapToGrid w:val="0"/>
          <w:kern w:val="0"/>
          <w:szCs w:val="21"/>
        </w:rPr>
        <w:t>方法</w:t>
      </w:r>
      <w:r>
        <w:rPr>
          <w:rFonts w:cs="宋体"/>
          <w:snapToGrid w:val="0"/>
          <w:kern w:val="0"/>
          <w:szCs w:val="21"/>
        </w:rPr>
        <w:t>；</w:t>
      </w:r>
    </w:p>
    <w:p>
      <w:pPr>
        <w:widowControl/>
        <w:tabs>
          <w:tab w:val="left" w:pos="720"/>
        </w:tabs>
        <w:spacing w:line="360" w:lineRule="auto"/>
        <w:ind w:firstLine="420" w:firstLineChars="200"/>
        <w:jc w:val="left"/>
        <w:rPr>
          <w:rFonts w:cs="宋体"/>
          <w:snapToGrid w:val="0"/>
          <w:kern w:val="0"/>
          <w:szCs w:val="21"/>
        </w:rPr>
      </w:pPr>
      <w:r>
        <w:rPr>
          <w:rFonts w:cs="宋体"/>
          <w:snapToGrid w:val="0"/>
          <w:kern w:val="0"/>
          <w:szCs w:val="21"/>
        </w:rPr>
        <w:t>5</w:t>
      </w:r>
      <w:r>
        <w:rPr>
          <w:rFonts w:hint="eastAsia" w:cs="宋体"/>
          <w:snapToGrid w:val="0"/>
          <w:kern w:val="0"/>
          <w:szCs w:val="21"/>
        </w:rPr>
        <w:t>、将编写好的</w:t>
      </w:r>
      <w:r>
        <w:rPr>
          <w:rFonts w:hint="eastAsia"/>
          <w:szCs w:val="21"/>
        </w:rPr>
        <w:t>数据传输</w:t>
      </w:r>
      <w:r>
        <w:rPr>
          <w:szCs w:val="21"/>
        </w:rPr>
        <w:t>程序下载到控制器，实现</w:t>
      </w:r>
      <w:r>
        <w:rPr>
          <w:rFonts w:hint="eastAsia"/>
          <w:szCs w:val="21"/>
        </w:rPr>
        <w:t>无线</w:t>
      </w:r>
      <w:r>
        <w:rPr>
          <w:szCs w:val="21"/>
        </w:rPr>
        <w:t>数据收发</w:t>
      </w:r>
      <w:r>
        <w:rPr>
          <w:rFonts w:hint="eastAsia" w:cs="宋体"/>
          <w:snapToGrid w:val="0"/>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支撑课程目标1、4、5、6。</w:t>
      </w:r>
    </w:p>
    <w:p>
      <w:pPr>
        <w:widowControl/>
        <w:spacing w:line="360" w:lineRule="auto"/>
        <w:ind w:firstLine="420" w:firstLineChars="200"/>
        <w:jc w:val="left"/>
        <w:rPr>
          <w:rFonts w:cs="宋体"/>
          <w:kern w:val="0"/>
          <w:szCs w:val="21"/>
        </w:rPr>
      </w:pPr>
      <w:r>
        <w:rPr>
          <w:rFonts w:hint="eastAsia" w:eastAsia="黑体" w:cs="宋体"/>
          <w:snapToGrid w:val="0"/>
          <w:kern w:val="0"/>
          <w:szCs w:val="21"/>
        </w:rPr>
        <w:t>实验三 图像采集处理基础实验</w:t>
      </w:r>
      <w:r>
        <w:rPr>
          <w:rFonts w:hint="eastAsia" w:eastAsia="黑体"/>
          <w:szCs w:val="21"/>
        </w:rPr>
        <w:t>（</w:t>
      </w:r>
      <w:r>
        <w:rPr>
          <w:rFonts w:eastAsia="黑体"/>
          <w:szCs w:val="21"/>
        </w:rPr>
        <w:t>20</w:t>
      </w:r>
      <w:r>
        <w:rPr>
          <w:rFonts w:hint="eastAsia" w:eastAsia="黑体"/>
          <w:szCs w:val="21"/>
        </w:rPr>
        <w:t>学时）</w:t>
      </w:r>
    </w:p>
    <w:p>
      <w:pPr>
        <w:widowControl/>
        <w:spacing w:line="360" w:lineRule="auto"/>
        <w:ind w:firstLine="420" w:firstLineChars="200"/>
        <w:rPr>
          <w:szCs w:val="21"/>
        </w:rPr>
      </w:pPr>
      <w:r>
        <w:rPr>
          <w:rFonts w:hint="eastAsia" w:cs="宋体"/>
          <w:kern w:val="0"/>
          <w:szCs w:val="21"/>
        </w:rPr>
        <w:t>内容：</w:t>
      </w:r>
      <w:r>
        <w:rPr>
          <w:rFonts w:hint="eastAsia" w:cs="宋体"/>
          <w:snapToGrid w:val="0"/>
          <w:kern w:val="0"/>
          <w:szCs w:val="21"/>
        </w:rPr>
        <w:t>实现</w:t>
      </w:r>
      <w:r>
        <w:rPr>
          <w:rFonts w:cs="宋体"/>
          <w:snapToGrid w:val="0"/>
          <w:kern w:val="0"/>
          <w:szCs w:val="21"/>
        </w:rPr>
        <w:t>ARM</w:t>
      </w:r>
      <w:r>
        <w:rPr>
          <w:rFonts w:hint="eastAsia" w:cs="宋体"/>
          <w:snapToGrid w:val="0"/>
          <w:kern w:val="0"/>
          <w:szCs w:val="21"/>
        </w:rPr>
        <w:t>/FPGA控制图像</w:t>
      </w:r>
      <w:r>
        <w:rPr>
          <w:rFonts w:cs="宋体"/>
          <w:snapToGrid w:val="0"/>
          <w:kern w:val="0"/>
          <w:szCs w:val="21"/>
        </w:rPr>
        <w:t>采集接口模块实现</w:t>
      </w:r>
      <w:r>
        <w:rPr>
          <w:rFonts w:hint="eastAsia" w:cs="宋体"/>
          <w:snapToGrid w:val="0"/>
          <w:kern w:val="0"/>
          <w:szCs w:val="21"/>
        </w:rPr>
        <w:t>图像数据</w:t>
      </w:r>
      <w:r>
        <w:rPr>
          <w:rFonts w:cs="宋体"/>
          <w:snapToGrid w:val="0"/>
          <w:kern w:val="0"/>
          <w:szCs w:val="21"/>
        </w:rPr>
        <w:t>接收</w:t>
      </w:r>
      <w:r>
        <w:rPr>
          <w:rFonts w:hint="eastAsia" w:cs="宋体"/>
          <w:snapToGrid w:val="0"/>
          <w:kern w:val="0"/>
          <w:szCs w:val="21"/>
        </w:rPr>
        <w:t>、</w:t>
      </w:r>
      <w:r>
        <w:rPr>
          <w:rFonts w:cs="宋体"/>
          <w:snapToGrid w:val="0"/>
          <w:kern w:val="0"/>
          <w:szCs w:val="21"/>
        </w:rPr>
        <w:t>处理、显示</w:t>
      </w:r>
      <w:r>
        <w:rPr>
          <w:rFonts w:hint="eastAsia"/>
          <w:szCs w:val="21"/>
        </w:rPr>
        <w:t>。具体</w:t>
      </w:r>
      <w:r>
        <w:rPr>
          <w:szCs w:val="21"/>
        </w:rPr>
        <w:t>为使用黑白相间的竖条图形作为采集对象</w:t>
      </w:r>
      <w:r>
        <w:rPr>
          <w:rFonts w:hint="eastAsia"/>
          <w:szCs w:val="21"/>
        </w:rPr>
        <w:t>，</w:t>
      </w:r>
      <w:r>
        <w:rPr>
          <w:szCs w:val="21"/>
        </w:rPr>
        <w:t>控制器通过图像采集模块获取图形数据，分析图像数据中包括的黑白块的位置信息，将</w:t>
      </w:r>
      <w:r>
        <w:rPr>
          <w:rFonts w:hint="eastAsia"/>
          <w:szCs w:val="21"/>
        </w:rPr>
        <w:t>与</w:t>
      </w:r>
      <w:r>
        <w:rPr>
          <w:szCs w:val="21"/>
        </w:rPr>
        <w:t>黑白竖条对应的指示灯点亮或者熄灭。</w:t>
      </w:r>
    </w:p>
    <w:p>
      <w:pPr>
        <w:widowControl/>
        <w:spacing w:line="360" w:lineRule="auto"/>
        <w:ind w:firstLine="420" w:firstLineChars="200"/>
        <w:jc w:val="left"/>
        <w:rPr>
          <w:rFonts w:cs="宋体"/>
          <w:kern w:val="0"/>
          <w:szCs w:val="21"/>
        </w:rPr>
      </w:pPr>
      <w:r>
        <w:rPr>
          <w:rFonts w:hint="eastAsia" w:cs="宋体"/>
          <w:kern w:val="0"/>
          <w:szCs w:val="21"/>
        </w:rPr>
        <w:t>基本要求：</w:t>
      </w:r>
    </w:p>
    <w:p>
      <w:pPr>
        <w:widowControl/>
        <w:spacing w:line="360" w:lineRule="auto"/>
        <w:ind w:firstLine="420" w:firstLineChars="200"/>
        <w:jc w:val="left"/>
        <w:rPr>
          <w:rFonts w:cs="宋体"/>
          <w:kern w:val="0"/>
          <w:szCs w:val="21"/>
        </w:rPr>
      </w:pPr>
      <w:r>
        <w:rPr>
          <w:rFonts w:hint="eastAsia"/>
          <w:szCs w:val="21"/>
        </w:rPr>
        <w:t>1、</w:t>
      </w:r>
      <w:r>
        <w:rPr>
          <w:rFonts w:hint="eastAsia" w:cs="宋体"/>
          <w:kern w:val="0"/>
          <w:szCs w:val="21"/>
        </w:rPr>
        <w:t>掌握</w:t>
      </w:r>
      <w:r>
        <w:rPr>
          <w:rFonts w:hint="eastAsia" w:cs="宋体"/>
          <w:snapToGrid w:val="0"/>
          <w:kern w:val="0"/>
          <w:szCs w:val="21"/>
        </w:rPr>
        <w:t>图像采集</w:t>
      </w:r>
      <w:r>
        <w:rPr>
          <w:rFonts w:cs="宋体"/>
          <w:snapToGrid w:val="0"/>
          <w:kern w:val="0"/>
          <w:szCs w:val="21"/>
        </w:rPr>
        <w:t>模块与ARM</w:t>
      </w:r>
      <w:r>
        <w:rPr>
          <w:rFonts w:hint="eastAsia" w:cs="宋体"/>
          <w:snapToGrid w:val="0"/>
          <w:kern w:val="0"/>
          <w:szCs w:val="21"/>
        </w:rPr>
        <w:t>/FPGA连接</w:t>
      </w:r>
      <w:r>
        <w:rPr>
          <w:rFonts w:cs="宋体"/>
          <w:snapToGrid w:val="0"/>
          <w:kern w:val="0"/>
          <w:szCs w:val="21"/>
        </w:rPr>
        <w:t>方法</w:t>
      </w:r>
      <w:r>
        <w:rPr>
          <w:rFonts w:hint="eastAsia"/>
          <w:szCs w:val="21"/>
        </w:rPr>
        <w:t>；</w:t>
      </w:r>
    </w:p>
    <w:p>
      <w:pPr>
        <w:widowControl/>
        <w:spacing w:line="360" w:lineRule="auto"/>
        <w:ind w:firstLine="420" w:firstLineChars="200"/>
        <w:jc w:val="left"/>
        <w:rPr>
          <w:rFonts w:cs="宋体"/>
          <w:kern w:val="0"/>
          <w:szCs w:val="21"/>
        </w:rPr>
      </w:pPr>
      <w:r>
        <w:rPr>
          <w:rFonts w:hint="eastAsia" w:cs="宋体"/>
          <w:kern w:val="0"/>
          <w:szCs w:val="21"/>
        </w:rPr>
        <w:t>2、掌握</w:t>
      </w:r>
      <w:r>
        <w:rPr>
          <w:rFonts w:hint="eastAsia"/>
          <w:szCs w:val="21"/>
        </w:rPr>
        <w:t>图像采集</w:t>
      </w:r>
      <w:r>
        <w:rPr>
          <w:szCs w:val="21"/>
        </w:rPr>
        <w:t>模块配置与图像数据读取方法</w:t>
      </w:r>
      <w:r>
        <w:rPr>
          <w:rFonts w:hint="eastAsia" w:cs="宋体"/>
          <w:kern w:val="0"/>
          <w:szCs w:val="21"/>
        </w:rPr>
        <w:t>；</w:t>
      </w:r>
    </w:p>
    <w:p>
      <w:pPr>
        <w:widowControl/>
        <w:spacing w:line="360" w:lineRule="auto"/>
        <w:ind w:firstLine="420" w:firstLineChars="200"/>
        <w:jc w:val="left"/>
        <w:rPr>
          <w:rFonts w:cs="宋体"/>
          <w:kern w:val="0"/>
          <w:szCs w:val="21"/>
        </w:rPr>
      </w:pPr>
      <w:r>
        <w:rPr>
          <w:rFonts w:hint="eastAsia" w:cs="宋体"/>
          <w:kern w:val="0"/>
          <w:szCs w:val="21"/>
        </w:rPr>
        <w:t>3、掌握</w:t>
      </w:r>
      <w:r>
        <w:rPr>
          <w:rFonts w:cs="宋体"/>
          <w:kern w:val="0"/>
          <w:szCs w:val="21"/>
        </w:rPr>
        <w:t>简单的</w:t>
      </w:r>
      <w:r>
        <w:rPr>
          <w:rFonts w:hint="eastAsia" w:cs="宋体"/>
          <w:kern w:val="0"/>
          <w:szCs w:val="21"/>
        </w:rPr>
        <w:t>图像数据处理</w:t>
      </w:r>
      <w:r>
        <w:rPr>
          <w:rFonts w:cs="宋体"/>
          <w:kern w:val="0"/>
          <w:szCs w:val="21"/>
        </w:rPr>
        <w:t>方法</w:t>
      </w:r>
      <w:r>
        <w:rPr>
          <w:rFonts w:hint="eastAsia" w:cs="宋体"/>
          <w:kern w:val="0"/>
          <w:szCs w:val="21"/>
        </w:rPr>
        <w:t>；</w:t>
      </w:r>
    </w:p>
    <w:p>
      <w:pPr>
        <w:widowControl/>
        <w:spacing w:line="360" w:lineRule="auto"/>
        <w:ind w:firstLine="420" w:firstLineChars="200"/>
        <w:jc w:val="left"/>
        <w:rPr>
          <w:rFonts w:cs="宋体"/>
          <w:kern w:val="0"/>
          <w:szCs w:val="21"/>
        </w:rPr>
      </w:pPr>
      <w:r>
        <w:rPr>
          <w:rFonts w:cs="宋体"/>
          <w:kern w:val="0"/>
          <w:szCs w:val="21"/>
        </w:rPr>
        <w:t>4</w:t>
      </w:r>
      <w:r>
        <w:rPr>
          <w:rFonts w:hint="eastAsia" w:cs="宋体"/>
          <w:kern w:val="0"/>
          <w:szCs w:val="21"/>
        </w:rPr>
        <w:t>、</w:t>
      </w:r>
      <w:r>
        <w:rPr>
          <w:rFonts w:cs="宋体"/>
          <w:kern w:val="0"/>
          <w:szCs w:val="21"/>
        </w:rPr>
        <w:t>掌握</w:t>
      </w:r>
      <w:r>
        <w:rPr>
          <w:rFonts w:hint="eastAsia" w:cs="宋体"/>
          <w:kern w:val="0"/>
          <w:szCs w:val="21"/>
        </w:rPr>
        <w:t>根据</w:t>
      </w:r>
      <w:r>
        <w:rPr>
          <w:rFonts w:cs="宋体"/>
          <w:kern w:val="0"/>
          <w:szCs w:val="21"/>
        </w:rPr>
        <w:t>图像</w:t>
      </w:r>
      <w:r>
        <w:rPr>
          <w:rFonts w:hint="eastAsia" w:cs="宋体"/>
          <w:kern w:val="0"/>
          <w:szCs w:val="21"/>
        </w:rPr>
        <w:t>数据</w:t>
      </w:r>
      <w:r>
        <w:rPr>
          <w:rFonts w:cs="宋体"/>
          <w:kern w:val="0"/>
          <w:szCs w:val="21"/>
        </w:rPr>
        <w:t>处理</w:t>
      </w:r>
      <w:r>
        <w:rPr>
          <w:rFonts w:hint="eastAsia" w:cs="宋体"/>
          <w:kern w:val="0"/>
          <w:szCs w:val="21"/>
        </w:rPr>
        <w:t>结果实现</w:t>
      </w:r>
      <w:r>
        <w:rPr>
          <w:rFonts w:cs="宋体"/>
          <w:kern w:val="0"/>
          <w:szCs w:val="21"/>
        </w:rPr>
        <w:t>外部</w:t>
      </w:r>
      <w:r>
        <w:rPr>
          <w:rFonts w:hint="eastAsia" w:cs="宋体"/>
          <w:kern w:val="0"/>
          <w:szCs w:val="21"/>
        </w:rPr>
        <w:t>器件</w:t>
      </w:r>
      <w:r>
        <w:rPr>
          <w:rFonts w:cs="宋体"/>
          <w:kern w:val="0"/>
          <w:szCs w:val="21"/>
        </w:rPr>
        <w:t>动作控制方法；</w:t>
      </w:r>
    </w:p>
    <w:p>
      <w:pPr>
        <w:widowControl/>
        <w:spacing w:line="360" w:lineRule="auto"/>
        <w:ind w:firstLine="420" w:firstLineChars="200"/>
        <w:jc w:val="left"/>
        <w:rPr>
          <w:rFonts w:cs="宋体"/>
          <w:kern w:val="0"/>
          <w:szCs w:val="21"/>
        </w:rPr>
      </w:pPr>
      <w:r>
        <w:rPr>
          <w:rFonts w:cs="宋体"/>
          <w:kern w:val="0"/>
          <w:szCs w:val="21"/>
        </w:rPr>
        <w:t>5</w:t>
      </w:r>
      <w:r>
        <w:rPr>
          <w:rFonts w:hint="eastAsia" w:cs="宋体"/>
          <w:kern w:val="0"/>
          <w:szCs w:val="21"/>
        </w:rPr>
        <w:t>、将编写</w:t>
      </w:r>
      <w:r>
        <w:rPr>
          <w:rFonts w:hint="eastAsia" w:cs="宋体"/>
          <w:snapToGrid w:val="0"/>
          <w:kern w:val="0"/>
          <w:szCs w:val="21"/>
        </w:rPr>
        <w:t>好的图像</w:t>
      </w:r>
      <w:r>
        <w:rPr>
          <w:rFonts w:cs="宋体"/>
          <w:snapToGrid w:val="0"/>
          <w:kern w:val="0"/>
          <w:szCs w:val="21"/>
        </w:rPr>
        <w:t>读取、处理、显示</w:t>
      </w:r>
      <w:r>
        <w:rPr>
          <w:szCs w:val="21"/>
        </w:rPr>
        <w:t>程序下载到控制器，实现</w:t>
      </w:r>
      <w:r>
        <w:rPr>
          <w:rFonts w:hint="eastAsia"/>
          <w:szCs w:val="21"/>
        </w:rPr>
        <w:t>图像</w:t>
      </w:r>
      <w:r>
        <w:rPr>
          <w:szCs w:val="21"/>
        </w:rPr>
        <w:t>数据</w:t>
      </w:r>
      <w:r>
        <w:rPr>
          <w:rFonts w:hint="eastAsia"/>
          <w:szCs w:val="21"/>
        </w:rPr>
        <w:t>读取</w:t>
      </w:r>
      <w:r>
        <w:rPr>
          <w:szCs w:val="21"/>
        </w:rPr>
        <w:t>、处理</w:t>
      </w:r>
      <w:r>
        <w:rPr>
          <w:rFonts w:hint="eastAsia"/>
          <w:szCs w:val="21"/>
        </w:rPr>
        <w:t>并</w:t>
      </w:r>
      <w:r>
        <w:rPr>
          <w:szCs w:val="21"/>
        </w:rPr>
        <w:t>实现对应的控制动作</w:t>
      </w:r>
      <w:r>
        <w:rPr>
          <w:rFonts w:hint="eastAsia" w:cs="宋体"/>
          <w:kern w:val="0"/>
          <w:szCs w:val="21"/>
        </w:rPr>
        <w:t>。</w:t>
      </w:r>
    </w:p>
    <w:p>
      <w:pPr>
        <w:widowControl/>
        <w:spacing w:line="360" w:lineRule="auto"/>
        <w:ind w:left="426"/>
        <w:jc w:val="left"/>
        <w:rPr>
          <w:rFonts w:ascii="宋体" w:hAnsi="宋体" w:cs="宋体"/>
          <w:snapToGrid w:val="0"/>
          <w:kern w:val="0"/>
          <w:szCs w:val="21"/>
        </w:rPr>
      </w:pPr>
      <w:r>
        <w:rPr>
          <w:rFonts w:hint="eastAsia" w:ascii="宋体" w:hAnsi="宋体" w:cs="宋体"/>
          <w:snapToGrid w:val="0"/>
          <w:kern w:val="0"/>
          <w:szCs w:val="21"/>
        </w:rPr>
        <w:t>支撑课程目标1、4、5、6。</w:t>
      </w:r>
    </w:p>
    <w:p>
      <w:pPr>
        <w:spacing w:line="360" w:lineRule="auto"/>
        <w:ind w:firstLine="420"/>
        <w:rPr>
          <w:rFonts w:ascii="微软雅黑" w:hAnsi="微软雅黑" w:eastAsia="微软雅黑" w:cs="微软雅黑"/>
          <w:b/>
          <w:bCs/>
          <w:szCs w:val="21"/>
        </w:rPr>
      </w:pPr>
      <w:r>
        <w:rPr>
          <w:rFonts w:hint="eastAsia" w:ascii="微软雅黑" w:hAnsi="微软雅黑" w:eastAsia="微软雅黑" w:cs="微软雅黑"/>
          <w:b/>
          <w:bCs/>
          <w:szCs w:val="21"/>
        </w:rPr>
        <w:t>第三环节：开放项目实训环节（88学时, 8周内完成）</w:t>
      </w:r>
    </w:p>
    <w:p>
      <w:pPr>
        <w:spacing w:line="360" w:lineRule="auto"/>
        <w:ind w:firstLine="420" w:firstLineChars="200"/>
        <w:rPr>
          <w:rFonts w:cs="宋体"/>
          <w:kern w:val="0"/>
          <w:szCs w:val="21"/>
        </w:rPr>
      </w:pPr>
      <w:r>
        <w:rPr>
          <w:rFonts w:hint="eastAsia" w:cs="宋体"/>
          <w:kern w:val="0"/>
          <w:szCs w:val="21"/>
        </w:rPr>
        <w:t>第三环节开放项目实训为分组选题，所有学生必须组合到一个2~4人的团队中，以团队的形式来完成。题目不限于以下三个题目，教师可以另出题目。要求</w:t>
      </w:r>
    </w:p>
    <w:p>
      <w:pPr>
        <w:widowControl/>
        <w:spacing w:line="360" w:lineRule="auto"/>
        <w:ind w:firstLine="420" w:firstLineChars="200"/>
        <w:jc w:val="left"/>
        <w:rPr>
          <w:rFonts w:eastAsia="黑体" w:cs="宋体"/>
          <w:snapToGrid w:val="0"/>
          <w:kern w:val="0"/>
          <w:szCs w:val="21"/>
        </w:rPr>
      </w:pPr>
      <w:r>
        <w:rPr>
          <w:rFonts w:hint="eastAsia" w:eastAsia="黑体" w:cs="宋体"/>
          <w:snapToGrid w:val="0"/>
          <w:kern w:val="0"/>
          <w:szCs w:val="21"/>
        </w:rPr>
        <w:t>动手实践模块一：基于物联网的校园安全监测系统设计（最多25组，8</w:t>
      </w:r>
      <w:r>
        <w:rPr>
          <w:rFonts w:eastAsia="黑体" w:cs="宋体"/>
          <w:snapToGrid w:val="0"/>
          <w:kern w:val="0"/>
          <w:szCs w:val="21"/>
        </w:rPr>
        <w:t>8</w:t>
      </w:r>
      <w:r>
        <w:rPr>
          <w:rFonts w:hint="eastAsia" w:eastAsia="黑体" w:cs="宋体"/>
          <w:snapToGrid w:val="0"/>
          <w:kern w:val="0"/>
          <w:szCs w:val="21"/>
        </w:rPr>
        <w:t>学时）</w:t>
      </w:r>
    </w:p>
    <w:p>
      <w:pPr>
        <w:widowControl/>
        <w:spacing w:line="360" w:lineRule="auto"/>
        <w:ind w:firstLine="420" w:firstLineChars="200"/>
        <w:rPr>
          <w:rFonts w:cs="宋体"/>
          <w:snapToGrid w:val="0"/>
          <w:kern w:val="0"/>
          <w:szCs w:val="21"/>
        </w:rPr>
      </w:pPr>
      <w:r>
        <w:rPr>
          <w:rFonts w:hint="eastAsia" w:cs="宋体"/>
          <w:kern w:val="0"/>
          <w:szCs w:val="21"/>
        </w:rPr>
        <w:t>内容：</w:t>
      </w:r>
      <w:r>
        <w:rPr>
          <w:rFonts w:hint="eastAsia" w:cs="宋体"/>
          <w:snapToGrid w:val="0"/>
          <w:kern w:val="0"/>
          <w:szCs w:val="21"/>
        </w:rPr>
        <w:t>以中北</w:t>
      </w:r>
      <w:r>
        <w:rPr>
          <w:rFonts w:cs="宋体"/>
          <w:snapToGrid w:val="0"/>
          <w:kern w:val="0"/>
          <w:szCs w:val="21"/>
        </w:rPr>
        <w:t>大学的校区为背景，</w:t>
      </w:r>
      <w:r>
        <w:rPr>
          <w:rFonts w:hint="eastAsia" w:cs="宋体"/>
          <w:snapToGrid w:val="0"/>
          <w:kern w:val="0"/>
          <w:szCs w:val="21"/>
        </w:rPr>
        <w:t>在校园内设立多个监测点。包含</w:t>
      </w:r>
      <w:r>
        <w:rPr>
          <w:rFonts w:cs="宋体"/>
          <w:snapToGrid w:val="0"/>
          <w:kern w:val="0"/>
          <w:szCs w:val="21"/>
        </w:rPr>
        <w:t>：</w:t>
      </w:r>
    </w:p>
    <w:p>
      <w:pPr>
        <w:widowControl/>
        <w:spacing w:line="360" w:lineRule="auto"/>
        <w:ind w:firstLine="420" w:firstLineChars="200"/>
        <w:rPr>
          <w:szCs w:val="21"/>
        </w:rPr>
      </w:pPr>
      <w:r>
        <w:rPr>
          <w:rFonts w:hint="eastAsia"/>
          <w:szCs w:val="21"/>
        </w:rPr>
        <w:t>1、一道门至七道门每个门上监控车辆出入数量；</w:t>
      </w:r>
    </w:p>
    <w:p>
      <w:pPr>
        <w:widowControl/>
        <w:spacing w:line="360" w:lineRule="auto"/>
        <w:ind w:firstLine="420" w:firstLineChars="200"/>
        <w:rPr>
          <w:szCs w:val="21"/>
        </w:rPr>
      </w:pPr>
      <w:r>
        <w:rPr>
          <w:rFonts w:hint="eastAsia"/>
          <w:szCs w:val="21"/>
        </w:rPr>
        <w:t>2、在二龙山、化工与环境学院实验室设立两个火灾监测点；</w:t>
      </w:r>
    </w:p>
    <w:p>
      <w:pPr>
        <w:widowControl/>
        <w:spacing w:line="360" w:lineRule="auto"/>
        <w:ind w:firstLine="420" w:firstLineChars="200"/>
        <w:rPr>
          <w:szCs w:val="21"/>
        </w:rPr>
      </w:pPr>
      <w:r>
        <w:rPr>
          <w:szCs w:val="21"/>
        </w:rPr>
        <w:t>3</w:t>
      </w:r>
      <w:r>
        <w:rPr>
          <w:rFonts w:hint="eastAsia"/>
          <w:szCs w:val="21"/>
        </w:rPr>
        <w:t>、在化工与环境学院还设立了一个危险气体监测点；</w:t>
      </w:r>
    </w:p>
    <w:p>
      <w:pPr>
        <w:widowControl/>
        <w:spacing w:line="360" w:lineRule="auto"/>
        <w:ind w:firstLine="420" w:firstLineChars="200"/>
        <w:rPr>
          <w:szCs w:val="21"/>
        </w:rPr>
      </w:pPr>
      <w:r>
        <w:rPr>
          <w:rFonts w:hint="eastAsia"/>
          <w:szCs w:val="21"/>
        </w:rPr>
        <w:t>4、所有监测点的信息都传输到邮政所对面的监控中心；</w:t>
      </w:r>
    </w:p>
    <w:p>
      <w:pPr>
        <w:widowControl/>
        <w:spacing w:line="360" w:lineRule="auto"/>
        <w:ind w:firstLine="420" w:firstLineChars="200"/>
        <w:rPr>
          <w:szCs w:val="21"/>
        </w:rPr>
      </w:pPr>
      <w:r>
        <w:rPr>
          <w:rFonts w:hint="eastAsia"/>
          <w:szCs w:val="21"/>
        </w:rPr>
        <w:t>5、如果有火灾或危险气体泄漏要及时声音报警；</w:t>
      </w:r>
    </w:p>
    <w:p>
      <w:pPr>
        <w:widowControl/>
        <w:spacing w:line="360" w:lineRule="auto"/>
        <w:ind w:firstLine="420" w:firstLineChars="200"/>
        <w:rPr>
          <w:szCs w:val="21"/>
        </w:rPr>
      </w:pPr>
      <w:r>
        <w:rPr>
          <w:rFonts w:hint="eastAsia"/>
          <w:szCs w:val="21"/>
        </w:rPr>
        <w:t>6、实时显示一道门的车辆进入数量和驶出数量；</w:t>
      </w:r>
    </w:p>
    <w:p>
      <w:pPr>
        <w:widowControl/>
        <w:spacing w:line="360" w:lineRule="auto"/>
        <w:ind w:firstLine="420" w:firstLineChars="200"/>
        <w:rPr>
          <w:szCs w:val="21"/>
        </w:rPr>
      </w:pPr>
      <w:r>
        <w:rPr>
          <w:rFonts w:hint="eastAsia"/>
          <w:szCs w:val="21"/>
        </w:rPr>
        <w:t>7、另外在校园东北角，设置了一个图像监测点。</w:t>
      </w:r>
    </w:p>
    <w:p>
      <w:pPr>
        <w:widowControl/>
        <w:spacing w:line="360" w:lineRule="auto"/>
        <w:ind w:firstLine="420" w:firstLineChars="200"/>
        <w:jc w:val="left"/>
        <w:rPr>
          <w:rFonts w:cs="宋体"/>
          <w:kern w:val="0"/>
          <w:szCs w:val="21"/>
        </w:rPr>
      </w:pPr>
      <w:r>
        <w:rPr>
          <w:rFonts w:hint="eastAsia" w:cs="宋体"/>
          <w:kern w:val="0"/>
          <w:szCs w:val="21"/>
        </w:rPr>
        <w:t>基本要求：</w:t>
      </w:r>
    </w:p>
    <w:p>
      <w:pPr>
        <w:widowControl/>
        <w:spacing w:line="360" w:lineRule="auto"/>
        <w:ind w:firstLine="420" w:firstLineChars="200"/>
        <w:jc w:val="left"/>
        <w:rPr>
          <w:szCs w:val="21"/>
        </w:rPr>
      </w:pPr>
      <w:r>
        <w:rPr>
          <w:rFonts w:hint="eastAsia"/>
          <w:szCs w:val="21"/>
        </w:rPr>
        <w:t>1、撰写一个简明的方案设计报告，根据校园实际距离和布局，设计布置每一个监控设备，并说明布置理由以及每一个监控设备或传感器的选型与指标是否满足设计要求，并估算你的方案的实现成本；</w:t>
      </w:r>
    </w:p>
    <w:p>
      <w:pPr>
        <w:widowControl/>
        <w:spacing w:line="360" w:lineRule="auto"/>
        <w:ind w:firstLine="420" w:firstLineChars="200"/>
        <w:jc w:val="left"/>
        <w:rPr>
          <w:szCs w:val="21"/>
        </w:rPr>
      </w:pPr>
      <w:r>
        <w:rPr>
          <w:rFonts w:hint="eastAsia"/>
          <w:szCs w:val="21"/>
        </w:rPr>
        <w:t>2、最多三个学生一组，最少两个学生一组，互相协商好各自的分工，在后续过程中将有针对性地加以分别考核；</w:t>
      </w:r>
    </w:p>
    <w:p>
      <w:pPr>
        <w:widowControl/>
        <w:spacing w:line="360" w:lineRule="auto"/>
        <w:ind w:firstLine="420" w:firstLineChars="200"/>
        <w:jc w:val="left"/>
        <w:rPr>
          <w:szCs w:val="21"/>
        </w:rPr>
      </w:pPr>
      <w:r>
        <w:rPr>
          <w:rFonts w:hint="eastAsia"/>
          <w:szCs w:val="21"/>
        </w:rPr>
        <w:t>3、选用实验室现有模块，实现以上用户需求1~6的功能，7为</w:t>
      </w:r>
      <w:r>
        <w:rPr>
          <w:szCs w:val="21"/>
        </w:rPr>
        <w:t>发挥部分</w:t>
      </w:r>
      <w:r>
        <w:rPr>
          <w:rFonts w:hint="eastAsia"/>
          <w:szCs w:val="21"/>
        </w:rPr>
        <w:t>。</w:t>
      </w:r>
    </w:p>
    <w:p>
      <w:pPr>
        <w:widowControl/>
        <w:spacing w:line="360" w:lineRule="auto"/>
        <w:ind w:firstLine="420" w:firstLineChars="200"/>
        <w:jc w:val="left"/>
        <w:rPr>
          <w:szCs w:val="21"/>
        </w:rPr>
      </w:pPr>
      <w:r>
        <w:rPr>
          <w:rFonts w:hint="eastAsia"/>
          <w:szCs w:val="21"/>
        </w:rPr>
        <w:t>4、要充分考虑实际环境布局，采用更少的资源实现更优的方案。</w:t>
      </w:r>
    </w:p>
    <w:p>
      <w:pPr>
        <w:widowControl/>
        <w:spacing w:line="360" w:lineRule="auto"/>
        <w:ind w:firstLine="420" w:firstLineChars="200"/>
        <w:jc w:val="left"/>
        <w:rPr>
          <w:szCs w:val="21"/>
        </w:rPr>
      </w:pPr>
      <w:r>
        <w:rPr>
          <w:rFonts w:hint="eastAsia"/>
          <w:szCs w:val="21"/>
        </w:rPr>
        <w:t>5、项目完成，小组集体进行实物演示和验收，但每个人要单独完成自己的设计报告，并通过指导老师的答辩。设计报告不能突出自己不同于他人的工作部分的，不予通过。</w:t>
      </w:r>
    </w:p>
    <w:p>
      <w:pPr>
        <w:widowControl/>
        <w:spacing w:line="360" w:lineRule="auto"/>
        <w:ind w:firstLine="420" w:firstLineChars="200"/>
        <w:jc w:val="left"/>
        <w:rPr>
          <w:rFonts w:cs="宋体"/>
          <w:kern w:val="0"/>
          <w:szCs w:val="21"/>
        </w:rPr>
      </w:pPr>
      <w:r>
        <w:rPr>
          <w:rFonts w:hint="eastAsia" w:cs="宋体"/>
          <w:snapToGrid w:val="0"/>
          <w:kern w:val="0"/>
          <w:szCs w:val="21"/>
        </w:rPr>
        <w:t>6、</w:t>
      </w:r>
      <w:r>
        <w:rPr>
          <w:rFonts w:cs="宋体"/>
          <w:snapToGrid w:val="0"/>
          <w:kern w:val="0"/>
          <w:szCs w:val="21"/>
        </w:rPr>
        <w:t>根据时间节点安排完成方案设计、中期总结、设计报告</w:t>
      </w:r>
      <w:r>
        <w:rPr>
          <w:rFonts w:hint="eastAsia" w:cs="宋体"/>
          <w:snapToGrid w:val="0"/>
          <w:kern w:val="0"/>
          <w:szCs w:val="21"/>
        </w:rPr>
        <w:t>；</w:t>
      </w:r>
      <w:r>
        <w:rPr>
          <w:rFonts w:cs="宋体"/>
          <w:snapToGrid w:val="0"/>
          <w:kern w:val="0"/>
          <w:szCs w:val="21"/>
        </w:rPr>
        <w:t>按规定的时间</w:t>
      </w:r>
      <w:r>
        <w:rPr>
          <w:rFonts w:hint="eastAsia" w:cs="宋体"/>
          <w:snapToGrid w:val="0"/>
          <w:kern w:val="0"/>
          <w:szCs w:val="21"/>
        </w:rPr>
        <w:t>完成</w:t>
      </w:r>
      <w:r>
        <w:rPr>
          <w:rFonts w:cs="宋体"/>
          <w:snapToGrid w:val="0"/>
          <w:kern w:val="0"/>
          <w:szCs w:val="21"/>
        </w:rPr>
        <w:t>规定的设计任务；参加规定的检查</w:t>
      </w:r>
      <w:r>
        <w:rPr>
          <w:rFonts w:hint="eastAsia" w:cs="宋体"/>
          <w:kern w:val="0"/>
          <w:szCs w:val="21"/>
        </w:rPr>
        <w:t>。</w:t>
      </w:r>
    </w:p>
    <w:p>
      <w:pPr>
        <w:widowControl/>
        <w:spacing w:line="360" w:lineRule="auto"/>
        <w:ind w:firstLine="420" w:firstLineChars="200"/>
        <w:jc w:val="left"/>
        <w:rPr>
          <w:rFonts w:cs="宋体"/>
          <w:snapToGrid w:val="0"/>
          <w:kern w:val="0"/>
          <w:szCs w:val="21"/>
        </w:rPr>
      </w:pPr>
      <w:r>
        <w:rPr>
          <w:rFonts w:hint="eastAsia" w:cs="宋体"/>
          <w:snapToGrid w:val="0"/>
          <w:kern w:val="0"/>
          <w:szCs w:val="21"/>
        </w:rPr>
        <w:t>支撑课程目标1～12。</w:t>
      </w:r>
    </w:p>
    <w:p>
      <w:pPr>
        <w:widowControl/>
        <w:spacing w:line="360" w:lineRule="auto"/>
        <w:ind w:firstLine="420" w:firstLineChars="200"/>
        <w:jc w:val="left"/>
        <w:rPr>
          <w:rFonts w:eastAsia="黑体" w:cs="宋体"/>
          <w:snapToGrid w:val="0"/>
          <w:kern w:val="0"/>
          <w:szCs w:val="21"/>
        </w:rPr>
      </w:pPr>
      <w:r>
        <w:rPr>
          <w:rFonts w:hint="eastAsia" w:eastAsia="黑体" w:cs="宋体"/>
          <w:snapToGrid w:val="0"/>
          <w:kern w:val="0"/>
          <w:szCs w:val="21"/>
        </w:rPr>
        <w:t>实践模块二：总线型温室大棚监控系统（最多共25组，8</w:t>
      </w:r>
      <w:r>
        <w:rPr>
          <w:rFonts w:eastAsia="黑体" w:cs="宋体"/>
          <w:snapToGrid w:val="0"/>
          <w:kern w:val="0"/>
          <w:szCs w:val="21"/>
        </w:rPr>
        <w:t>8</w:t>
      </w:r>
      <w:r>
        <w:rPr>
          <w:rFonts w:hint="eastAsia" w:eastAsia="黑体" w:cs="宋体"/>
          <w:snapToGrid w:val="0"/>
          <w:kern w:val="0"/>
          <w:szCs w:val="21"/>
        </w:rPr>
        <w:t>学时）</w:t>
      </w:r>
    </w:p>
    <w:p>
      <w:pPr>
        <w:widowControl/>
        <w:spacing w:line="360" w:lineRule="auto"/>
        <w:ind w:firstLine="420" w:firstLineChars="200"/>
        <w:rPr>
          <w:rFonts w:cs="宋体"/>
          <w:kern w:val="0"/>
          <w:szCs w:val="21"/>
        </w:rPr>
      </w:pPr>
      <w:r>
        <w:rPr>
          <w:rFonts w:hint="eastAsia" w:cs="宋体"/>
          <w:kern w:val="0"/>
          <w:szCs w:val="21"/>
        </w:rPr>
        <w:t>内容：各个监测节点独立工作，监测节点之间通过422/485/CAN总线等方法与主控节点进行信息传输。设计主控节点，接收各个监测节点的信息，进行数据分析实现升温/降温、喷水等控制并集中显示监测信息。主控台提供控制按钮，选择显示监测点信息，可手动升温/降温、喷水等控制。</w:t>
      </w:r>
    </w:p>
    <w:p>
      <w:pPr>
        <w:widowControl/>
        <w:spacing w:line="360" w:lineRule="auto"/>
        <w:ind w:firstLine="420" w:firstLineChars="200"/>
        <w:jc w:val="left"/>
        <w:rPr>
          <w:rFonts w:cs="宋体"/>
          <w:kern w:val="0"/>
          <w:szCs w:val="21"/>
        </w:rPr>
      </w:pPr>
      <w:r>
        <w:rPr>
          <w:rFonts w:hint="eastAsia" w:cs="宋体"/>
          <w:kern w:val="0"/>
          <w:szCs w:val="21"/>
        </w:rPr>
        <w:t>基本要求：</w:t>
      </w:r>
    </w:p>
    <w:p>
      <w:pPr>
        <w:widowControl/>
        <w:spacing w:line="360" w:lineRule="auto"/>
        <w:ind w:firstLine="420" w:firstLineChars="200"/>
        <w:jc w:val="left"/>
        <w:rPr>
          <w:rFonts w:cs="宋体"/>
          <w:kern w:val="0"/>
          <w:szCs w:val="21"/>
        </w:rPr>
      </w:pPr>
      <w:r>
        <w:rPr>
          <w:rFonts w:hint="eastAsia"/>
          <w:szCs w:val="21"/>
        </w:rPr>
        <w:t>1、</w:t>
      </w:r>
      <w:r>
        <w:rPr>
          <w:rFonts w:hint="eastAsia" w:cs="宋体"/>
          <w:kern w:val="0"/>
          <w:szCs w:val="21"/>
        </w:rPr>
        <w:t>节点</w:t>
      </w:r>
      <w:r>
        <w:rPr>
          <w:rFonts w:cs="宋体"/>
          <w:kern w:val="0"/>
          <w:szCs w:val="21"/>
        </w:rPr>
        <w:t>模块有</w:t>
      </w:r>
      <w:r>
        <w:rPr>
          <w:rFonts w:hint="eastAsia" w:cs="宋体"/>
          <w:kern w:val="0"/>
          <w:szCs w:val="21"/>
        </w:rPr>
        <w:t>空气温湿度信息采集模块、土壤温湿度信息采集模块、二氧化碳浓度采集模块、温湿度采集传输、光照度</w:t>
      </w:r>
      <w:r>
        <w:rPr>
          <w:rFonts w:cs="宋体"/>
          <w:kern w:val="0"/>
          <w:szCs w:val="21"/>
        </w:rPr>
        <w:t>模块</w:t>
      </w:r>
      <w:r>
        <w:rPr>
          <w:rFonts w:hint="eastAsia" w:cs="宋体"/>
          <w:kern w:val="0"/>
          <w:szCs w:val="21"/>
        </w:rPr>
        <w:t>，</w:t>
      </w:r>
      <w:r>
        <w:rPr>
          <w:rFonts w:cs="宋体"/>
          <w:kern w:val="0"/>
          <w:szCs w:val="21"/>
        </w:rPr>
        <w:t>监测节点</w:t>
      </w:r>
      <w:r>
        <w:rPr>
          <w:rFonts w:hint="eastAsia" w:cs="宋体"/>
          <w:kern w:val="0"/>
          <w:szCs w:val="21"/>
        </w:rPr>
        <w:t>至少包含其中两个不同</w:t>
      </w:r>
      <w:r>
        <w:rPr>
          <w:rFonts w:cs="宋体"/>
          <w:kern w:val="0"/>
          <w:szCs w:val="21"/>
        </w:rPr>
        <w:t>类型</w:t>
      </w:r>
      <w:r>
        <w:rPr>
          <w:rFonts w:hint="eastAsia" w:cs="宋体"/>
          <w:kern w:val="0"/>
          <w:szCs w:val="21"/>
        </w:rPr>
        <w:t>节点；</w:t>
      </w:r>
    </w:p>
    <w:p>
      <w:pPr>
        <w:widowControl/>
        <w:spacing w:line="360" w:lineRule="auto"/>
        <w:ind w:firstLine="420" w:firstLineChars="200"/>
        <w:jc w:val="left"/>
        <w:rPr>
          <w:rFonts w:cs="宋体"/>
          <w:kern w:val="0"/>
          <w:szCs w:val="21"/>
        </w:rPr>
      </w:pPr>
      <w:r>
        <w:rPr>
          <w:rFonts w:hint="eastAsia" w:cs="宋体"/>
          <w:kern w:val="0"/>
          <w:szCs w:val="21"/>
        </w:rPr>
        <w:t>2、数据</w:t>
      </w:r>
      <w:r>
        <w:rPr>
          <w:rFonts w:cs="宋体"/>
          <w:kern w:val="0"/>
          <w:szCs w:val="21"/>
        </w:rPr>
        <w:t>传输模块有</w:t>
      </w:r>
      <w:r>
        <w:rPr>
          <w:rFonts w:hint="eastAsia" w:cs="宋体"/>
          <w:kern w:val="0"/>
          <w:szCs w:val="21"/>
        </w:rPr>
        <w:t>485、CAN；</w:t>
      </w:r>
    </w:p>
    <w:p>
      <w:pPr>
        <w:widowControl/>
        <w:spacing w:line="360" w:lineRule="auto"/>
        <w:ind w:firstLine="420" w:firstLineChars="200"/>
        <w:jc w:val="left"/>
        <w:rPr>
          <w:rFonts w:cs="宋体"/>
          <w:kern w:val="0"/>
          <w:szCs w:val="21"/>
        </w:rPr>
      </w:pPr>
      <w:r>
        <w:rPr>
          <w:rFonts w:cs="宋体"/>
          <w:kern w:val="0"/>
          <w:szCs w:val="21"/>
        </w:rPr>
        <w:t>3</w:t>
      </w:r>
      <w:r>
        <w:rPr>
          <w:rFonts w:hint="eastAsia" w:cs="宋体"/>
          <w:kern w:val="0"/>
          <w:szCs w:val="21"/>
        </w:rPr>
        <w:t>、其它</w:t>
      </w:r>
      <w:r>
        <w:rPr>
          <w:rFonts w:cs="宋体"/>
          <w:kern w:val="0"/>
          <w:szCs w:val="21"/>
        </w:rPr>
        <w:t>模块有</w:t>
      </w:r>
      <w:r>
        <w:rPr>
          <w:rFonts w:hint="eastAsia" w:cs="宋体"/>
          <w:kern w:val="0"/>
          <w:szCs w:val="21"/>
        </w:rPr>
        <w:t>风扇模块、电机控制模块、矩阵</w:t>
      </w:r>
      <w:r>
        <w:rPr>
          <w:rFonts w:cs="宋体"/>
          <w:kern w:val="0"/>
          <w:szCs w:val="21"/>
        </w:rPr>
        <w:t>键盘模块</w:t>
      </w:r>
      <w:r>
        <w:rPr>
          <w:rFonts w:hint="eastAsia" w:cs="宋体"/>
          <w:kern w:val="0"/>
          <w:szCs w:val="21"/>
        </w:rPr>
        <w:t>；</w:t>
      </w:r>
    </w:p>
    <w:p>
      <w:pPr>
        <w:widowControl/>
        <w:spacing w:line="360" w:lineRule="auto"/>
        <w:ind w:firstLine="420" w:firstLineChars="200"/>
        <w:jc w:val="left"/>
        <w:rPr>
          <w:rFonts w:cs="宋体"/>
          <w:kern w:val="0"/>
          <w:szCs w:val="21"/>
        </w:rPr>
      </w:pPr>
      <w:r>
        <w:rPr>
          <w:rFonts w:cs="宋体"/>
          <w:kern w:val="0"/>
          <w:szCs w:val="21"/>
        </w:rPr>
        <w:t>4</w:t>
      </w:r>
      <w:r>
        <w:rPr>
          <w:rFonts w:hint="eastAsia" w:cs="宋体"/>
          <w:kern w:val="0"/>
          <w:szCs w:val="21"/>
        </w:rPr>
        <w:t>、数据显示</w:t>
      </w:r>
      <w:r>
        <w:rPr>
          <w:rFonts w:cs="宋体"/>
          <w:kern w:val="0"/>
          <w:szCs w:val="21"/>
        </w:rPr>
        <w:t>可以通过LCD显示模块</w:t>
      </w:r>
      <w:r>
        <w:rPr>
          <w:rFonts w:hint="eastAsia" w:cs="宋体"/>
          <w:kern w:val="0"/>
          <w:szCs w:val="21"/>
        </w:rPr>
        <w:t>、VGA</w:t>
      </w:r>
      <w:r>
        <w:rPr>
          <w:rFonts w:cs="宋体"/>
          <w:kern w:val="0"/>
          <w:szCs w:val="21"/>
        </w:rPr>
        <w:t>显示、PC</w:t>
      </w:r>
      <w:r>
        <w:rPr>
          <w:rFonts w:hint="eastAsia" w:cs="宋体"/>
          <w:kern w:val="0"/>
          <w:szCs w:val="21"/>
        </w:rPr>
        <w:t>接收</w:t>
      </w:r>
      <w:r>
        <w:rPr>
          <w:rFonts w:cs="宋体"/>
          <w:kern w:val="0"/>
          <w:szCs w:val="21"/>
        </w:rPr>
        <w:t>数据显示、手机接收数据显示</w:t>
      </w:r>
      <w:r>
        <w:rPr>
          <w:rFonts w:hint="eastAsia" w:cs="宋体"/>
          <w:kern w:val="0"/>
          <w:szCs w:val="21"/>
        </w:rPr>
        <w:t>。</w:t>
      </w:r>
    </w:p>
    <w:p>
      <w:pPr>
        <w:widowControl/>
        <w:spacing w:line="360" w:lineRule="auto"/>
        <w:ind w:firstLine="420" w:firstLineChars="200"/>
        <w:jc w:val="left"/>
        <w:rPr>
          <w:rFonts w:cs="宋体"/>
          <w:snapToGrid w:val="0"/>
          <w:kern w:val="0"/>
          <w:szCs w:val="21"/>
        </w:rPr>
      </w:pPr>
      <w:r>
        <w:rPr>
          <w:rFonts w:cs="宋体"/>
          <w:kern w:val="0"/>
          <w:szCs w:val="21"/>
        </w:rPr>
        <w:t>5</w:t>
      </w:r>
      <w:r>
        <w:rPr>
          <w:rFonts w:hint="eastAsia" w:cs="宋体"/>
          <w:kern w:val="0"/>
          <w:szCs w:val="21"/>
        </w:rPr>
        <w:t>、控制器</w:t>
      </w:r>
      <w:r>
        <w:rPr>
          <w:rFonts w:cs="宋体"/>
          <w:kern w:val="0"/>
          <w:szCs w:val="21"/>
        </w:rPr>
        <w:t>可以采用</w:t>
      </w:r>
      <w:r>
        <w:rPr>
          <w:rFonts w:hint="eastAsia" w:cs="宋体"/>
          <w:snapToGrid w:val="0"/>
          <w:kern w:val="0"/>
          <w:szCs w:val="21"/>
        </w:rPr>
        <w:t>C</w:t>
      </w:r>
      <w:r>
        <w:rPr>
          <w:rFonts w:cs="宋体"/>
          <w:snapToGrid w:val="0"/>
          <w:kern w:val="0"/>
          <w:szCs w:val="21"/>
        </w:rPr>
        <w:t>8051</w:t>
      </w:r>
      <w:r>
        <w:rPr>
          <w:rFonts w:hint="eastAsia" w:cs="宋体"/>
          <w:snapToGrid w:val="0"/>
          <w:kern w:val="0"/>
          <w:szCs w:val="21"/>
        </w:rPr>
        <w:t>单片机/</w:t>
      </w:r>
      <w:r>
        <w:rPr>
          <w:rFonts w:cs="宋体"/>
          <w:snapToGrid w:val="0"/>
          <w:kern w:val="0"/>
          <w:szCs w:val="21"/>
        </w:rPr>
        <w:t>ARM</w:t>
      </w:r>
      <w:r>
        <w:rPr>
          <w:rFonts w:hint="eastAsia" w:cs="宋体"/>
          <w:snapToGrid w:val="0"/>
          <w:kern w:val="0"/>
          <w:szCs w:val="21"/>
        </w:rPr>
        <w:t>/FPGA；</w:t>
      </w:r>
    </w:p>
    <w:p>
      <w:pPr>
        <w:widowControl/>
        <w:spacing w:line="360" w:lineRule="auto"/>
        <w:ind w:firstLine="420" w:firstLineChars="200"/>
        <w:jc w:val="left"/>
        <w:rPr>
          <w:rFonts w:cs="宋体"/>
          <w:kern w:val="0"/>
          <w:szCs w:val="21"/>
        </w:rPr>
      </w:pPr>
      <w:r>
        <w:rPr>
          <w:rFonts w:hint="eastAsia" w:cs="宋体"/>
          <w:snapToGrid w:val="0"/>
          <w:kern w:val="0"/>
          <w:szCs w:val="21"/>
        </w:rPr>
        <w:t>6、</w:t>
      </w:r>
      <w:r>
        <w:rPr>
          <w:rFonts w:cs="宋体"/>
          <w:snapToGrid w:val="0"/>
          <w:kern w:val="0"/>
          <w:szCs w:val="21"/>
        </w:rPr>
        <w:t>根据时间节点安排完成方案设计、中期总结、设计报告</w:t>
      </w:r>
      <w:r>
        <w:rPr>
          <w:rFonts w:hint="eastAsia" w:cs="宋体"/>
          <w:snapToGrid w:val="0"/>
          <w:kern w:val="0"/>
          <w:szCs w:val="21"/>
        </w:rPr>
        <w:t>；</w:t>
      </w:r>
      <w:r>
        <w:rPr>
          <w:rFonts w:cs="宋体"/>
          <w:snapToGrid w:val="0"/>
          <w:kern w:val="0"/>
          <w:szCs w:val="21"/>
        </w:rPr>
        <w:t>按规定的时间</w:t>
      </w:r>
      <w:r>
        <w:rPr>
          <w:rFonts w:hint="eastAsia" w:cs="宋体"/>
          <w:snapToGrid w:val="0"/>
          <w:kern w:val="0"/>
          <w:szCs w:val="21"/>
        </w:rPr>
        <w:t>完成</w:t>
      </w:r>
      <w:r>
        <w:rPr>
          <w:rFonts w:cs="宋体"/>
          <w:snapToGrid w:val="0"/>
          <w:kern w:val="0"/>
          <w:szCs w:val="21"/>
        </w:rPr>
        <w:t>规定的设计任务；参加规定的检查</w:t>
      </w:r>
      <w:r>
        <w:rPr>
          <w:rFonts w:hint="eastAsia" w:cs="宋体"/>
          <w:kern w:val="0"/>
          <w:szCs w:val="21"/>
        </w:rPr>
        <w:t>。</w:t>
      </w:r>
    </w:p>
    <w:p>
      <w:pPr>
        <w:widowControl/>
        <w:spacing w:line="360" w:lineRule="auto"/>
        <w:ind w:firstLine="420" w:firstLineChars="200"/>
        <w:jc w:val="left"/>
        <w:rPr>
          <w:rFonts w:cs="宋体"/>
          <w:kern w:val="0"/>
          <w:szCs w:val="21"/>
        </w:rPr>
      </w:pPr>
      <w:r>
        <w:rPr>
          <w:rFonts w:hint="eastAsia" w:cs="宋体"/>
          <w:snapToGrid w:val="0"/>
          <w:kern w:val="0"/>
          <w:szCs w:val="21"/>
        </w:rPr>
        <w:t>支撑课程目标1~12。</w:t>
      </w:r>
    </w:p>
    <w:p>
      <w:pPr>
        <w:widowControl/>
        <w:spacing w:line="360" w:lineRule="auto"/>
        <w:ind w:firstLine="420" w:firstLineChars="200"/>
        <w:jc w:val="left"/>
        <w:rPr>
          <w:rFonts w:eastAsia="黑体" w:cs="宋体"/>
          <w:snapToGrid w:val="0"/>
          <w:kern w:val="0"/>
          <w:szCs w:val="21"/>
        </w:rPr>
      </w:pPr>
      <w:r>
        <w:rPr>
          <w:rFonts w:hint="eastAsia" w:eastAsia="黑体" w:cs="宋体"/>
          <w:snapToGrid w:val="0"/>
          <w:kern w:val="0"/>
          <w:szCs w:val="21"/>
        </w:rPr>
        <w:t>实践模块三：分拣机器人设计（最多25组，</w:t>
      </w:r>
      <w:r>
        <w:rPr>
          <w:rFonts w:eastAsia="黑体" w:cs="宋体"/>
          <w:snapToGrid w:val="0"/>
          <w:kern w:val="0"/>
          <w:szCs w:val="21"/>
        </w:rPr>
        <w:t>8</w:t>
      </w:r>
      <w:r>
        <w:rPr>
          <w:rFonts w:hint="eastAsia" w:eastAsia="黑体" w:cs="宋体"/>
          <w:snapToGrid w:val="0"/>
          <w:kern w:val="0"/>
          <w:szCs w:val="21"/>
        </w:rPr>
        <w:t>8学时）</w:t>
      </w:r>
    </w:p>
    <w:p>
      <w:pPr>
        <w:widowControl/>
        <w:spacing w:line="360" w:lineRule="auto"/>
        <w:ind w:firstLine="420" w:firstLineChars="200"/>
        <w:rPr>
          <w:rFonts w:cs="宋体"/>
          <w:snapToGrid w:val="0"/>
          <w:kern w:val="0"/>
          <w:szCs w:val="21"/>
        </w:rPr>
      </w:pPr>
      <w:r>
        <w:rPr>
          <w:rFonts w:hint="eastAsia" w:cs="宋体"/>
          <w:kern w:val="0"/>
          <w:szCs w:val="21"/>
        </w:rPr>
        <w:t>内容：</w:t>
      </w:r>
      <w:r>
        <w:rPr>
          <w:rFonts w:hint="eastAsia" w:cs="宋体"/>
          <w:snapToGrid w:val="0"/>
          <w:kern w:val="0"/>
          <w:szCs w:val="21"/>
        </w:rPr>
        <w:t>以中北大学的校区为背景，模仿在校园内设立的车辆</w:t>
      </w:r>
      <w:r>
        <w:rPr>
          <w:rFonts w:cs="宋体"/>
          <w:snapToGrid w:val="0"/>
          <w:kern w:val="0"/>
          <w:szCs w:val="21"/>
        </w:rPr>
        <w:t>出入车牌识别与车辆放行系统</w:t>
      </w:r>
      <w:r>
        <w:rPr>
          <w:rFonts w:hint="eastAsia" w:cs="宋体"/>
          <w:snapToGrid w:val="0"/>
          <w:kern w:val="0"/>
          <w:szCs w:val="21"/>
        </w:rPr>
        <w:t>。包含：</w:t>
      </w:r>
    </w:p>
    <w:p>
      <w:pPr>
        <w:widowControl/>
        <w:spacing w:line="360" w:lineRule="auto"/>
        <w:ind w:firstLine="420" w:firstLineChars="200"/>
        <w:rPr>
          <w:szCs w:val="21"/>
        </w:rPr>
      </w:pPr>
      <w:r>
        <w:rPr>
          <w:rFonts w:hint="eastAsia"/>
          <w:szCs w:val="21"/>
        </w:rPr>
        <w:t>1、道门至七道门每个门上安装车道控制系统，监控车辆出入数量（红色五角星）；</w:t>
      </w:r>
    </w:p>
    <w:p>
      <w:pPr>
        <w:widowControl/>
        <w:spacing w:line="360" w:lineRule="auto"/>
        <w:ind w:firstLine="420" w:firstLineChars="200"/>
        <w:rPr>
          <w:szCs w:val="21"/>
        </w:rPr>
      </w:pPr>
      <w:r>
        <w:rPr>
          <w:rFonts w:hint="eastAsia"/>
          <w:szCs w:val="21"/>
        </w:rPr>
        <w:t>2、识别出入车辆的车牌号码，并将识别的车牌号码与识别时间、以及车辆出入方向、经过的车道位置信息发送至中心机房（红色六边形）；</w:t>
      </w:r>
    </w:p>
    <w:p>
      <w:pPr>
        <w:widowControl/>
        <w:spacing w:line="360" w:lineRule="auto"/>
        <w:ind w:firstLine="420" w:firstLineChars="200"/>
        <w:rPr>
          <w:szCs w:val="21"/>
        </w:rPr>
      </w:pPr>
      <w:r>
        <w:rPr>
          <w:rFonts w:hint="eastAsia"/>
          <w:szCs w:val="21"/>
        </w:rPr>
        <w:t>3、车辆进入时，司机需先按下进入申请按钮；</w:t>
      </w:r>
    </w:p>
    <w:p>
      <w:pPr>
        <w:widowControl/>
        <w:spacing w:line="360" w:lineRule="auto"/>
        <w:ind w:firstLine="420" w:firstLineChars="200"/>
        <w:rPr>
          <w:szCs w:val="21"/>
        </w:rPr>
      </w:pPr>
      <w:r>
        <w:rPr>
          <w:rFonts w:hint="eastAsia"/>
          <w:szCs w:val="21"/>
        </w:rPr>
        <w:t>4、车辆离开时，自动识别放行；</w:t>
      </w:r>
    </w:p>
    <w:p>
      <w:pPr>
        <w:widowControl/>
        <w:spacing w:line="360" w:lineRule="auto"/>
        <w:ind w:firstLine="420" w:firstLineChars="200"/>
        <w:rPr>
          <w:szCs w:val="21"/>
        </w:rPr>
      </w:pPr>
      <w:r>
        <w:rPr>
          <w:rFonts w:hint="eastAsia"/>
          <w:szCs w:val="21"/>
        </w:rPr>
        <w:t>5、识别车辆牌照后，自动完成车道栏杆起落动作；</w:t>
      </w:r>
    </w:p>
    <w:p>
      <w:pPr>
        <w:widowControl/>
        <w:spacing w:line="360" w:lineRule="auto"/>
        <w:ind w:firstLine="420" w:firstLineChars="200"/>
        <w:rPr>
          <w:szCs w:val="21"/>
        </w:rPr>
      </w:pPr>
      <w:r>
        <w:rPr>
          <w:rFonts w:hint="eastAsia"/>
          <w:szCs w:val="21"/>
        </w:rPr>
        <w:t xml:space="preserve">6、无牌车辆，人工控制车道栏杆起落动作； </w:t>
      </w:r>
    </w:p>
    <w:p>
      <w:pPr>
        <w:widowControl/>
        <w:spacing w:line="360" w:lineRule="auto"/>
        <w:ind w:firstLine="420" w:firstLineChars="200"/>
        <w:rPr>
          <w:szCs w:val="21"/>
        </w:rPr>
      </w:pPr>
      <w:r>
        <w:rPr>
          <w:rFonts w:hint="eastAsia"/>
          <w:szCs w:val="21"/>
        </w:rPr>
        <w:t>7、接收中心机房发送的需要拦截车辆的车牌信息，识别到对应车牌后启动报警鸣叫，不予放行。</w:t>
      </w:r>
    </w:p>
    <w:p>
      <w:pPr>
        <w:widowControl/>
        <w:spacing w:line="360" w:lineRule="auto"/>
        <w:ind w:firstLine="420" w:firstLineChars="200"/>
        <w:jc w:val="left"/>
        <w:rPr>
          <w:rFonts w:cs="宋体"/>
          <w:kern w:val="0"/>
          <w:szCs w:val="21"/>
        </w:rPr>
      </w:pPr>
      <w:r>
        <w:rPr>
          <w:rFonts w:hint="eastAsia" w:cs="宋体"/>
          <w:kern w:val="0"/>
          <w:szCs w:val="21"/>
        </w:rPr>
        <w:t>基本要求：</w:t>
      </w:r>
    </w:p>
    <w:p>
      <w:pPr>
        <w:widowControl/>
        <w:spacing w:line="360" w:lineRule="auto"/>
        <w:ind w:firstLine="420" w:firstLineChars="200"/>
        <w:jc w:val="left"/>
        <w:rPr>
          <w:szCs w:val="21"/>
        </w:rPr>
      </w:pPr>
      <w:r>
        <w:rPr>
          <w:rFonts w:hint="eastAsia"/>
          <w:szCs w:val="21"/>
        </w:rPr>
        <w:t>1、撰写一个简明的方案设计报告，根据校园实际距离和布局，设计布置每一个车道控制设备，并说明布置理由以及每一个车道控制设备的组成，车道设备与中心机房联网、信息传输方案，并估算方案的实现成本；</w:t>
      </w:r>
    </w:p>
    <w:p>
      <w:pPr>
        <w:widowControl/>
        <w:spacing w:line="360" w:lineRule="auto"/>
        <w:ind w:firstLine="420" w:firstLineChars="200"/>
        <w:jc w:val="left"/>
        <w:rPr>
          <w:szCs w:val="21"/>
        </w:rPr>
      </w:pPr>
      <w:r>
        <w:rPr>
          <w:rFonts w:hint="eastAsia"/>
          <w:szCs w:val="21"/>
        </w:rPr>
        <w:t>2、最多三个学生一组，最少两个学生一组，互相协商好各自的分工，在后续过程中将有针对性地加以分别考核；</w:t>
      </w:r>
    </w:p>
    <w:p>
      <w:pPr>
        <w:widowControl/>
        <w:spacing w:line="360" w:lineRule="auto"/>
        <w:ind w:firstLine="420" w:firstLineChars="200"/>
        <w:jc w:val="left"/>
        <w:rPr>
          <w:szCs w:val="21"/>
        </w:rPr>
      </w:pPr>
      <w:r>
        <w:rPr>
          <w:rFonts w:hint="eastAsia"/>
          <w:szCs w:val="21"/>
        </w:rPr>
        <w:t>3、选用实验室现有模块，实现以上用户需求1~6的功能，7为</w:t>
      </w:r>
      <w:r>
        <w:rPr>
          <w:szCs w:val="21"/>
        </w:rPr>
        <w:t>发挥部分</w:t>
      </w:r>
      <w:r>
        <w:rPr>
          <w:rFonts w:hint="eastAsia"/>
          <w:szCs w:val="21"/>
        </w:rPr>
        <w:t>。</w:t>
      </w:r>
    </w:p>
    <w:p>
      <w:pPr>
        <w:widowControl/>
        <w:spacing w:line="360" w:lineRule="auto"/>
        <w:ind w:firstLine="420" w:firstLineChars="200"/>
        <w:jc w:val="left"/>
        <w:rPr>
          <w:szCs w:val="21"/>
        </w:rPr>
      </w:pPr>
      <w:r>
        <w:rPr>
          <w:rFonts w:hint="eastAsia"/>
          <w:szCs w:val="21"/>
        </w:rPr>
        <w:t>4、要充分考虑实际环境布局，采用更少的资源实现更优的方案。</w:t>
      </w:r>
    </w:p>
    <w:p>
      <w:pPr>
        <w:widowControl/>
        <w:spacing w:line="360" w:lineRule="auto"/>
        <w:ind w:firstLine="420" w:firstLineChars="200"/>
        <w:jc w:val="left"/>
        <w:rPr>
          <w:szCs w:val="21"/>
        </w:rPr>
      </w:pPr>
      <w:r>
        <w:rPr>
          <w:rFonts w:hint="eastAsia"/>
          <w:szCs w:val="21"/>
        </w:rPr>
        <w:t>5、项目完成，小组集体进行实物演示和验收，但每个人要单独完成自己的设计报告，并通过指导老师的答辩。设计报告不能突出自己不同于他人的工作部分的，不予通过。</w:t>
      </w:r>
    </w:p>
    <w:p>
      <w:pPr>
        <w:widowControl/>
        <w:spacing w:line="360" w:lineRule="auto"/>
        <w:ind w:firstLine="420" w:firstLineChars="200"/>
        <w:jc w:val="left"/>
        <w:rPr>
          <w:rFonts w:cs="宋体"/>
          <w:kern w:val="0"/>
          <w:szCs w:val="21"/>
        </w:rPr>
      </w:pPr>
      <w:r>
        <w:rPr>
          <w:rFonts w:hint="eastAsia" w:cs="宋体"/>
          <w:snapToGrid w:val="0"/>
          <w:kern w:val="0"/>
          <w:szCs w:val="21"/>
        </w:rPr>
        <w:t>6、</w:t>
      </w:r>
      <w:r>
        <w:rPr>
          <w:rFonts w:cs="宋体"/>
          <w:snapToGrid w:val="0"/>
          <w:kern w:val="0"/>
          <w:szCs w:val="21"/>
        </w:rPr>
        <w:t>根据时间节点安排完成方案设计、中期总结、设计报告</w:t>
      </w:r>
      <w:r>
        <w:rPr>
          <w:rFonts w:hint="eastAsia" w:cs="宋体"/>
          <w:snapToGrid w:val="0"/>
          <w:kern w:val="0"/>
          <w:szCs w:val="21"/>
        </w:rPr>
        <w:t>；</w:t>
      </w:r>
      <w:r>
        <w:rPr>
          <w:rFonts w:cs="宋体"/>
          <w:snapToGrid w:val="0"/>
          <w:kern w:val="0"/>
          <w:szCs w:val="21"/>
        </w:rPr>
        <w:t>按规定的时间</w:t>
      </w:r>
      <w:r>
        <w:rPr>
          <w:rFonts w:hint="eastAsia" w:cs="宋体"/>
          <w:snapToGrid w:val="0"/>
          <w:kern w:val="0"/>
          <w:szCs w:val="21"/>
        </w:rPr>
        <w:t>完成</w:t>
      </w:r>
      <w:r>
        <w:rPr>
          <w:rFonts w:cs="宋体"/>
          <w:snapToGrid w:val="0"/>
          <w:kern w:val="0"/>
          <w:szCs w:val="21"/>
        </w:rPr>
        <w:t>规定的设计任务；参加规定的检查</w:t>
      </w:r>
      <w:r>
        <w:rPr>
          <w:rFonts w:hint="eastAsia" w:cs="宋体"/>
          <w:kern w:val="0"/>
          <w:szCs w:val="21"/>
        </w:rPr>
        <w:t>。</w:t>
      </w:r>
    </w:p>
    <w:p>
      <w:pPr>
        <w:widowControl/>
        <w:spacing w:line="360" w:lineRule="auto"/>
        <w:ind w:firstLine="420" w:firstLineChars="200"/>
        <w:jc w:val="left"/>
        <w:rPr>
          <w:rFonts w:cs="宋体"/>
          <w:snapToGrid w:val="0"/>
          <w:kern w:val="0"/>
          <w:szCs w:val="21"/>
        </w:rPr>
      </w:pPr>
      <w:r>
        <w:rPr>
          <w:rFonts w:hint="eastAsia" w:cs="宋体"/>
          <w:snapToGrid w:val="0"/>
          <w:kern w:val="0"/>
          <w:szCs w:val="21"/>
        </w:rPr>
        <w:t>支撑课程目标1~12。</w:t>
      </w:r>
    </w:p>
    <w:p>
      <w:pPr>
        <w:widowControl/>
        <w:spacing w:line="360" w:lineRule="auto"/>
        <w:ind w:firstLine="422" w:firstLineChars="200"/>
        <w:jc w:val="left"/>
        <w:rPr>
          <w:rFonts w:cs="宋体"/>
          <w:b/>
          <w:bCs/>
          <w:snapToGrid w:val="0"/>
          <w:kern w:val="0"/>
          <w:szCs w:val="21"/>
        </w:rPr>
      </w:pPr>
      <w:r>
        <w:rPr>
          <w:rFonts w:hint="eastAsia" w:cs="宋体"/>
          <w:b/>
          <w:bCs/>
          <w:snapToGrid w:val="0"/>
          <w:kern w:val="0"/>
          <w:szCs w:val="21"/>
        </w:rPr>
        <w:t>思政元素：</w:t>
      </w:r>
    </w:p>
    <w:p>
      <w:pPr>
        <w:widowControl/>
        <w:spacing w:line="360" w:lineRule="auto"/>
        <w:ind w:firstLine="422" w:firstLineChars="200"/>
        <w:jc w:val="left"/>
        <w:rPr>
          <w:rFonts w:cs="宋体"/>
          <w:b/>
          <w:bCs/>
          <w:snapToGrid w:val="0"/>
          <w:kern w:val="0"/>
          <w:szCs w:val="21"/>
        </w:rPr>
      </w:pPr>
      <w:r>
        <w:rPr>
          <w:rFonts w:cs="宋体"/>
          <w:b/>
          <w:bCs/>
          <w:snapToGrid w:val="0"/>
          <w:kern w:val="0"/>
          <w:szCs w:val="21"/>
        </w:rPr>
        <w:t>重视自主设计和创新，重视专业技术能力的提升和科学素养的提高，坚持自主学习，培养敬业精神；善于综合协调多种影响因素，考虑并尊重多元文化。</w:t>
      </w:r>
    </w:p>
    <w:p>
      <w:pPr>
        <w:adjustRightInd w:val="0"/>
        <w:snapToGrid w:val="0"/>
        <w:spacing w:before="156" w:beforeLines="50" w:after="156" w:afterLines="50"/>
        <w:rPr>
          <w:rFonts w:eastAsia="黑体"/>
          <w:szCs w:val="21"/>
        </w:rPr>
      </w:pPr>
      <w:r>
        <w:rPr>
          <w:rFonts w:hint="eastAsia" w:eastAsia="黑体"/>
          <w:szCs w:val="21"/>
        </w:rPr>
        <w:t>六、学时分配</w:t>
      </w:r>
    </w:p>
    <w:p>
      <w:pPr>
        <w:widowControl/>
        <w:spacing w:line="360" w:lineRule="auto"/>
        <w:jc w:val="left"/>
        <w:rPr>
          <w:rFonts w:ascii="黑体" w:hAnsi="宋体" w:eastAsia="黑体" w:cs="宋体"/>
          <w:kern w:val="0"/>
          <w:szCs w:val="21"/>
          <w:u w:val="single"/>
        </w:rPr>
      </w:pPr>
      <w:r>
        <w:rPr>
          <w:rFonts w:hint="eastAsia" w:ascii="黑体" w:hAnsi="黑体" w:eastAsia="黑体"/>
          <w:color w:val="0000FF"/>
          <w:szCs w:val="21"/>
          <w:u w:val="single"/>
        </w:rPr>
        <w:t>专题</w:t>
      </w:r>
      <w:r>
        <w:rPr>
          <w:rFonts w:ascii="黑体" w:hAnsi="黑体" w:eastAsia="黑体"/>
          <w:color w:val="0000FF"/>
          <w:szCs w:val="21"/>
          <w:u w:val="single"/>
        </w:rPr>
        <w:t>讲授与实验学时分配</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6"/>
        <w:gridCol w:w="1631"/>
        <w:gridCol w:w="1631"/>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230" w:type="pct"/>
            <w:tcBorders>
              <w:left w:val="nil"/>
            </w:tcBorders>
            <w:vAlign w:val="center"/>
          </w:tcPr>
          <w:p>
            <w:pPr>
              <w:adjustRightInd w:val="0"/>
              <w:snapToGrid w:val="0"/>
              <w:jc w:val="center"/>
              <w:rPr>
                <w:rFonts w:ascii="宋体" w:hAnsi="宋体" w:cs="宋体"/>
                <w:b/>
                <w:sz w:val="18"/>
                <w:szCs w:val="18"/>
              </w:rPr>
            </w:pPr>
            <w:r>
              <w:rPr>
                <w:rFonts w:hint="eastAsia" w:ascii="宋体" w:hAnsi="宋体" w:cs="宋体"/>
                <w:b/>
                <w:sz w:val="18"/>
                <w:szCs w:val="18"/>
              </w:rPr>
              <w:t>知识点及内容</w:t>
            </w:r>
          </w:p>
        </w:tc>
        <w:tc>
          <w:tcPr>
            <w:tcW w:w="982" w:type="pct"/>
            <w:vAlign w:val="center"/>
          </w:tcPr>
          <w:p>
            <w:pPr>
              <w:adjustRightInd w:val="0"/>
              <w:snapToGrid w:val="0"/>
              <w:jc w:val="center"/>
              <w:rPr>
                <w:rFonts w:ascii="宋体" w:hAnsi="宋体" w:cs="宋体"/>
                <w:b/>
                <w:sz w:val="18"/>
                <w:szCs w:val="18"/>
              </w:rPr>
            </w:pPr>
            <w:r>
              <w:rPr>
                <w:rFonts w:hint="eastAsia" w:ascii="宋体" w:hAnsi="宋体" w:cs="宋体"/>
                <w:b/>
                <w:sz w:val="18"/>
                <w:szCs w:val="18"/>
              </w:rPr>
              <w:t>讲授（学时）</w:t>
            </w:r>
          </w:p>
        </w:tc>
        <w:tc>
          <w:tcPr>
            <w:tcW w:w="982" w:type="pct"/>
            <w:vAlign w:val="center"/>
          </w:tcPr>
          <w:p>
            <w:pPr>
              <w:adjustRightInd w:val="0"/>
              <w:snapToGrid w:val="0"/>
              <w:jc w:val="center"/>
              <w:rPr>
                <w:rFonts w:ascii="宋体" w:hAnsi="宋体" w:cs="宋体"/>
                <w:b/>
                <w:sz w:val="18"/>
                <w:szCs w:val="18"/>
              </w:rPr>
            </w:pPr>
            <w:r>
              <w:rPr>
                <w:rFonts w:hint="eastAsia" w:ascii="宋体" w:hAnsi="宋体" w:cs="宋体"/>
                <w:b/>
                <w:sz w:val="18"/>
                <w:szCs w:val="18"/>
              </w:rPr>
              <w:t>实验（学时）</w:t>
            </w:r>
          </w:p>
        </w:tc>
        <w:tc>
          <w:tcPr>
            <w:tcW w:w="804" w:type="pct"/>
            <w:tcBorders>
              <w:right w:val="nil"/>
            </w:tcBorders>
            <w:vAlign w:val="center"/>
          </w:tcPr>
          <w:p>
            <w:pPr>
              <w:adjustRightInd w:val="0"/>
              <w:snapToGrid w:val="0"/>
              <w:jc w:val="center"/>
              <w:rPr>
                <w:rFonts w:ascii="宋体" w:hAnsi="宋体" w:cs="宋体"/>
                <w:b/>
                <w:sz w:val="18"/>
                <w:szCs w:val="18"/>
              </w:rPr>
            </w:pPr>
            <w:r>
              <w:rPr>
                <w:rFonts w:hint="eastAsia" w:ascii="宋体" w:hAnsi="宋体" w:cs="宋体"/>
                <w:b/>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bCs/>
                <w:snapToGrid w:val="0"/>
                <w:kern w:val="0"/>
                <w:sz w:val="18"/>
                <w:szCs w:val="18"/>
              </w:rPr>
              <w:t>1 实践安排与考核要求</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bCs/>
                <w:snapToGrid w:val="0"/>
                <w:kern w:val="0"/>
                <w:sz w:val="18"/>
                <w:szCs w:val="18"/>
              </w:rPr>
              <w:t>2 SPI数据传输基础</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3 ZigBee数据传输基础</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4 WiFi数据传输基础</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5 CAN总线数据传输</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snapToGrid w:val="0"/>
                <w:kern w:val="0"/>
                <w:sz w:val="18"/>
                <w:szCs w:val="18"/>
              </w:rPr>
              <w:t>6 图像采集处理基础</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4</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kern w:val="0"/>
                <w:sz w:val="18"/>
                <w:szCs w:val="18"/>
              </w:rPr>
              <w:t>7 电子技术实践基础</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kern w:val="0"/>
                <w:sz w:val="18"/>
                <w:szCs w:val="18"/>
              </w:rPr>
              <w:t>8 系统方案设计</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30" w:type="pct"/>
            <w:tcBorders>
              <w:lef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合计</w:t>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fldChar w:fldCharType="begin"/>
            </w:r>
            <w:r>
              <w:rPr>
                <w:rFonts w:hint="eastAsia" w:ascii="宋体" w:hAnsi="宋体" w:cs="宋体"/>
                <w:kern w:val="0"/>
                <w:sz w:val="18"/>
                <w:szCs w:val="18"/>
              </w:rPr>
              <w:instrText xml:space="preserve"> =SUM(ABOVE) </w:instrText>
            </w:r>
            <w:r>
              <w:rPr>
                <w:rFonts w:hint="eastAsia" w:ascii="宋体" w:hAnsi="宋体" w:cs="宋体"/>
                <w:kern w:val="0"/>
                <w:sz w:val="18"/>
                <w:szCs w:val="18"/>
              </w:rPr>
              <w:fldChar w:fldCharType="separate"/>
            </w:r>
            <w:r>
              <w:rPr>
                <w:rFonts w:hint="eastAsia" w:ascii="宋体" w:hAnsi="宋体" w:cs="宋体"/>
                <w:kern w:val="0"/>
                <w:sz w:val="18"/>
                <w:szCs w:val="18"/>
              </w:rPr>
              <w:t>20</w:t>
            </w:r>
            <w:r>
              <w:rPr>
                <w:rFonts w:hint="eastAsia" w:ascii="宋体" w:hAnsi="宋体" w:cs="宋体"/>
                <w:kern w:val="0"/>
                <w:sz w:val="18"/>
                <w:szCs w:val="18"/>
              </w:rPr>
              <w:fldChar w:fldCharType="end"/>
            </w:r>
          </w:p>
        </w:tc>
        <w:tc>
          <w:tcPr>
            <w:tcW w:w="982"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60</w:t>
            </w:r>
          </w:p>
        </w:tc>
        <w:tc>
          <w:tcPr>
            <w:tcW w:w="804"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80</w:t>
            </w:r>
          </w:p>
        </w:tc>
      </w:tr>
    </w:tbl>
    <w:p>
      <w:pPr>
        <w:widowControl/>
        <w:spacing w:line="360" w:lineRule="auto"/>
        <w:jc w:val="left"/>
        <w:rPr>
          <w:rFonts w:ascii="黑体" w:hAnsi="宋体" w:eastAsia="黑体" w:cs="宋体"/>
          <w:kern w:val="0"/>
          <w:szCs w:val="21"/>
          <w:u w:val="single"/>
        </w:rPr>
      </w:pPr>
      <w:r>
        <w:rPr>
          <w:rFonts w:hint="eastAsia" w:ascii="黑体" w:hAnsi="黑体" w:eastAsia="黑体"/>
          <w:color w:val="0000FF"/>
          <w:szCs w:val="21"/>
          <w:u w:val="single"/>
        </w:rPr>
        <w:t>开放实训环节</w:t>
      </w:r>
      <w:r>
        <w:rPr>
          <w:rFonts w:ascii="黑体" w:hAnsi="黑体" w:eastAsia="黑体"/>
          <w:color w:val="0000FF"/>
          <w:szCs w:val="21"/>
          <w:u w:val="single"/>
        </w:rPr>
        <w:t>学时分配</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2376"/>
        <w:gridCol w:w="227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adjustRightInd w:val="0"/>
              <w:snapToGrid w:val="0"/>
              <w:jc w:val="center"/>
              <w:rPr>
                <w:rFonts w:ascii="宋体" w:hAnsi="宋体" w:cs="宋体"/>
                <w:b/>
                <w:sz w:val="18"/>
                <w:szCs w:val="18"/>
              </w:rPr>
            </w:pPr>
            <w:r>
              <w:rPr>
                <w:rFonts w:hint="eastAsia" w:ascii="宋体" w:hAnsi="宋体" w:cs="宋体"/>
                <w:b/>
                <w:sz w:val="18"/>
                <w:szCs w:val="18"/>
              </w:rPr>
              <w:t>进度安排</w:t>
            </w:r>
          </w:p>
        </w:tc>
        <w:tc>
          <w:tcPr>
            <w:tcW w:w="1431" w:type="pct"/>
            <w:vAlign w:val="center"/>
          </w:tcPr>
          <w:p>
            <w:pPr>
              <w:adjustRightInd w:val="0"/>
              <w:snapToGrid w:val="0"/>
              <w:jc w:val="center"/>
              <w:rPr>
                <w:rFonts w:ascii="宋体" w:hAnsi="宋体" w:cs="宋体"/>
                <w:b/>
                <w:sz w:val="18"/>
                <w:szCs w:val="18"/>
              </w:rPr>
            </w:pPr>
            <w:r>
              <w:rPr>
                <w:rFonts w:hint="eastAsia" w:ascii="宋体" w:hAnsi="宋体" w:cs="宋体"/>
                <w:b/>
                <w:sz w:val="18"/>
                <w:szCs w:val="18"/>
              </w:rPr>
              <w:t>导师指导（学时）</w:t>
            </w:r>
          </w:p>
        </w:tc>
        <w:tc>
          <w:tcPr>
            <w:tcW w:w="1371" w:type="pct"/>
            <w:vAlign w:val="center"/>
          </w:tcPr>
          <w:p>
            <w:pPr>
              <w:adjustRightInd w:val="0"/>
              <w:snapToGrid w:val="0"/>
              <w:jc w:val="center"/>
              <w:rPr>
                <w:rFonts w:ascii="宋体" w:hAnsi="宋体" w:cs="宋体"/>
                <w:b/>
                <w:sz w:val="18"/>
                <w:szCs w:val="18"/>
              </w:rPr>
            </w:pPr>
            <w:r>
              <w:rPr>
                <w:rFonts w:hint="eastAsia" w:ascii="宋体" w:hAnsi="宋体" w:cs="宋体"/>
                <w:b/>
                <w:sz w:val="18"/>
                <w:szCs w:val="18"/>
              </w:rPr>
              <w:t>集中调试辅导（学时）</w:t>
            </w:r>
          </w:p>
        </w:tc>
        <w:tc>
          <w:tcPr>
            <w:tcW w:w="803" w:type="pct"/>
            <w:tcBorders>
              <w:right w:val="nil"/>
            </w:tcBorders>
            <w:vAlign w:val="center"/>
          </w:tcPr>
          <w:p>
            <w:pPr>
              <w:adjustRightInd w:val="0"/>
              <w:snapToGrid w:val="0"/>
              <w:jc w:val="center"/>
              <w:rPr>
                <w:rFonts w:ascii="宋体" w:hAnsi="宋体" w:cs="宋体"/>
                <w:b/>
                <w:sz w:val="18"/>
                <w:szCs w:val="18"/>
              </w:rPr>
            </w:pPr>
            <w:r>
              <w:rPr>
                <w:rFonts w:hint="eastAsia" w:ascii="宋体" w:hAnsi="宋体" w:cs="宋体"/>
                <w:b/>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bCs/>
                <w:snapToGrid w:val="0"/>
                <w:kern w:val="0"/>
                <w:sz w:val="18"/>
                <w:szCs w:val="18"/>
              </w:rPr>
              <w:t>1 总体方案设计</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8</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bCs/>
                <w:snapToGrid w:val="0"/>
                <w:kern w:val="0"/>
                <w:sz w:val="18"/>
                <w:szCs w:val="18"/>
              </w:rPr>
            </w:pPr>
            <w:r>
              <w:rPr>
                <w:rFonts w:hint="eastAsia" w:ascii="宋体" w:hAnsi="宋体" w:cs="宋体"/>
                <w:bCs/>
                <w:snapToGrid w:val="0"/>
                <w:kern w:val="0"/>
                <w:sz w:val="18"/>
                <w:szCs w:val="18"/>
              </w:rPr>
              <w:t>2模块连接</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6</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bCs/>
                <w:snapToGrid w:val="0"/>
                <w:kern w:val="0"/>
                <w:sz w:val="18"/>
                <w:szCs w:val="18"/>
              </w:rPr>
              <w:t>3</w:t>
            </w:r>
            <w:r>
              <w:rPr>
                <w:rFonts w:hint="eastAsia" w:ascii="宋体" w:hAnsi="宋体" w:cs="宋体"/>
                <w:snapToGrid w:val="0"/>
                <w:kern w:val="0"/>
                <w:sz w:val="18"/>
                <w:szCs w:val="18"/>
              </w:rPr>
              <w:t>单模块使用控制</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32</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4中期检查</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5系统设计</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6</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kern w:val="0"/>
                <w:sz w:val="18"/>
                <w:szCs w:val="18"/>
              </w:rPr>
            </w:pPr>
            <w:r>
              <w:rPr>
                <w:rFonts w:hint="eastAsia" w:ascii="宋体" w:hAnsi="宋体" w:cs="宋体"/>
                <w:snapToGrid w:val="0"/>
                <w:kern w:val="0"/>
                <w:sz w:val="18"/>
                <w:szCs w:val="18"/>
              </w:rPr>
              <w:t>6集成调试</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32</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ind w:left="174" w:leftChars="83"/>
              <w:rPr>
                <w:rFonts w:ascii="宋体" w:hAnsi="宋体" w:cs="宋体"/>
                <w:snapToGrid w:val="0"/>
                <w:kern w:val="0"/>
                <w:sz w:val="18"/>
                <w:szCs w:val="18"/>
              </w:rPr>
            </w:pPr>
            <w:r>
              <w:rPr>
                <w:rFonts w:hint="eastAsia" w:ascii="宋体" w:hAnsi="宋体" w:cs="宋体"/>
                <w:snapToGrid w:val="0"/>
                <w:kern w:val="0"/>
                <w:sz w:val="18"/>
                <w:szCs w:val="18"/>
              </w:rPr>
              <w:t>7 验收答辩</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0</w:t>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395" w:type="pct"/>
            <w:tcBorders>
              <w:lef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t>合计</w:t>
            </w:r>
          </w:p>
        </w:tc>
        <w:tc>
          <w:tcPr>
            <w:tcW w:w="143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fldChar w:fldCharType="begin"/>
            </w:r>
            <w:r>
              <w:rPr>
                <w:rFonts w:hint="eastAsia" w:ascii="宋体" w:hAnsi="宋体" w:cs="宋体"/>
                <w:kern w:val="0"/>
                <w:sz w:val="18"/>
                <w:szCs w:val="18"/>
              </w:rPr>
              <w:instrText xml:space="preserve"> =SUM(ABOVE) </w:instrText>
            </w:r>
            <w:r>
              <w:rPr>
                <w:rFonts w:hint="eastAsia" w:ascii="宋体" w:hAnsi="宋体" w:cs="宋体"/>
                <w:kern w:val="0"/>
                <w:sz w:val="18"/>
                <w:szCs w:val="18"/>
              </w:rPr>
              <w:fldChar w:fldCharType="separate"/>
            </w:r>
            <w:r>
              <w:rPr>
                <w:rFonts w:hint="eastAsia" w:ascii="宋体" w:hAnsi="宋体" w:cs="宋体"/>
                <w:kern w:val="0"/>
                <w:sz w:val="18"/>
                <w:szCs w:val="18"/>
              </w:rPr>
              <w:t>12</w:t>
            </w:r>
            <w:r>
              <w:rPr>
                <w:rFonts w:hint="eastAsia" w:ascii="宋体" w:hAnsi="宋体" w:cs="宋体"/>
                <w:kern w:val="0"/>
                <w:sz w:val="18"/>
                <w:szCs w:val="18"/>
              </w:rPr>
              <w:fldChar w:fldCharType="end"/>
            </w:r>
          </w:p>
        </w:tc>
        <w:tc>
          <w:tcPr>
            <w:tcW w:w="1371" w:type="pct"/>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fldChar w:fldCharType="begin"/>
            </w:r>
            <w:r>
              <w:rPr>
                <w:rFonts w:hint="eastAsia" w:ascii="宋体" w:hAnsi="宋体" w:cs="宋体"/>
                <w:kern w:val="0"/>
                <w:sz w:val="18"/>
                <w:szCs w:val="18"/>
              </w:rPr>
              <w:instrText xml:space="preserve"> =SUM(ABOVE) </w:instrText>
            </w:r>
            <w:r>
              <w:rPr>
                <w:rFonts w:hint="eastAsia" w:ascii="宋体" w:hAnsi="宋体" w:cs="宋体"/>
                <w:kern w:val="0"/>
                <w:sz w:val="18"/>
                <w:szCs w:val="18"/>
              </w:rPr>
              <w:fldChar w:fldCharType="separate"/>
            </w:r>
            <w:r>
              <w:rPr>
                <w:rFonts w:hint="eastAsia" w:ascii="宋体" w:hAnsi="宋体" w:cs="宋体"/>
                <w:kern w:val="0"/>
                <w:sz w:val="18"/>
                <w:szCs w:val="18"/>
              </w:rPr>
              <w:t>76</w:t>
            </w:r>
            <w:r>
              <w:rPr>
                <w:rFonts w:hint="eastAsia" w:ascii="宋体" w:hAnsi="宋体" w:cs="宋体"/>
                <w:kern w:val="0"/>
                <w:sz w:val="18"/>
                <w:szCs w:val="18"/>
              </w:rPr>
              <w:fldChar w:fldCharType="end"/>
            </w:r>
          </w:p>
        </w:tc>
        <w:tc>
          <w:tcPr>
            <w:tcW w:w="803" w:type="pct"/>
            <w:tcBorders>
              <w:right w:val="nil"/>
            </w:tcBorders>
            <w:vAlign w:val="center"/>
          </w:tcPr>
          <w:p>
            <w:pPr>
              <w:widowControl/>
              <w:adjustRightInd w:val="0"/>
              <w:snapToGrid w:val="0"/>
              <w:jc w:val="center"/>
              <w:rPr>
                <w:rFonts w:ascii="宋体" w:hAnsi="宋体" w:cs="宋体"/>
                <w:kern w:val="0"/>
                <w:sz w:val="18"/>
                <w:szCs w:val="18"/>
              </w:rPr>
            </w:pPr>
            <w:r>
              <w:rPr>
                <w:rFonts w:hint="eastAsia" w:ascii="宋体" w:hAnsi="宋体" w:cs="宋体"/>
                <w:kern w:val="0"/>
                <w:sz w:val="18"/>
                <w:szCs w:val="18"/>
              </w:rPr>
              <w:fldChar w:fldCharType="begin"/>
            </w:r>
            <w:r>
              <w:rPr>
                <w:rFonts w:hint="eastAsia" w:ascii="宋体" w:hAnsi="宋体" w:cs="宋体"/>
                <w:kern w:val="0"/>
                <w:sz w:val="18"/>
                <w:szCs w:val="18"/>
              </w:rPr>
              <w:instrText xml:space="preserve"> =SUM(ABOVE) </w:instrText>
            </w:r>
            <w:r>
              <w:rPr>
                <w:rFonts w:hint="eastAsia" w:ascii="宋体" w:hAnsi="宋体" w:cs="宋体"/>
                <w:kern w:val="0"/>
                <w:sz w:val="18"/>
                <w:szCs w:val="18"/>
              </w:rPr>
              <w:fldChar w:fldCharType="separate"/>
            </w:r>
            <w:r>
              <w:rPr>
                <w:rFonts w:hint="eastAsia" w:ascii="宋体" w:hAnsi="宋体" w:cs="宋体"/>
                <w:kern w:val="0"/>
                <w:sz w:val="18"/>
                <w:szCs w:val="18"/>
              </w:rPr>
              <w:t>88</w:t>
            </w:r>
            <w:r>
              <w:rPr>
                <w:rFonts w:hint="eastAsia" w:ascii="宋体" w:hAnsi="宋体" w:cs="宋体"/>
                <w:kern w:val="0"/>
                <w:sz w:val="18"/>
                <w:szCs w:val="18"/>
              </w:rPr>
              <w:fldChar w:fldCharType="end"/>
            </w:r>
          </w:p>
        </w:tc>
      </w:tr>
    </w:tbl>
    <w:p>
      <w:pPr>
        <w:adjustRightInd w:val="0"/>
        <w:snapToGrid w:val="0"/>
        <w:spacing w:before="312" w:beforeLines="100" w:after="156" w:afterLines="50"/>
        <w:rPr>
          <w:rFonts w:eastAsia="黑体"/>
          <w:szCs w:val="21"/>
        </w:rPr>
      </w:pPr>
      <w:r>
        <w:rPr>
          <w:rFonts w:hint="eastAsia" w:eastAsia="黑体"/>
          <w:szCs w:val="21"/>
        </w:rPr>
        <w:t>七、教材、补充材料及参考资料</w:t>
      </w:r>
    </w:p>
    <w:p>
      <w:pPr>
        <w:spacing w:line="360" w:lineRule="auto"/>
        <w:ind w:firstLine="420" w:firstLineChars="200"/>
        <w:rPr>
          <w:szCs w:val="21"/>
        </w:rPr>
      </w:pPr>
      <w:r>
        <w:rPr>
          <w:rFonts w:hint="eastAsia"/>
          <w:szCs w:val="21"/>
        </w:rPr>
        <w:t>由教师根据学生选题针对性提供相应的参考资料</w:t>
      </w:r>
      <w:r>
        <w:rPr>
          <w:szCs w:val="21"/>
        </w:rPr>
        <w:t>。</w:t>
      </w:r>
    </w:p>
    <w:p>
      <w:pPr>
        <w:adjustRightInd w:val="0"/>
        <w:snapToGrid w:val="0"/>
        <w:spacing w:before="312" w:beforeLines="100" w:after="156" w:afterLines="50"/>
        <w:rPr>
          <w:rFonts w:eastAsia="黑体"/>
          <w:szCs w:val="21"/>
        </w:rPr>
      </w:pPr>
      <w:r>
        <w:rPr>
          <w:rFonts w:hint="eastAsia" w:eastAsia="黑体"/>
          <w:szCs w:val="21"/>
        </w:rPr>
        <w:t>八、课程目标达成的途径和措施</w:t>
      </w:r>
    </w:p>
    <w:p>
      <w:pPr>
        <w:spacing w:line="360" w:lineRule="auto"/>
        <w:ind w:firstLine="420" w:firstLineChars="200"/>
        <w:rPr>
          <w:szCs w:val="21"/>
        </w:rPr>
      </w:pPr>
      <w:r>
        <w:rPr>
          <w:szCs w:val="21"/>
        </w:rPr>
        <w:t>1</w:t>
      </w:r>
      <w:r>
        <w:rPr>
          <w:rFonts w:hint="eastAsia"/>
          <w:szCs w:val="21"/>
        </w:rPr>
        <w:t>、考核目标：在考核学生对专题</w:t>
      </w:r>
      <w:r>
        <w:rPr>
          <w:szCs w:val="21"/>
        </w:rPr>
        <w:t>讲座及相应实验掌握和完成情况、</w:t>
      </w:r>
      <w:r>
        <w:rPr>
          <w:rFonts w:hint="eastAsia"/>
          <w:szCs w:val="21"/>
        </w:rPr>
        <w:t>实践题目</w:t>
      </w:r>
      <w:r>
        <w:rPr>
          <w:szCs w:val="21"/>
        </w:rPr>
        <w:t>完成情况</w:t>
      </w:r>
      <w:r>
        <w:rPr>
          <w:rFonts w:hint="eastAsia"/>
          <w:szCs w:val="21"/>
        </w:rPr>
        <w:t>、的基础上，重点考核学生的方案</w:t>
      </w:r>
      <w:r>
        <w:rPr>
          <w:szCs w:val="21"/>
        </w:rPr>
        <w:t>设计、</w:t>
      </w:r>
      <w:r>
        <w:rPr>
          <w:rFonts w:hint="eastAsia"/>
          <w:szCs w:val="21"/>
        </w:rPr>
        <w:t>系统设计</w:t>
      </w:r>
      <w:r>
        <w:rPr>
          <w:szCs w:val="21"/>
        </w:rPr>
        <w:t>、</w:t>
      </w:r>
      <w:r>
        <w:rPr>
          <w:rFonts w:hint="eastAsia"/>
          <w:szCs w:val="21"/>
        </w:rPr>
        <w:t>团队</w:t>
      </w:r>
      <w:r>
        <w:rPr>
          <w:szCs w:val="21"/>
        </w:rPr>
        <w:t>协作</w:t>
      </w:r>
      <w:r>
        <w:rPr>
          <w:rFonts w:hint="eastAsia"/>
          <w:szCs w:val="21"/>
        </w:rPr>
        <w:t>、系统集成</w:t>
      </w:r>
      <w:r>
        <w:rPr>
          <w:szCs w:val="21"/>
        </w:rPr>
        <w:t>等能力。</w:t>
      </w:r>
    </w:p>
    <w:p>
      <w:pPr>
        <w:spacing w:line="360" w:lineRule="auto"/>
        <w:ind w:firstLine="420" w:firstLineChars="200"/>
        <w:rPr>
          <w:szCs w:val="21"/>
        </w:rPr>
      </w:pPr>
      <w:r>
        <w:rPr>
          <w:szCs w:val="21"/>
        </w:rPr>
        <w:t>2</w:t>
      </w:r>
      <w:r>
        <w:rPr>
          <w:rFonts w:hint="eastAsia"/>
          <w:szCs w:val="21"/>
        </w:rPr>
        <w:t>、考核方式：实验</w:t>
      </w:r>
      <w:r>
        <w:rPr>
          <w:szCs w:val="21"/>
        </w:rPr>
        <w:t>、实践、报告</w:t>
      </w:r>
      <w:r>
        <w:rPr>
          <w:rFonts w:hint="eastAsia"/>
          <w:szCs w:val="21"/>
        </w:rPr>
        <w:t>、出勤。</w:t>
      </w:r>
    </w:p>
    <w:p>
      <w:pPr>
        <w:spacing w:line="360" w:lineRule="auto"/>
        <w:ind w:firstLine="420" w:firstLineChars="200"/>
        <w:rPr>
          <w:szCs w:val="21"/>
        </w:rPr>
      </w:pPr>
      <w:r>
        <w:rPr>
          <w:szCs w:val="21"/>
        </w:rPr>
        <w:t>3、</w:t>
      </w:r>
      <w:r>
        <w:rPr>
          <w:rFonts w:hint="eastAsia"/>
          <w:szCs w:val="21"/>
        </w:rPr>
        <w:t>评价环节对课程目标达成贡献率及支撑材料：</w:t>
      </w:r>
    </w:p>
    <w:p>
      <w:pPr>
        <w:spacing w:line="360" w:lineRule="auto"/>
        <w:ind w:firstLine="420" w:firstLineChars="200"/>
        <w:rPr>
          <w:szCs w:val="21"/>
        </w:rPr>
      </w:pPr>
    </w:p>
    <w:tbl>
      <w:tblPr>
        <w:tblStyle w:val="22"/>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134"/>
        <w:gridCol w:w="1076"/>
        <w:gridCol w:w="1050"/>
        <w:gridCol w:w="791"/>
        <w:gridCol w:w="921"/>
        <w:gridCol w:w="981"/>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55" w:type="dxa"/>
            <w:tcBorders>
              <w:left w:val="nil"/>
            </w:tcBorders>
            <w:vAlign w:val="center"/>
          </w:tcPr>
          <w:p>
            <w:pPr>
              <w:adjustRightInd w:val="0"/>
              <w:snapToGrid w:val="0"/>
              <w:jc w:val="center"/>
              <w:rPr>
                <w:rFonts w:ascii="宋体" w:hAnsi="宋体" w:cs="宋体"/>
                <w:b/>
                <w:sz w:val="18"/>
                <w:szCs w:val="18"/>
              </w:rPr>
            </w:pPr>
            <w:bookmarkStart w:id="264" w:name="OLE_LINK14"/>
            <w:bookmarkStart w:id="265" w:name="OLE_LINK13"/>
            <w:r>
              <w:rPr>
                <w:rFonts w:hint="eastAsia" w:ascii="宋体" w:hAnsi="宋体" w:cs="宋体"/>
                <w:b/>
                <w:sz w:val="18"/>
                <w:szCs w:val="18"/>
              </w:rPr>
              <w:t>考察</w:t>
            </w:r>
          </w:p>
          <w:p>
            <w:pPr>
              <w:adjustRightInd w:val="0"/>
              <w:snapToGrid w:val="0"/>
              <w:jc w:val="center"/>
              <w:rPr>
                <w:rFonts w:ascii="宋体" w:hAnsi="宋体" w:cs="宋体"/>
                <w:b/>
                <w:sz w:val="18"/>
                <w:szCs w:val="18"/>
              </w:rPr>
            </w:pPr>
            <w:r>
              <w:rPr>
                <w:rFonts w:hint="eastAsia" w:ascii="宋体" w:hAnsi="宋体" w:cs="宋体"/>
                <w:b/>
                <w:sz w:val="18"/>
                <w:szCs w:val="18"/>
              </w:rPr>
              <w:t>环节</w:t>
            </w:r>
          </w:p>
        </w:tc>
        <w:tc>
          <w:tcPr>
            <w:tcW w:w="1134"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出勤</w:t>
            </w:r>
          </w:p>
        </w:tc>
        <w:tc>
          <w:tcPr>
            <w:tcW w:w="1076"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专题</w:t>
            </w:r>
          </w:p>
          <w:p>
            <w:pPr>
              <w:adjustRightInd w:val="0"/>
              <w:snapToGrid w:val="0"/>
              <w:jc w:val="center"/>
              <w:rPr>
                <w:rFonts w:ascii="宋体" w:hAnsi="宋体" w:cs="宋体"/>
                <w:b/>
                <w:sz w:val="18"/>
                <w:szCs w:val="18"/>
              </w:rPr>
            </w:pPr>
            <w:r>
              <w:rPr>
                <w:rFonts w:hint="eastAsia" w:ascii="宋体" w:hAnsi="宋体" w:cs="宋体"/>
                <w:b/>
                <w:sz w:val="18"/>
                <w:szCs w:val="18"/>
              </w:rPr>
              <w:t>实验</w:t>
            </w:r>
          </w:p>
        </w:tc>
        <w:tc>
          <w:tcPr>
            <w:tcW w:w="1050"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设计方案答辩</w:t>
            </w:r>
          </w:p>
        </w:tc>
        <w:tc>
          <w:tcPr>
            <w:tcW w:w="791"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中期</w:t>
            </w:r>
          </w:p>
          <w:p>
            <w:pPr>
              <w:adjustRightInd w:val="0"/>
              <w:snapToGrid w:val="0"/>
              <w:jc w:val="center"/>
              <w:rPr>
                <w:rFonts w:ascii="宋体" w:hAnsi="宋体" w:cs="宋体"/>
                <w:b/>
                <w:sz w:val="18"/>
                <w:szCs w:val="18"/>
              </w:rPr>
            </w:pPr>
            <w:r>
              <w:rPr>
                <w:rFonts w:hint="eastAsia" w:ascii="宋体" w:hAnsi="宋体" w:cs="宋体"/>
                <w:b/>
                <w:sz w:val="18"/>
                <w:szCs w:val="18"/>
              </w:rPr>
              <w:t>检查</w:t>
            </w:r>
          </w:p>
        </w:tc>
        <w:tc>
          <w:tcPr>
            <w:tcW w:w="921"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实物系统验收</w:t>
            </w:r>
          </w:p>
        </w:tc>
        <w:tc>
          <w:tcPr>
            <w:tcW w:w="981" w:type="dxa"/>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设计总结报告验收</w:t>
            </w:r>
          </w:p>
        </w:tc>
        <w:tc>
          <w:tcPr>
            <w:tcW w:w="861" w:type="dxa"/>
            <w:tcBorders>
              <w:right w:val="nil"/>
            </w:tcBorders>
            <w:shd w:val="clear" w:color="auto" w:fill="auto"/>
            <w:vAlign w:val="center"/>
          </w:tcPr>
          <w:p>
            <w:pPr>
              <w:adjustRightInd w:val="0"/>
              <w:snapToGrid w:val="0"/>
              <w:jc w:val="center"/>
              <w:rPr>
                <w:rFonts w:ascii="宋体" w:hAnsi="宋体" w:cs="宋体"/>
                <w:b/>
                <w:sz w:val="18"/>
                <w:szCs w:val="18"/>
              </w:rPr>
            </w:pPr>
            <w:r>
              <w:rPr>
                <w:rFonts w:hint="eastAsia" w:ascii="宋体" w:hAnsi="宋体" w:cs="宋体"/>
                <w:b/>
                <w:sz w:val="18"/>
                <w:szCs w:val="18"/>
              </w:rPr>
              <w:t>设计</w:t>
            </w:r>
          </w:p>
          <w:p>
            <w:pPr>
              <w:adjustRightInd w:val="0"/>
              <w:snapToGrid w:val="0"/>
              <w:jc w:val="center"/>
              <w:rPr>
                <w:rFonts w:ascii="宋体" w:hAnsi="宋体" w:cs="宋体"/>
                <w:b/>
                <w:sz w:val="18"/>
                <w:szCs w:val="18"/>
              </w:rPr>
            </w:pPr>
            <w:r>
              <w:rPr>
                <w:rFonts w:hint="eastAsia" w:ascii="宋体" w:hAnsi="宋体" w:cs="宋体"/>
                <w:b/>
                <w:sz w:val="18"/>
                <w:szCs w:val="18"/>
              </w:rPr>
              <w:t>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555" w:type="dxa"/>
            <w:tcBorders>
              <w:lef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课程目标达成的贡献率</w:t>
            </w:r>
          </w:p>
        </w:tc>
        <w:tc>
          <w:tcPr>
            <w:tcW w:w="1134" w:type="dxa"/>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0.04</w:t>
            </w:r>
          </w:p>
        </w:tc>
        <w:tc>
          <w:tcPr>
            <w:tcW w:w="1076" w:type="dxa"/>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0.12</w:t>
            </w:r>
          </w:p>
        </w:tc>
        <w:tc>
          <w:tcPr>
            <w:tcW w:w="1050" w:type="dxa"/>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0.40</w:t>
            </w:r>
          </w:p>
        </w:tc>
        <w:tc>
          <w:tcPr>
            <w:tcW w:w="791" w:type="dxa"/>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0.12</w:t>
            </w:r>
          </w:p>
        </w:tc>
        <w:tc>
          <w:tcPr>
            <w:tcW w:w="921" w:type="dxa"/>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0.09</w:t>
            </w:r>
          </w:p>
        </w:tc>
        <w:tc>
          <w:tcPr>
            <w:tcW w:w="981" w:type="dxa"/>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0.10</w:t>
            </w:r>
          </w:p>
        </w:tc>
        <w:tc>
          <w:tcPr>
            <w:tcW w:w="861" w:type="dxa"/>
            <w:tcBorders>
              <w:right w:val="nil"/>
            </w:tcBorders>
            <w:shd w:val="clear" w:color="auto" w:fill="auto"/>
            <w:noWrap/>
            <w:vAlign w:val="center"/>
          </w:tcPr>
          <w:p>
            <w:pPr>
              <w:widowControl/>
              <w:jc w:val="center"/>
              <w:textAlignment w:val="center"/>
              <w:rPr>
                <w:rFonts w:ascii="宋体" w:hAnsi="宋体" w:cs="宋体"/>
                <w:color w:val="000000"/>
                <w:kern w:val="0"/>
                <w:sz w:val="18"/>
                <w:szCs w:val="18"/>
              </w:rPr>
            </w:pPr>
            <w:r>
              <w:rPr>
                <w:rFonts w:hint="eastAsia" w:ascii="宋体" w:hAnsi="宋体" w:cs="宋体"/>
                <w:b/>
                <w:color w:val="000000"/>
                <w:kern w:val="0"/>
                <w:sz w:val="18"/>
                <w:szCs w:val="1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555" w:type="dxa"/>
            <w:tcBorders>
              <w:left w:val="nil"/>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支撑材料</w:t>
            </w:r>
          </w:p>
        </w:tc>
        <w:tc>
          <w:tcPr>
            <w:tcW w:w="1134" w:type="dxa"/>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专题讲座</w:t>
            </w:r>
            <w:r>
              <w:rPr>
                <w:rFonts w:ascii="宋体" w:hAnsi="宋体" w:cs="宋体"/>
                <w:color w:val="000000"/>
                <w:kern w:val="0"/>
                <w:sz w:val="18"/>
                <w:szCs w:val="18"/>
              </w:rPr>
              <w:t>，</w:t>
            </w:r>
            <w:r>
              <w:rPr>
                <w:rFonts w:hint="eastAsia" w:ascii="宋体" w:hAnsi="宋体" w:cs="宋体"/>
                <w:color w:val="000000"/>
                <w:kern w:val="0"/>
                <w:sz w:val="18"/>
                <w:szCs w:val="18"/>
              </w:rPr>
              <w:t>专题实验</w:t>
            </w:r>
            <w:r>
              <w:rPr>
                <w:rFonts w:ascii="宋体" w:hAnsi="宋体" w:cs="宋体"/>
                <w:color w:val="000000"/>
                <w:kern w:val="0"/>
                <w:sz w:val="18"/>
                <w:szCs w:val="18"/>
              </w:rPr>
              <w:t>，</w:t>
            </w:r>
            <w:r>
              <w:rPr>
                <w:rFonts w:hint="eastAsia" w:ascii="宋体" w:hAnsi="宋体" w:cs="宋体"/>
                <w:color w:val="000000"/>
                <w:kern w:val="0"/>
                <w:sz w:val="18"/>
                <w:szCs w:val="18"/>
              </w:rPr>
              <w:t>动手实践，</w:t>
            </w:r>
          </w:p>
          <w:p>
            <w:pPr>
              <w:widowControl/>
              <w:jc w:val="center"/>
              <w:rPr>
                <w:rFonts w:ascii="宋体" w:hAnsi="宋体" w:cs="宋体"/>
                <w:color w:val="000000"/>
                <w:kern w:val="0"/>
                <w:sz w:val="18"/>
                <w:szCs w:val="18"/>
              </w:rPr>
            </w:pPr>
            <w:r>
              <w:rPr>
                <w:rFonts w:ascii="宋体" w:hAnsi="宋体" w:cs="宋体"/>
                <w:color w:val="000000"/>
                <w:kern w:val="0"/>
                <w:sz w:val="18"/>
                <w:szCs w:val="18"/>
              </w:rPr>
              <w:t>出勤率</w:t>
            </w:r>
          </w:p>
        </w:tc>
        <w:tc>
          <w:tcPr>
            <w:tcW w:w="1076" w:type="dxa"/>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实验</w:t>
            </w:r>
            <w:r>
              <w:rPr>
                <w:rFonts w:ascii="宋体" w:hAnsi="宋体" w:cs="宋体"/>
                <w:color w:val="000000"/>
                <w:kern w:val="0"/>
                <w:sz w:val="18"/>
                <w:szCs w:val="18"/>
              </w:rPr>
              <w:t>完成情况、</w:t>
            </w:r>
            <w:r>
              <w:rPr>
                <w:rFonts w:hint="eastAsia" w:ascii="宋体" w:hAnsi="宋体" w:cs="宋体"/>
                <w:color w:val="000000"/>
                <w:kern w:val="0"/>
                <w:sz w:val="18"/>
                <w:szCs w:val="18"/>
              </w:rPr>
              <w:t>实验报告</w:t>
            </w:r>
          </w:p>
        </w:tc>
        <w:tc>
          <w:tcPr>
            <w:tcW w:w="1050" w:type="dxa"/>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设计方案</w:t>
            </w:r>
            <w:r>
              <w:rPr>
                <w:rFonts w:ascii="宋体" w:hAnsi="宋体" w:cs="宋体"/>
                <w:color w:val="000000"/>
                <w:kern w:val="0"/>
                <w:sz w:val="18"/>
                <w:szCs w:val="18"/>
              </w:rPr>
              <w:t>报告、答辩记录表</w:t>
            </w:r>
          </w:p>
        </w:tc>
        <w:tc>
          <w:tcPr>
            <w:tcW w:w="791" w:type="dxa"/>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中期检查</w:t>
            </w:r>
            <w:r>
              <w:rPr>
                <w:rFonts w:ascii="宋体" w:hAnsi="宋体" w:cs="宋体"/>
                <w:color w:val="000000"/>
                <w:kern w:val="0"/>
                <w:sz w:val="18"/>
                <w:szCs w:val="18"/>
              </w:rPr>
              <w:t>记录表</w:t>
            </w:r>
          </w:p>
        </w:tc>
        <w:tc>
          <w:tcPr>
            <w:tcW w:w="921" w:type="dxa"/>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实物系统验收</w:t>
            </w:r>
            <w:r>
              <w:rPr>
                <w:rFonts w:ascii="宋体" w:hAnsi="宋体" w:cs="宋体"/>
                <w:color w:val="000000"/>
                <w:kern w:val="0"/>
                <w:sz w:val="18"/>
                <w:szCs w:val="18"/>
              </w:rPr>
              <w:t>记录表</w:t>
            </w:r>
          </w:p>
        </w:tc>
        <w:tc>
          <w:tcPr>
            <w:tcW w:w="98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设计</w:t>
            </w:r>
            <w:r>
              <w:rPr>
                <w:rFonts w:ascii="宋体" w:hAnsi="宋体" w:cs="宋体"/>
                <w:color w:val="000000"/>
                <w:kern w:val="0"/>
                <w:sz w:val="18"/>
                <w:szCs w:val="18"/>
              </w:rPr>
              <w:t>总结报告</w:t>
            </w:r>
            <w:r>
              <w:rPr>
                <w:rFonts w:hint="eastAsia" w:ascii="宋体" w:hAnsi="宋体" w:cs="宋体"/>
                <w:color w:val="000000"/>
                <w:kern w:val="0"/>
                <w:sz w:val="18"/>
                <w:szCs w:val="18"/>
              </w:rPr>
              <w:t>、</w:t>
            </w:r>
            <w:r>
              <w:rPr>
                <w:rFonts w:ascii="宋体" w:hAnsi="宋体" w:cs="宋体"/>
                <w:color w:val="000000"/>
                <w:kern w:val="0"/>
                <w:sz w:val="18"/>
                <w:szCs w:val="18"/>
              </w:rPr>
              <w:t>验收记录表</w:t>
            </w:r>
          </w:p>
        </w:tc>
        <w:tc>
          <w:tcPr>
            <w:tcW w:w="861" w:type="dxa"/>
            <w:tcBorders>
              <w:right w:val="nil"/>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答辩</w:t>
            </w:r>
            <w:r>
              <w:rPr>
                <w:rFonts w:ascii="宋体" w:hAnsi="宋体" w:cs="宋体"/>
                <w:color w:val="000000"/>
                <w:kern w:val="0"/>
                <w:sz w:val="18"/>
                <w:szCs w:val="18"/>
              </w:rPr>
              <w:t>记录表</w:t>
            </w:r>
          </w:p>
        </w:tc>
      </w:tr>
      <w:bookmarkEnd w:id="264"/>
      <w:bookmarkEnd w:id="265"/>
    </w:tbl>
    <w:p>
      <w:pPr>
        <w:adjustRightInd w:val="0"/>
        <w:snapToGrid w:val="0"/>
        <w:spacing w:before="312" w:beforeLines="100" w:after="156" w:afterLines="50"/>
        <w:rPr>
          <w:rFonts w:eastAsia="黑体"/>
          <w:szCs w:val="21"/>
        </w:rPr>
      </w:pPr>
      <w:r>
        <w:rPr>
          <w:rFonts w:hint="eastAsia" w:eastAsia="黑体"/>
          <w:szCs w:val="21"/>
        </w:rPr>
        <w:t>九、覆盖课程目标达成评价的知识点及权重</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0"/>
        <w:gridCol w:w="1465"/>
        <w:gridCol w:w="17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知识点</w:t>
            </w:r>
          </w:p>
        </w:tc>
        <w:tc>
          <w:tcPr>
            <w:tcW w:w="882" w:type="pct"/>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权重</w:t>
            </w:r>
          </w:p>
        </w:tc>
        <w:tc>
          <w:tcPr>
            <w:tcW w:w="1048" w:type="pct"/>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支撑课程目标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tabs>
                <w:tab w:val="left" w:pos="420"/>
              </w:tabs>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SPI或同类有线串行接口</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r>
              <w:rPr>
                <w:rFonts w:hint="eastAsia"/>
                <w:color w:val="000000" w:themeColor="text1"/>
                <w:sz w:val="18"/>
                <w:szCs w:val="18"/>
                <w14:textFill>
                  <w14:solidFill>
                    <w14:schemeClr w14:val="tx1"/>
                  </w14:solidFill>
                </w14:textFill>
              </w:rPr>
              <w:t>ZigBee、WiFi或同类无线传输方法</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r>
              <w:rPr>
                <w:rFonts w:hint="eastAsia"/>
                <w:color w:val="000000" w:themeColor="text1"/>
                <w:sz w:val="18"/>
                <w:szCs w:val="18"/>
                <w14:textFill>
                  <w14:solidFill>
                    <w14:schemeClr w14:val="tx1"/>
                  </w14:solidFill>
                </w14:textFill>
              </w:rPr>
              <w:t>CAN或同类包通讯串行工业总线</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r>
              <w:rPr>
                <w:rFonts w:hint="eastAsia"/>
                <w:color w:val="000000" w:themeColor="text1"/>
                <w:sz w:val="18"/>
                <w:szCs w:val="18"/>
                <w14:textFill>
                  <w14:solidFill>
                    <w14:schemeClr w14:val="tx1"/>
                  </w14:solidFill>
                </w14:textFill>
              </w:rPr>
              <w:t>图像、音视频常用处理方法之一</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r>
              <w:rPr>
                <w:rFonts w:hint="eastAsia"/>
                <w:color w:val="000000" w:themeColor="text1"/>
                <w:sz w:val="18"/>
                <w:szCs w:val="18"/>
                <w14:textFill>
                  <w14:solidFill>
                    <w14:schemeClr w14:val="tx1"/>
                  </w14:solidFill>
                </w14:textFill>
              </w:rPr>
              <w:t>电子器件的选型、匹配与连接</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r>
              <w:rPr>
                <w:rFonts w:hint="eastAsia"/>
                <w:color w:val="000000" w:themeColor="text1"/>
                <w:sz w:val="18"/>
                <w:szCs w:val="18"/>
                <w14:textFill>
                  <w14:solidFill>
                    <w14:schemeClr w14:val="tx1"/>
                  </w14:solidFill>
                </w14:textFill>
              </w:rPr>
              <w:t>完整的基于工程需求的项目实践</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0.05</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w:t>
            </w:r>
            <w:r>
              <w:rPr>
                <w:rFonts w:hint="eastAsia"/>
                <w:color w:val="000000" w:themeColor="text1"/>
                <w:sz w:val="18"/>
                <w:szCs w:val="18"/>
                <w14:textFill>
                  <w14:solidFill>
                    <w14:schemeClr w14:val="tx1"/>
                  </w14:solidFill>
                </w14:textFill>
              </w:rPr>
              <w:t>体现非技术因素、创新意识环保意识、社会影响的工程实践方案设计或实现</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0.12</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w:t>
            </w:r>
            <w:r>
              <w:rPr>
                <w:rFonts w:hint="eastAsia"/>
                <w:color w:val="000000" w:themeColor="text1"/>
                <w:sz w:val="18"/>
                <w:szCs w:val="18"/>
                <w14:textFill>
                  <w14:solidFill>
                    <w14:schemeClr w14:val="tx1"/>
                  </w14:solidFill>
                </w14:textFill>
              </w:rPr>
              <w:t>原理图、板图设计工具选择和使用</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w:t>
            </w:r>
            <w:r>
              <w:rPr>
                <w:rFonts w:hint="eastAsia"/>
                <w:color w:val="000000" w:themeColor="text1"/>
                <w:sz w:val="18"/>
                <w:szCs w:val="18"/>
                <w14:textFill>
                  <w14:solidFill>
                    <w14:schemeClr w14:val="tx1"/>
                  </w14:solidFill>
                </w14:textFill>
              </w:rPr>
              <w:t>单片机、FPGA、虚拟仪器等的开发环境选择和使用</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0.10</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w:t>
            </w:r>
            <w:r>
              <w:rPr>
                <w:rFonts w:hint="eastAsia"/>
                <w:color w:val="000000" w:themeColor="text1"/>
                <w:sz w:val="18"/>
                <w:szCs w:val="18"/>
                <w14:textFill>
                  <w14:solidFill>
                    <w14:schemeClr w14:val="tx1"/>
                  </w14:solidFill>
                </w14:textFill>
              </w:rPr>
              <w:t>项目实施的进度、经费、周期、外协规划</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0.06</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0" w:type="pct"/>
            <w:vAlign w:val="center"/>
          </w:tcPr>
          <w:p>
            <w:pPr>
              <w:ind w:left="174" w:leftChars="83"/>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w:t>
            </w:r>
            <w:r>
              <w:rPr>
                <w:rFonts w:hint="eastAsia"/>
                <w:color w:val="000000" w:themeColor="text1"/>
                <w:sz w:val="18"/>
                <w:szCs w:val="18"/>
                <w14:textFill>
                  <w14:solidFill>
                    <w14:schemeClr w14:val="tx1"/>
                  </w14:solidFill>
                </w14:textFill>
              </w:rPr>
              <w:t>团队分工与协作能力训练</w:t>
            </w:r>
          </w:p>
        </w:tc>
        <w:tc>
          <w:tcPr>
            <w:tcW w:w="882"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0.12</w:t>
            </w:r>
          </w:p>
        </w:tc>
        <w:tc>
          <w:tcPr>
            <w:tcW w:w="1048" w:type="pct"/>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9、10、11</w:t>
            </w:r>
          </w:p>
        </w:tc>
      </w:tr>
    </w:tbl>
    <w:p>
      <w:pPr>
        <w:spacing w:before="156" w:beforeLines="50" w:line="360" w:lineRule="auto"/>
        <w:ind w:firstLine="420" w:firstLineChars="200"/>
        <w:rPr>
          <w:b/>
          <w:color w:val="000000"/>
          <w:sz w:val="24"/>
          <w:szCs w:val="24"/>
        </w:rPr>
      </w:pPr>
      <w:r>
        <w:rPr>
          <w:rFonts w:hint="eastAsia" w:ascii="宋体" w:hAnsi="宋体" w:cs="宋体"/>
          <w:szCs w:val="21"/>
        </w:rPr>
        <w:t>本课程不可以申请免修。</w:t>
      </w:r>
    </w:p>
    <w:p>
      <w:pPr>
        <w:spacing w:line="360" w:lineRule="auto"/>
        <w:rPr>
          <w:b/>
          <w:color w:val="000000"/>
          <w:sz w:val="24"/>
          <w:szCs w:val="24"/>
        </w:rPr>
      </w:pPr>
    </w:p>
    <w:p>
      <w:pPr>
        <w:tabs>
          <w:tab w:val="left" w:pos="420"/>
        </w:tabs>
        <w:adjustRightInd w:val="0"/>
        <w:snapToGrid w:val="0"/>
        <w:spacing w:line="360" w:lineRule="auto"/>
        <w:rPr>
          <w:rFonts w:eastAsia="黑体"/>
          <w:color w:val="000000"/>
          <w:szCs w:val="24"/>
        </w:rPr>
        <w:sectPr>
          <w:footerReference r:id="rId147" w:type="default"/>
          <w:pgSz w:w="11906" w:h="16838"/>
          <w:pgMar w:top="1440" w:right="1800" w:bottom="1440" w:left="1800" w:header="851" w:footer="992" w:gutter="0"/>
          <w:cols w:space="720" w:num="1"/>
          <w:docGrid w:type="lines" w:linePitch="312" w:charSpace="0"/>
        </w:sectPr>
      </w:pPr>
    </w:p>
    <w:p>
      <w:pPr>
        <w:adjustRightInd w:val="0"/>
        <w:snapToGrid w:val="0"/>
        <w:spacing w:before="156" w:beforeLines="50"/>
        <w:rPr>
          <w:rFonts w:eastAsia="黑体"/>
          <w:szCs w:val="21"/>
        </w:rPr>
      </w:pPr>
      <w:r>
        <w:rPr>
          <w:rFonts w:hint="eastAsia" w:eastAsia="黑体"/>
          <w:szCs w:val="21"/>
        </w:rPr>
        <w:t>十、课程目标达成评价</w:t>
      </w:r>
    </w:p>
    <w:p>
      <w:pPr>
        <w:spacing w:line="360" w:lineRule="auto"/>
        <w:ind w:firstLine="420" w:firstLineChars="200"/>
        <w:jc w:val="center"/>
      </w:pPr>
      <w:r>
        <w:rPr>
          <w:rFonts w:hint="eastAsia"/>
        </w:rPr>
        <w:t>各环节对课程目标达成评价所使用到的权重占比分配</w:t>
      </w:r>
    </w:p>
    <w:tbl>
      <w:tblPr>
        <w:tblStyle w:val="22"/>
        <w:tblW w:w="4999" w:type="pct"/>
        <w:jc w:val="center"/>
        <w:tblLayout w:type="autofit"/>
        <w:tblCellMar>
          <w:top w:w="0" w:type="dxa"/>
          <w:left w:w="108" w:type="dxa"/>
          <w:bottom w:w="0" w:type="dxa"/>
          <w:right w:w="108" w:type="dxa"/>
        </w:tblCellMar>
      </w:tblPr>
      <w:tblGrid>
        <w:gridCol w:w="705"/>
        <w:gridCol w:w="1180"/>
        <w:gridCol w:w="840"/>
        <w:gridCol w:w="840"/>
        <w:gridCol w:w="840"/>
        <w:gridCol w:w="845"/>
        <w:gridCol w:w="840"/>
        <w:gridCol w:w="840"/>
        <w:gridCol w:w="915"/>
        <w:gridCol w:w="862"/>
        <w:gridCol w:w="845"/>
        <w:gridCol w:w="867"/>
        <w:gridCol w:w="867"/>
        <w:gridCol w:w="867"/>
        <w:gridCol w:w="873"/>
        <w:gridCol w:w="919"/>
      </w:tblGrid>
      <w:tr>
        <w:tblPrEx>
          <w:tblCellMar>
            <w:top w:w="0" w:type="dxa"/>
            <w:left w:w="108" w:type="dxa"/>
            <w:bottom w:w="0" w:type="dxa"/>
            <w:right w:w="108" w:type="dxa"/>
          </w:tblCellMar>
        </w:tblPrEx>
        <w:trPr>
          <w:trHeight w:val="855" w:hRule="atLeast"/>
          <w:jc w:val="center"/>
        </w:trPr>
        <w:tc>
          <w:tcPr>
            <w:tcW w:w="2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课程</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目标</w:t>
            </w:r>
          </w:p>
        </w:tc>
        <w:tc>
          <w:tcPr>
            <w:tcW w:w="42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知识面比例</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（本列总和为1）</w:t>
            </w:r>
          </w:p>
          <w:p>
            <w:pPr>
              <w:widowControl/>
              <w:jc w:val="center"/>
              <w:rPr>
                <w:rFonts w:cs="宋体" w:asciiTheme="minorEastAsia" w:hAnsiTheme="minorEastAsia" w:eastAsiaTheme="minorEastAsia"/>
                <w:b/>
                <w:bCs/>
                <w:i/>
                <w:color w:val="000000"/>
                <w:kern w:val="0"/>
                <w:sz w:val="18"/>
                <w:szCs w:val="18"/>
              </w:rPr>
            </w:pPr>
            <w:r>
              <w:rPr>
                <w:rFonts w:cs="宋体" w:asciiTheme="minorEastAsia" w:hAnsiTheme="minorEastAsia" w:eastAsiaTheme="minorEastAsia"/>
                <w:b/>
                <w:bCs/>
                <w:i/>
                <w:color w:val="000000"/>
                <w:kern w:val="0"/>
                <w:sz w:val="18"/>
                <w:szCs w:val="18"/>
              </w:rPr>
              <w:t>P</w:t>
            </w:r>
            <w:r>
              <w:rPr>
                <w:rFonts w:cs="宋体" w:asciiTheme="minorEastAsia" w:hAnsiTheme="minorEastAsia" w:eastAsiaTheme="minorEastAsia"/>
                <w:b/>
                <w:bCs/>
                <w:i/>
                <w:color w:val="000000"/>
                <w:kern w:val="0"/>
                <w:sz w:val="18"/>
                <w:szCs w:val="18"/>
                <w:vertAlign w:val="subscript"/>
              </w:rPr>
              <w:t>i</w:t>
            </w:r>
          </w:p>
        </w:tc>
        <w:tc>
          <w:tcPr>
            <w:tcW w:w="2156" w:type="pct"/>
            <w:gridSpan w:val="7"/>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sz w:val="18"/>
                <w:szCs w:val="18"/>
              </w:rPr>
              <w:t>各环节评价比例分配</w:t>
            </w:r>
            <w:r>
              <w:rPr>
                <w:rFonts w:hint="eastAsia" w:asciiTheme="minorEastAsia" w:hAnsiTheme="minorEastAsia" w:eastAsiaTheme="minorEastAsia"/>
                <w:b/>
                <w:bCs/>
                <w:color w:val="000000"/>
                <w:sz w:val="18"/>
                <w:szCs w:val="18"/>
              </w:rPr>
              <w:br w:type="textWrapping"/>
            </w:r>
            <w:r>
              <w:rPr>
                <w:rFonts w:hint="eastAsia" w:asciiTheme="minorEastAsia" w:hAnsiTheme="minorEastAsia" w:eastAsiaTheme="minorEastAsia"/>
                <w:b/>
                <w:bCs/>
                <w:color w:val="000000"/>
                <w:sz w:val="18"/>
                <w:szCs w:val="18"/>
              </w:rPr>
              <w:t>（每行总和为1）</w:t>
            </w:r>
            <w:r>
              <w:rPr>
                <w:rFonts w:hint="eastAsia" w:asciiTheme="minorEastAsia" w:hAnsiTheme="minorEastAsia" w:eastAsiaTheme="minorEastAsia"/>
                <w:b/>
                <w:bCs/>
                <w:color w:val="000000"/>
                <w:sz w:val="18"/>
                <w:szCs w:val="18"/>
              </w:rPr>
              <w:br w:type="textWrapping"/>
            </w:r>
            <w:r>
              <w:rPr>
                <w:rFonts w:hint="eastAsia" w:asciiTheme="minorEastAsia" w:hAnsiTheme="minorEastAsia" w:eastAsiaTheme="minorEastAsia"/>
                <w:b/>
                <w:bCs/>
                <w:i/>
                <w:color w:val="000000"/>
                <w:sz w:val="18"/>
                <w:szCs w:val="18"/>
              </w:rPr>
              <w:t>W</w:t>
            </w:r>
            <w:r>
              <w:rPr>
                <w:rFonts w:hint="eastAsia" w:asciiTheme="minorEastAsia" w:hAnsiTheme="minorEastAsia" w:eastAsiaTheme="minorEastAsia"/>
                <w:b/>
                <w:bCs/>
                <w:i/>
                <w:color w:val="000000"/>
                <w:sz w:val="18"/>
                <w:szCs w:val="18"/>
                <w:vertAlign w:val="subscript"/>
              </w:rPr>
              <w:t>ik</w:t>
            </w:r>
          </w:p>
        </w:tc>
        <w:tc>
          <w:tcPr>
            <w:tcW w:w="2160" w:type="pct"/>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b/>
                <w:bCs/>
                <w:color w:val="000000"/>
                <w:sz w:val="18"/>
                <w:szCs w:val="18"/>
              </w:rPr>
            </w:pPr>
            <w:r>
              <w:rPr>
                <w:rFonts w:hint="eastAsia" w:asciiTheme="minorEastAsia" w:hAnsiTheme="minorEastAsia" w:eastAsiaTheme="minorEastAsia"/>
                <w:b/>
                <w:bCs/>
                <w:color w:val="000000"/>
                <w:sz w:val="18"/>
                <w:szCs w:val="18"/>
              </w:rPr>
              <w:t>各环节在课程达成中的占比</w:t>
            </w:r>
            <w:r>
              <w:rPr>
                <w:rFonts w:hint="eastAsia" w:asciiTheme="minorEastAsia" w:hAnsiTheme="minorEastAsia" w:eastAsiaTheme="minorEastAsia"/>
                <w:b/>
                <w:bCs/>
                <w:color w:val="000000"/>
                <w:sz w:val="18"/>
                <w:szCs w:val="18"/>
              </w:rPr>
              <w:br w:type="textWrapping"/>
            </w:r>
            <w:r>
              <w:rPr>
                <w:rFonts w:hint="eastAsia" w:asciiTheme="minorEastAsia" w:hAnsiTheme="minorEastAsia" w:eastAsiaTheme="minorEastAsia"/>
                <w:b/>
                <w:bCs/>
                <w:color w:val="000000"/>
                <w:sz w:val="18"/>
                <w:szCs w:val="18"/>
              </w:rPr>
              <w:t>（所有行列总和为1）</w:t>
            </w:r>
            <w:r>
              <w:rPr>
                <w:rFonts w:hint="eastAsia" w:asciiTheme="minorEastAsia" w:hAnsiTheme="minorEastAsia" w:eastAsiaTheme="minorEastAsia"/>
                <w:b/>
                <w:bCs/>
                <w:color w:val="000000"/>
                <w:sz w:val="18"/>
                <w:szCs w:val="18"/>
              </w:rPr>
              <w:br w:type="textWrapping"/>
            </w:r>
            <w:r>
              <w:rPr>
                <w:rFonts w:hint="eastAsia" w:asciiTheme="minorEastAsia" w:hAnsiTheme="minorEastAsia" w:eastAsiaTheme="minorEastAsia"/>
                <w:b/>
                <w:bCs/>
                <w:i/>
                <w:color w:val="000000"/>
                <w:sz w:val="18"/>
                <w:szCs w:val="18"/>
              </w:rPr>
              <w:t>S</w:t>
            </w:r>
            <w:r>
              <w:rPr>
                <w:rFonts w:hint="eastAsia" w:asciiTheme="minorEastAsia" w:hAnsiTheme="minorEastAsia" w:eastAsiaTheme="minorEastAsia"/>
                <w:b/>
                <w:bCs/>
                <w:i/>
                <w:color w:val="000000"/>
                <w:sz w:val="18"/>
                <w:szCs w:val="18"/>
                <w:vertAlign w:val="subscript"/>
              </w:rPr>
              <w:t>ik</w:t>
            </w:r>
            <w:r>
              <w:rPr>
                <w:rFonts w:hint="eastAsia" w:asciiTheme="minorEastAsia" w:hAnsiTheme="minorEastAsia" w:eastAsiaTheme="minorEastAsia"/>
                <w:b/>
                <w:bCs/>
                <w:i/>
                <w:color w:val="000000"/>
                <w:sz w:val="18"/>
                <w:szCs w:val="18"/>
              </w:rPr>
              <w:t>=P</w:t>
            </w:r>
            <w:r>
              <w:rPr>
                <w:rFonts w:hint="eastAsia" w:asciiTheme="minorEastAsia" w:hAnsiTheme="minorEastAsia" w:eastAsiaTheme="minorEastAsia"/>
                <w:b/>
                <w:bCs/>
                <w:i/>
                <w:color w:val="000000"/>
                <w:sz w:val="18"/>
                <w:szCs w:val="18"/>
                <w:vertAlign w:val="subscript"/>
              </w:rPr>
              <w:t>i</w:t>
            </w:r>
            <w:r>
              <w:rPr>
                <w:rFonts w:hint="eastAsia" w:asciiTheme="minorEastAsia" w:hAnsiTheme="minorEastAsia" w:eastAsiaTheme="minorEastAsia"/>
                <w:b/>
                <w:bCs/>
                <w:i/>
                <w:color w:val="000000"/>
                <w:sz w:val="18"/>
                <w:szCs w:val="18"/>
              </w:rPr>
              <w:t>*W</w:t>
            </w:r>
            <w:r>
              <w:rPr>
                <w:rFonts w:hint="eastAsia" w:asciiTheme="minorEastAsia" w:hAnsiTheme="minorEastAsia" w:eastAsiaTheme="minorEastAsia"/>
                <w:b/>
                <w:bCs/>
                <w:i/>
                <w:color w:val="000000"/>
                <w:sz w:val="18"/>
                <w:szCs w:val="18"/>
                <w:vertAlign w:val="subscript"/>
              </w:rPr>
              <w:t>ik</w:t>
            </w:r>
          </w:p>
        </w:tc>
      </w:tr>
      <w:tr>
        <w:tblPrEx>
          <w:tblCellMar>
            <w:top w:w="0" w:type="dxa"/>
            <w:left w:w="108" w:type="dxa"/>
            <w:bottom w:w="0" w:type="dxa"/>
            <w:right w:w="108" w:type="dxa"/>
          </w:tblCellMar>
        </w:tblPrEx>
        <w:trPr>
          <w:trHeight w:val="636" w:hRule="atLeast"/>
          <w:jc w:val="center"/>
        </w:trPr>
        <w:tc>
          <w:tcPr>
            <w:tcW w:w="25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42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出勤</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专题实验</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设计方案答辩</w:t>
            </w:r>
          </w:p>
        </w:tc>
        <w:tc>
          <w:tcPr>
            <w:tcW w:w="306" w:type="pct"/>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中期检查</w:t>
            </w:r>
          </w:p>
        </w:tc>
        <w:tc>
          <w:tcPr>
            <w:tcW w:w="304" w:type="pct"/>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实物系统验收</w:t>
            </w:r>
          </w:p>
        </w:tc>
        <w:tc>
          <w:tcPr>
            <w:tcW w:w="304" w:type="pct"/>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w:t>
            </w:r>
            <w:r>
              <w:rPr>
                <w:rFonts w:ascii="宋体" w:hAnsi="宋体" w:cs="宋体"/>
                <w:b/>
                <w:bCs/>
                <w:color w:val="000000"/>
                <w:kern w:val="0"/>
                <w:sz w:val="18"/>
                <w:szCs w:val="18"/>
              </w:rPr>
              <w:t>总结报告验收</w:t>
            </w:r>
          </w:p>
        </w:tc>
        <w:tc>
          <w:tcPr>
            <w:tcW w:w="326" w:type="pct"/>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设计答辩</w:t>
            </w:r>
          </w:p>
        </w:tc>
        <w:tc>
          <w:tcPr>
            <w:tcW w:w="3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出勤</w:t>
            </w: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专题实验</w:t>
            </w:r>
          </w:p>
        </w:tc>
        <w:tc>
          <w:tcPr>
            <w:tcW w:w="30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设计方案答辩</w:t>
            </w:r>
          </w:p>
        </w:tc>
        <w:tc>
          <w:tcPr>
            <w:tcW w:w="30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中期检查</w:t>
            </w:r>
          </w:p>
        </w:tc>
        <w:tc>
          <w:tcPr>
            <w:tcW w:w="306"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实物系统验收</w:t>
            </w:r>
          </w:p>
        </w:tc>
        <w:tc>
          <w:tcPr>
            <w:tcW w:w="30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w:t>
            </w:r>
            <w:r>
              <w:rPr>
                <w:rFonts w:ascii="宋体" w:hAnsi="宋体" w:cs="宋体"/>
                <w:b/>
                <w:bCs/>
                <w:color w:val="000000"/>
                <w:kern w:val="0"/>
                <w:sz w:val="18"/>
                <w:szCs w:val="18"/>
              </w:rPr>
              <w:t>总结报告验收</w:t>
            </w:r>
          </w:p>
        </w:tc>
        <w:tc>
          <w:tcPr>
            <w:tcW w:w="32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设计答辩</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0.30</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0.4</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0.03</w:t>
            </w: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0.06</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rFonts w:hint="eastAsia" w:ascii="宋体" w:hAnsi="宋体" w:cs="宋体"/>
                <w:b/>
                <w:color w:val="000000"/>
                <w:kern w:val="0"/>
                <w:sz w:val="18"/>
                <w:szCs w:val="18"/>
              </w:rPr>
              <w:t>0.12</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rFonts w:hint="eastAsia" w:ascii="宋体" w:hAnsi="宋体" w:cs="宋体"/>
                <w:b/>
                <w:color w:val="000000"/>
                <w:kern w:val="0"/>
                <w:sz w:val="18"/>
                <w:szCs w:val="18"/>
              </w:rPr>
              <w:t>0.03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0.015</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0.015</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0.03</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2</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0.03</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0.8</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r>
              <w:rPr>
                <w:rFonts w:hint="eastAsia" w:ascii="宋体" w:hAnsi="宋体" w:cs="宋体"/>
                <w:b/>
                <w:color w:val="000000"/>
                <w:kern w:val="0"/>
                <w:sz w:val="18"/>
                <w:szCs w:val="18"/>
              </w:rPr>
              <w:t>0.024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0.006</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3</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0.6</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4</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0.8</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5</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0.20</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0.04</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6</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0.12</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0.3</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0.012</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0.036</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0.024</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0.024</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7</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0.03</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0.8</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0.006</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8</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0.03</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0.8</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0.024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0.006</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9</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0.005</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10</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0.05</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w:t>
            </w: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11</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0.02</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0.2</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0.3</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0.3</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0.006</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0.006</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r>
      <w:tr>
        <w:tblPrEx>
          <w:tblCellMar>
            <w:top w:w="0" w:type="dxa"/>
            <w:left w:w="108" w:type="dxa"/>
            <w:bottom w:w="0" w:type="dxa"/>
            <w:right w:w="108" w:type="dxa"/>
          </w:tblCellMar>
        </w:tblPrEx>
        <w:trPr>
          <w:trHeight w:val="397" w:hRule="atLeast"/>
          <w:jc w:val="center"/>
        </w:trPr>
        <w:tc>
          <w:tcPr>
            <w:tcW w:w="25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12</w:t>
            </w:r>
          </w:p>
        </w:tc>
        <w:tc>
          <w:tcPr>
            <w:tcW w:w="42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0.07</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　</w:t>
            </w:r>
          </w:p>
        </w:tc>
        <w:tc>
          <w:tcPr>
            <w:tcW w:w="304" w:type="pct"/>
            <w:tcBorders>
              <w:top w:val="single" w:color="auto" w:sz="4" w:space="0"/>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0.5</w:t>
            </w:r>
          </w:p>
        </w:tc>
        <w:tc>
          <w:tcPr>
            <w:tcW w:w="30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04"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rFonts w:cs="宋体" w:asciiTheme="minorEastAsia" w:hAnsiTheme="minorEastAsia" w:eastAsiaTheme="minorEastAsia"/>
                <w:kern w:val="0"/>
                <w:sz w:val="18"/>
                <w:szCs w:val="18"/>
              </w:rPr>
            </w:pPr>
            <w:r>
              <w:rPr>
                <w:rFonts w:hint="eastAsia" w:ascii="宋体" w:hAnsi="宋体" w:cs="宋体"/>
                <w:b/>
                <w:color w:val="000000"/>
                <w:kern w:val="0"/>
                <w:sz w:val="18"/>
                <w:szCs w:val="18"/>
              </w:rPr>
              <w:t>0.1</w:t>
            </w:r>
          </w:p>
        </w:tc>
        <w:tc>
          <w:tcPr>
            <w:tcW w:w="326" w:type="pct"/>
            <w:tcBorders>
              <w:top w:val="nil"/>
              <w:left w:val="nil"/>
              <w:bottom w:val="single" w:color="auto" w:sz="4" w:space="0"/>
              <w:right w:val="single" w:color="auto" w:sz="4" w:space="0"/>
            </w:tcBorders>
            <w:shd w:val="clear" w:color="auto" w:fill="D7D7D7" w:themeFill="background1" w:themeFillShade="D8"/>
            <w:noWrap/>
            <w:vAlign w:val="center"/>
          </w:tcPr>
          <w:p>
            <w:pPr>
              <w:widowControl/>
              <w:jc w:val="center"/>
              <w:textAlignment w:val="center"/>
              <w:rPr>
                <w:sz w:val="18"/>
                <w:szCs w:val="18"/>
              </w:rPr>
            </w:pPr>
            <w:r>
              <w:rPr>
                <w:rFonts w:hint="eastAsia" w:ascii="宋体" w:hAnsi="宋体" w:cs="宋体"/>
                <w:b/>
                <w:color w:val="000000"/>
                <w:kern w:val="0"/>
                <w:sz w:val="18"/>
                <w:szCs w:val="18"/>
              </w:rPr>
              <w:t>0.2</w:t>
            </w:r>
          </w:p>
        </w:tc>
        <w:tc>
          <w:tcPr>
            <w:tcW w:w="3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p>
        </w:tc>
        <w:tc>
          <w:tcPr>
            <w:tcW w:w="306"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kern w:val="0"/>
                <w:sz w:val="18"/>
                <w:szCs w:val="18"/>
              </w:rPr>
            </w:pP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0.035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0.007</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0.007</w:t>
            </w:r>
          </w:p>
        </w:tc>
        <w:tc>
          <w:tcPr>
            <w:tcW w:w="308"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0.007</w:t>
            </w:r>
          </w:p>
        </w:tc>
        <w:tc>
          <w:tcPr>
            <w:tcW w:w="321"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b/>
                <w:color w:val="000000"/>
                <w:kern w:val="0"/>
                <w:sz w:val="18"/>
                <w:szCs w:val="18"/>
              </w:rPr>
              <w:t>0.014</w:t>
            </w:r>
          </w:p>
        </w:tc>
      </w:tr>
      <w:tr>
        <w:tblPrEx>
          <w:tblCellMar>
            <w:top w:w="0" w:type="dxa"/>
            <w:left w:w="108" w:type="dxa"/>
            <w:bottom w:w="0" w:type="dxa"/>
            <w:right w:w="108" w:type="dxa"/>
          </w:tblCellMar>
        </w:tblPrEx>
        <w:trPr>
          <w:trHeight w:val="457" w:hRule="atLeast"/>
          <w:jc w:val="center"/>
        </w:trPr>
        <w:tc>
          <w:tcPr>
            <w:tcW w:w="2839" w:type="pct"/>
            <w:gridSpan w:val="9"/>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各环节对课程目标达成的贡献率（</w:t>
            </w:r>
            <w:r>
              <w:rPr>
                <w:rFonts w:hint="eastAsia" w:cs="宋体" w:asciiTheme="minorEastAsia" w:hAnsiTheme="minorEastAsia" w:eastAsiaTheme="minorEastAsia"/>
                <w:i/>
                <w:kern w:val="0"/>
                <w:sz w:val="18"/>
                <w:szCs w:val="18"/>
              </w:rPr>
              <w:t>M</w:t>
            </w:r>
            <w:r>
              <w:rPr>
                <w:rFonts w:hint="eastAsia" w:cs="宋体" w:asciiTheme="minorEastAsia" w:hAnsiTheme="minorEastAsia" w:eastAsiaTheme="minorEastAsia"/>
                <w:i/>
                <w:kern w:val="0"/>
                <w:sz w:val="18"/>
                <w:szCs w:val="18"/>
                <w:vertAlign w:val="subscript"/>
              </w:rPr>
              <w:t>k</w:t>
            </w:r>
            <w:r>
              <w:rPr>
                <w:rFonts w:hint="eastAsia" w:cs="宋体" w:asciiTheme="minorEastAsia" w:hAnsiTheme="minorEastAsia" w:eastAsiaTheme="minorEastAsia"/>
                <w:kern w:val="0"/>
                <w:sz w:val="18"/>
                <w:szCs w:val="18"/>
              </w:rPr>
              <w:t>）</w:t>
            </w:r>
          </w:p>
        </w:tc>
        <w:tc>
          <w:tcPr>
            <w:tcW w:w="862"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0.04</w:t>
            </w:r>
          </w:p>
        </w:tc>
        <w:tc>
          <w:tcPr>
            <w:tcW w:w="86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0.12</w:t>
            </w:r>
          </w:p>
        </w:tc>
        <w:tc>
          <w:tcPr>
            <w:tcW w:w="86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0.40</w:t>
            </w:r>
          </w:p>
        </w:tc>
        <w:tc>
          <w:tcPr>
            <w:tcW w:w="86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0.12</w:t>
            </w:r>
          </w:p>
        </w:tc>
        <w:tc>
          <w:tcPr>
            <w:tcW w:w="867"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0.09</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0.10</w:t>
            </w:r>
          </w:p>
        </w:tc>
        <w:tc>
          <w:tcPr>
            <w:tcW w:w="919"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kern w:val="0"/>
                <w:sz w:val="18"/>
                <w:szCs w:val="18"/>
              </w:rPr>
            </w:pPr>
            <w:r>
              <w:rPr>
                <w:rFonts w:hint="eastAsia" w:ascii="宋体" w:hAnsi="宋体" w:cs="宋体"/>
                <w:b/>
                <w:color w:val="000000"/>
                <w:kern w:val="0"/>
                <w:sz w:val="18"/>
                <w:szCs w:val="18"/>
              </w:rPr>
              <w:t>0.13</w:t>
            </w:r>
          </w:p>
        </w:tc>
      </w:tr>
    </w:tbl>
    <w:p>
      <w:pPr>
        <w:spacing w:line="360" w:lineRule="auto"/>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各环节对课程目标达成评价考核权重分配</w:t>
      </w:r>
    </w:p>
    <w:tbl>
      <w:tblPr>
        <w:tblStyle w:val="22"/>
        <w:tblW w:w="5000" w:type="pct"/>
        <w:jc w:val="center"/>
        <w:tblLayout w:type="autofit"/>
        <w:tblCellMar>
          <w:top w:w="0" w:type="dxa"/>
          <w:left w:w="108" w:type="dxa"/>
          <w:bottom w:w="0" w:type="dxa"/>
          <w:right w:w="108" w:type="dxa"/>
        </w:tblCellMar>
      </w:tblPr>
      <w:tblGrid>
        <w:gridCol w:w="922"/>
        <w:gridCol w:w="2573"/>
        <w:gridCol w:w="1492"/>
        <w:gridCol w:w="1492"/>
        <w:gridCol w:w="1492"/>
        <w:gridCol w:w="1492"/>
        <w:gridCol w:w="1492"/>
        <w:gridCol w:w="1492"/>
        <w:gridCol w:w="1501"/>
      </w:tblGrid>
      <w:tr>
        <w:tblPrEx>
          <w:tblCellMar>
            <w:top w:w="0" w:type="dxa"/>
            <w:left w:w="108" w:type="dxa"/>
            <w:bottom w:w="0" w:type="dxa"/>
            <w:right w:w="108" w:type="dxa"/>
          </w:tblCellMar>
        </w:tblPrEx>
        <w:trPr>
          <w:trHeight w:val="855" w:hRule="atLeast"/>
          <w:jc w:val="center"/>
        </w:trPr>
        <w:tc>
          <w:tcPr>
            <w:tcW w:w="3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课程</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目标</w:t>
            </w:r>
          </w:p>
        </w:tc>
        <w:tc>
          <w:tcPr>
            <w:tcW w:w="9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知识面比例</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（本列总和为1）</w:t>
            </w:r>
          </w:p>
          <w:p>
            <w:pPr>
              <w:widowControl/>
              <w:jc w:val="center"/>
              <w:rPr>
                <w:rFonts w:cs="宋体" w:asciiTheme="minorEastAsia" w:hAnsiTheme="minorEastAsia" w:eastAsiaTheme="minorEastAsia"/>
                <w:b/>
                <w:bCs/>
                <w:i/>
                <w:color w:val="000000"/>
                <w:kern w:val="0"/>
                <w:sz w:val="18"/>
                <w:szCs w:val="18"/>
              </w:rPr>
            </w:pPr>
            <w:r>
              <w:rPr>
                <w:rFonts w:cs="宋体" w:asciiTheme="minorEastAsia" w:hAnsiTheme="minorEastAsia" w:eastAsiaTheme="minorEastAsia"/>
                <w:b/>
                <w:bCs/>
                <w:i/>
                <w:color w:val="000000"/>
                <w:kern w:val="0"/>
                <w:sz w:val="18"/>
                <w:szCs w:val="18"/>
              </w:rPr>
              <w:t>P</w:t>
            </w:r>
            <w:r>
              <w:rPr>
                <w:rFonts w:cs="宋体" w:asciiTheme="minorEastAsia" w:hAnsiTheme="minorEastAsia" w:eastAsiaTheme="minorEastAsia"/>
                <w:b/>
                <w:bCs/>
                <w:i/>
                <w:color w:val="000000"/>
                <w:kern w:val="0"/>
                <w:sz w:val="18"/>
                <w:szCs w:val="18"/>
                <w:vertAlign w:val="subscript"/>
              </w:rPr>
              <w:t>i</w:t>
            </w:r>
          </w:p>
        </w:tc>
        <w:tc>
          <w:tcPr>
            <w:tcW w:w="3748" w:type="pct"/>
            <w:gridSpan w:val="7"/>
            <w:tcBorders>
              <w:top w:val="single" w:color="auto" w:sz="4" w:space="0"/>
              <w:left w:val="nil"/>
              <w:bottom w:val="single" w:color="auto" w:sz="4" w:space="0"/>
              <w:right w:val="single" w:color="auto" w:sz="4" w:space="0"/>
            </w:tcBorders>
            <w:shd w:val="clear" w:color="auto" w:fill="auto"/>
            <w:vAlign w:val="center"/>
          </w:tcPr>
          <w:p>
            <w:pPr>
              <w:jc w:val="center"/>
              <w:rPr>
                <w:rFonts w:asciiTheme="minorEastAsia" w:hAnsiTheme="minorEastAsia" w:eastAsiaTheme="minorEastAsia"/>
                <w:b/>
                <w:color w:val="000000" w:themeColor="text1"/>
                <w:sz w:val="18"/>
                <w:szCs w:val="18"/>
                <w14:textFill>
                  <w14:solidFill>
                    <w14:schemeClr w14:val="tx1"/>
                  </w14:solidFill>
                </w14:textFill>
              </w:rPr>
            </w:pPr>
            <w:r>
              <w:rPr>
                <w:rFonts w:hint="eastAsia" w:asciiTheme="minorEastAsia" w:hAnsiTheme="minorEastAsia" w:eastAsiaTheme="minorEastAsia"/>
                <w:b/>
                <w:color w:val="000000" w:themeColor="text1"/>
                <w:sz w:val="18"/>
                <w:szCs w:val="18"/>
                <w14:textFill>
                  <w14:solidFill>
                    <w14:schemeClr w14:val="tx1"/>
                  </w14:solidFill>
                </w14:textFill>
              </w:rPr>
              <w:t>各环节课程目标考核权重分布</w:t>
            </w:r>
          </w:p>
          <w:p>
            <w:pPr>
              <w:jc w:val="center"/>
              <w:rPr>
                <w:rFonts w:asciiTheme="minorEastAsia" w:hAnsiTheme="minorEastAsia" w:eastAsiaTheme="minorEastAsia"/>
                <w:b/>
                <w:color w:val="000000" w:themeColor="text1"/>
                <w:sz w:val="18"/>
                <w:szCs w:val="18"/>
                <w14:textFill>
                  <w14:solidFill>
                    <w14:schemeClr w14:val="tx1"/>
                  </w14:solidFill>
                </w14:textFill>
              </w:rPr>
            </w:pPr>
            <w:r>
              <w:rPr>
                <w:rFonts w:asciiTheme="minorEastAsia" w:hAnsiTheme="minorEastAsia" w:eastAsiaTheme="minorEastAsia"/>
                <w:b/>
                <w:color w:val="000000" w:themeColor="text1"/>
                <w:sz w:val="18"/>
                <w:szCs w:val="18"/>
                <w14:textFill>
                  <w14:solidFill>
                    <w14:schemeClr w14:val="tx1"/>
                  </w14:solidFill>
                </w14:textFill>
              </w:rPr>
              <w:t>（每一列总和为</w:t>
            </w:r>
            <w:r>
              <w:rPr>
                <w:rFonts w:hint="eastAsia" w:asciiTheme="minorEastAsia" w:hAnsiTheme="minorEastAsia" w:eastAsiaTheme="minorEastAsia"/>
                <w:b/>
                <w:color w:val="000000" w:themeColor="text1"/>
                <w:sz w:val="18"/>
                <w:szCs w:val="18"/>
                <w14:textFill>
                  <w14:solidFill>
                    <w14:schemeClr w14:val="tx1"/>
                  </w14:solidFill>
                </w14:textFill>
              </w:rPr>
              <w:t>1</w:t>
            </w:r>
            <w:r>
              <w:rPr>
                <w:rFonts w:asciiTheme="minorEastAsia" w:hAnsiTheme="minorEastAsia" w:eastAsiaTheme="minorEastAsia"/>
                <w:b/>
                <w:color w:val="000000" w:themeColor="text1"/>
                <w:sz w:val="18"/>
                <w:szCs w:val="18"/>
                <w14:textFill>
                  <w14:solidFill>
                    <w14:schemeClr w14:val="tx1"/>
                  </w14:solidFill>
                </w14:textFill>
              </w:rPr>
              <w:t>）</w:t>
            </w:r>
          </w:p>
          <w:p>
            <w:pPr>
              <w:jc w:val="center"/>
              <w:rPr>
                <w:rFonts w:asciiTheme="minorEastAsia" w:hAnsiTheme="minorEastAsia" w:eastAsiaTheme="minorEastAsia"/>
                <w:b/>
                <w:i/>
                <w:color w:val="000000" w:themeColor="text1"/>
                <w:sz w:val="18"/>
                <w:szCs w:val="18"/>
                <w14:textFill>
                  <w14:solidFill>
                    <w14:schemeClr w14:val="tx1"/>
                  </w14:solidFill>
                </w14:textFill>
              </w:rPr>
            </w:pPr>
            <w:r>
              <w:rPr>
                <w:rFonts w:hint="eastAsia" w:asciiTheme="minorEastAsia" w:hAnsiTheme="minorEastAsia" w:eastAsiaTheme="minorEastAsia"/>
                <w:b/>
                <w:i/>
                <w:color w:val="000000" w:themeColor="text1"/>
                <w:sz w:val="18"/>
                <w:szCs w:val="18"/>
                <w14:textFill>
                  <w14:solidFill>
                    <w14:schemeClr w14:val="tx1"/>
                  </w14:solidFill>
                </w14:textFill>
              </w:rPr>
              <w:t>E</w:t>
            </w:r>
            <w:r>
              <w:rPr>
                <w:rFonts w:hint="eastAsia" w:asciiTheme="minorEastAsia" w:hAnsiTheme="minorEastAsia" w:eastAsiaTheme="minorEastAsia"/>
                <w:b/>
                <w:i/>
                <w:color w:val="000000" w:themeColor="text1"/>
                <w:sz w:val="18"/>
                <w:szCs w:val="18"/>
                <w:vertAlign w:val="subscript"/>
                <w14:textFill>
                  <w14:solidFill>
                    <w14:schemeClr w14:val="tx1"/>
                  </w14:solidFill>
                </w14:textFill>
              </w:rPr>
              <w:t>ik</w:t>
            </w:r>
            <w:r>
              <w:rPr>
                <w:rFonts w:hint="eastAsia" w:asciiTheme="minorEastAsia" w:hAnsiTheme="minorEastAsia" w:eastAsiaTheme="minorEastAsia"/>
                <w:b/>
                <w:i/>
                <w:color w:val="000000" w:themeColor="text1"/>
                <w:sz w:val="18"/>
                <w:szCs w:val="18"/>
                <w14:textFill>
                  <w14:solidFill>
                    <w14:schemeClr w14:val="tx1"/>
                  </w14:solidFill>
                </w14:textFill>
              </w:rPr>
              <w:t>=</w:t>
            </w:r>
            <w:r>
              <w:rPr>
                <w:rFonts w:asciiTheme="minorEastAsia" w:hAnsiTheme="minorEastAsia" w:eastAsiaTheme="minorEastAsia"/>
                <w:b/>
                <w:i/>
                <w:color w:val="000000" w:themeColor="text1"/>
                <w:sz w:val="18"/>
                <w:szCs w:val="18"/>
                <w14:textFill>
                  <w14:solidFill>
                    <w14:schemeClr w14:val="tx1"/>
                  </w14:solidFill>
                </w14:textFill>
              </w:rPr>
              <w:t>S</w:t>
            </w:r>
            <w:r>
              <w:rPr>
                <w:rFonts w:asciiTheme="minorEastAsia" w:hAnsiTheme="minorEastAsia" w:eastAsiaTheme="minorEastAsia"/>
                <w:b/>
                <w:i/>
                <w:color w:val="000000" w:themeColor="text1"/>
                <w:sz w:val="18"/>
                <w:szCs w:val="18"/>
                <w:vertAlign w:val="subscript"/>
                <w14:textFill>
                  <w14:solidFill>
                    <w14:schemeClr w14:val="tx1"/>
                  </w14:solidFill>
                </w14:textFill>
              </w:rPr>
              <w:t>ik</w:t>
            </w:r>
            <w:r>
              <w:rPr>
                <w:rFonts w:asciiTheme="minorEastAsia" w:hAnsiTheme="minorEastAsia" w:eastAsiaTheme="minorEastAsia"/>
                <w:b/>
                <w:i/>
                <w:color w:val="000000" w:themeColor="text1"/>
                <w:sz w:val="18"/>
                <w:szCs w:val="18"/>
                <w14:textFill>
                  <w14:solidFill>
                    <w14:schemeClr w14:val="tx1"/>
                  </w14:solidFill>
                </w14:textFill>
              </w:rPr>
              <w:t>/M</w:t>
            </w:r>
            <w:r>
              <w:rPr>
                <w:rFonts w:asciiTheme="minorEastAsia" w:hAnsiTheme="minorEastAsia" w:eastAsiaTheme="minorEastAsia"/>
                <w:b/>
                <w:i/>
                <w:color w:val="000000" w:themeColor="text1"/>
                <w:sz w:val="18"/>
                <w:szCs w:val="18"/>
                <w:vertAlign w:val="subscript"/>
                <w14:textFill>
                  <w14:solidFill>
                    <w14:schemeClr w14:val="tx1"/>
                  </w14:solidFill>
                </w14:textFill>
              </w:rPr>
              <w:t>ik</w:t>
            </w:r>
          </w:p>
        </w:tc>
      </w:tr>
      <w:tr>
        <w:tblPrEx>
          <w:tblCellMar>
            <w:top w:w="0" w:type="dxa"/>
            <w:left w:w="108" w:type="dxa"/>
            <w:bottom w:w="0" w:type="dxa"/>
            <w:right w:w="108" w:type="dxa"/>
          </w:tblCellMar>
        </w:tblPrEx>
        <w:trPr>
          <w:trHeight w:val="636" w:hRule="atLeast"/>
          <w:jc w:val="center"/>
        </w:trPr>
        <w:tc>
          <w:tcPr>
            <w:tcW w:w="33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92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18"/>
                <w:szCs w:val="18"/>
              </w:rPr>
            </w:pPr>
          </w:p>
        </w:tc>
        <w:tc>
          <w:tcPr>
            <w:tcW w:w="5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 xml:space="preserve">出 </w:t>
            </w:r>
            <w:r>
              <w:rPr>
                <w:rFonts w:cs="宋体" w:asciiTheme="minorEastAsia" w:hAnsiTheme="minorEastAsia" w:eastAsiaTheme="minorEastAsia"/>
                <w:b/>
                <w:bCs/>
                <w:color w:val="000000"/>
                <w:kern w:val="0"/>
                <w:sz w:val="18"/>
                <w:szCs w:val="18"/>
              </w:rPr>
              <w:t xml:space="preserve">   </w:t>
            </w:r>
            <w:r>
              <w:rPr>
                <w:rFonts w:hint="eastAsia" w:cs="宋体" w:asciiTheme="minorEastAsia" w:hAnsiTheme="minorEastAsia" w:eastAsiaTheme="minorEastAsia"/>
                <w:b/>
                <w:bCs/>
                <w:color w:val="000000"/>
                <w:kern w:val="0"/>
                <w:sz w:val="18"/>
                <w:szCs w:val="18"/>
              </w:rPr>
              <w:t>勤</w:t>
            </w:r>
          </w:p>
        </w:tc>
        <w:tc>
          <w:tcPr>
            <w:tcW w:w="5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专题实验</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设计方案</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答辩</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中期检查</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实物系统</w:t>
            </w:r>
          </w:p>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验收</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设计</w:t>
            </w:r>
            <w:r>
              <w:rPr>
                <w:rFonts w:cs="宋体" w:asciiTheme="minorEastAsia" w:hAnsiTheme="minorEastAsia" w:eastAsiaTheme="minorEastAsia"/>
                <w:b/>
                <w:bCs/>
                <w:color w:val="000000"/>
                <w:kern w:val="0"/>
                <w:sz w:val="18"/>
                <w:szCs w:val="18"/>
              </w:rPr>
              <w:t>总结</w:t>
            </w:r>
          </w:p>
          <w:p>
            <w:pPr>
              <w:widowControl/>
              <w:jc w:val="center"/>
              <w:rPr>
                <w:rFonts w:cs="宋体" w:asciiTheme="minorEastAsia" w:hAnsiTheme="minorEastAsia" w:eastAsiaTheme="minorEastAsia"/>
                <w:b/>
                <w:bCs/>
                <w:color w:val="000000"/>
                <w:kern w:val="0"/>
                <w:sz w:val="18"/>
                <w:szCs w:val="18"/>
              </w:rPr>
            </w:pPr>
            <w:r>
              <w:rPr>
                <w:rFonts w:cs="宋体" w:asciiTheme="minorEastAsia" w:hAnsiTheme="minorEastAsia" w:eastAsiaTheme="minorEastAsia"/>
                <w:b/>
                <w:bCs/>
                <w:color w:val="000000"/>
                <w:kern w:val="0"/>
                <w:sz w:val="18"/>
                <w:szCs w:val="18"/>
              </w:rPr>
              <w:t>报告验收</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18"/>
                <w:szCs w:val="18"/>
              </w:rPr>
            </w:pPr>
            <w:r>
              <w:rPr>
                <w:rFonts w:hint="eastAsia" w:cs="宋体" w:asciiTheme="minorEastAsia" w:hAnsiTheme="minorEastAsia" w:eastAsiaTheme="minorEastAsia"/>
                <w:b/>
                <w:bCs/>
                <w:color w:val="000000"/>
                <w:kern w:val="0"/>
                <w:sz w:val="18"/>
                <w:szCs w:val="18"/>
              </w:rPr>
              <w:t>设计答辩</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0.30</w:t>
            </w:r>
          </w:p>
        </w:tc>
        <w:tc>
          <w:tcPr>
            <w:tcW w:w="53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0.75</w:t>
            </w:r>
          </w:p>
        </w:tc>
        <w:tc>
          <w:tcPr>
            <w:tcW w:w="53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0.51</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0.24</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0.17</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0.16</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0.22</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2</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0.03</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0.05</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3</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0.05</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0.07</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0.05</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4</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0.05</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0.05</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5</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0.20</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0.34</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0.32</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0.45</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0.21</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0.15</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6</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0.12</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0.09</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0.19</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0.25</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0.18</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7</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0.03</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8</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0.03</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9</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0.05</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0.25</w:t>
            </w: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0.03</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0.04</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0.07</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10</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0.05</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0.03</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0.08</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0.11</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0.07</w:t>
            </w: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11</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0.02</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0.01</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0.03</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0.07</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r>
      <w:tr>
        <w:tblPrEx>
          <w:tblCellMar>
            <w:top w:w="0" w:type="dxa"/>
            <w:left w:w="108" w:type="dxa"/>
            <w:bottom w:w="0" w:type="dxa"/>
            <w:right w:w="108" w:type="dxa"/>
          </w:tblCellMar>
        </w:tblPrEx>
        <w:trPr>
          <w:trHeight w:val="397" w:hRule="atLeast"/>
          <w:jc w:val="center"/>
        </w:trPr>
        <w:tc>
          <w:tcPr>
            <w:tcW w:w="33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b/>
                <w:bCs/>
                <w:color w:val="000000"/>
                <w:kern w:val="0"/>
                <w:sz w:val="18"/>
                <w:szCs w:val="18"/>
              </w:rPr>
            </w:pPr>
            <w:r>
              <w:rPr>
                <w:rFonts w:hint="eastAsia" w:asciiTheme="minorEastAsia" w:hAnsiTheme="minorEastAsia" w:eastAsiaTheme="minorEastAsia"/>
                <w:b/>
                <w:bCs/>
                <w:color w:val="000000"/>
                <w:kern w:val="0"/>
                <w:sz w:val="18"/>
                <w:szCs w:val="18"/>
              </w:rPr>
              <w:t>12</w:t>
            </w:r>
          </w:p>
        </w:tc>
        <w:tc>
          <w:tcPr>
            <w:tcW w:w="922" w:type="pct"/>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kern w:val="0"/>
                <w:sz w:val="18"/>
                <w:szCs w:val="18"/>
              </w:rPr>
            </w:pPr>
            <w:r>
              <w:rPr>
                <w:rFonts w:hint="eastAsia" w:cs="宋体" w:asciiTheme="minorEastAsia" w:hAnsiTheme="minorEastAsia" w:eastAsiaTheme="minorEastAsia"/>
                <w:b/>
                <w:color w:val="000000"/>
                <w:kern w:val="0"/>
                <w:sz w:val="18"/>
                <w:szCs w:val="18"/>
              </w:rPr>
              <w:t>0.07</w:t>
            </w:r>
          </w:p>
        </w:tc>
        <w:tc>
          <w:tcPr>
            <w:tcW w:w="53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 w:val="18"/>
                <w:szCs w:val="18"/>
              </w:rPr>
            </w:pP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0.09</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0.06</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0.08</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0.07</w:t>
            </w:r>
          </w:p>
        </w:tc>
        <w:tc>
          <w:tcPr>
            <w:tcW w:w="53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color w:val="000000"/>
                <w:kern w:val="0"/>
                <w:sz w:val="18"/>
                <w:szCs w:val="18"/>
              </w:rPr>
            </w:pPr>
            <w:r>
              <w:rPr>
                <w:rFonts w:hint="eastAsia" w:cs="宋体" w:asciiTheme="minorEastAsia" w:hAnsiTheme="minorEastAsia" w:eastAsiaTheme="minorEastAsia"/>
                <w:color w:val="000000"/>
                <w:kern w:val="0"/>
                <w:sz w:val="18"/>
                <w:szCs w:val="18"/>
              </w:rPr>
              <w:t>0.10</w:t>
            </w:r>
          </w:p>
        </w:tc>
      </w:tr>
      <w:tr>
        <w:tblPrEx>
          <w:tblCellMar>
            <w:top w:w="0" w:type="dxa"/>
            <w:left w:w="108" w:type="dxa"/>
            <w:bottom w:w="0" w:type="dxa"/>
            <w:right w:w="108" w:type="dxa"/>
          </w:tblCellMar>
        </w:tblPrEx>
        <w:trPr>
          <w:trHeight w:val="457" w:hRule="atLeast"/>
          <w:jc w:val="center"/>
        </w:trPr>
        <w:tc>
          <w:tcPr>
            <w:tcW w:w="125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各环节考核权重小计</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c>
          <w:tcPr>
            <w:tcW w:w="535" w:type="pct"/>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cs="宋体" w:asciiTheme="minorEastAsia" w:hAnsiTheme="minorEastAsia" w:eastAsiaTheme="minorEastAsia"/>
                <w:b/>
                <w:color w:val="000000"/>
                <w:kern w:val="0"/>
                <w:sz w:val="18"/>
                <w:szCs w:val="18"/>
              </w:rPr>
            </w:pPr>
            <w:r>
              <w:rPr>
                <w:rFonts w:hint="eastAsia" w:cs="宋体" w:asciiTheme="minorEastAsia" w:hAnsiTheme="minorEastAsia" w:eastAsiaTheme="minorEastAsia"/>
                <w:b/>
                <w:color w:val="000000"/>
                <w:kern w:val="0"/>
                <w:sz w:val="18"/>
                <w:szCs w:val="18"/>
              </w:rPr>
              <w:t>1.00</w:t>
            </w:r>
          </w:p>
        </w:tc>
      </w:tr>
      <w:tr>
        <w:tblPrEx>
          <w:tblCellMar>
            <w:top w:w="0" w:type="dxa"/>
            <w:left w:w="108" w:type="dxa"/>
            <w:bottom w:w="0" w:type="dxa"/>
            <w:right w:w="108" w:type="dxa"/>
          </w:tblCellMar>
        </w:tblPrEx>
        <w:trPr>
          <w:trHeight w:val="457" w:hRule="atLeast"/>
          <w:jc w:val="center"/>
        </w:trPr>
        <w:tc>
          <w:tcPr>
            <w:tcW w:w="1252"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w:t>
            </w:r>
          </w:p>
        </w:tc>
        <w:tc>
          <w:tcPr>
            <w:tcW w:w="3748" w:type="pct"/>
            <w:gridSpan w:val="7"/>
            <w:tcBorders>
              <w:top w:val="single" w:color="auto" w:sz="4" w:space="0"/>
              <w:left w:val="nil"/>
              <w:bottom w:val="single" w:color="auto" w:sz="4" w:space="0"/>
              <w:right w:val="single" w:color="auto" w:sz="4" w:space="0"/>
            </w:tcBorders>
            <w:shd w:val="clear" w:color="auto" w:fill="auto"/>
            <w:noWrap/>
            <w:vAlign w:val="center"/>
          </w:tcPr>
          <w:p>
            <w:pPr>
              <w:jc w:val="center"/>
              <w:rPr>
                <w:rFonts w:cs="宋体" w:asciiTheme="minorEastAsia" w:hAnsiTheme="minorEastAsia" w:eastAsiaTheme="minorEastAsia"/>
                <w:b/>
                <w:color w:val="000000"/>
                <w:kern w:val="0"/>
                <w:sz w:val="18"/>
                <w:szCs w:val="18"/>
              </w:rPr>
            </w:pPr>
            <w:r>
              <w:rPr>
                <w:rFonts w:asciiTheme="minorEastAsia" w:hAnsiTheme="minorEastAsia" w:eastAsiaTheme="minorEastAsia"/>
                <w:bCs/>
                <w:color w:val="000000" w:themeColor="text1"/>
                <w:sz w:val="18"/>
                <w:szCs w:val="18"/>
                <w14:textFill>
                  <w14:solidFill>
                    <w14:schemeClr w14:val="tx1"/>
                  </w14:solidFill>
                </w14:textFill>
              </w:rPr>
              <w:t>教师出题或布置作业时要尽量做到按照以上比例布局</w:t>
            </w:r>
          </w:p>
        </w:tc>
      </w:tr>
    </w:tbl>
    <w:p>
      <w:pPr>
        <w:spacing w:line="360" w:lineRule="auto"/>
        <w:jc w:val="left"/>
      </w:pPr>
    </w:p>
    <w:p>
      <w:pPr>
        <w:spacing w:line="360" w:lineRule="auto"/>
        <w:rPr>
          <w:color w:val="000000"/>
          <w:szCs w:val="21"/>
        </w:rPr>
        <w:sectPr>
          <w:pgSz w:w="16838" w:h="11906" w:orient="landscape"/>
          <w:pgMar w:top="1800" w:right="1440" w:bottom="1800" w:left="1440" w:header="851" w:footer="992" w:gutter="0"/>
          <w:cols w:space="720" w:num="1"/>
          <w:docGrid w:type="lines" w:linePitch="312" w:charSpace="0"/>
        </w:sect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46"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46" DrawAspect="Content" ObjectID="_1468075946" r:id="rId419">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47"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47" DrawAspect="Content" ObjectID="_1468075947" r:id="rId420">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48"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48" DrawAspect="Content" ObjectID="_1468075948" r:id="rId421">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49"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49" DrawAspect="Content" ObjectID="_1468075949" r:id="rId422">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50"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50" DrawAspect="Content" ObjectID="_1468075950" r:id="rId423">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51"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51" DrawAspect="Content" ObjectID="_1468075951" r:id="rId424">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rFonts w:eastAsia="黑体"/>
          <w:szCs w:val="24"/>
        </w:rPr>
      </w:pPr>
      <w:r>
        <w:rPr>
          <w:rFonts w:hint="eastAsia"/>
          <w:position w:val="-10"/>
          <w:szCs w:val="22"/>
        </w:rPr>
        <w:t>课程目标达成度大于等于0.71为一级达成，大于等于0.65为二级达成。</w:t>
      </w:r>
    </w:p>
    <w:p>
      <w:pPr>
        <w:tabs>
          <w:tab w:val="left" w:pos="420"/>
        </w:tabs>
        <w:adjustRightInd w:val="0"/>
        <w:snapToGrid w:val="0"/>
        <w:spacing w:line="360" w:lineRule="auto"/>
        <w:ind w:left="420" w:hanging="420"/>
        <w:rPr>
          <w:rFonts w:eastAsia="黑体"/>
          <w:szCs w:val="24"/>
        </w:rPr>
      </w:pPr>
      <w:r>
        <w:rPr>
          <w:rFonts w:hint="eastAsia" w:eastAsia="黑体"/>
          <w:szCs w:val="24"/>
        </w:rPr>
        <w:t>十一、各环节评价标准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本课程允许教师在各评价环节根据具体情况采取多样化、个性化的考核手段，其评价标准应当在课堂教学过程中明确并向学生公布，教学过程中的考核评价应当严格按照标准完成。</w:t>
      </w:r>
    </w:p>
    <w:p>
      <w:pPr>
        <w:tabs>
          <w:tab w:val="left" w:pos="420"/>
        </w:tabs>
        <w:adjustRightInd w:val="0"/>
        <w:snapToGrid w:val="0"/>
        <w:spacing w:line="360" w:lineRule="auto"/>
        <w:ind w:left="420" w:hanging="420"/>
        <w:rPr>
          <w:rFonts w:eastAsia="黑体"/>
          <w:szCs w:val="24"/>
        </w:rPr>
      </w:pPr>
      <w:r>
        <w:rPr>
          <w:rFonts w:hint="eastAsia" w:eastAsia="黑体"/>
          <w:szCs w:val="24"/>
        </w:rPr>
        <w:t>十二、课程目标达成评价结果用于持续改进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rPr>
          <w:color w:val="0000FF"/>
        </w:rPr>
      </w:pPr>
    </w:p>
    <w:p>
      <w:pPr>
        <w:widowControl/>
        <w:jc w:val="left"/>
        <w:rPr>
          <w:rFonts w:eastAsia="黑体"/>
          <w:szCs w:val="24"/>
        </w:rPr>
      </w:pPr>
      <w:r>
        <w:rPr>
          <w:rFonts w:eastAsia="黑体"/>
          <w:szCs w:val="24"/>
        </w:rPr>
        <w:br w:type="page"/>
      </w:r>
    </w:p>
    <w:p>
      <w:pPr>
        <w:pStyle w:val="20"/>
        <w:spacing w:before="240" w:after="240" w:afterLines="100"/>
      </w:pPr>
      <w:bookmarkStart w:id="266" w:name="_Toc30885"/>
      <w:r>
        <w:rPr>
          <w:rFonts w:hint="eastAsia"/>
        </w:rPr>
        <w:t>《</w:t>
      </w:r>
      <w:r>
        <w:t>Y09060201-</w:t>
      </w:r>
      <w:r>
        <w:rPr>
          <w:rFonts w:hint="eastAsia"/>
        </w:rPr>
        <w:t>毕业实习》教学大纲</w:t>
      </w:r>
      <w:bookmarkEnd w:id="266"/>
    </w:p>
    <w:p>
      <w:pPr>
        <w:adjustRightInd w:val="0"/>
        <w:snapToGrid w:val="0"/>
        <w:spacing w:line="360" w:lineRule="auto"/>
        <w:rPr>
          <w:rFonts w:ascii="黑体" w:eastAsia="黑体"/>
          <w:szCs w:val="21"/>
        </w:rPr>
      </w:pPr>
      <w:r>
        <w:rPr>
          <w:rFonts w:hint="eastAsia" w:ascii="黑体" w:eastAsia="黑体"/>
          <w:szCs w:val="21"/>
        </w:rPr>
        <w:t>课程编号：</w:t>
      </w:r>
      <w:r>
        <w:rPr>
          <w:rFonts w:hint="eastAsia" w:ascii="宋体" w:hAnsi="宋体"/>
          <w:szCs w:val="21"/>
        </w:rPr>
        <w:t>Y</w:t>
      </w:r>
      <w:r>
        <w:rPr>
          <w:rFonts w:ascii="宋体" w:hAnsi="宋体"/>
          <w:szCs w:val="21"/>
        </w:rPr>
        <w:t>09060201</w:t>
      </w:r>
    </w:p>
    <w:p>
      <w:pPr>
        <w:adjustRightInd w:val="0"/>
        <w:snapToGrid w:val="0"/>
        <w:spacing w:line="360" w:lineRule="auto"/>
        <w:rPr>
          <w:rFonts w:ascii="宋体" w:hAnsi="宋体"/>
          <w:szCs w:val="21"/>
        </w:rPr>
      </w:pPr>
      <w:r>
        <w:rPr>
          <w:rFonts w:hint="eastAsia" w:ascii="黑体" w:eastAsia="黑体"/>
          <w:szCs w:val="21"/>
        </w:rPr>
        <w:t>课程名称：</w:t>
      </w:r>
      <w:r>
        <w:rPr>
          <w:rFonts w:hint="eastAsia" w:ascii="宋体" w:hAnsi="宋体"/>
          <w:szCs w:val="21"/>
        </w:rPr>
        <w:t>毕业实习</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黑体" w:eastAsia="黑体"/>
          <w:szCs w:val="21"/>
        </w:rPr>
        <w:t>开课单位：</w:t>
      </w:r>
      <w:r>
        <w:rPr>
          <w:rFonts w:hint="eastAsia" w:ascii="宋体" w:hAnsi="宋体"/>
          <w:szCs w:val="21"/>
        </w:rPr>
        <w:t>仪器与电子学院、实习单位</w:t>
      </w:r>
    </w:p>
    <w:p>
      <w:pPr>
        <w:adjustRightInd w:val="0"/>
        <w:snapToGrid w:val="0"/>
        <w:spacing w:line="360" w:lineRule="auto"/>
        <w:rPr>
          <w:rFonts w:ascii="黑体" w:eastAsia="黑体"/>
          <w:szCs w:val="21"/>
        </w:rPr>
      </w:pPr>
      <w:r>
        <w:rPr>
          <w:rFonts w:hint="eastAsia" w:ascii="黑体" w:eastAsia="黑体"/>
          <w:szCs w:val="21"/>
        </w:rPr>
        <w:t>课程类别：</w:t>
      </w:r>
      <w:r>
        <w:rPr>
          <w:rFonts w:hint="eastAsia" w:ascii="宋体" w:hAnsi="宋体"/>
          <w:szCs w:val="21"/>
        </w:rPr>
        <w:t xml:space="preserve">实践教学环节    </w:t>
      </w:r>
      <w:r>
        <w:rPr>
          <w:rFonts w:hint="eastAsia" w:ascii="黑体" w:eastAsia="黑体"/>
          <w:szCs w:val="21"/>
        </w:rPr>
        <w:t xml:space="preserve"> </w:t>
      </w:r>
      <w:r>
        <w:rPr>
          <w:rFonts w:hint="eastAsia"/>
          <w:szCs w:val="21"/>
        </w:rPr>
        <w:tab/>
      </w:r>
      <w:r>
        <w:rPr>
          <w:rFonts w:hint="eastAsia"/>
          <w:szCs w:val="21"/>
        </w:rPr>
        <w:tab/>
      </w:r>
      <w:r>
        <w:rPr>
          <w:rFonts w:hint="eastAsia"/>
          <w:szCs w:val="21"/>
        </w:rPr>
        <w:tab/>
      </w:r>
      <w:r>
        <w:rPr>
          <w:szCs w:val="21"/>
        </w:rPr>
        <w:tab/>
      </w:r>
      <w:r>
        <w:rPr>
          <w:rFonts w:hint="eastAsia" w:ascii="黑体" w:eastAsia="黑体"/>
          <w:szCs w:val="21"/>
        </w:rPr>
        <w:t>课程性质：</w:t>
      </w:r>
      <w:r>
        <w:rPr>
          <w:rFonts w:hint="eastAsia"/>
          <w:szCs w:val="21"/>
        </w:rPr>
        <w:t>必修</w:t>
      </w:r>
    </w:p>
    <w:p>
      <w:pPr>
        <w:adjustRightInd w:val="0"/>
        <w:snapToGrid w:val="0"/>
        <w:spacing w:line="360" w:lineRule="auto"/>
        <w:rPr>
          <w:rFonts w:ascii="黑体" w:eastAsia="黑体"/>
          <w:szCs w:val="21"/>
        </w:rPr>
      </w:pPr>
      <w:r>
        <w:rPr>
          <w:rFonts w:hint="eastAsia" w:ascii="黑体" w:eastAsia="黑体"/>
          <w:szCs w:val="21"/>
        </w:rPr>
        <w:t>总 学 时：</w:t>
      </w:r>
      <w:r>
        <w:rPr>
          <w:rFonts w:hint="eastAsia" w:ascii="宋体" w:hAnsi="宋体"/>
          <w:szCs w:val="21"/>
        </w:rPr>
        <w:t>2周</w:t>
      </w:r>
      <w:r>
        <w:rPr>
          <w:rFonts w:hint="eastAsia" w:ascii="黑体" w:eastAsia="黑体"/>
          <w:szCs w:val="21"/>
        </w:rPr>
        <w:tab/>
      </w:r>
      <w:r>
        <w:rPr>
          <w:rFonts w:hint="eastAsia" w:ascii="黑体" w:eastAsia="黑体"/>
          <w:szCs w:val="21"/>
        </w:rPr>
        <w:tab/>
      </w:r>
      <w:r>
        <w:rPr>
          <w:rFonts w:hint="eastAsia" w:ascii="黑体" w:eastAsia="黑体"/>
          <w:szCs w:val="21"/>
        </w:rPr>
        <w:tab/>
      </w:r>
      <w:r>
        <w:rPr>
          <w:rFonts w:hint="eastAsia" w:ascii="黑体" w:eastAsia="黑体"/>
          <w:szCs w:val="21"/>
        </w:rPr>
        <w:tab/>
      </w:r>
      <w:r>
        <w:rPr>
          <w:rFonts w:hint="eastAsia" w:ascii="黑体" w:eastAsia="黑体"/>
          <w:szCs w:val="21"/>
        </w:rPr>
        <w:tab/>
      </w:r>
      <w:r>
        <w:rPr>
          <w:rFonts w:hint="eastAsia" w:ascii="黑体" w:eastAsia="黑体"/>
          <w:szCs w:val="21"/>
        </w:rPr>
        <w:tab/>
      </w:r>
      <w:r>
        <w:rPr>
          <w:rFonts w:ascii="黑体" w:eastAsia="黑体"/>
          <w:szCs w:val="21"/>
        </w:rPr>
        <w:tab/>
      </w:r>
      <w:r>
        <w:rPr>
          <w:rFonts w:hint="eastAsia" w:ascii="黑体" w:eastAsia="黑体"/>
          <w:szCs w:val="21"/>
        </w:rPr>
        <w:t>学    分：</w:t>
      </w:r>
      <w:r>
        <w:rPr>
          <w:rFonts w:hint="eastAsia" w:ascii="宋体" w:hAnsi="宋体"/>
          <w:szCs w:val="21"/>
        </w:rPr>
        <w:t>1</w:t>
      </w:r>
    </w:p>
    <w:p>
      <w:pPr>
        <w:adjustRightInd w:val="0"/>
        <w:snapToGrid w:val="0"/>
        <w:spacing w:line="360" w:lineRule="auto"/>
        <w:rPr>
          <w:rFonts w:ascii="宋体" w:hAnsi="宋体"/>
          <w:szCs w:val="21"/>
        </w:rPr>
      </w:pPr>
      <w:r>
        <w:rPr>
          <w:rFonts w:hint="eastAsia" w:ascii="黑体" w:eastAsia="黑体"/>
          <w:szCs w:val="21"/>
        </w:rPr>
        <w:t>适用专业：</w:t>
      </w:r>
      <w:r>
        <w:rPr>
          <w:rFonts w:hint="eastAsia" w:ascii="宋体" w:hAnsi="宋体"/>
          <w:szCs w:val="21"/>
        </w:rPr>
        <w:t>电子科学与技术</w:t>
      </w:r>
    </w:p>
    <w:p>
      <w:pPr>
        <w:adjustRightInd w:val="0"/>
        <w:snapToGrid w:val="0"/>
        <w:spacing w:line="360" w:lineRule="auto"/>
        <w:rPr>
          <w:rFonts w:ascii="黑体" w:eastAsia="黑体"/>
          <w:szCs w:val="21"/>
        </w:rPr>
      </w:pPr>
      <w:r>
        <w:rPr>
          <w:rFonts w:ascii="黑体" w:eastAsia="黑体"/>
          <w:szCs w:val="21"/>
        </w:rPr>
        <w:t>大纲撰写人：</w:t>
      </w:r>
      <w:r>
        <w:rPr>
          <w:rFonts w:ascii="宋体" w:hAnsi="宋体"/>
          <w:szCs w:val="21"/>
        </w:rPr>
        <w:t>甄国涌</w:t>
      </w:r>
    </w:p>
    <w:p>
      <w:pPr>
        <w:adjustRightInd w:val="0"/>
        <w:snapToGrid w:val="0"/>
        <w:spacing w:line="360" w:lineRule="auto"/>
        <w:rPr>
          <w:rFonts w:ascii="宋体" w:hAnsi="宋体"/>
          <w:szCs w:val="21"/>
        </w:rPr>
      </w:pPr>
      <w:r>
        <w:rPr>
          <w:rFonts w:hint="eastAsia" w:ascii="黑体" w:hAnsi="黑体" w:eastAsia="黑体"/>
          <w:szCs w:val="21"/>
        </w:rPr>
        <w:t>大纲编写（修订）时间：</w:t>
      </w:r>
      <w:r>
        <w:rPr>
          <w:rFonts w:hint="eastAsia"/>
        </w:rPr>
        <w:t>201</w:t>
      </w:r>
      <w:r>
        <w:t>9</w:t>
      </w:r>
      <w:r>
        <w:rPr>
          <w:rFonts w:hint="eastAsia"/>
        </w:rPr>
        <w:t>年</w:t>
      </w:r>
      <w:r>
        <w:t>5</w:t>
      </w:r>
      <w:r>
        <w:rPr>
          <w:rFonts w:hint="eastAsia"/>
        </w:rPr>
        <w:t>月</w:t>
      </w:r>
    </w:p>
    <w:p>
      <w:pPr>
        <w:rPr>
          <w:b/>
          <w:szCs w:val="21"/>
        </w:rPr>
      </w:pPr>
    </w:p>
    <w:p>
      <w:pPr>
        <w:numPr>
          <w:ilvl w:val="0"/>
          <w:numId w:val="14"/>
        </w:numPr>
        <w:adjustRightInd w:val="0"/>
        <w:snapToGrid w:val="0"/>
        <w:spacing w:line="360" w:lineRule="auto"/>
        <w:rPr>
          <w:rFonts w:eastAsia="黑体"/>
          <w:szCs w:val="21"/>
        </w:rPr>
      </w:pPr>
      <w:r>
        <w:rPr>
          <w:rFonts w:hint="eastAsia" w:eastAsia="黑体"/>
          <w:szCs w:val="21"/>
        </w:rPr>
        <w:t>课程在教学计划中的地位、作用</w:t>
      </w:r>
    </w:p>
    <w:p>
      <w:pPr>
        <w:spacing w:line="360" w:lineRule="auto"/>
        <w:ind w:firstLine="420" w:firstLineChars="200"/>
        <w:rPr>
          <w:szCs w:val="21"/>
        </w:rPr>
      </w:pPr>
      <w:r>
        <w:rPr>
          <w:rFonts w:hint="eastAsia"/>
          <w:szCs w:val="21"/>
        </w:rPr>
        <w:t>毕业实习是综合性的实践环节。学生在完成所有理论课学习之后，通过实习动员、参观了解企业相关管理制度、参与企业管理生产及实习总结等实习环节，能够将本学科理论基础、专业知识和基本技能与企业的所见所闻相对照，从而对所学理论知识如何应用有初步体会、对如何参与企业工作有初步认识。通过毕业实习也可以使学生在毕业设计过程组织、毕业设计工艺实现及求职等方面有所帮助。</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二、课程目标</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3268"/>
        <w:gridCol w:w="4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1968" w:type="pct"/>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课程目标</w:t>
            </w:r>
          </w:p>
        </w:tc>
        <w:tc>
          <w:tcPr>
            <w:tcW w:w="2610" w:type="pct"/>
            <w:tcBorders>
              <w:righ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1968" w:type="pct"/>
          </w:tcPr>
          <w:p>
            <w:pPr>
              <w:adjustRightInd w:val="0"/>
              <w:snapToGrid w:val="0"/>
              <w:spacing w:line="360" w:lineRule="auto"/>
              <w:rPr>
                <w:rFonts w:asciiTheme="minorEastAsia" w:hAnsiTheme="minorEastAsia" w:eastAsiaTheme="minorEastAsia"/>
                <w:sz w:val="18"/>
                <w:szCs w:val="18"/>
              </w:rPr>
            </w:pPr>
            <w:r>
              <w:rPr>
                <w:rFonts w:hint="eastAsia" w:ascii="宋体" w:hAnsi="宋体"/>
                <w:sz w:val="18"/>
                <w:szCs w:val="18"/>
              </w:rPr>
              <w:t>能积极主动参与实习活动，勤学好问，详细记录实习过程，并对实习工作进行总结。</w:t>
            </w:r>
          </w:p>
        </w:tc>
        <w:tc>
          <w:tcPr>
            <w:tcW w:w="2610"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color w:val="000000"/>
                <w:sz w:val="18"/>
                <w:szCs w:val="18"/>
              </w:rPr>
              <w:t>指标点</w:t>
            </w:r>
            <w:r>
              <w:rPr>
                <w:rFonts w:asciiTheme="minorEastAsia" w:hAnsiTheme="minorEastAsia" w:eastAsiaTheme="minorEastAsia"/>
                <w:b/>
                <w:color w:val="000000"/>
                <w:sz w:val="18"/>
                <w:szCs w:val="18"/>
              </w:rPr>
              <w:t xml:space="preserve">6-1 </w:t>
            </w:r>
            <w:r>
              <w:rPr>
                <w:rFonts w:hint="eastAsia" w:asciiTheme="minorEastAsia" w:hAnsiTheme="minorEastAsia" w:eastAsiaTheme="minorEastAsia"/>
                <w:b/>
                <w:color w:val="000000"/>
                <w:sz w:val="18"/>
                <w:szCs w:val="18"/>
              </w:rPr>
              <w:t>参与社会：</w:t>
            </w:r>
            <w:r>
              <w:rPr>
                <w:rFonts w:hint="eastAsia" w:asciiTheme="minorEastAsia" w:hAnsiTheme="minorEastAsia" w:eastAsiaTheme="minorEastAsia"/>
                <w:color w:val="000000"/>
                <w:sz w:val="18"/>
                <w:szCs w:val="18"/>
              </w:rPr>
              <w:t>通过工程实习和社会实践活动，体现主动参与社会的意识。</w:t>
            </w:r>
          </w:p>
          <w:p>
            <w:pPr>
              <w:adjustRightInd w:val="0"/>
              <w:snapToGrid w:val="0"/>
              <w:spacing w:line="360" w:lineRule="auto"/>
              <w:rPr>
                <w:rFonts w:asciiTheme="minorEastAsia" w:hAnsiTheme="minorEastAsia"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968" w:type="pct"/>
          </w:tcPr>
          <w:p>
            <w:pPr>
              <w:adjustRightInd w:val="0"/>
              <w:snapToGrid w:val="0"/>
              <w:spacing w:line="360" w:lineRule="auto"/>
              <w:rPr>
                <w:rFonts w:asciiTheme="minorEastAsia" w:hAnsiTheme="minorEastAsia" w:eastAsiaTheme="minorEastAsia"/>
                <w:sz w:val="18"/>
                <w:szCs w:val="18"/>
              </w:rPr>
            </w:pPr>
            <w:r>
              <w:rPr>
                <w:rFonts w:hint="eastAsia" w:ascii="宋体" w:hAnsi="宋体"/>
                <w:sz w:val="18"/>
                <w:szCs w:val="18"/>
              </w:rPr>
              <w:t>了解实习单位的制度及相关职业规范，能遵守单位制度并适应工作环境，知道什么事情该做何不该做，不迟到不早退，了解岗位技术要求。</w:t>
            </w:r>
          </w:p>
        </w:tc>
        <w:tc>
          <w:tcPr>
            <w:tcW w:w="2610"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color w:val="000000"/>
                <w:sz w:val="18"/>
                <w:szCs w:val="18"/>
              </w:rPr>
              <w:t>指标点</w:t>
            </w:r>
            <w:r>
              <w:rPr>
                <w:rFonts w:asciiTheme="minorEastAsia" w:hAnsiTheme="minorEastAsia" w:eastAsiaTheme="minorEastAsia"/>
                <w:b/>
                <w:color w:val="000000"/>
                <w:sz w:val="18"/>
                <w:szCs w:val="18"/>
              </w:rPr>
              <w:t>8-2</w:t>
            </w:r>
            <w:r>
              <w:rPr>
                <w:rFonts w:hint="eastAsia" w:asciiTheme="minorEastAsia" w:hAnsiTheme="minorEastAsia" w:eastAsiaTheme="minorEastAsia"/>
                <w:b/>
                <w:color w:val="000000"/>
                <w:sz w:val="18"/>
                <w:szCs w:val="18"/>
              </w:rPr>
              <w:t>：遵守职业规范：</w:t>
            </w:r>
            <w:r>
              <w:rPr>
                <w:rFonts w:hint="eastAsia" w:asciiTheme="minorEastAsia" w:hAnsiTheme="minorEastAsia" w:eastAsiaTheme="minorEastAsia"/>
                <w:color w:val="000000"/>
                <w:sz w:val="18"/>
                <w:szCs w:val="18"/>
              </w:rPr>
              <w:t>理解工程伦理的核心理念，了解工程师的职业性质和责任，在工程实践中能自觉遵守职业道德和规范，履行相应的责任。</w:t>
            </w:r>
          </w:p>
          <w:p>
            <w:pPr>
              <w:adjustRightInd w:val="0"/>
              <w:snapToGrid w:val="0"/>
              <w:spacing w:line="360" w:lineRule="auto"/>
              <w:rPr>
                <w:rFonts w:asciiTheme="minorEastAsia" w:hAnsiTheme="minorEastAsia" w:eastAsiaTheme="minor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1968" w:type="pct"/>
          </w:tcPr>
          <w:p>
            <w:pPr>
              <w:adjustRightInd w:val="0"/>
              <w:snapToGrid w:val="0"/>
              <w:spacing w:line="360" w:lineRule="auto"/>
              <w:rPr>
                <w:rFonts w:asciiTheme="minorEastAsia" w:hAnsiTheme="minorEastAsia" w:eastAsiaTheme="minorEastAsia"/>
                <w:color w:val="000000"/>
                <w:sz w:val="18"/>
                <w:szCs w:val="18"/>
              </w:rPr>
            </w:pPr>
            <w:r>
              <w:rPr>
                <w:rFonts w:hint="eastAsia" w:ascii="宋体" w:hAnsi="宋体"/>
                <w:color w:val="000000"/>
                <w:sz w:val="18"/>
                <w:szCs w:val="18"/>
              </w:rPr>
              <w:t>参与生产岗位工作，能与实习单位职工和团队成员共同完成岗位任务。</w:t>
            </w:r>
          </w:p>
        </w:tc>
        <w:tc>
          <w:tcPr>
            <w:tcW w:w="2610"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color w:val="000000"/>
                <w:sz w:val="18"/>
                <w:szCs w:val="18"/>
              </w:rPr>
              <w:t>指标点</w:t>
            </w:r>
            <w:r>
              <w:rPr>
                <w:rFonts w:asciiTheme="minorEastAsia" w:hAnsiTheme="minorEastAsia" w:eastAsiaTheme="minorEastAsia"/>
                <w:b/>
                <w:color w:val="000000"/>
                <w:sz w:val="18"/>
                <w:szCs w:val="18"/>
              </w:rPr>
              <w:t xml:space="preserve">9-1 </w:t>
            </w:r>
            <w:r>
              <w:rPr>
                <w:rFonts w:hint="eastAsia" w:asciiTheme="minorEastAsia" w:hAnsiTheme="minorEastAsia" w:eastAsiaTheme="minorEastAsia"/>
                <w:b/>
                <w:color w:val="000000"/>
                <w:sz w:val="18"/>
                <w:szCs w:val="18"/>
              </w:rPr>
              <w:t>团队意识：</w:t>
            </w:r>
            <w:r>
              <w:rPr>
                <w:rFonts w:hint="eastAsia" w:asciiTheme="minorEastAsia" w:hAnsiTheme="minorEastAsia" w:eastAsiaTheme="minorEastAsia"/>
                <w:color w:val="000000"/>
                <w:sz w:val="18"/>
                <w:szCs w:val="18"/>
              </w:rPr>
              <w:t>具备团队合作意识，愿意与团队其他成员共享信息，并给予他人帮助。</w:t>
            </w:r>
          </w:p>
          <w:p>
            <w:pPr>
              <w:adjustRightInd w:val="0"/>
              <w:snapToGrid w:val="0"/>
              <w:spacing w:line="360" w:lineRule="auto"/>
              <w:rPr>
                <w:rFonts w:asciiTheme="minorEastAsia" w:hAnsiTheme="minorEastAsia" w:eastAsiaTheme="minorEastAsia"/>
                <w:color w:val="000000"/>
                <w:sz w:val="18"/>
                <w:szCs w:val="18"/>
              </w:rPr>
            </w:pPr>
          </w:p>
        </w:tc>
      </w:tr>
    </w:tbl>
    <w:p>
      <w:pPr>
        <w:spacing w:line="360" w:lineRule="auto"/>
        <w:ind w:firstLine="420" w:firstLineChars="200"/>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rFonts w:hint="eastAsia"/>
          <w:szCs w:val="21"/>
        </w:rPr>
        <w:t>了解企业发展现状，对比专业现状，明白</w:t>
      </w:r>
      <w:r>
        <w:rPr>
          <w:szCs w:val="21"/>
        </w:rPr>
        <w:t>专业技术能力的提升和科学素养的提高</w:t>
      </w:r>
      <w:r>
        <w:rPr>
          <w:rFonts w:hint="eastAsia"/>
          <w:szCs w:val="21"/>
        </w:rPr>
        <w:t>的重要性</w:t>
      </w:r>
      <w:r>
        <w:rPr>
          <w:szCs w:val="21"/>
        </w:rPr>
        <w:t>，</w:t>
      </w:r>
      <w:r>
        <w:rPr>
          <w:rFonts w:hint="eastAsia"/>
          <w:szCs w:val="21"/>
        </w:rPr>
        <w:t>了解</w:t>
      </w:r>
      <w:r>
        <w:rPr>
          <w:szCs w:val="21"/>
        </w:rPr>
        <w:t>自主学习</w:t>
      </w:r>
      <w:r>
        <w:rPr>
          <w:rFonts w:hint="eastAsia"/>
          <w:szCs w:val="21"/>
        </w:rPr>
        <w:t>在未来岗位中的重要性。</w:t>
      </w:r>
    </w:p>
    <w:p>
      <w:pPr>
        <w:spacing w:line="360" w:lineRule="auto"/>
        <w:ind w:firstLine="420" w:firstLineChars="200"/>
        <w:rPr>
          <w:szCs w:val="21"/>
        </w:rPr>
      </w:pPr>
    </w:p>
    <w:p>
      <w:pPr>
        <w:tabs>
          <w:tab w:val="left" w:pos="420"/>
        </w:tabs>
        <w:adjustRightInd w:val="0"/>
        <w:snapToGrid w:val="0"/>
        <w:spacing w:line="360" w:lineRule="auto"/>
        <w:ind w:left="420" w:hanging="420"/>
        <w:rPr>
          <w:rFonts w:eastAsia="黑体"/>
          <w:szCs w:val="21"/>
        </w:rPr>
      </w:pPr>
      <w:r>
        <w:rPr>
          <w:rFonts w:hint="eastAsia" w:eastAsia="黑体"/>
          <w:szCs w:val="21"/>
        </w:rPr>
        <w:t>三、 基本要求</w:t>
      </w:r>
    </w:p>
    <w:p>
      <w:pPr>
        <w:spacing w:line="360" w:lineRule="auto"/>
        <w:ind w:firstLine="420" w:firstLineChars="200"/>
        <w:rPr>
          <w:szCs w:val="21"/>
        </w:rPr>
      </w:pPr>
      <w:r>
        <w:rPr>
          <w:rFonts w:hint="eastAsia"/>
          <w:szCs w:val="21"/>
        </w:rPr>
        <w:t>1、在实习前，和实习单位沟通，制定实习计划。</w:t>
      </w:r>
    </w:p>
    <w:p>
      <w:pPr>
        <w:tabs>
          <w:tab w:val="left" w:pos="420"/>
        </w:tabs>
        <w:adjustRightInd w:val="0"/>
        <w:snapToGrid w:val="0"/>
        <w:spacing w:line="360" w:lineRule="auto"/>
        <w:ind w:firstLine="420" w:firstLineChars="200"/>
        <w:rPr>
          <w:szCs w:val="21"/>
        </w:rPr>
      </w:pPr>
      <w:r>
        <w:rPr>
          <w:rFonts w:hint="eastAsia"/>
          <w:szCs w:val="21"/>
        </w:rPr>
        <w:t>2、必须进行实习动员，在动员时，和学生就遵守实习单位制度、尊重实习师傅、注意人身、财产安全等事项充分交流。</w:t>
      </w:r>
    </w:p>
    <w:p>
      <w:pPr>
        <w:spacing w:line="360" w:lineRule="auto"/>
        <w:ind w:firstLine="420" w:firstLineChars="200"/>
        <w:rPr>
          <w:szCs w:val="21"/>
        </w:rPr>
      </w:pPr>
      <w:r>
        <w:rPr>
          <w:rFonts w:hint="eastAsia"/>
          <w:szCs w:val="21"/>
        </w:rPr>
        <w:t>3、要求学生在实习过程中做实习笔记。</w:t>
      </w:r>
    </w:p>
    <w:p>
      <w:pPr>
        <w:spacing w:line="360" w:lineRule="auto"/>
        <w:ind w:firstLine="420" w:firstLineChars="200"/>
        <w:rPr>
          <w:szCs w:val="21"/>
        </w:rPr>
      </w:pPr>
      <w:r>
        <w:rPr>
          <w:rFonts w:hint="eastAsia"/>
          <w:szCs w:val="21"/>
        </w:rPr>
        <w:t>4、实习单位应和本专业背景相近（可以是传感器、仪器类或电类产品的单位）。</w:t>
      </w:r>
    </w:p>
    <w:p>
      <w:pPr>
        <w:spacing w:line="360" w:lineRule="auto"/>
        <w:ind w:firstLine="420" w:firstLineChars="200"/>
        <w:rPr>
          <w:szCs w:val="21"/>
        </w:rPr>
      </w:pPr>
    </w:p>
    <w:p>
      <w:pPr>
        <w:tabs>
          <w:tab w:val="left" w:pos="420"/>
        </w:tabs>
        <w:spacing w:line="360" w:lineRule="auto"/>
        <w:ind w:left="420" w:hanging="420"/>
        <w:rPr>
          <w:rFonts w:eastAsia="黑体"/>
          <w:szCs w:val="21"/>
        </w:rPr>
      </w:pPr>
      <w:r>
        <w:rPr>
          <w:rFonts w:hint="eastAsia" w:eastAsia="黑体"/>
          <w:szCs w:val="21"/>
        </w:rPr>
        <w:t>四、理论教学内容</w:t>
      </w:r>
    </w:p>
    <w:p>
      <w:pPr>
        <w:widowControl/>
        <w:spacing w:line="360" w:lineRule="auto"/>
        <w:ind w:firstLine="424" w:firstLineChars="202"/>
        <w:jc w:val="left"/>
      </w:pPr>
      <w:r>
        <w:t>无。</w:t>
      </w:r>
    </w:p>
    <w:p>
      <w:pPr>
        <w:widowControl/>
        <w:spacing w:line="360" w:lineRule="auto"/>
        <w:ind w:firstLine="424" w:firstLineChars="202"/>
        <w:jc w:val="left"/>
      </w:pPr>
    </w:p>
    <w:p>
      <w:pPr>
        <w:tabs>
          <w:tab w:val="left" w:pos="420"/>
        </w:tabs>
        <w:spacing w:line="360" w:lineRule="auto"/>
        <w:ind w:left="420" w:hanging="420"/>
        <w:rPr>
          <w:rFonts w:eastAsia="黑体"/>
          <w:szCs w:val="21"/>
        </w:rPr>
      </w:pPr>
      <w:r>
        <w:rPr>
          <w:rFonts w:hint="eastAsia" w:eastAsia="黑体"/>
          <w:szCs w:val="21"/>
        </w:rPr>
        <w:t>五、实习环节和实习内容</w:t>
      </w:r>
    </w:p>
    <w:p>
      <w:pPr>
        <w:widowControl/>
        <w:spacing w:line="360" w:lineRule="auto"/>
        <w:ind w:firstLine="424" w:firstLineChars="202"/>
        <w:jc w:val="left"/>
        <w:rPr>
          <w:color w:val="FF0000"/>
          <w:szCs w:val="21"/>
        </w:rPr>
      </w:pPr>
      <w:r>
        <w:t>偏差说明：</w:t>
      </w:r>
      <w:r>
        <w:rPr>
          <w:rFonts w:hint="eastAsia"/>
        </w:rPr>
        <w:t>由于实习单位的安排不同，具体的实习时间安排和任务要求可以有差别，但能力培养环节应该完整。</w:t>
      </w:r>
    </w:p>
    <w:p>
      <w:pPr>
        <w:spacing w:line="360" w:lineRule="auto"/>
        <w:ind w:firstLine="424" w:firstLineChars="202"/>
        <w:rPr>
          <w:rFonts w:ascii="黑体" w:hAnsi="宋体" w:eastAsia="黑体"/>
          <w:szCs w:val="21"/>
        </w:rPr>
      </w:pPr>
      <w:r>
        <w:rPr>
          <w:rFonts w:hint="eastAsia" w:ascii="黑体" w:hAnsi="宋体" w:eastAsia="黑体"/>
          <w:szCs w:val="21"/>
        </w:rPr>
        <w:t>实习环节1 了解企业概括，学习企业文化（2天）</w:t>
      </w:r>
    </w:p>
    <w:p>
      <w:pPr>
        <w:spacing w:line="360" w:lineRule="auto"/>
        <w:ind w:firstLine="424" w:firstLineChars="202"/>
        <w:rPr>
          <w:rFonts w:ascii="宋体" w:hAnsi="宋体"/>
          <w:szCs w:val="21"/>
        </w:rPr>
      </w:pPr>
      <w:r>
        <w:rPr>
          <w:rFonts w:hint="eastAsia" w:ascii="宋体" w:hAnsi="宋体"/>
          <w:szCs w:val="21"/>
        </w:rPr>
        <w:t>1、介绍单位概括、发展状况（根据当年度实习单位情况调整）。</w:t>
      </w:r>
    </w:p>
    <w:p>
      <w:pPr>
        <w:spacing w:line="360" w:lineRule="auto"/>
        <w:ind w:firstLine="424" w:firstLineChars="202"/>
        <w:rPr>
          <w:rFonts w:ascii="宋体" w:hAnsi="宋体"/>
          <w:szCs w:val="21"/>
        </w:rPr>
      </w:pPr>
      <w:r>
        <w:rPr>
          <w:rFonts w:hint="eastAsia" w:ascii="宋体" w:hAnsi="宋体"/>
          <w:szCs w:val="21"/>
        </w:rPr>
        <w:t>2、宣贯保密制度及企业纪律。</w:t>
      </w:r>
    </w:p>
    <w:p>
      <w:pPr>
        <w:spacing w:line="360" w:lineRule="auto"/>
        <w:ind w:firstLine="424" w:firstLineChars="202"/>
        <w:rPr>
          <w:rFonts w:ascii="宋体" w:hAnsi="宋体"/>
          <w:szCs w:val="21"/>
        </w:rPr>
      </w:pPr>
      <w:r>
        <w:rPr>
          <w:rFonts w:hint="eastAsia" w:ascii="宋体" w:hAnsi="宋体"/>
          <w:szCs w:val="21"/>
        </w:rPr>
        <w:t>3、介绍生产设施及产品。</w:t>
      </w:r>
    </w:p>
    <w:p>
      <w:pPr>
        <w:spacing w:line="360" w:lineRule="auto"/>
        <w:ind w:firstLine="424" w:firstLineChars="202"/>
        <w:rPr>
          <w:rFonts w:ascii="黑体" w:hAnsi="宋体" w:eastAsia="黑体"/>
          <w:szCs w:val="21"/>
        </w:rPr>
      </w:pPr>
      <w:r>
        <w:rPr>
          <w:rFonts w:hint="eastAsia" w:ascii="黑体" w:hAnsi="宋体" w:eastAsia="黑体"/>
          <w:szCs w:val="21"/>
        </w:rPr>
        <w:t>实习环节2 参观学习生产工艺（2天）</w:t>
      </w:r>
    </w:p>
    <w:p>
      <w:pPr>
        <w:spacing w:line="360" w:lineRule="auto"/>
        <w:ind w:firstLine="424" w:firstLineChars="202"/>
        <w:rPr>
          <w:rFonts w:ascii="宋体" w:hAnsi="宋体"/>
          <w:szCs w:val="21"/>
        </w:rPr>
      </w:pPr>
      <w:r>
        <w:rPr>
          <w:rFonts w:ascii="宋体" w:hAnsi="宋体"/>
          <w:szCs w:val="21"/>
        </w:rPr>
        <w:t>1</w:t>
      </w:r>
      <w:r>
        <w:rPr>
          <w:rFonts w:hint="eastAsia" w:ascii="宋体" w:hAnsi="宋体"/>
          <w:szCs w:val="21"/>
        </w:rPr>
        <w:t>、参观生产工艺过程。</w:t>
      </w:r>
    </w:p>
    <w:p>
      <w:pPr>
        <w:spacing w:line="360" w:lineRule="auto"/>
        <w:ind w:firstLine="424" w:firstLineChars="202"/>
        <w:rPr>
          <w:rFonts w:ascii="宋体" w:hAnsi="宋体"/>
          <w:szCs w:val="21"/>
        </w:rPr>
      </w:pPr>
      <w:r>
        <w:rPr>
          <w:rFonts w:hint="eastAsia" w:ascii="宋体" w:hAnsi="宋体"/>
          <w:szCs w:val="21"/>
        </w:rPr>
        <w:t>2、分析设计和工艺的关系。</w:t>
      </w:r>
    </w:p>
    <w:p>
      <w:pPr>
        <w:spacing w:line="360" w:lineRule="auto"/>
        <w:ind w:firstLine="424" w:firstLineChars="202"/>
        <w:rPr>
          <w:rFonts w:ascii="宋体" w:hAnsi="宋体"/>
          <w:szCs w:val="21"/>
        </w:rPr>
      </w:pPr>
      <w:r>
        <w:rPr>
          <w:rFonts w:hint="eastAsia" w:ascii="宋体" w:hAnsi="宋体"/>
          <w:szCs w:val="21"/>
        </w:rPr>
        <w:t>3、分析工艺和设备的关系。</w:t>
      </w:r>
    </w:p>
    <w:p>
      <w:pPr>
        <w:spacing w:line="360" w:lineRule="auto"/>
        <w:ind w:firstLine="424" w:firstLineChars="202"/>
        <w:rPr>
          <w:rFonts w:ascii="黑体" w:hAnsi="宋体" w:eastAsia="黑体"/>
          <w:szCs w:val="21"/>
        </w:rPr>
      </w:pPr>
      <w:r>
        <w:rPr>
          <w:rFonts w:hint="eastAsia" w:ascii="黑体" w:hAnsi="宋体" w:eastAsia="黑体"/>
          <w:szCs w:val="21"/>
        </w:rPr>
        <w:t>实习环节3 生产技能培训（2天）</w:t>
      </w:r>
    </w:p>
    <w:p>
      <w:pPr>
        <w:spacing w:line="360" w:lineRule="auto"/>
        <w:ind w:firstLine="424" w:firstLineChars="202"/>
        <w:jc w:val="left"/>
        <w:rPr>
          <w:rFonts w:ascii="宋体" w:hAnsi="宋体"/>
          <w:szCs w:val="21"/>
        </w:rPr>
      </w:pPr>
      <w:r>
        <w:rPr>
          <w:rFonts w:ascii="宋体" w:hAnsi="宋体"/>
          <w:szCs w:val="21"/>
        </w:rPr>
        <w:t>1</w:t>
      </w:r>
      <w:r>
        <w:rPr>
          <w:rFonts w:hint="eastAsia" w:ascii="宋体" w:hAnsi="宋体"/>
          <w:szCs w:val="21"/>
        </w:rPr>
        <w:t>、生产安全教育。</w:t>
      </w:r>
    </w:p>
    <w:p>
      <w:pPr>
        <w:spacing w:line="360" w:lineRule="auto"/>
        <w:ind w:firstLine="424" w:firstLineChars="202"/>
        <w:rPr>
          <w:rFonts w:ascii="宋体" w:hAnsi="宋体"/>
          <w:szCs w:val="21"/>
        </w:rPr>
      </w:pPr>
      <w:r>
        <w:rPr>
          <w:rFonts w:ascii="宋体" w:hAnsi="宋体"/>
          <w:szCs w:val="21"/>
        </w:rPr>
        <w:t>2</w:t>
      </w:r>
      <w:r>
        <w:rPr>
          <w:rFonts w:hint="eastAsia" w:ascii="宋体" w:hAnsi="宋体"/>
          <w:szCs w:val="21"/>
        </w:rPr>
        <w:t>、仪器操作培训。</w:t>
      </w:r>
    </w:p>
    <w:p>
      <w:pPr>
        <w:spacing w:line="360" w:lineRule="auto"/>
        <w:ind w:firstLine="424" w:firstLineChars="202"/>
        <w:rPr>
          <w:rFonts w:ascii="宋体" w:hAnsi="宋体"/>
          <w:szCs w:val="21"/>
        </w:rPr>
      </w:pPr>
      <w:r>
        <w:rPr>
          <w:rFonts w:ascii="宋体" w:hAnsi="宋体"/>
          <w:szCs w:val="21"/>
        </w:rPr>
        <w:t>3</w:t>
      </w:r>
      <w:r>
        <w:rPr>
          <w:rFonts w:hint="eastAsia" w:ascii="宋体" w:hAnsi="宋体"/>
          <w:szCs w:val="21"/>
        </w:rPr>
        <w:t>、岗位技能培训。</w:t>
      </w:r>
    </w:p>
    <w:p>
      <w:pPr>
        <w:spacing w:line="360" w:lineRule="auto"/>
        <w:ind w:firstLine="420" w:firstLineChars="200"/>
        <w:rPr>
          <w:rFonts w:ascii="黑体" w:hAnsi="宋体" w:eastAsia="黑体"/>
          <w:szCs w:val="21"/>
        </w:rPr>
      </w:pPr>
      <w:r>
        <w:rPr>
          <w:rFonts w:hint="eastAsia" w:ascii="黑体" w:hAnsi="宋体" w:eastAsia="黑体"/>
          <w:szCs w:val="21"/>
        </w:rPr>
        <w:t>实习环节4 参与生产过程（3天）</w:t>
      </w:r>
    </w:p>
    <w:p>
      <w:pPr>
        <w:spacing w:line="360" w:lineRule="auto"/>
        <w:ind w:firstLine="424" w:firstLineChars="202"/>
        <w:rPr>
          <w:rFonts w:ascii="宋体" w:hAnsi="宋体"/>
          <w:szCs w:val="21"/>
        </w:rPr>
      </w:pPr>
      <w:r>
        <w:rPr>
          <w:rFonts w:ascii="宋体" w:hAnsi="宋体"/>
          <w:szCs w:val="21"/>
        </w:rPr>
        <w:t>1</w:t>
      </w:r>
      <w:r>
        <w:rPr>
          <w:rFonts w:hint="eastAsia" w:ascii="宋体" w:hAnsi="宋体"/>
          <w:szCs w:val="21"/>
        </w:rPr>
        <w:t>、参与岗位准备、清理生产环境。</w:t>
      </w:r>
    </w:p>
    <w:p>
      <w:pPr>
        <w:spacing w:line="360" w:lineRule="auto"/>
        <w:ind w:firstLine="424" w:firstLineChars="202"/>
        <w:rPr>
          <w:rFonts w:ascii="宋体" w:hAnsi="宋体"/>
          <w:szCs w:val="21"/>
        </w:rPr>
      </w:pPr>
      <w:r>
        <w:rPr>
          <w:rFonts w:hint="eastAsia" w:ascii="宋体" w:hAnsi="宋体"/>
          <w:szCs w:val="21"/>
        </w:rPr>
        <w:t>2、和在岗师傅交流生产认识。</w:t>
      </w:r>
    </w:p>
    <w:p>
      <w:pPr>
        <w:spacing w:line="360" w:lineRule="auto"/>
        <w:ind w:firstLine="424" w:firstLineChars="202"/>
        <w:rPr>
          <w:rFonts w:ascii="宋体" w:hAnsi="宋体"/>
          <w:szCs w:val="21"/>
        </w:rPr>
      </w:pPr>
      <w:r>
        <w:rPr>
          <w:rFonts w:hint="eastAsia" w:ascii="宋体" w:hAnsi="宋体"/>
          <w:szCs w:val="21"/>
        </w:rPr>
        <w:t>3、部分参与岗位工作。</w:t>
      </w:r>
    </w:p>
    <w:p>
      <w:pPr>
        <w:spacing w:line="360" w:lineRule="auto"/>
        <w:ind w:firstLine="420" w:firstLineChars="200"/>
        <w:rPr>
          <w:rFonts w:ascii="黑体" w:hAnsi="宋体" w:eastAsia="黑体"/>
          <w:szCs w:val="21"/>
        </w:rPr>
      </w:pPr>
      <w:r>
        <w:rPr>
          <w:rFonts w:hint="eastAsia" w:ascii="黑体" w:hAnsi="宋体" w:eastAsia="黑体"/>
          <w:szCs w:val="21"/>
        </w:rPr>
        <w:t>实习环节5 总结交流（1天）</w:t>
      </w:r>
    </w:p>
    <w:p>
      <w:pPr>
        <w:spacing w:line="360" w:lineRule="auto"/>
        <w:ind w:firstLine="424" w:firstLineChars="202"/>
        <w:rPr>
          <w:rFonts w:ascii="宋体" w:hAnsi="宋体"/>
          <w:szCs w:val="21"/>
        </w:rPr>
      </w:pPr>
      <w:r>
        <w:rPr>
          <w:rFonts w:ascii="宋体" w:hAnsi="宋体"/>
          <w:szCs w:val="21"/>
        </w:rPr>
        <w:t>1</w:t>
      </w:r>
      <w:r>
        <w:rPr>
          <w:rFonts w:hint="eastAsia" w:ascii="宋体" w:hAnsi="宋体"/>
          <w:szCs w:val="21"/>
        </w:rPr>
        <w:t>、整理实习笔记。</w:t>
      </w:r>
    </w:p>
    <w:p>
      <w:pPr>
        <w:spacing w:line="360" w:lineRule="auto"/>
        <w:ind w:firstLine="424" w:firstLineChars="202"/>
        <w:rPr>
          <w:rFonts w:ascii="宋体" w:hAnsi="宋体"/>
          <w:szCs w:val="21"/>
        </w:rPr>
      </w:pPr>
      <w:r>
        <w:rPr>
          <w:rFonts w:hint="eastAsia" w:ascii="宋体" w:hAnsi="宋体"/>
          <w:szCs w:val="21"/>
        </w:rPr>
        <w:t>2、座谈交流。</w:t>
      </w:r>
    </w:p>
    <w:p>
      <w:pPr>
        <w:spacing w:line="360" w:lineRule="auto"/>
        <w:ind w:firstLine="426" w:firstLineChars="202"/>
        <w:rPr>
          <w:rFonts w:ascii="宋体" w:hAnsi="宋体"/>
          <w:b/>
          <w:bCs/>
          <w:szCs w:val="21"/>
        </w:rPr>
      </w:pPr>
      <w:r>
        <w:rPr>
          <w:rFonts w:hint="eastAsia" w:ascii="宋体" w:hAnsi="宋体"/>
          <w:b/>
          <w:bCs/>
          <w:szCs w:val="21"/>
        </w:rPr>
        <w:t>思政元素：</w:t>
      </w:r>
    </w:p>
    <w:p>
      <w:pPr>
        <w:spacing w:line="360" w:lineRule="auto"/>
        <w:ind w:firstLine="422" w:firstLineChars="200"/>
        <w:rPr>
          <w:b/>
          <w:bCs/>
          <w:szCs w:val="21"/>
        </w:rPr>
      </w:pPr>
      <w:r>
        <w:rPr>
          <w:rFonts w:hint="eastAsia"/>
          <w:b/>
          <w:bCs/>
          <w:szCs w:val="21"/>
        </w:rPr>
        <w:t>了解企业发展现状，对比专业现状，明白</w:t>
      </w:r>
      <w:r>
        <w:rPr>
          <w:b/>
          <w:bCs/>
          <w:szCs w:val="21"/>
        </w:rPr>
        <w:t>专业技术能力的提升和科学素养的提高</w:t>
      </w:r>
      <w:r>
        <w:rPr>
          <w:rFonts w:hint="eastAsia"/>
          <w:b/>
          <w:bCs/>
          <w:szCs w:val="21"/>
        </w:rPr>
        <w:t>的重要性</w:t>
      </w:r>
      <w:r>
        <w:rPr>
          <w:b/>
          <w:bCs/>
          <w:szCs w:val="21"/>
        </w:rPr>
        <w:t>，</w:t>
      </w:r>
      <w:r>
        <w:rPr>
          <w:rFonts w:hint="eastAsia"/>
          <w:b/>
          <w:bCs/>
          <w:szCs w:val="21"/>
        </w:rPr>
        <w:t>了解</w:t>
      </w:r>
      <w:r>
        <w:rPr>
          <w:b/>
          <w:bCs/>
          <w:szCs w:val="21"/>
        </w:rPr>
        <w:t>自主学习</w:t>
      </w:r>
      <w:r>
        <w:rPr>
          <w:rFonts w:hint="eastAsia"/>
          <w:b/>
          <w:bCs/>
          <w:szCs w:val="21"/>
        </w:rPr>
        <w:t>在未来岗位中的重要性。</w:t>
      </w:r>
    </w:p>
    <w:p>
      <w:pPr>
        <w:spacing w:line="360" w:lineRule="auto"/>
        <w:ind w:firstLine="424" w:firstLineChars="202"/>
        <w:rPr>
          <w:rFonts w:ascii="宋体" w:hAnsi="宋体"/>
          <w:szCs w:val="21"/>
        </w:rPr>
      </w:pPr>
    </w:p>
    <w:p>
      <w:pPr>
        <w:widowControl/>
        <w:spacing w:line="360" w:lineRule="auto"/>
        <w:ind w:left="426"/>
        <w:jc w:val="left"/>
        <w:rPr>
          <w:b/>
          <w:sz w:val="24"/>
          <w:szCs w:val="24"/>
        </w:rPr>
      </w:pPr>
    </w:p>
    <w:p>
      <w:pPr>
        <w:tabs>
          <w:tab w:val="left" w:pos="420"/>
        </w:tabs>
        <w:adjustRightInd w:val="0"/>
        <w:snapToGrid w:val="0"/>
        <w:spacing w:line="360" w:lineRule="auto"/>
        <w:ind w:left="420" w:hanging="420"/>
        <w:rPr>
          <w:rFonts w:ascii="黑体" w:hAnsi="宋体" w:eastAsia="黑体" w:cs="宋体"/>
          <w:kern w:val="0"/>
          <w:szCs w:val="21"/>
        </w:rPr>
      </w:pPr>
      <w:r>
        <w:rPr>
          <w:rFonts w:hint="eastAsia" w:eastAsia="黑体"/>
          <w:szCs w:val="24"/>
        </w:rPr>
        <w:t>六、</w:t>
      </w:r>
      <w:r>
        <w:rPr>
          <w:rFonts w:hint="eastAsia" w:ascii="黑体" w:hAnsi="宋体" w:eastAsia="黑体" w:cs="宋体"/>
          <w:kern w:val="0"/>
          <w:szCs w:val="21"/>
        </w:rPr>
        <w:t>学时分配</w:t>
      </w:r>
    </w:p>
    <w:tbl>
      <w:tblPr>
        <w:tblStyle w:val="22"/>
        <w:tblW w:w="86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0"/>
        <w:gridCol w:w="1843"/>
        <w:gridCol w:w="1417"/>
        <w:gridCol w:w="10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426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实习内容</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参观学习（天）</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操作（天）</w:t>
            </w: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小计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0" w:type="dxa"/>
            <w:tcBorders>
              <w:top w:val="single" w:color="auto" w:sz="4" w:space="0"/>
              <w:left w:val="nil"/>
              <w:bottom w:val="single" w:color="auto" w:sz="4" w:space="0"/>
              <w:right w:val="single" w:color="auto" w:sz="4" w:space="0"/>
            </w:tcBorders>
            <w:vAlign w:val="center"/>
          </w:tcPr>
          <w:p>
            <w:pPr>
              <w:ind w:firstLine="181" w:firstLineChars="101"/>
              <w:rPr>
                <w:rFonts w:asciiTheme="minorEastAsia" w:hAnsiTheme="minorEastAsia" w:eastAsiaTheme="minorEastAsia"/>
                <w:sz w:val="18"/>
                <w:szCs w:val="18"/>
              </w:rPr>
            </w:pPr>
            <w:r>
              <w:rPr>
                <w:rFonts w:hint="eastAsia" w:asciiTheme="minorEastAsia" w:hAnsiTheme="minorEastAsia" w:eastAsiaTheme="minorEastAsia"/>
                <w:sz w:val="18"/>
                <w:szCs w:val="18"/>
              </w:rPr>
              <w:t>实习环节一 了解企业概况，学习企业文化</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0" w:type="dxa"/>
            <w:tcBorders>
              <w:top w:val="single" w:color="auto" w:sz="4" w:space="0"/>
              <w:left w:val="nil"/>
              <w:bottom w:val="single" w:color="auto" w:sz="4" w:space="0"/>
              <w:right w:val="single" w:color="auto" w:sz="4" w:space="0"/>
            </w:tcBorders>
            <w:vAlign w:val="center"/>
          </w:tcPr>
          <w:p>
            <w:pPr>
              <w:ind w:firstLine="181" w:firstLineChars="101"/>
              <w:rPr>
                <w:rFonts w:asciiTheme="minorEastAsia" w:hAnsiTheme="minorEastAsia" w:eastAsiaTheme="minorEastAsia"/>
                <w:sz w:val="18"/>
                <w:szCs w:val="18"/>
              </w:rPr>
            </w:pPr>
            <w:r>
              <w:rPr>
                <w:rFonts w:hint="eastAsia" w:asciiTheme="minorEastAsia" w:hAnsiTheme="minorEastAsia" w:eastAsiaTheme="minorEastAsia"/>
                <w:sz w:val="18"/>
                <w:szCs w:val="18"/>
              </w:rPr>
              <w:t>实习环节二 参观学习生产工艺</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0" w:type="dxa"/>
            <w:tcBorders>
              <w:top w:val="single" w:color="auto" w:sz="4" w:space="0"/>
              <w:left w:val="nil"/>
              <w:bottom w:val="single" w:color="auto" w:sz="4" w:space="0"/>
              <w:right w:val="single" w:color="auto" w:sz="4" w:space="0"/>
            </w:tcBorders>
            <w:vAlign w:val="center"/>
          </w:tcPr>
          <w:p>
            <w:pPr>
              <w:ind w:firstLine="181" w:firstLineChars="101"/>
              <w:rPr>
                <w:rFonts w:asciiTheme="minorEastAsia" w:hAnsiTheme="minorEastAsia" w:eastAsiaTheme="minorEastAsia"/>
                <w:sz w:val="18"/>
                <w:szCs w:val="18"/>
              </w:rPr>
            </w:pPr>
            <w:r>
              <w:rPr>
                <w:rFonts w:hint="eastAsia" w:asciiTheme="minorEastAsia" w:hAnsiTheme="minorEastAsia" w:eastAsiaTheme="minorEastAsia"/>
                <w:sz w:val="18"/>
                <w:szCs w:val="18"/>
              </w:rPr>
              <w:t>实习环节三 生产技能培训</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0" w:type="dxa"/>
            <w:tcBorders>
              <w:top w:val="single" w:color="auto" w:sz="4" w:space="0"/>
              <w:left w:val="nil"/>
              <w:bottom w:val="single" w:color="auto" w:sz="4" w:space="0"/>
              <w:right w:val="single" w:color="auto" w:sz="4" w:space="0"/>
            </w:tcBorders>
            <w:vAlign w:val="center"/>
          </w:tcPr>
          <w:p>
            <w:pPr>
              <w:ind w:firstLine="181" w:firstLineChars="101"/>
              <w:rPr>
                <w:rFonts w:asciiTheme="minorEastAsia" w:hAnsiTheme="minorEastAsia" w:eastAsiaTheme="minorEastAsia"/>
                <w:sz w:val="18"/>
                <w:szCs w:val="18"/>
              </w:rPr>
            </w:pPr>
            <w:r>
              <w:rPr>
                <w:rFonts w:hint="eastAsia" w:asciiTheme="minorEastAsia" w:hAnsiTheme="minorEastAsia" w:eastAsiaTheme="minorEastAsia"/>
                <w:sz w:val="18"/>
                <w:szCs w:val="18"/>
              </w:rPr>
              <w:t>实习环节四 参与生产过程</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260" w:type="dxa"/>
            <w:tcBorders>
              <w:top w:val="single" w:color="auto" w:sz="4" w:space="0"/>
              <w:left w:val="nil"/>
              <w:bottom w:val="single" w:color="auto" w:sz="4" w:space="0"/>
              <w:right w:val="single" w:color="auto" w:sz="4" w:space="0"/>
            </w:tcBorders>
            <w:vAlign w:val="center"/>
          </w:tcPr>
          <w:p>
            <w:pPr>
              <w:ind w:firstLine="181" w:firstLineChars="101"/>
              <w:rPr>
                <w:rFonts w:asciiTheme="minorEastAsia" w:hAnsiTheme="minorEastAsia" w:eastAsiaTheme="minorEastAsia"/>
                <w:sz w:val="18"/>
                <w:szCs w:val="18"/>
              </w:rPr>
            </w:pPr>
            <w:r>
              <w:rPr>
                <w:rFonts w:hint="eastAsia" w:asciiTheme="minorEastAsia" w:hAnsiTheme="minorEastAsia" w:eastAsiaTheme="minorEastAsia"/>
                <w:sz w:val="18"/>
                <w:szCs w:val="18"/>
              </w:rPr>
              <w:t>实习环节五 总结交流</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 w:hRule="atLeast"/>
          <w:jc w:val="center"/>
        </w:trPr>
        <w:tc>
          <w:tcPr>
            <w:tcW w:w="4260"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1843"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1417"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1090" w:type="dxa"/>
            <w:tcBorders>
              <w:top w:val="single" w:color="auto" w:sz="4" w:space="0"/>
              <w:left w:val="single" w:color="auto" w:sz="4" w:space="0"/>
              <w:bottom w:val="single" w:color="auto" w:sz="4" w:space="0"/>
              <w:right w:val="nil"/>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r>
    </w:tbl>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p>
    <w:p>
      <w:pPr>
        <w:tabs>
          <w:tab w:val="left" w:pos="420"/>
        </w:tabs>
        <w:spacing w:line="360" w:lineRule="auto"/>
        <w:ind w:left="420" w:hanging="420"/>
        <w:rPr>
          <w:rFonts w:eastAsia="黑体"/>
          <w:szCs w:val="24"/>
        </w:rPr>
      </w:pPr>
      <w:r>
        <w:rPr>
          <w:rFonts w:hint="eastAsia" w:eastAsia="黑体"/>
          <w:szCs w:val="24"/>
        </w:rPr>
        <w:t>七、课程目标达成的途径和措施</w:t>
      </w:r>
    </w:p>
    <w:p>
      <w:pPr>
        <w:spacing w:line="360" w:lineRule="auto"/>
        <w:ind w:firstLine="420" w:firstLineChars="200"/>
        <w:rPr>
          <w:szCs w:val="21"/>
        </w:rPr>
      </w:pPr>
      <w:r>
        <w:rPr>
          <w:szCs w:val="21"/>
        </w:rPr>
        <w:t>1</w:t>
      </w:r>
      <w:r>
        <w:rPr>
          <w:rFonts w:hint="eastAsia"/>
          <w:szCs w:val="21"/>
        </w:rPr>
        <w:t>、考核目标：学生在企业学习、参与情况及总结能力。</w:t>
      </w:r>
    </w:p>
    <w:p>
      <w:pPr>
        <w:spacing w:line="360" w:lineRule="auto"/>
        <w:ind w:firstLine="420" w:firstLineChars="200"/>
        <w:rPr>
          <w:szCs w:val="21"/>
        </w:rPr>
      </w:pPr>
      <w:r>
        <w:rPr>
          <w:szCs w:val="21"/>
        </w:rPr>
        <w:t>2</w:t>
      </w:r>
      <w:r>
        <w:rPr>
          <w:rFonts w:hint="eastAsia"/>
          <w:szCs w:val="21"/>
        </w:rPr>
        <w:t>、考核方式：企业考评、实习报告。</w:t>
      </w:r>
    </w:p>
    <w:p>
      <w:pPr>
        <w:spacing w:line="360" w:lineRule="auto"/>
        <w:ind w:firstLine="420" w:firstLineChars="200"/>
        <w:rPr>
          <w:szCs w:val="21"/>
        </w:rPr>
      </w:pPr>
      <w:r>
        <w:rPr>
          <w:szCs w:val="21"/>
        </w:rPr>
        <w:t>3、</w:t>
      </w:r>
      <w:r>
        <w:rPr>
          <w:rFonts w:hint="eastAsia"/>
          <w:szCs w:val="21"/>
        </w:rPr>
        <w:t>评价环节对课程目标达成贡献率及支撑材料：</w:t>
      </w:r>
    </w:p>
    <w:p>
      <w:pPr>
        <w:spacing w:line="360" w:lineRule="auto"/>
        <w:ind w:firstLine="420" w:firstLineChars="200"/>
        <w:rPr>
          <w:color w:val="0000FF"/>
        </w:rPr>
      </w:pPr>
    </w:p>
    <w:tbl>
      <w:tblPr>
        <w:tblStyle w:val="22"/>
        <w:tblW w:w="5000" w:type="pct"/>
        <w:jc w:val="center"/>
        <w:tblLayout w:type="autofit"/>
        <w:tblCellMar>
          <w:top w:w="0" w:type="dxa"/>
          <w:left w:w="108" w:type="dxa"/>
          <w:bottom w:w="0" w:type="dxa"/>
          <w:right w:w="108" w:type="dxa"/>
        </w:tblCellMar>
      </w:tblPr>
      <w:tblGrid>
        <w:gridCol w:w="2731"/>
        <w:gridCol w:w="3029"/>
        <w:gridCol w:w="2552"/>
      </w:tblGrid>
      <w:tr>
        <w:tblPrEx>
          <w:tblCellMar>
            <w:top w:w="0" w:type="dxa"/>
            <w:left w:w="108" w:type="dxa"/>
            <w:bottom w:w="0" w:type="dxa"/>
            <w:right w:w="108" w:type="dxa"/>
          </w:tblCellMar>
        </w:tblPrEx>
        <w:trPr>
          <w:trHeight w:val="400" w:hRule="atLeast"/>
          <w:jc w:val="center"/>
        </w:trPr>
        <w:tc>
          <w:tcPr>
            <w:tcW w:w="1643" w:type="pct"/>
            <w:tcBorders>
              <w:top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b/>
                <w:color w:val="000000"/>
                <w:kern w:val="0"/>
                <w:sz w:val="18"/>
                <w:szCs w:val="18"/>
              </w:rPr>
            </w:pPr>
            <w:r>
              <w:rPr>
                <w:rFonts w:hint="eastAsia" w:ascii="宋体" w:hAnsi="宋体" w:cs="宋体"/>
                <w:b/>
                <w:color w:val="000000"/>
                <w:kern w:val="0"/>
                <w:sz w:val="18"/>
                <w:szCs w:val="18"/>
              </w:rPr>
              <w:t>考察环节</w:t>
            </w:r>
          </w:p>
        </w:tc>
        <w:tc>
          <w:tcPr>
            <w:tcW w:w="18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b/>
                <w:color w:val="000000"/>
                <w:kern w:val="0"/>
                <w:sz w:val="18"/>
                <w:szCs w:val="18"/>
              </w:rPr>
            </w:pPr>
            <w:r>
              <w:rPr>
                <w:rFonts w:hint="eastAsia" w:ascii="宋体" w:hAnsi="宋体" w:cs="宋体"/>
                <w:b/>
                <w:color w:val="000000"/>
                <w:kern w:val="0"/>
                <w:sz w:val="18"/>
                <w:szCs w:val="18"/>
              </w:rPr>
              <w:t>企业考评</w:t>
            </w:r>
          </w:p>
        </w:tc>
        <w:tc>
          <w:tcPr>
            <w:tcW w:w="1535" w:type="pct"/>
            <w:tcBorders>
              <w:top w:val="single" w:color="auto" w:sz="4" w:space="0"/>
              <w:left w:val="single" w:color="auto" w:sz="4" w:space="0"/>
              <w:bottom w:val="single" w:color="auto" w:sz="4" w:space="0"/>
            </w:tcBorders>
            <w:shd w:val="clear" w:color="auto" w:fill="auto"/>
            <w:vAlign w:val="center"/>
          </w:tcPr>
          <w:p>
            <w:pPr>
              <w:widowControl/>
              <w:adjustRightInd w:val="0"/>
              <w:snapToGrid w:val="0"/>
              <w:jc w:val="center"/>
              <w:rPr>
                <w:rFonts w:ascii="宋体" w:hAnsi="宋体" w:cs="宋体"/>
                <w:b/>
                <w:color w:val="000000"/>
                <w:kern w:val="0"/>
                <w:sz w:val="18"/>
                <w:szCs w:val="18"/>
              </w:rPr>
            </w:pPr>
            <w:r>
              <w:rPr>
                <w:rFonts w:hint="eastAsia" w:ascii="宋体" w:hAnsi="宋体" w:cs="宋体"/>
                <w:b/>
                <w:color w:val="000000"/>
                <w:kern w:val="0"/>
                <w:sz w:val="18"/>
                <w:szCs w:val="18"/>
              </w:rPr>
              <w:t>实习报告</w:t>
            </w:r>
          </w:p>
        </w:tc>
      </w:tr>
      <w:tr>
        <w:tblPrEx>
          <w:tblCellMar>
            <w:top w:w="0" w:type="dxa"/>
            <w:left w:w="108" w:type="dxa"/>
            <w:bottom w:w="0" w:type="dxa"/>
            <w:right w:w="108" w:type="dxa"/>
          </w:tblCellMar>
        </w:tblPrEx>
        <w:trPr>
          <w:jc w:val="center"/>
        </w:trPr>
        <w:tc>
          <w:tcPr>
            <w:tcW w:w="1643" w:type="pct"/>
            <w:tcBorders>
              <w:top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课程目标达成</w:t>
            </w:r>
          </w:p>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的贡献率</w:t>
            </w:r>
          </w:p>
        </w:tc>
        <w:tc>
          <w:tcPr>
            <w:tcW w:w="18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0.7</w:t>
            </w:r>
          </w:p>
        </w:tc>
        <w:tc>
          <w:tcPr>
            <w:tcW w:w="1535" w:type="pct"/>
            <w:tcBorders>
              <w:top w:val="single" w:color="auto" w:sz="4" w:space="0"/>
              <w:left w:val="single" w:color="auto" w:sz="4" w:space="0"/>
              <w:bottom w:val="single" w:color="auto" w:sz="4" w:space="0"/>
            </w:tcBorders>
            <w:shd w:val="clear" w:color="auto" w:fill="auto"/>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0.3</w:t>
            </w:r>
          </w:p>
        </w:tc>
      </w:tr>
      <w:tr>
        <w:tblPrEx>
          <w:tblCellMar>
            <w:top w:w="0" w:type="dxa"/>
            <w:left w:w="108" w:type="dxa"/>
            <w:bottom w:w="0" w:type="dxa"/>
            <w:right w:w="108" w:type="dxa"/>
          </w:tblCellMar>
        </w:tblPrEx>
        <w:trPr>
          <w:jc w:val="center"/>
        </w:trPr>
        <w:tc>
          <w:tcPr>
            <w:tcW w:w="1643" w:type="pct"/>
            <w:tcBorders>
              <w:top w:val="single" w:color="auto" w:sz="4" w:space="0"/>
              <w:bottom w:val="single" w:color="auto" w:sz="4" w:space="0"/>
              <w:right w:val="single" w:color="auto" w:sz="4" w:space="0"/>
            </w:tcBorders>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支撑材料</w:t>
            </w:r>
          </w:p>
        </w:tc>
        <w:tc>
          <w:tcPr>
            <w:tcW w:w="18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企业提供成绩单、考勤表、</w:t>
            </w:r>
          </w:p>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岗位实习照片等</w:t>
            </w:r>
          </w:p>
        </w:tc>
        <w:tc>
          <w:tcPr>
            <w:tcW w:w="1535" w:type="pct"/>
            <w:tcBorders>
              <w:top w:val="single" w:color="auto" w:sz="4" w:space="0"/>
              <w:left w:val="single" w:color="auto" w:sz="4" w:space="0"/>
              <w:bottom w:val="single" w:color="auto" w:sz="4" w:space="0"/>
            </w:tcBorders>
            <w:shd w:val="clear" w:color="auto" w:fill="auto"/>
            <w:vAlign w:val="center"/>
          </w:tcPr>
          <w:p>
            <w:pPr>
              <w:widowControl/>
              <w:adjustRightInd w:val="0"/>
              <w:snapToGrid w:val="0"/>
              <w:jc w:val="center"/>
              <w:rPr>
                <w:rFonts w:ascii="宋体" w:hAnsi="宋体" w:cs="宋体"/>
                <w:color w:val="000000"/>
                <w:kern w:val="0"/>
                <w:sz w:val="18"/>
                <w:szCs w:val="18"/>
              </w:rPr>
            </w:pPr>
            <w:r>
              <w:rPr>
                <w:rFonts w:hint="eastAsia" w:ascii="宋体" w:hAnsi="宋体" w:cs="宋体"/>
                <w:color w:val="000000"/>
                <w:kern w:val="0"/>
                <w:sz w:val="18"/>
                <w:szCs w:val="18"/>
              </w:rPr>
              <w:t>实习笔记、实习报告</w:t>
            </w:r>
          </w:p>
        </w:tc>
      </w:tr>
    </w:tbl>
    <w:p>
      <w:pPr>
        <w:tabs>
          <w:tab w:val="left" w:pos="420"/>
        </w:tabs>
        <w:adjustRightInd w:val="0"/>
        <w:snapToGrid w:val="0"/>
        <w:spacing w:line="360" w:lineRule="auto"/>
        <w:ind w:left="420" w:hanging="420"/>
        <w:rPr>
          <w:rFonts w:eastAsia="黑体"/>
          <w:szCs w:val="24"/>
        </w:rPr>
      </w:pPr>
    </w:p>
    <w:p>
      <w:pPr>
        <w:adjustRightInd w:val="0"/>
        <w:snapToGrid w:val="0"/>
        <w:spacing w:before="240" w:beforeLines="100" w:after="120" w:afterLines="50"/>
        <w:rPr>
          <w:rFonts w:eastAsia="黑体"/>
          <w:szCs w:val="21"/>
        </w:rPr>
      </w:pPr>
      <w:r>
        <w:rPr>
          <w:rFonts w:hint="eastAsia" w:eastAsia="黑体"/>
          <w:szCs w:val="21"/>
        </w:rPr>
        <w:t>八、用于免修考核的覆盖课程目标达成评价的知识点及权重</w:t>
      </w:r>
    </w:p>
    <w:p>
      <w:pPr>
        <w:spacing w:before="120" w:beforeLines="50" w:line="360" w:lineRule="auto"/>
        <w:ind w:firstLine="420" w:firstLineChars="200"/>
        <w:rPr>
          <w:b/>
          <w:color w:val="000000"/>
          <w:sz w:val="24"/>
          <w:szCs w:val="24"/>
        </w:rPr>
      </w:pPr>
      <w:r>
        <w:rPr>
          <w:rFonts w:hint="eastAsia" w:ascii="宋体" w:hAnsi="宋体" w:cs="宋体"/>
          <w:szCs w:val="21"/>
        </w:rPr>
        <w:t>本课程不可以申请免修。</w:t>
      </w:r>
    </w:p>
    <w:p>
      <w:pPr>
        <w:adjustRightInd w:val="0"/>
        <w:snapToGrid w:val="0"/>
        <w:spacing w:before="240" w:beforeLines="100" w:after="120" w:afterLines="50"/>
        <w:rPr>
          <w:rFonts w:eastAsia="黑体"/>
          <w:szCs w:val="21"/>
        </w:rPr>
      </w:pPr>
      <w:r>
        <w:rPr>
          <w:rFonts w:hint="eastAsia" w:eastAsia="黑体"/>
          <w:szCs w:val="21"/>
        </w:rPr>
        <w:t>九、课程目标达成评价</w:t>
      </w:r>
    </w:p>
    <w:p>
      <w:pPr>
        <w:spacing w:before="120" w:beforeLines="50" w:line="360" w:lineRule="auto"/>
        <w:ind w:firstLine="420" w:firstLineChars="200"/>
        <w:jc w:val="center"/>
        <w:rPr>
          <w:rFonts w:ascii="宋体" w:hAnsi="宋体" w:cs="宋体"/>
          <w:szCs w:val="21"/>
        </w:rPr>
      </w:pPr>
      <w:r>
        <w:rPr>
          <w:rFonts w:hint="eastAsia" w:ascii="宋体" w:hAnsi="宋体" w:cs="宋体"/>
          <w:szCs w:val="21"/>
        </w:rPr>
        <w:t>各环节对课程目标达成评价所使用到的权重占比分配及考核权重分配</w:t>
      </w:r>
    </w:p>
    <w:tbl>
      <w:tblPr>
        <w:tblStyle w:val="22"/>
        <w:tblW w:w="5000" w:type="pct"/>
        <w:jc w:val="center"/>
        <w:tblLayout w:type="autofit"/>
        <w:tblCellMar>
          <w:top w:w="0" w:type="dxa"/>
          <w:left w:w="108" w:type="dxa"/>
          <w:bottom w:w="0" w:type="dxa"/>
          <w:right w:w="108" w:type="dxa"/>
        </w:tblCellMar>
      </w:tblPr>
      <w:tblGrid>
        <w:gridCol w:w="580"/>
        <w:gridCol w:w="928"/>
        <w:gridCol w:w="1134"/>
        <w:gridCol w:w="1134"/>
        <w:gridCol w:w="1134"/>
        <w:gridCol w:w="1134"/>
        <w:gridCol w:w="1134"/>
        <w:gridCol w:w="1134"/>
      </w:tblGrid>
      <w:tr>
        <w:tblPrEx>
          <w:tblCellMar>
            <w:top w:w="0" w:type="dxa"/>
            <w:left w:w="108" w:type="dxa"/>
            <w:bottom w:w="0" w:type="dxa"/>
            <w:right w:w="108" w:type="dxa"/>
          </w:tblCellMar>
        </w:tblPrEx>
        <w:trPr>
          <w:trHeight w:val="1015" w:hRule="atLeast"/>
          <w:jc w:val="center"/>
        </w:trPr>
        <w:tc>
          <w:tcPr>
            <w:tcW w:w="0" w:type="auto"/>
            <w:vMerge w:val="restart"/>
            <w:tcBorders>
              <w:top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课程目标</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知识面比例</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（本列总和为1）</w:t>
            </w:r>
          </w:p>
          <w:p>
            <w:pPr>
              <w:widowControl/>
              <w:jc w:val="center"/>
              <w:rPr>
                <w:rFonts w:ascii="宋体" w:hAnsi="宋体" w:cs="宋体"/>
                <w:b/>
                <w:i/>
                <w:color w:val="000000"/>
                <w:kern w:val="0"/>
                <w:sz w:val="18"/>
                <w:szCs w:val="18"/>
              </w:rPr>
            </w:pPr>
            <w:r>
              <w:rPr>
                <w:rFonts w:ascii="宋体" w:hAnsi="宋体" w:cs="宋体"/>
                <w:b/>
                <w:i/>
                <w:color w:val="000000"/>
                <w:kern w:val="0"/>
                <w:sz w:val="18"/>
                <w:szCs w:val="18"/>
              </w:rPr>
              <w:t>P</w:t>
            </w:r>
            <w:r>
              <w:rPr>
                <w:rFonts w:ascii="宋体" w:hAnsi="宋体" w:cs="宋体"/>
                <w:b/>
                <w:i/>
                <w:color w:val="000000"/>
                <w:kern w:val="0"/>
                <w:sz w:val="18"/>
                <w:szCs w:val="18"/>
                <w:vertAlign w:val="subscript"/>
              </w:rPr>
              <w:t>i</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
                <w:color w:val="000000"/>
                <w:sz w:val="18"/>
                <w:szCs w:val="18"/>
              </w:rPr>
            </w:pPr>
            <w:r>
              <w:rPr>
                <w:rFonts w:hint="eastAsia" w:ascii="宋体" w:hAnsi="宋体"/>
                <w:b/>
                <w:color w:val="000000"/>
                <w:sz w:val="18"/>
                <w:szCs w:val="18"/>
              </w:rPr>
              <w:t>各环节评价</w:t>
            </w:r>
          </w:p>
          <w:p>
            <w:pPr>
              <w:widowControl/>
              <w:jc w:val="center"/>
              <w:rPr>
                <w:rFonts w:ascii="宋体" w:hAnsi="宋体"/>
                <w:b/>
                <w:color w:val="000000"/>
                <w:sz w:val="18"/>
                <w:szCs w:val="18"/>
              </w:rPr>
            </w:pPr>
            <w:r>
              <w:rPr>
                <w:rFonts w:hint="eastAsia" w:ascii="宋体" w:hAnsi="宋体"/>
                <w:b/>
                <w:color w:val="000000"/>
                <w:sz w:val="18"/>
                <w:szCs w:val="18"/>
              </w:rPr>
              <w:t>比例分配</w:t>
            </w:r>
          </w:p>
          <w:p>
            <w:pPr>
              <w:widowControl/>
              <w:jc w:val="center"/>
              <w:rPr>
                <w:rFonts w:ascii="宋体" w:hAnsi="宋体"/>
                <w:b/>
                <w:color w:val="000000"/>
                <w:kern w:val="0"/>
                <w:sz w:val="18"/>
                <w:szCs w:val="18"/>
              </w:rPr>
            </w:pPr>
            <w:r>
              <w:rPr>
                <w:rFonts w:hint="eastAsia" w:ascii="宋体" w:hAnsi="宋体"/>
                <w:b/>
                <w:color w:val="000000"/>
                <w:sz w:val="18"/>
                <w:szCs w:val="18"/>
              </w:rPr>
              <w:t>（每行总和为1）</w:t>
            </w:r>
            <w:r>
              <w:rPr>
                <w:rFonts w:hint="eastAsia" w:ascii="宋体" w:hAnsi="宋体"/>
                <w:b/>
                <w:i/>
                <w:color w:val="000000"/>
                <w:sz w:val="18"/>
                <w:szCs w:val="18"/>
              </w:rPr>
              <w:t>W</w:t>
            </w:r>
            <w:r>
              <w:rPr>
                <w:rFonts w:hint="eastAsia" w:ascii="宋体" w:hAnsi="宋体"/>
                <w:b/>
                <w:i/>
                <w:color w:val="000000"/>
                <w:sz w:val="18"/>
                <w:szCs w:val="18"/>
                <w:vertAlign w:val="subscript"/>
              </w:rPr>
              <w:t>ik</w:t>
            </w:r>
          </w:p>
        </w:tc>
        <w:tc>
          <w:tcPr>
            <w:tcW w:w="2268"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b/>
                <w:color w:val="000000"/>
                <w:sz w:val="18"/>
                <w:szCs w:val="18"/>
              </w:rPr>
            </w:pPr>
            <w:r>
              <w:rPr>
                <w:rFonts w:hint="eastAsia" w:ascii="宋体" w:hAnsi="宋体"/>
                <w:b/>
                <w:color w:val="000000"/>
                <w:sz w:val="18"/>
                <w:szCs w:val="18"/>
              </w:rPr>
              <w:t>各环节在</w:t>
            </w:r>
          </w:p>
          <w:p>
            <w:pPr>
              <w:jc w:val="center"/>
              <w:rPr>
                <w:rFonts w:ascii="宋体" w:hAnsi="宋体"/>
                <w:b/>
                <w:color w:val="000000"/>
                <w:sz w:val="18"/>
                <w:szCs w:val="18"/>
              </w:rPr>
            </w:pPr>
            <w:r>
              <w:rPr>
                <w:rFonts w:hint="eastAsia" w:ascii="宋体" w:hAnsi="宋体"/>
                <w:b/>
                <w:color w:val="000000"/>
                <w:sz w:val="18"/>
                <w:szCs w:val="18"/>
              </w:rPr>
              <w:t>课程达成中的占比</w:t>
            </w:r>
          </w:p>
          <w:p>
            <w:pPr>
              <w:jc w:val="center"/>
              <w:rPr>
                <w:rFonts w:ascii="宋体" w:hAnsi="宋体"/>
                <w:b/>
                <w:color w:val="000000"/>
                <w:sz w:val="18"/>
                <w:szCs w:val="18"/>
              </w:rPr>
            </w:pPr>
            <w:r>
              <w:rPr>
                <w:rFonts w:hint="eastAsia" w:ascii="宋体" w:hAnsi="宋体"/>
                <w:b/>
                <w:color w:val="000000"/>
                <w:sz w:val="18"/>
                <w:szCs w:val="18"/>
              </w:rPr>
              <w:t>（所有行列总和为1）</w:t>
            </w:r>
            <w:r>
              <w:rPr>
                <w:rFonts w:hint="eastAsia" w:ascii="宋体" w:hAnsi="宋体"/>
                <w:b/>
                <w:i/>
                <w:color w:val="000000"/>
                <w:sz w:val="18"/>
                <w:szCs w:val="18"/>
              </w:rPr>
              <w:t>S</w:t>
            </w:r>
            <w:r>
              <w:rPr>
                <w:rFonts w:hint="eastAsia" w:ascii="宋体" w:hAnsi="宋体"/>
                <w:b/>
                <w:i/>
                <w:color w:val="000000"/>
                <w:sz w:val="18"/>
                <w:szCs w:val="18"/>
                <w:vertAlign w:val="subscript"/>
              </w:rPr>
              <w:t>ik</w:t>
            </w:r>
            <w:r>
              <w:rPr>
                <w:rFonts w:hint="eastAsia" w:ascii="宋体" w:hAnsi="宋体"/>
                <w:b/>
                <w:i/>
                <w:color w:val="000000"/>
                <w:sz w:val="18"/>
                <w:szCs w:val="18"/>
              </w:rPr>
              <w:t>=P</w:t>
            </w:r>
            <w:r>
              <w:rPr>
                <w:rFonts w:hint="eastAsia" w:ascii="宋体" w:hAnsi="宋体"/>
                <w:b/>
                <w:i/>
                <w:color w:val="000000"/>
                <w:sz w:val="18"/>
                <w:szCs w:val="18"/>
                <w:vertAlign w:val="subscript"/>
              </w:rPr>
              <w:t>i</w:t>
            </w:r>
            <w:r>
              <w:rPr>
                <w:rFonts w:hint="eastAsia" w:ascii="宋体" w:hAnsi="宋体"/>
                <w:b/>
                <w:i/>
                <w:color w:val="000000"/>
                <w:sz w:val="18"/>
                <w:szCs w:val="18"/>
              </w:rPr>
              <w:t>*W</w:t>
            </w:r>
            <w:r>
              <w:rPr>
                <w:rFonts w:hint="eastAsia" w:ascii="宋体" w:hAnsi="宋体"/>
                <w:b/>
                <w:i/>
                <w:color w:val="000000"/>
                <w:sz w:val="18"/>
                <w:szCs w:val="18"/>
                <w:vertAlign w:val="subscript"/>
              </w:rPr>
              <w:t>ik</w:t>
            </w:r>
          </w:p>
        </w:tc>
        <w:tc>
          <w:tcPr>
            <w:tcW w:w="2268" w:type="dxa"/>
            <w:gridSpan w:val="2"/>
            <w:tcBorders>
              <w:top w:val="single" w:color="auto" w:sz="4" w:space="0"/>
              <w:left w:val="nil"/>
              <w:bottom w:val="single" w:color="auto" w:sz="4" w:space="0"/>
            </w:tcBorders>
            <w:vAlign w:val="center"/>
          </w:tcPr>
          <w:p>
            <w:pPr>
              <w:jc w:val="center"/>
              <w:rPr>
                <w:rFonts w:ascii="宋体" w:hAnsi="宋体"/>
                <w:b/>
                <w:color w:val="000000"/>
                <w:sz w:val="18"/>
                <w:szCs w:val="18"/>
              </w:rPr>
            </w:pPr>
            <w:r>
              <w:rPr>
                <w:rFonts w:hint="eastAsia" w:ascii="宋体" w:hAnsi="宋体"/>
                <w:b/>
                <w:color w:val="000000"/>
                <w:sz w:val="18"/>
                <w:szCs w:val="18"/>
              </w:rPr>
              <w:t>各环节课程目标</w:t>
            </w:r>
          </w:p>
          <w:p>
            <w:pPr>
              <w:jc w:val="center"/>
              <w:rPr>
                <w:rFonts w:ascii="宋体" w:hAnsi="宋体"/>
                <w:b/>
                <w:color w:val="000000"/>
                <w:sz w:val="18"/>
                <w:szCs w:val="18"/>
              </w:rPr>
            </w:pPr>
            <w:r>
              <w:rPr>
                <w:rFonts w:hint="eastAsia" w:ascii="宋体" w:hAnsi="宋体"/>
                <w:b/>
                <w:color w:val="000000"/>
                <w:sz w:val="18"/>
                <w:szCs w:val="18"/>
              </w:rPr>
              <w:t>考核权重分布</w:t>
            </w:r>
          </w:p>
          <w:p>
            <w:pPr>
              <w:jc w:val="center"/>
              <w:rPr>
                <w:rFonts w:ascii="宋体" w:hAnsi="宋体"/>
                <w:b/>
                <w:color w:val="000000"/>
                <w:sz w:val="18"/>
                <w:szCs w:val="18"/>
              </w:rPr>
            </w:pPr>
            <w:r>
              <w:rPr>
                <w:rFonts w:ascii="宋体" w:hAnsi="宋体"/>
                <w:b/>
                <w:color w:val="000000"/>
                <w:sz w:val="18"/>
                <w:szCs w:val="18"/>
              </w:rPr>
              <w:t>（每一列总和为</w:t>
            </w:r>
            <w:r>
              <w:rPr>
                <w:rFonts w:hint="eastAsia" w:ascii="宋体" w:hAnsi="宋体"/>
                <w:b/>
                <w:color w:val="000000"/>
                <w:sz w:val="18"/>
                <w:szCs w:val="18"/>
              </w:rPr>
              <w:t>1</w:t>
            </w:r>
            <w:r>
              <w:rPr>
                <w:rFonts w:ascii="宋体" w:hAnsi="宋体"/>
                <w:b/>
                <w:color w:val="000000"/>
                <w:sz w:val="18"/>
                <w:szCs w:val="18"/>
              </w:rPr>
              <w:t>）</w:t>
            </w:r>
          </w:p>
          <w:p>
            <w:pPr>
              <w:jc w:val="center"/>
              <w:rPr>
                <w:rFonts w:ascii="宋体" w:hAnsi="宋体"/>
                <w:b/>
                <w:color w:val="000000"/>
                <w:sz w:val="18"/>
                <w:szCs w:val="18"/>
              </w:rPr>
            </w:pPr>
            <w:r>
              <w:rPr>
                <w:rFonts w:hint="eastAsia" w:ascii="宋体" w:hAnsi="宋体"/>
                <w:b/>
                <w:i/>
                <w:color w:val="000000"/>
                <w:sz w:val="18"/>
                <w:szCs w:val="18"/>
              </w:rPr>
              <w:t>E</w:t>
            </w:r>
            <w:r>
              <w:rPr>
                <w:rFonts w:hint="eastAsia" w:ascii="宋体" w:hAnsi="宋体"/>
                <w:b/>
                <w:i/>
                <w:color w:val="000000"/>
                <w:sz w:val="18"/>
                <w:szCs w:val="18"/>
                <w:vertAlign w:val="subscript"/>
              </w:rPr>
              <w:t>ik</w:t>
            </w:r>
            <w:r>
              <w:rPr>
                <w:rFonts w:hint="eastAsia" w:ascii="宋体" w:hAnsi="宋体"/>
                <w:b/>
                <w:i/>
                <w:color w:val="000000"/>
                <w:sz w:val="18"/>
                <w:szCs w:val="18"/>
              </w:rPr>
              <w:t>=</w:t>
            </w:r>
            <w:r>
              <w:rPr>
                <w:rFonts w:ascii="宋体" w:hAnsi="宋体"/>
                <w:b/>
                <w:i/>
                <w:color w:val="000000"/>
                <w:sz w:val="18"/>
                <w:szCs w:val="18"/>
              </w:rPr>
              <w:t>S</w:t>
            </w:r>
            <w:r>
              <w:rPr>
                <w:rFonts w:ascii="宋体" w:hAnsi="宋体"/>
                <w:b/>
                <w:i/>
                <w:color w:val="000000"/>
                <w:sz w:val="18"/>
                <w:szCs w:val="18"/>
                <w:vertAlign w:val="subscript"/>
              </w:rPr>
              <w:t>ik</w:t>
            </w:r>
            <w:r>
              <w:rPr>
                <w:rFonts w:ascii="宋体" w:hAnsi="宋体"/>
                <w:b/>
                <w:i/>
                <w:color w:val="000000"/>
                <w:sz w:val="18"/>
                <w:szCs w:val="18"/>
              </w:rPr>
              <w:t>/M</w:t>
            </w:r>
            <w:r>
              <w:rPr>
                <w:rFonts w:ascii="宋体" w:hAnsi="宋体"/>
                <w:b/>
                <w:i/>
                <w:color w:val="000000"/>
                <w:sz w:val="18"/>
                <w:szCs w:val="18"/>
                <w:vertAlign w:val="subscript"/>
              </w:rPr>
              <w:t>ik</w:t>
            </w:r>
          </w:p>
        </w:tc>
      </w:tr>
      <w:tr>
        <w:tblPrEx>
          <w:tblCellMar>
            <w:top w:w="0" w:type="dxa"/>
            <w:left w:w="108" w:type="dxa"/>
            <w:bottom w:w="0" w:type="dxa"/>
            <w:right w:w="108" w:type="dxa"/>
          </w:tblCellMar>
        </w:tblPrEx>
        <w:trPr>
          <w:trHeight w:val="986" w:hRule="atLeast"/>
          <w:jc w:val="center"/>
        </w:trPr>
        <w:tc>
          <w:tcPr>
            <w:tcW w:w="0" w:type="auto"/>
            <w:vMerge w:val="continue"/>
            <w:tcBorders>
              <w:top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color w:val="000000"/>
                <w:kern w:val="0"/>
                <w:sz w:val="18"/>
                <w:szCs w:val="18"/>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企业</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考评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实习</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报告</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企业</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考评</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实习</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报告</w:t>
            </w:r>
          </w:p>
        </w:tc>
        <w:tc>
          <w:tcPr>
            <w:tcW w:w="1134" w:type="dxa"/>
            <w:tcBorders>
              <w:top w:val="nil"/>
              <w:left w:val="nil"/>
              <w:bottom w:val="single" w:color="auto" w:sz="4" w:space="0"/>
              <w:right w:val="single" w:color="auto" w:sz="4" w:space="0"/>
            </w:tcBorders>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企业</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考评</w:t>
            </w:r>
          </w:p>
        </w:tc>
        <w:tc>
          <w:tcPr>
            <w:tcW w:w="1134" w:type="dxa"/>
            <w:tcBorders>
              <w:top w:val="nil"/>
              <w:left w:val="nil"/>
              <w:bottom w:val="single" w:color="auto" w:sz="4" w:space="0"/>
            </w:tcBorders>
            <w:vAlign w:val="center"/>
          </w:tcPr>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实习</w:t>
            </w:r>
          </w:p>
          <w:p>
            <w:pPr>
              <w:widowControl/>
              <w:jc w:val="center"/>
              <w:rPr>
                <w:rFonts w:ascii="宋体" w:hAnsi="宋体" w:cs="宋体"/>
                <w:b/>
                <w:color w:val="000000"/>
                <w:kern w:val="0"/>
                <w:sz w:val="18"/>
                <w:szCs w:val="18"/>
              </w:rPr>
            </w:pPr>
            <w:r>
              <w:rPr>
                <w:rFonts w:hint="eastAsia" w:ascii="宋体" w:hAnsi="宋体" w:cs="宋体"/>
                <w:b/>
                <w:color w:val="000000"/>
                <w:kern w:val="0"/>
                <w:sz w:val="18"/>
                <w:szCs w:val="18"/>
              </w:rPr>
              <w:t>报告</w:t>
            </w:r>
          </w:p>
        </w:tc>
      </w:tr>
      <w:tr>
        <w:tblPrEx>
          <w:tblCellMar>
            <w:top w:w="0" w:type="dxa"/>
            <w:left w:w="108" w:type="dxa"/>
            <w:bottom w:w="0" w:type="dxa"/>
            <w:right w:w="108" w:type="dxa"/>
          </w:tblCellMar>
        </w:tblPrEx>
        <w:trPr>
          <w:trHeight w:val="458" w:hRule="atLeast"/>
          <w:jc w:val="center"/>
        </w:trPr>
        <w:tc>
          <w:tcPr>
            <w:tcW w:w="0" w:type="auto"/>
            <w:tcBorders>
              <w:top w:val="single" w:color="auto" w:sz="4" w:space="0"/>
              <w:bottom w:val="single" w:color="auto" w:sz="4" w:space="0"/>
              <w:right w:val="single" w:color="auto" w:sz="4" w:space="0"/>
            </w:tcBorders>
            <w:shd w:val="clear" w:color="auto" w:fill="auto"/>
            <w:vAlign w:val="center"/>
          </w:tcPr>
          <w:p>
            <w:pPr>
              <w:widowControl/>
              <w:jc w:val="center"/>
              <w:rPr>
                <w:color w:val="000000"/>
                <w:kern w:val="0"/>
                <w:sz w:val="18"/>
                <w:szCs w:val="18"/>
              </w:rPr>
            </w:pPr>
            <w:r>
              <w:rPr>
                <w:rFonts w:hint="eastAsia"/>
                <w:color w:val="000000"/>
                <w:sz w:val="18"/>
                <w:szCs w:val="18"/>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0.3</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0.3</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0.09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0.21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0.13</w:t>
            </w:r>
          </w:p>
        </w:tc>
        <w:tc>
          <w:tcPr>
            <w:tcW w:w="1134" w:type="dxa"/>
            <w:tcBorders>
              <w:top w:val="single" w:color="auto" w:sz="4" w:space="0"/>
              <w:left w:val="single" w:color="auto" w:sz="4" w:space="0"/>
              <w:bottom w:val="single" w:color="auto" w:sz="4" w:space="0"/>
            </w:tcBorders>
            <w:shd w:val="clear" w:color="auto" w:fill="auto"/>
            <w:vAlign w:val="center"/>
          </w:tcPr>
          <w:p>
            <w:pPr>
              <w:jc w:val="center"/>
              <w:rPr>
                <w:color w:val="000000"/>
                <w:sz w:val="18"/>
                <w:szCs w:val="18"/>
              </w:rPr>
            </w:pPr>
            <w:r>
              <w:rPr>
                <w:rFonts w:hint="eastAsia"/>
                <w:color w:val="000000"/>
                <w:sz w:val="18"/>
                <w:szCs w:val="18"/>
              </w:rPr>
              <w:t>0.70</w:t>
            </w:r>
          </w:p>
        </w:tc>
      </w:tr>
      <w:tr>
        <w:tblPrEx>
          <w:tblCellMar>
            <w:top w:w="0" w:type="dxa"/>
            <w:left w:w="108" w:type="dxa"/>
            <w:bottom w:w="0" w:type="dxa"/>
            <w:right w:w="108" w:type="dxa"/>
          </w:tblCellMar>
        </w:tblPrEx>
        <w:trPr>
          <w:trHeight w:val="423" w:hRule="atLeast"/>
          <w:jc w:val="center"/>
        </w:trPr>
        <w:tc>
          <w:tcPr>
            <w:tcW w:w="0" w:type="auto"/>
            <w:tcBorders>
              <w:top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0.9</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0.45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0.05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0.64</w:t>
            </w:r>
          </w:p>
        </w:tc>
        <w:tc>
          <w:tcPr>
            <w:tcW w:w="1134" w:type="dxa"/>
            <w:tcBorders>
              <w:top w:val="single" w:color="auto" w:sz="4" w:space="0"/>
              <w:left w:val="single" w:color="auto" w:sz="4" w:space="0"/>
              <w:bottom w:val="single" w:color="auto" w:sz="4" w:space="0"/>
            </w:tcBorders>
            <w:shd w:val="clear" w:color="auto" w:fill="auto"/>
            <w:vAlign w:val="center"/>
          </w:tcPr>
          <w:p>
            <w:pPr>
              <w:jc w:val="center"/>
              <w:rPr>
                <w:color w:val="000000"/>
                <w:sz w:val="18"/>
                <w:szCs w:val="18"/>
              </w:rPr>
            </w:pPr>
            <w:r>
              <w:rPr>
                <w:rFonts w:hint="eastAsia"/>
                <w:color w:val="000000"/>
                <w:sz w:val="18"/>
                <w:szCs w:val="18"/>
              </w:rPr>
              <w:t>0.17</w:t>
            </w:r>
          </w:p>
        </w:tc>
      </w:tr>
      <w:tr>
        <w:tblPrEx>
          <w:tblCellMar>
            <w:top w:w="0" w:type="dxa"/>
            <w:left w:w="108" w:type="dxa"/>
            <w:bottom w:w="0" w:type="dxa"/>
            <w:right w:w="108" w:type="dxa"/>
          </w:tblCellMar>
        </w:tblPrEx>
        <w:trPr>
          <w:trHeight w:val="415" w:hRule="atLeast"/>
          <w:jc w:val="center"/>
        </w:trPr>
        <w:tc>
          <w:tcPr>
            <w:tcW w:w="0" w:type="auto"/>
            <w:tcBorders>
              <w:top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0.8</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0.16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0.04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18"/>
                <w:szCs w:val="18"/>
              </w:rPr>
            </w:pPr>
            <w:r>
              <w:rPr>
                <w:rFonts w:hint="eastAsia"/>
                <w:color w:val="000000"/>
                <w:sz w:val="18"/>
                <w:szCs w:val="18"/>
              </w:rPr>
              <w:t>0.23</w:t>
            </w:r>
          </w:p>
        </w:tc>
        <w:tc>
          <w:tcPr>
            <w:tcW w:w="1134" w:type="dxa"/>
            <w:tcBorders>
              <w:top w:val="single" w:color="auto" w:sz="4" w:space="0"/>
              <w:left w:val="single" w:color="auto" w:sz="4" w:space="0"/>
              <w:bottom w:val="single" w:color="auto" w:sz="4" w:space="0"/>
            </w:tcBorders>
            <w:shd w:val="clear" w:color="auto" w:fill="auto"/>
            <w:vAlign w:val="center"/>
          </w:tcPr>
          <w:p>
            <w:pPr>
              <w:jc w:val="center"/>
              <w:rPr>
                <w:color w:val="000000"/>
                <w:sz w:val="18"/>
                <w:szCs w:val="18"/>
              </w:rPr>
            </w:pPr>
            <w:r>
              <w:rPr>
                <w:rFonts w:hint="eastAsia"/>
                <w:color w:val="000000"/>
                <w:sz w:val="18"/>
                <w:szCs w:val="18"/>
              </w:rPr>
              <w:t>0.13</w:t>
            </w:r>
          </w:p>
        </w:tc>
      </w:tr>
      <w:tr>
        <w:tblPrEx>
          <w:tblCellMar>
            <w:top w:w="0" w:type="dxa"/>
            <w:left w:w="108" w:type="dxa"/>
            <w:bottom w:w="0" w:type="dxa"/>
            <w:right w:w="108" w:type="dxa"/>
          </w:tblCellMar>
        </w:tblPrEx>
        <w:trPr>
          <w:trHeight w:val="406" w:hRule="atLeast"/>
          <w:jc w:val="center"/>
        </w:trPr>
        <w:tc>
          <w:tcPr>
            <w:tcW w:w="3992" w:type="dxa"/>
            <w:gridSpan w:val="4"/>
            <w:tcBorders>
              <w:top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各环节对课程目标达成的贡献率（</w:t>
            </w:r>
            <w:r>
              <w:rPr>
                <w:rFonts w:hint="eastAsia" w:ascii="宋体" w:hAnsi="宋体" w:cs="宋体"/>
                <w:i/>
                <w:color w:val="000000"/>
                <w:kern w:val="0"/>
                <w:sz w:val="18"/>
                <w:szCs w:val="18"/>
              </w:rPr>
              <w:t>M</w:t>
            </w:r>
            <w:r>
              <w:rPr>
                <w:rFonts w:hint="eastAsia" w:ascii="宋体" w:hAnsi="宋体" w:cs="宋体"/>
                <w:i/>
                <w:color w:val="000000"/>
                <w:kern w:val="0"/>
                <w:sz w:val="18"/>
                <w:szCs w:val="18"/>
                <w:vertAlign w:val="subscript"/>
              </w:rPr>
              <w:t>k</w:t>
            </w:r>
            <w:r>
              <w:rPr>
                <w:rFonts w:hint="eastAsia" w:ascii="宋体" w:hAnsi="宋体" w:cs="宋体"/>
                <w:color w:val="000000"/>
                <w:kern w:val="0"/>
                <w:sz w:val="18"/>
                <w:szCs w:val="18"/>
              </w:rPr>
              <w:t>）</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0.7</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w:t>
            </w:r>
          </w:p>
        </w:tc>
        <w:tc>
          <w:tcPr>
            <w:tcW w:w="2268" w:type="dxa"/>
            <w:gridSpan w:val="2"/>
            <w:tcBorders>
              <w:top w:val="single" w:color="auto" w:sz="4" w:space="0"/>
              <w:left w:val="nil"/>
              <w:bottom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bl>
    <w:p>
      <w:pPr>
        <w:spacing w:before="120" w:beforeLines="50" w:line="360" w:lineRule="auto"/>
        <w:ind w:firstLine="420" w:firstLineChars="200"/>
        <w:rPr>
          <w:rFonts w:ascii="宋体" w:hAnsi="宋体" w:cs="宋体"/>
          <w:szCs w:val="21"/>
        </w:rPr>
      </w:pPr>
    </w:p>
    <w:p>
      <w:pPr>
        <w:spacing w:line="360" w:lineRule="auto"/>
        <w:ind w:firstLine="420" w:firstLineChars="200"/>
        <w:rPr>
          <w:szCs w:val="21"/>
        </w:rPr>
      </w:pPr>
      <w:r>
        <w:rPr>
          <w:rFonts w:hint="eastAsia"/>
          <w:szCs w:val="21"/>
        </w:rPr>
        <w:t>采用达成值计算法，辅以对学生的问卷调查法。</w:t>
      </w:r>
    </w:p>
    <w:p>
      <w:pPr>
        <w:spacing w:line="360" w:lineRule="auto"/>
        <w:ind w:firstLine="422" w:firstLineChars="200"/>
        <w:rPr>
          <w:b/>
          <w:bCs/>
          <w:szCs w:val="21"/>
        </w:rPr>
      </w:pPr>
      <w:r>
        <w:rPr>
          <w:rFonts w:hint="eastAsia"/>
          <w:b/>
          <w:bCs/>
          <w:szCs w:val="21"/>
        </w:rPr>
        <w:t>课程目标定量评价：</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52"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52" DrawAspect="Content" ObjectID="_1468075952" r:id="rId425">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53"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53" DrawAspect="Content" ObjectID="_1468075953" r:id="rId426">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54"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54" DrawAspect="Content" ObjectID="_1468075954" r:id="rId427">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55"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55" DrawAspect="Content" ObjectID="_1468075955" r:id="rId428">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56"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56" DrawAspect="Content" ObjectID="_1468075956" r:id="rId429">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57"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57" DrawAspect="Content" ObjectID="_1468075957" r:id="rId430">
            <o:LockedField>false</o:LockedField>
          </o:OLEObject>
        </w:object>
      </w:r>
      <w:r>
        <w:t>表示第</w:t>
      </w:r>
      <w:r>
        <w:rPr>
          <w:i/>
        </w:rPr>
        <w:t>i</w:t>
      </w:r>
      <w:r>
        <w:t>个课程目标在课程总评价中的占比；</w:t>
      </w:r>
    </w:p>
    <w:p>
      <w:pPr>
        <w:spacing w:line="360" w:lineRule="auto"/>
        <w:ind w:firstLine="422" w:firstLineChars="200"/>
        <w:rPr>
          <w:b/>
          <w:bCs/>
          <w:position w:val="-10"/>
          <w:szCs w:val="22"/>
        </w:rPr>
      </w:pPr>
      <w:r>
        <w:rPr>
          <w:rFonts w:hint="eastAsia"/>
          <w:b/>
          <w:bCs/>
          <w:position w:val="-10"/>
          <w:szCs w:val="22"/>
        </w:rPr>
        <w:t>课程目标定性评价：</w:t>
      </w:r>
    </w:p>
    <w:p>
      <w:pPr>
        <w:spacing w:line="360" w:lineRule="auto"/>
        <w:ind w:firstLine="420" w:firstLineChars="200"/>
        <w:rPr>
          <w:rFonts w:ascii="宋体" w:hAnsi="宋体" w:cs="宋体"/>
          <w:szCs w:val="21"/>
        </w:rPr>
      </w:pPr>
      <w:r>
        <w:rPr>
          <w:rFonts w:hint="eastAsia" w:ascii="宋体" w:hAnsi="宋体" w:cs="宋体"/>
          <w:szCs w:val="21"/>
        </w:rPr>
        <w:t>针对每门课的课程目标，直接设计问题，并要求学生明确给出目标能力达到的程度“很好（0.95）、较好（0.75）、中（0.60）、较差（0.45）、很差（0.25）”，根据各区段统计比例与括号中的目标分值加权后求和得出定性评价的结果。</w:t>
      </w:r>
    </w:p>
    <w:p>
      <w:pPr>
        <w:spacing w:line="360" w:lineRule="auto"/>
        <w:ind w:firstLine="422" w:firstLineChars="200"/>
        <w:rPr>
          <w:b/>
          <w:bCs/>
          <w:position w:val="-10"/>
          <w:szCs w:val="22"/>
        </w:rPr>
      </w:pPr>
      <w:r>
        <w:rPr>
          <w:rFonts w:hint="eastAsia"/>
          <w:b/>
          <w:bCs/>
          <w:position w:val="-10"/>
          <w:szCs w:val="22"/>
        </w:rPr>
        <w:t>课程目标达成结果：</w:t>
      </w:r>
    </w:p>
    <w:p>
      <w:pPr>
        <w:spacing w:line="360" w:lineRule="auto"/>
        <w:ind w:firstLine="420" w:firstLineChars="200"/>
        <w:rPr>
          <w:rFonts w:ascii="宋体" w:hAnsi="宋体" w:cs="宋体"/>
          <w:szCs w:val="21"/>
        </w:rPr>
      </w:pPr>
      <w:r>
        <w:rPr>
          <w:rFonts w:hint="eastAsia" w:ascii="宋体" w:hAnsi="宋体" w:cs="宋体"/>
          <w:szCs w:val="21"/>
        </w:rPr>
        <w:t>同一课程目标的评价，取定性评价和定量评价的平均值，作为最终评价结果。</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十、各环节评价标准</w:t>
      </w:r>
    </w:p>
    <w:p>
      <w:pPr>
        <w:spacing w:line="360" w:lineRule="auto"/>
        <w:ind w:firstLine="420" w:firstLineChars="200"/>
        <w:rPr>
          <w:szCs w:val="21"/>
        </w:rPr>
      </w:pPr>
      <w:r>
        <w:rPr>
          <w:rFonts w:hint="eastAsia"/>
          <w:szCs w:val="21"/>
        </w:rPr>
        <w:t>本课程允许教师在各评价环节根据具体情况采取多样化、个性化的考核手段，其评价标准应当明确并向学生公布，教学过程中的考核评价应当严格按照标准完成。</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十一、课程目标达成评价结果用于持续改进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课程目标达成评价中发现的问题与不足，重点是达成值相对较低的项，在本次授课总结中应由授课教师分析具体原因，并给出改进建议。后续任课教师应当针对以前的问题和建议，在授课计划中做好落实改进计划，并在授课过程中予以落实。</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widowControl/>
        <w:jc w:val="left"/>
        <w:rPr>
          <w:szCs w:val="21"/>
        </w:rPr>
      </w:pPr>
      <w:r>
        <w:rPr>
          <w:szCs w:val="21"/>
        </w:rPr>
        <w:br w:type="page"/>
      </w:r>
    </w:p>
    <w:p>
      <w:pPr>
        <w:pStyle w:val="20"/>
        <w:spacing w:before="240" w:after="240" w:afterLines="100"/>
      </w:pPr>
      <w:bookmarkStart w:id="267" w:name="_Toc3851"/>
      <w:r>
        <w:rPr>
          <w:rFonts w:hint="eastAsia"/>
        </w:rPr>
        <w:t>《</w:t>
      </w:r>
      <w:r>
        <w:t>Y08060202-</w:t>
      </w:r>
      <w:r>
        <w:rPr>
          <w:rFonts w:hint="eastAsia"/>
        </w:rPr>
        <w:t>毕业设计》教学大纲</w:t>
      </w:r>
      <w:bookmarkEnd w:id="267"/>
    </w:p>
    <w:p>
      <w:pPr>
        <w:adjustRightInd w:val="0"/>
        <w:snapToGrid w:val="0"/>
        <w:spacing w:line="360" w:lineRule="auto"/>
        <w:rPr>
          <w:rFonts w:eastAsia="黑体"/>
        </w:rPr>
      </w:pPr>
      <w:r>
        <w:rPr>
          <w:rFonts w:hint="eastAsia" w:eastAsia="黑体"/>
        </w:rPr>
        <w:t>课程编号：</w:t>
      </w:r>
      <w:r>
        <w:rPr>
          <w:rFonts w:eastAsia="黑体"/>
        </w:rPr>
        <w:t>Y08060202</w:t>
      </w:r>
    </w:p>
    <w:p>
      <w:pPr>
        <w:adjustRightInd w:val="0"/>
        <w:snapToGrid w:val="0"/>
        <w:spacing w:line="360" w:lineRule="auto"/>
        <w:rPr>
          <w:rFonts w:cs="宋体"/>
          <w:snapToGrid w:val="0"/>
          <w:kern w:val="0"/>
          <w:szCs w:val="21"/>
        </w:rPr>
      </w:pPr>
      <w:r>
        <w:rPr>
          <w:rFonts w:hint="eastAsia" w:eastAsia="黑体"/>
        </w:rPr>
        <w:t>课程名称：</w:t>
      </w:r>
      <w:r>
        <w:rPr>
          <w:rFonts w:hint="eastAsia"/>
        </w:rPr>
        <w:t>毕业设计</w:t>
      </w:r>
      <w:r>
        <w:tab/>
      </w:r>
      <w:r>
        <w:tab/>
      </w:r>
      <w:r>
        <w:tab/>
      </w:r>
      <w:r>
        <w:tab/>
      </w:r>
      <w:r>
        <w:tab/>
      </w:r>
      <w:r>
        <w:tab/>
      </w:r>
      <w:r>
        <w:rPr>
          <w:rFonts w:hint="eastAsia" w:eastAsia="黑体"/>
        </w:rPr>
        <w:t>开课单位：</w:t>
      </w:r>
      <w:r>
        <w:rPr>
          <w:rFonts w:hint="eastAsia"/>
        </w:rPr>
        <w:t>仪器与电子学院</w:t>
      </w:r>
      <w:r>
        <w:rPr>
          <w:rFonts w:hint="eastAsia" w:eastAsia="黑体"/>
        </w:rPr>
        <w:t xml:space="preserve"> </w:t>
      </w:r>
    </w:p>
    <w:p>
      <w:pPr>
        <w:adjustRightInd w:val="0"/>
        <w:snapToGrid w:val="0"/>
        <w:spacing w:line="360" w:lineRule="auto"/>
        <w:rPr>
          <w:rFonts w:eastAsia="黑体"/>
        </w:rPr>
      </w:pPr>
      <w:r>
        <w:rPr>
          <w:rFonts w:hint="eastAsia" w:eastAsia="黑体"/>
        </w:rPr>
        <w:t>课程类别：</w:t>
      </w:r>
      <w:r>
        <w:rPr>
          <w:rFonts w:hint="eastAsia"/>
        </w:rPr>
        <w:t>实践教学</w:t>
      </w:r>
      <w:r>
        <w:t>环节</w:t>
      </w:r>
      <w:r>
        <w:rPr>
          <w:rFonts w:hint="eastAsia" w:eastAsia="黑体"/>
        </w:rPr>
        <w:tab/>
      </w:r>
      <w:r>
        <w:rPr>
          <w:rFonts w:hint="eastAsia" w:eastAsia="黑体"/>
        </w:rPr>
        <w:t xml:space="preserve">              </w:t>
      </w:r>
      <w:r>
        <w:rPr>
          <w:rFonts w:eastAsia="黑体"/>
        </w:rPr>
        <w:tab/>
      </w:r>
      <w:r>
        <w:rPr>
          <w:rFonts w:hint="eastAsia" w:eastAsia="黑体"/>
        </w:rPr>
        <w:t>课程性质：</w:t>
      </w:r>
      <w:r>
        <w:rPr>
          <w:rFonts w:hint="eastAsia"/>
          <w:color w:val="000000"/>
        </w:rPr>
        <w:t>必修</w:t>
      </w:r>
    </w:p>
    <w:p>
      <w:pPr>
        <w:adjustRightInd w:val="0"/>
        <w:snapToGrid w:val="0"/>
        <w:spacing w:line="360" w:lineRule="auto"/>
        <w:rPr>
          <w:rFonts w:eastAsia="黑体"/>
        </w:rPr>
      </w:pPr>
      <w:r>
        <w:rPr>
          <w:rFonts w:hint="eastAsia" w:eastAsia="黑体"/>
        </w:rPr>
        <w:t>总 学 时：</w:t>
      </w:r>
      <w:r>
        <w:t>28</w:t>
      </w:r>
      <w:r>
        <w:rPr>
          <w:rFonts w:hint="eastAsia"/>
        </w:rPr>
        <w:t xml:space="preserve">周                    </w:t>
      </w:r>
      <w:r>
        <w:tab/>
      </w:r>
      <w:r>
        <w:tab/>
      </w:r>
      <w:r>
        <w:rPr>
          <w:rFonts w:hint="eastAsia" w:eastAsia="黑体"/>
        </w:rPr>
        <w:t>学    分：</w:t>
      </w:r>
      <w:r>
        <w:rPr>
          <w:rFonts w:eastAsia="黑体"/>
        </w:rPr>
        <w:t>14</w:t>
      </w:r>
    </w:p>
    <w:p>
      <w:pPr>
        <w:adjustRightInd w:val="0"/>
        <w:snapToGrid w:val="0"/>
        <w:spacing w:line="360" w:lineRule="auto"/>
        <w:rPr>
          <w:rFonts w:eastAsia="黑体"/>
        </w:rPr>
      </w:pPr>
      <w:r>
        <w:rPr>
          <w:rFonts w:hint="eastAsia" w:eastAsia="黑体"/>
        </w:rPr>
        <w:t>适用专业：</w:t>
      </w:r>
      <w:r>
        <w:rPr>
          <w:rFonts w:hint="eastAsia" w:ascii="宋体" w:hAnsi="宋体"/>
        </w:rPr>
        <w:t>电子科学与技术</w:t>
      </w:r>
    </w:p>
    <w:p>
      <w:pPr>
        <w:adjustRightInd w:val="0"/>
        <w:snapToGrid w:val="0"/>
        <w:spacing w:line="360" w:lineRule="auto"/>
      </w:pPr>
      <w:r>
        <w:rPr>
          <w:rFonts w:hint="eastAsia" w:eastAsia="黑体"/>
        </w:rPr>
        <w:t>先修课程：</w:t>
      </w:r>
      <w:r>
        <w:rPr>
          <w:rFonts w:hint="eastAsia"/>
        </w:rPr>
        <w:t>本专业培养</w:t>
      </w:r>
      <w:r>
        <w:t>方案</w:t>
      </w:r>
      <w:r>
        <w:rPr>
          <w:rFonts w:hint="eastAsia"/>
        </w:rPr>
        <w:t>规定</w:t>
      </w:r>
      <w:r>
        <w:t>的所有必修课程和</w:t>
      </w:r>
      <w:r>
        <w:rPr>
          <w:rFonts w:hint="eastAsia"/>
        </w:rPr>
        <w:t>其它</w:t>
      </w:r>
      <w:r>
        <w:t>实践</w:t>
      </w:r>
      <w:r>
        <w:rPr>
          <w:rFonts w:hint="eastAsia"/>
        </w:rPr>
        <w:t>环节</w:t>
      </w:r>
    </w:p>
    <w:p>
      <w:pPr>
        <w:adjustRightInd w:val="0"/>
        <w:snapToGrid w:val="0"/>
        <w:spacing w:line="360" w:lineRule="auto"/>
      </w:pPr>
      <w:r>
        <w:rPr>
          <w:rFonts w:hint="eastAsia" w:eastAsia="黑体"/>
        </w:rPr>
        <w:t>大纲编写（修订）时间：</w:t>
      </w:r>
      <w:r>
        <w:rPr>
          <w:rFonts w:hint="eastAsia"/>
        </w:rPr>
        <w:t>201</w:t>
      </w:r>
      <w:r>
        <w:t>9</w:t>
      </w:r>
      <w:r>
        <w:rPr>
          <w:rFonts w:hint="eastAsia"/>
        </w:rPr>
        <w:t>年</w:t>
      </w:r>
      <w:r>
        <w:t>5</w:t>
      </w:r>
      <w:r>
        <w:rPr>
          <w:rFonts w:hint="eastAsia"/>
        </w:rPr>
        <w:t>月</w:t>
      </w:r>
    </w:p>
    <w:p>
      <w:pPr>
        <w:adjustRightInd w:val="0"/>
        <w:snapToGrid w:val="0"/>
        <w:spacing w:line="360" w:lineRule="auto"/>
        <w:rPr>
          <w:rFonts w:eastAsia="黑体"/>
        </w:rPr>
      </w:pPr>
    </w:p>
    <w:p>
      <w:pPr>
        <w:numPr>
          <w:ilvl w:val="0"/>
          <w:numId w:val="14"/>
        </w:numPr>
        <w:adjustRightInd w:val="0"/>
        <w:snapToGrid w:val="0"/>
        <w:spacing w:line="360" w:lineRule="auto"/>
        <w:rPr>
          <w:rFonts w:eastAsia="黑体"/>
        </w:rPr>
      </w:pPr>
      <w:r>
        <w:rPr>
          <w:rFonts w:hint="eastAsia" w:eastAsia="黑体"/>
        </w:rPr>
        <w:t>课程在教学计划中的地位、作用</w:t>
      </w:r>
    </w:p>
    <w:p>
      <w:pPr>
        <w:adjustRightInd w:val="0"/>
        <w:snapToGrid w:val="0"/>
        <w:spacing w:line="360" w:lineRule="auto"/>
        <w:ind w:firstLine="420" w:firstLineChars="200"/>
        <w:rPr>
          <w:szCs w:val="21"/>
        </w:rPr>
      </w:pPr>
      <w:r>
        <w:rPr>
          <w:rFonts w:hint="eastAsia"/>
          <w:szCs w:val="21"/>
        </w:rPr>
        <w:t>毕业论文（设计）是实现本科培养目标的重要的实践教学环节，是培养学生运用所学知识解决综合问题能力的教育过程，也是对学生毕业前所学知识的一次全面总结和综合训练。在对大学生创新意识、实践能力、项目管理能力和其它综合素质培养方面，有着其它教学环节不可替代的作用。</w:t>
      </w:r>
    </w:p>
    <w:p>
      <w:pPr>
        <w:adjustRightInd w:val="0"/>
        <w:snapToGrid w:val="0"/>
        <w:spacing w:line="360" w:lineRule="auto"/>
        <w:ind w:firstLine="420" w:firstLineChars="200"/>
        <w:rPr>
          <w:szCs w:val="21"/>
        </w:rPr>
      </w:pPr>
      <w:r>
        <w:rPr>
          <w:rFonts w:hint="eastAsia"/>
          <w:szCs w:val="21"/>
        </w:rPr>
        <w:t>学生通过毕业论文（设计）综合运用所学知识，提高分析和解决本专业范围内的一般科研和工程技术问题，从项目和问题出发，树立正确的研究和设计理念，掌握专业设计和</w:t>
      </w:r>
      <w:r>
        <w:rPr>
          <w:szCs w:val="21"/>
        </w:rPr>
        <w:t>研究技能</w:t>
      </w:r>
      <w:r>
        <w:rPr>
          <w:rFonts w:hint="eastAsia"/>
          <w:szCs w:val="21"/>
        </w:rPr>
        <w:t>，熟悉设计及进行论文实验的一般程序和方法；是对学生进行一次科研和工程技术人员必备的基本技能的训练，使学生在毕业后能很快胜任专业方面的科研和技术工作。</w:t>
      </w:r>
    </w:p>
    <w:p>
      <w:pPr>
        <w:tabs>
          <w:tab w:val="left" w:pos="420"/>
        </w:tabs>
        <w:adjustRightInd w:val="0"/>
        <w:snapToGrid w:val="0"/>
        <w:spacing w:line="360" w:lineRule="auto"/>
        <w:ind w:left="420" w:hanging="420"/>
        <w:rPr>
          <w:rFonts w:eastAsia="黑体"/>
          <w:szCs w:val="24"/>
        </w:rPr>
      </w:pPr>
      <w:r>
        <w:rPr>
          <w:rFonts w:hint="eastAsia" w:eastAsia="黑体"/>
          <w:szCs w:val="24"/>
        </w:rPr>
        <w:t>二、课程目标</w:t>
      </w:r>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694"/>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22" w:type="pct"/>
            <w:tcBorders>
              <w:left w:val="nil"/>
            </w:tcBorders>
            <w:vAlign w:val="center"/>
          </w:tcPr>
          <w:p>
            <w:pPr>
              <w:adjustRightInd w:val="0"/>
              <w:snapToGrid w:val="0"/>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序号</w:t>
            </w:r>
          </w:p>
        </w:tc>
        <w:tc>
          <w:tcPr>
            <w:tcW w:w="2225" w:type="pct"/>
            <w:vAlign w:val="center"/>
          </w:tcPr>
          <w:p>
            <w:pPr>
              <w:adjustRightInd w:val="0"/>
              <w:snapToGrid w:val="0"/>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课程目标</w:t>
            </w:r>
          </w:p>
        </w:tc>
        <w:tc>
          <w:tcPr>
            <w:tcW w:w="2353" w:type="pct"/>
            <w:tcBorders>
              <w:right w:val="nil"/>
            </w:tcBorders>
            <w:vAlign w:val="center"/>
          </w:tcPr>
          <w:p>
            <w:pPr>
              <w:adjustRightInd w:val="0"/>
              <w:snapToGrid w:val="0"/>
              <w:spacing w:line="360" w:lineRule="auto"/>
              <w:jc w:val="center"/>
              <w:rPr>
                <w:rFonts w:asciiTheme="minorEastAsia" w:hAnsiTheme="minorEastAsia" w:eastAsiaTheme="minorEastAsia"/>
                <w:b/>
                <w:sz w:val="18"/>
                <w:szCs w:val="18"/>
              </w:rPr>
            </w:pPr>
            <w:r>
              <w:rPr>
                <w:rFonts w:asciiTheme="minorEastAsia" w:hAnsiTheme="minorEastAsia" w:eastAsiaTheme="minorEastAsia"/>
                <w:b/>
                <w:sz w:val="18"/>
                <w:szCs w:val="18"/>
              </w:rPr>
              <w:t>支撑毕业要求指标点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1</w:t>
            </w:r>
          </w:p>
        </w:tc>
        <w:tc>
          <w:tcPr>
            <w:tcW w:w="2225" w:type="pct"/>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sz w:val="18"/>
                <w:szCs w:val="18"/>
              </w:rPr>
              <w:t>能够</w:t>
            </w:r>
            <w:r>
              <w:rPr>
                <w:rFonts w:asciiTheme="minorEastAsia" w:hAnsiTheme="minorEastAsia" w:eastAsiaTheme="minorEastAsia"/>
                <w:sz w:val="18"/>
                <w:szCs w:val="18"/>
              </w:rPr>
              <w:t>综合运用所学</w:t>
            </w:r>
            <w:r>
              <w:rPr>
                <w:rFonts w:hint="eastAsia" w:asciiTheme="minorEastAsia" w:hAnsiTheme="minorEastAsia" w:eastAsiaTheme="minorEastAsia"/>
                <w:sz w:val="18"/>
                <w:szCs w:val="18"/>
              </w:rPr>
              <w:t>基础理论</w:t>
            </w:r>
            <w:r>
              <w:rPr>
                <w:rFonts w:asciiTheme="minorEastAsia" w:hAnsiTheme="minorEastAsia" w:eastAsiaTheme="minorEastAsia"/>
                <w:sz w:val="18"/>
                <w:szCs w:val="18"/>
              </w:rPr>
              <w:t>及专业知识，对题目相关的问题选择或给出适当的模型、算法和表达方式，能够提取关键技术点将工程要求转化为技术问题并清楚阐述</w:t>
            </w:r>
            <w:r>
              <w:rPr>
                <w:rFonts w:hint="eastAsia" w:asciiTheme="minorEastAsia" w:hAnsiTheme="minorEastAsia" w:eastAsiaTheme="minorEastAsia"/>
                <w:sz w:val="18"/>
                <w:szCs w:val="18"/>
              </w:rPr>
              <w:t>；</w:t>
            </w:r>
          </w:p>
        </w:tc>
        <w:tc>
          <w:tcPr>
            <w:tcW w:w="2353"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sz w:val="18"/>
                <w:szCs w:val="18"/>
              </w:rPr>
              <w:t>指标点2-2 问题表达</w:t>
            </w:r>
            <w:r>
              <w:rPr>
                <w:rFonts w:hint="eastAsia" w:asciiTheme="minorEastAsia" w:hAnsiTheme="minorEastAsia" w:eastAsiaTheme="minorEastAsia"/>
                <w:sz w:val="18"/>
                <w:szCs w:val="18"/>
              </w:rPr>
              <w:t>：能够应用科学原理对本专业复杂工程问题的识别结果进行有效表达，将工程问题转化为技术问题。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2</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能够根据项目要求针对性地开展</w:t>
            </w:r>
            <w:r>
              <w:rPr>
                <w:rFonts w:asciiTheme="minorEastAsia" w:hAnsiTheme="minorEastAsia" w:eastAsiaTheme="minorEastAsia"/>
                <w:sz w:val="18"/>
                <w:szCs w:val="18"/>
              </w:rPr>
              <w:t>调查研究、资料检索、文献查阅，并完成文献</w:t>
            </w:r>
            <w:r>
              <w:rPr>
                <w:rFonts w:hint="eastAsia" w:asciiTheme="minorEastAsia" w:hAnsiTheme="minorEastAsia" w:eastAsiaTheme="minorEastAsia"/>
                <w:sz w:val="18"/>
                <w:szCs w:val="18"/>
              </w:rPr>
              <w:t>综述和分析；</w:t>
            </w:r>
          </w:p>
        </w:tc>
        <w:tc>
          <w:tcPr>
            <w:tcW w:w="2353"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sz w:val="18"/>
                <w:szCs w:val="18"/>
              </w:rPr>
              <w:t>指标点2-4 信息获取能力</w:t>
            </w:r>
            <w:r>
              <w:rPr>
                <w:rFonts w:hint="eastAsia" w:asciiTheme="minorEastAsia" w:hAnsiTheme="minorEastAsia" w:eastAsiaTheme="minorEastAsia"/>
                <w:sz w:val="18"/>
                <w:szCs w:val="18"/>
              </w:rPr>
              <w:t>：掌握文献检索、资料查询及运用现代技术获取信息的方法，能通过该手段获取行业内解决同类问题的方法与效果，支撑自己的方案，并理解其差距与优势。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能够使用现代设计方法和正确的设计思想，开展设计方案的调研、比较、论证与综合优化，并完成方案设计；在设计中能够适当考虑相关的社会、环境、法律等方面的影响；</w:t>
            </w:r>
          </w:p>
        </w:tc>
        <w:tc>
          <w:tcPr>
            <w:tcW w:w="2353" w:type="pct"/>
            <w:tcBorders>
              <w:right w:val="nil"/>
            </w:tcBorders>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b/>
                <w:sz w:val="18"/>
                <w:szCs w:val="18"/>
              </w:rPr>
              <w:t>指标点3-1 按需设计</w:t>
            </w:r>
            <w:r>
              <w:rPr>
                <w:rFonts w:hint="eastAsia" w:asciiTheme="minorEastAsia" w:hAnsiTheme="minorEastAsia" w:eastAsiaTheme="minorEastAsia"/>
                <w:sz w:val="18"/>
                <w:szCs w:val="18"/>
              </w:rPr>
              <w:t>：</w:t>
            </w:r>
            <w:r>
              <w:rPr>
                <w:rFonts w:hint="eastAsia" w:asciiTheme="minorEastAsia" w:hAnsiTheme="minorEastAsia" w:eastAsiaTheme="minorEastAsia"/>
                <w:kern w:val="0"/>
                <w:sz w:val="18"/>
                <w:szCs w:val="18"/>
              </w:rPr>
              <w:t>能够根据用户特定需求设计复杂工程问题的解决方案，设计相关的电路系统</w:t>
            </w:r>
            <w:r>
              <w:rPr>
                <w:rFonts w:hint="eastAsia" w:asciiTheme="minorEastAsia" w:hAnsiTheme="minorEastAsia" w:eastAsiaTheme="minorEastAsia"/>
                <w:sz w:val="18"/>
                <w:szCs w:val="18"/>
              </w:rPr>
              <w:t>及</w:t>
            </w:r>
            <w:r>
              <w:rPr>
                <w:rFonts w:hint="eastAsia" w:asciiTheme="minorEastAsia" w:hAnsiTheme="minorEastAsia" w:eastAsiaTheme="minorEastAsia"/>
                <w:kern w:val="0"/>
                <w:sz w:val="18"/>
                <w:szCs w:val="18"/>
              </w:rPr>
              <w:t>工艺流程，并能够针对方案进行优化选择。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225" w:type="pct"/>
          </w:tcPr>
          <w:p>
            <w:pPr>
              <w:adjustRightInd w:val="0"/>
              <w:snapToGrid w:val="0"/>
              <w:spacing w:line="360" w:lineRule="auto"/>
              <w:rPr>
                <w:rFonts w:asciiTheme="minorEastAsia" w:hAnsiTheme="minorEastAsia" w:eastAsiaTheme="minorEastAsia"/>
                <w:color w:val="000000"/>
                <w:sz w:val="18"/>
                <w:szCs w:val="18"/>
              </w:rPr>
            </w:pPr>
            <w:r>
              <w:rPr>
                <w:rFonts w:asciiTheme="minorEastAsia" w:hAnsiTheme="minorEastAsia" w:eastAsiaTheme="minorEastAsia"/>
                <w:sz w:val="18"/>
                <w:szCs w:val="18"/>
              </w:rPr>
              <w:t>在项目实施过程中勇于实践、勇于探索和开拓</w:t>
            </w:r>
            <w:r>
              <w:rPr>
                <w:rFonts w:hint="eastAsia" w:asciiTheme="minorEastAsia" w:hAnsiTheme="minorEastAsia" w:eastAsiaTheme="minorEastAsia"/>
                <w:sz w:val="18"/>
                <w:szCs w:val="18"/>
              </w:rPr>
              <w:t>创新</w:t>
            </w:r>
            <w:r>
              <w:rPr>
                <w:rFonts w:asciiTheme="minorEastAsia" w:hAnsiTheme="minorEastAsia" w:eastAsiaTheme="minorEastAsia"/>
                <w:sz w:val="18"/>
                <w:szCs w:val="18"/>
              </w:rPr>
              <w:t>，体现创新意识</w:t>
            </w:r>
            <w:r>
              <w:rPr>
                <w:rFonts w:hint="eastAsia" w:asciiTheme="minorEastAsia" w:hAnsiTheme="minorEastAsia" w:eastAsiaTheme="minorEastAsia"/>
                <w:sz w:val="18"/>
                <w:szCs w:val="18"/>
              </w:rPr>
              <w:t>。</w:t>
            </w:r>
          </w:p>
        </w:tc>
        <w:tc>
          <w:tcPr>
            <w:tcW w:w="2353" w:type="pct"/>
            <w:tcBorders>
              <w:bottom w:val="single" w:color="auto" w:sz="4" w:space="0"/>
              <w:right w:val="nil"/>
            </w:tcBorders>
          </w:tcPr>
          <w:p>
            <w:pPr>
              <w:adjustRightInd w:val="0"/>
              <w:snapToGrid w:val="0"/>
              <w:spacing w:line="360" w:lineRule="auto"/>
              <w:rPr>
                <w:rFonts w:asciiTheme="minorEastAsia" w:hAnsiTheme="minorEastAsia" w:eastAsiaTheme="minorEastAsia"/>
                <w:b/>
                <w:color w:val="000000"/>
                <w:sz w:val="18"/>
                <w:szCs w:val="18"/>
              </w:rPr>
            </w:pPr>
            <w:r>
              <w:rPr>
                <w:rFonts w:hint="eastAsia" w:asciiTheme="minorEastAsia" w:hAnsiTheme="minorEastAsia" w:eastAsiaTheme="minorEastAsia"/>
                <w:b/>
                <w:sz w:val="18"/>
                <w:szCs w:val="18"/>
              </w:rPr>
              <w:t>指标点3-3 创新意识</w:t>
            </w:r>
            <w:r>
              <w:rPr>
                <w:rFonts w:hint="eastAsia" w:asciiTheme="minorEastAsia" w:hAnsiTheme="minorEastAsia" w:eastAsiaTheme="minorEastAsia"/>
                <w:sz w:val="18"/>
                <w:szCs w:val="18"/>
              </w:rPr>
              <w:t>：积极参与各类创新活动，在专业设计过程中能够体现创新意识。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2225" w:type="pct"/>
          </w:tcPr>
          <w:p>
            <w:pPr>
              <w:adjustRightInd w:val="0"/>
              <w:snapToGrid w:val="0"/>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t>能够</w:t>
            </w:r>
            <w:r>
              <w:rPr>
                <w:rFonts w:ascii="宋体" w:hAnsi="宋体"/>
                <w:sz w:val="18"/>
                <w:szCs w:val="18"/>
              </w:rPr>
              <w:t>针对项目要求，</w:t>
            </w:r>
            <w:r>
              <w:rPr>
                <w:rFonts w:asciiTheme="minorEastAsia" w:hAnsiTheme="minorEastAsia" w:eastAsiaTheme="minorEastAsia"/>
                <w:sz w:val="18"/>
                <w:szCs w:val="18"/>
              </w:rPr>
              <w:t>采用多种手段和方法，广泛了解该领域相关技术的发展现状，有选择地借鉴或发展相关的研究方法和实验方案；</w:t>
            </w:r>
          </w:p>
        </w:tc>
        <w:tc>
          <w:tcPr>
            <w:tcW w:w="2353" w:type="pct"/>
            <w:tcBorders>
              <w:right w:val="nil"/>
            </w:tcBorders>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b/>
                <w:sz w:val="18"/>
                <w:szCs w:val="18"/>
              </w:rPr>
              <w:t>指标点4-1 领域现状认知能力</w:t>
            </w:r>
            <w:r>
              <w:rPr>
                <w:rFonts w:hint="eastAsia" w:asciiTheme="minorEastAsia" w:hAnsiTheme="minorEastAsia" w:eastAsiaTheme="minorEastAsia"/>
                <w:sz w:val="18"/>
                <w:szCs w:val="18"/>
              </w:rPr>
              <w:t>：</w:t>
            </w:r>
            <w:r>
              <w:rPr>
                <w:rFonts w:hint="eastAsia" w:asciiTheme="minorEastAsia" w:hAnsiTheme="minorEastAsia" w:eastAsiaTheme="minorEastAsia"/>
                <w:kern w:val="0"/>
                <w:sz w:val="18"/>
                <w:szCs w:val="18"/>
              </w:rPr>
              <w:t>了解电子科学与技术专业领域背景及经典案例，能够针对复杂工程问题提出研究思路和分析方法，并有意识地将实验结果用于指导解决方案的改善和优化。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225" w:type="pct"/>
          </w:tcPr>
          <w:p>
            <w:pPr>
              <w:adjustRightInd w:val="0"/>
              <w:snapToGrid w:val="0"/>
              <w:spacing w:line="360" w:lineRule="auto"/>
              <w:rPr>
                <w:rFonts w:asciiTheme="minorEastAsia" w:hAnsiTheme="minorEastAsia" w:eastAsiaTheme="minorEastAsia"/>
                <w:sz w:val="18"/>
                <w:szCs w:val="18"/>
              </w:rPr>
            </w:pPr>
            <w:r>
              <w:rPr>
                <w:rFonts w:asciiTheme="minorEastAsia" w:hAnsiTheme="minorEastAsia" w:eastAsiaTheme="minorEastAsia"/>
                <w:sz w:val="18"/>
                <w:szCs w:val="18"/>
              </w:rPr>
              <w:t>能够根据项目需求，自行建立必要的实验、计算、仿真、验证环境</w:t>
            </w:r>
            <w:r>
              <w:rPr>
                <w:rFonts w:ascii="宋体" w:hAnsi="宋体"/>
                <w:sz w:val="18"/>
                <w:szCs w:val="18"/>
              </w:rPr>
              <w:t>和实施方案</w:t>
            </w:r>
            <w:r>
              <w:rPr>
                <w:rFonts w:asciiTheme="minorEastAsia" w:hAnsiTheme="minorEastAsia" w:eastAsiaTheme="minorEastAsia"/>
                <w:sz w:val="18"/>
                <w:szCs w:val="18"/>
              </w:rPr>
              <w:t>，开展相应的工作，并将结果用于项目改进。</w:t>
            </w:r>
          </w:p>
        </w:tc>
        <w:tc>
          <w:tcPr>
            <w:tcW w:w="2353" w:type="pct"/>
            <w:tcBorders>
              <w:right w:val="nil"/>
            </w:tcBorders>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b/>
                <w:sz w:val="18"/>
                <w:szCs w:val="18"/>
              </w:rPr>
              <w:t>指标点4-2实验设计能力</w:t>
            </w:r>
            <w:r>
              <w:rPr>
                <w:rFonts w:hint="eastAsia" w:asciiTheme="minorEastAsia" w:hAnsiTheme="minorEastAsia" w:eastAsiaTheme="minorEastAsia"/>
                <w:sz w:val="18"/>
                <w:szCs w:val="18"/>
              </w:rPr>
              <w:t>：</w:t>
            </w:r>
            <w:r>
              <w:rPr>
                <w:rFonts w:hint="eastAsia" w:asciiTheme="minorEastAsia" w:hAnsiTheme="minorEastAsia" w:eastAsiaTheme="minorEastAsia"/>
                <w:kern w:val="0"/>
                <w:sz w:val="18"/>
                <w:szCs w:val="18"/>
              </w:rPr>
              <w:t>能够基于专业理论，根据所面对的复杂问题特征，选择研究路线，设计可行的实验方案，并选用或搭建实验装置，开展研究。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p>
        </w:tc>
        <w:tc>
          <w:tcPr>
            <w:tcW w:w="2225" w:type="pct"/>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sz w:val="18"/>
                <w:szCs w:val="18"/>
              </w:rPr>
              <w:t>能够利用</w:t>
            </w:r>
            <w:r>
              <w:rPr>
                <w:rFonts w:asciiTheme="minorEastAsia" w:hAnsiTheme="minorEastAsia" w:eastAsiaTheme="minorEastAsia"/>
                <w:sz w:val="18"/>
                <w:szCs w:val="18"/>
              </w:rPr>
              <w:t>计算机、网络、基本软硬件设计工具、</w:t>
            </w:r>
            <w:r>
              <w:rPr>
                <w:rFonts w:hint="eastAsia" w:asciiTheme="minorEastAsia" w:hAnsiTheme="minorEastAsia" w:eastAsiaTheme="minorEastAsia"/>
                <w:sz w:val="18"/>
                <w:szCs w:val="18"/>
              </w:rPr>
              <w:t>仪器</w:t>
            </w:r>
            <w:r>
              <w:rPr>
                <w:rFonts w:asciiTheme="minorEastAsia" w:hAnsiTheme="minorEastAsia" w:eastAsiaTheme="minorEastAsia"/>
                <w:sz w:val="18"/>
                <w:szCs w:val="18"/>
              </w:rPr>
              <w:t>和开发软件，进行软硬件</w:t>
            </w:r>
            <w:r>
              <w:rPr>
                <w:rFonts w:hint="eastAsia" w:asciiTheme="minorEastAsia" w:hAnsiTheme="minorEastAsia" w:eastAsiaTheme="minorEastAsia"/>
                <w:sz w:val="18"/>
                <w:szCs w:val="18"/>
              </w:rPr>
              <w:t>设计</w:t>
            </w:r>
            <w:r>
              <w:rPr>
                <w:rFonts w:asciiTheme="minorEastAsia" w:hAnsiTheme="minorEastAsia" w:eastAsiaTheme="minorEastAsia"/>
                <w:sz w:val="18"/>
                <w:szCs w:val="18"/>
              </w:rPr>
              <w:t>、</w:t>
            </w:r>
            <w:r>
              <w:rPr>
                <w:rFonts w:hint="eastAsia" w:asciiTheme="minorEastAsia" w:hAnsiTheme="minorEastAsia" w:eastAsiaTheme="minorEastAsia"/>
                <w:sz w:val="18"/>
                <w:szCs w:val="18"/>
              </w:rPr>
              <w:t>制作</w:t>
            </w:r>
            <w:r>
              <w:rPr>
                <w:rFonts w:asciiTheme="minorEastAsia" w:hAnsiTheme="minorEastAsia" w:eastAsiaTheme="minorEastAsia"/>
                <w:sz w:val="18"/>
                <w:szCs w:val="18"/>
              </w:rPr>
              <w:t>、实验调试、性能分析</w:t>
            </w:r>
            <w:r>
              <w:rPr>
                <w:rFonts w:hint="eastAsia" w:asciiTheme="minorEastAsia" w:hAnsiTheme="minorEastAsia" w:eastAsiaTheme="minorEastAsia"/>
                <w:sz w:val="18"/>
                <w:szCs w:val="18"/>
              </w:rPr>
              <w:t>；</w:t>
            </w:r>
          </w:p>
        </w:tc>
        <w:tc>
          <w:tcPr>
            <w:tcW w:w="2353" w:type="pct"/>
            <w:tcBorders>
              <w:right w:val="nil"/>
            </w:tcBorders>
          </w:tcPr>
          <w:p>
            <w:pPr>
              <w:adjustRightInd w:val="0"/>
              <w:snapToGrid w:val="0"/>
              <w:spacing w:line="360" w:lineRule="auto"/>
              <w:rPr>
                <w:rFonts w:asciiTheme="minorEastAsia" w:hAnsiTheme="minorEastAsia" w:eastAsiaTheme="minorEastAsia"/>
                <w:b/>
                <w:color w:val="000000"/>
                <w:sz w:val="18"/>
                <w:szCs w:val="18"/>
              </w:rPr>
            </w:pPr>
            <w:r>
              <w:rPr>
                <w:rFonts w:hint="eastAsia" w:asciiTheme="minorEastAsia" w:hAnsiTheme="minorEastAsia" w:eastAsiaTheme="minorEastAsia"/>
                <w:b/>
                <w:sz w:val="18"/>
                <w:szCs w:val="18"/>
              </w:rPr>
              <w:t>指标点5-1 工具选择与开发</w:t>
            </w:r>
            <w:r>
              <w:rPr>
                <w:rFonts w:hint="eastAsia" w:asciiTheme="minorEastAsia" w:hAnsiTheme="minorEastAsia" w:eastAsiaTheme="minorEastAsia"/>
                <w:sz w:val="18"/>
                <w:szCs w:val="18"/>
              </w:rPr>
              <w:t>：了解当前主流工具的优点与不足，能针对复杂工程问题特性与需求做出对比选择，并能够开发一定的辅助工具用于解决问题。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能够充分利用高级语言、通用数据处理软件和字处理等其它信息技术工具与资源，提高工作效率。</w:t>
            </w:r>
          </w:p>
        </w:tc>
        <w:tc>
          <w:tcPr>
            <w:tcW w:w="2353" w:type="pct"/>
            <w:tcBorders>
              <w:right w:val="nil"/>
            </w:tcBorders>
          </w:tcPr>
          <w:p>
            <w:pPr>
              <w:adjustRightInd w:val="0"/>
              <w:snapToGrid w:val="0"/>
              <w:spacing w:line="360" w:lineRule="auto"/>
              <w:rPr>
                <w:rFonts w:asciiTheme="minorEastAsia" w:hAnsiTheme="minorEastAsia" w:eastAsiaTheme="minorEastAsia"/>
                <w:b/>
                <w:sz w:val="18"/>
                <w:szCs w:val="18"/>
              </w:rPr>
            </w:pPr>
            <w:r>
              <w:rPr>
                <w:rFonts w:hint="eastAsia" w:asciiTheme="minorEastAsia" w:hAnsiTheme="minorEastAsia" w:eastAsiaTheme="minorEastAsia"/>
                <w:b/>
                <w:sz w:val="18"/>
                <w:szCs w:val="18"/>
              </w:rPr>
              <w:t>指标点5-3 其它手段与资源</w:t>
            </w:r>
            <w:r>
              <w:rPr>
                <w:rFonts w:hint="eastAsia" w:asciiTheme="minorEastAsia" w:hAnsiTheme="minorEastAsia" w:eastAsiaTheme="minorEastAsia"/>
                <w:sz w:val="18"/>
                <w:szCs w:val="18"/>
              </w:rPr>
              <w:t>：能够充分利用高级语言、通用数据处理软件和字处理等其它信息技术工具与资源，提高工作效率。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了解项目相关的设计规范、标准和行业特殊需求，在项目开展过程中加以遵守；</w:t>
            </w:r>
          </w:p>
        </w:tc>
        <w:tc>
          <w:tcPr>
            <w:tcW w:w="2353" w:type="pct"/>
            <w:tcBorders>
              <w:right w:val="nil"/>
            </w:tcBorders>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b/>
                <w:sz w:val="18"/>
                <w:szCs w:val="18"/>
              </w:rPr>
              <w:t>指标点6-2 落实法规</w:t>
            </w:r>
            <w:r>
              <w:rPr>
                <w:rFonts w:hint="eastAsia" w:asciiTheme="minorEastAsia" w:hAnsiTheme="minorEastAsia" w:eastAsiaTheme="minorEastAsia"/>
                <w:sz w:val="18"/>
                <w:szCs w:val="18"/>
              </w:rPr>
              <w:t>：初步了解航天、航空、兵器以及民用领域行业技术需求上的差别，了解与电子信息行业相关的技术标准、知识产权、产业政策和法律法规，能在工程实践中予以落实，并理解违反上述法规应承担的责任。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能够在方案设计时预计到项目实施对社会、健康、安全、法律以及文化的潜在影响；</w:t>
            </w:r>
          </w:p>
        </w:tc>
        <w:tc>
          <w:tcPr>
            <w:tcW w:w="2353" w:type="pct"/>
            <w:tcBorders>
              <w:right w:val="nil"/>
            </w:tcBorders>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b/>
                <w:sz w:val="18"/>
                <w:szCs w:val="18"/>
              </w:rPr>
              <w:t>指标点6-3 社会影响评价</w:t>
            </w:r>
            <w:r>
              <w:rPr>
                <w:rFonts w:hint="eastAsia" w:asciiTheme="minorEastAsia" w:hAnsiTheme="minorEastAsia" w:eastAsiaTheme="minorEastAsia"/>
                <w:sz w:val="18"/>
                <w:szCs w:val="18"/>
              </w:rPr>
              <w:t>：能客观分析预测专业工程实践、复杂工程问题解决方案、新产品新技术开发和应用对社会、健康、安全、法律以及文化的潜在影响。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1</w:t>
            </w:r>
          </w:p>
        </w:tc>
        <w:tc>
          <w:tcPr>
            <w:tcW w:w="2225" w:type="pct"/>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sz w:val="18"/>
                <w:szCs w:val="18"/>
              </w:rPr>
              <w:t>能够</w:t>
            </w:r>
            <w:r>
              <w:rPr>
                <w:rFonts w:asciiTheme="minorEastAsia" w:hAnsiTheme="minorEastAsia" w:eastAsiaTheme="minorEastAsia"/>
                <w:sz w:val="18"/>
                <w:szCs w:val="18"/>
              </w:rPr>
              <w:t>撰写符合规范、结构合理、论据充分的说明</w:t>
            </w:r>
            <w:r>
              <w:rPr>
                <w:rFonts w:hint="eastAsia" w:asciiTheme="minorEastAsia" w:hAnsiTheme="minorEastAsia" w:eastAsiaTheme="minorEastAsia"/>
                <w:sz w:val="18"/>
                <w:szCs w:val="18"/>
              </w:rPr>
              <w:t>书</w:t>
            </w:r>
            <w:r>
              <w:rPr>
                <w:rFonts w:asciiTheme="minorEastAsia" w:hAnsiTheme="minorEastAsia" w:eastAsiaTheme="minorEastAsia"/>
                <w:sz w:val="18"/>
                <w:szCs w:val="18"/>
              </w:rPr>
              <w:t>或</w:t>
            </w:r>
            <w:r>
              <w:rPr>
                <w:rFonts w:hint="eastAsia" w:asciiTheme="minorEastAsia" w:hAnsiTheme="minorEastAsia" w:eastAsiaTheme="minorEastAsia"/>
                <w:sz w:val="18"/>
                <w:szCs w:val="18"/>
              </w:rPr>
              <w:t>论文</w:t>
            </w:r>
            <w:r>
              <w:rPr>
                <w:rFonts w:asciiTheme="minorEastAsia" w:hAnsiTheme="minorEastAsia" w:eastAsiaTheme="minorEastAsia"/>
                <w:sz w:val="18"/>
                <w:szCs w:val="18"/>
              </w:rPr>
              <w:t>，</w:t>
            </w:r>
            <w:r>
              <w:rPr>
                <w:rFonts w:hint="eastAsia" w:asciiTheme="minorEastAsia" w:hAnsiTheme="minorEastAsia" w:eastAsiaTheme="minorEastAsia"/>
                <w:sz w:val="18"/>
                <w:szCs w:val="18"/>
              </w:rPr>
              <w:t>通过</w:t>
            </w:r>
            <w:r>
              <w:rPr>
                <w:rFonts w:asciiTheme="minorEastAsia" w:hAnsiTheme="minorEastAsia" w:eastAsiaTheme="minorEastAsia"/>
                <w:sz w:val="18"/>
                <w:szCs w:val="18"/>
              </w:rPr>
              <w:t>规范</w:t>
            </w:r>
            <w:r>
              <w:rPr>
                <w:rFonts w:hint="eastAsia" w:asciiTheme="minorEastAsia" w:hAnsiTheme="minorEastAsia" w:eastAsiaTheme="minorEastAsia"/>
                <w:sz w:val="18"/>
                <w:szCs w:val="18"/>
              </w:rPr>
              <w:t>的</w:t>
            </w:r>
            <w:r>
              <w:rPr>
                <w:rFonts w:asciiTheme="minorEastAsia" w:hAnsiTheme="minorEastAsia" w:eastAsiaTheme="minorEastAsia"/>
                <w:sz w:val="18"/>
                <w:szCs w:val="18"/>
              </w:rPr>
              <w:t>表达</w:t>
            </w:r>
            <w:r>
              <w:rPr>
                <w:rFonts w:hint="eastAsia" w:asciiTheme="minorEastAsia" w:hAnsiTheme="minorEastAsia" w:eastAsiaTheme="minorEastAsia"/>
                <w:sz w:val="18"/>
                <w:szCs w:val="18"/>
              </w:rPr>
              <w:t>达到</w:t>
            </w:r>
            <w:r>
              <w:rPr>
                <w:rFonts w:asciiTheme="minorEastAsia" w:hAnsiTheme="minorEastAsia" w:eastAsiaTheme="minorEastAsia"/>
                <w:sz w:val="18"/>
                <w:szCs w:val="18"/>
              </w:rPr>
              <w:t>与</w:t>
            </w:r>
            <w:r>
              <w:rPr>
                <w:rFonts w:hint="eastAsia" w:asciiTheme="minorEastAsia" w:hAnsiTheme="minorEastAsia" w:eastAsiaTheme="minorEastAsia"/>
                <w:sz w:val="18"/>
                <w:szCs w:val="18"/>
              </w:rPr>
              <w:t>他人</w:t>
            </w:r>
            <w:r>
              <w:rPr>
                <w:rFonts w:asciiTheme="minorEastAsia" w:hAnsiTheme="minorEastAsia" w:eastAsiaTheme="minorEastAsia"/>
                <w:sz w:val="18"/>
                <w:szCs w:val="18"/>
              </w:rPr>
              <w:t>有效沟通；</w:t>
            </w:r>
          </w:p>
        </w:tc>
        <w:tc>
          <w:tcPr>
            <w:tcW w:w="2353" w:type="pct"/>
            <w:tcBorders>
              <w:right w:val="nil"/>
            </w:tcBorders>
          </w:tcPr>
          <w:p>
            <w:pPr>
              <w:adjustRightInd w:val="0"/>
              <w:snapToGrid w:val="0"/>
              <w:spacing w:line="360" w:lineRule="auto"/>
              <w:rPr>
                <w:rFonts w:asciiTheme="minorEastAsia" w:hAnsiTheme="minorEastAsia" w:eastAsiaTheme="minorEastAsia"/>
                <w:b/>
                <w:color w:val="000000"/>
                <w:sz w:val="18"/>
                <w:szCs w:val="18"/>
              </w:rPr>
            </w:pPr>
            <w:r>
              <w:rPr>
                <w:rFonts w:hint="eastAsia" w:asciiTheme="minorEastAsia" w:hAnsiTheme="minorEastAsia" w:eastAsiaTheme="minorEastAsia"/>
                <w:b/>
                <w:sz w:val="18"/>
                <w:szCs w:val="18"/>
              </w:rPr>
              <w:t>指标点10-1 沟通与表达</w:t>
            </w:r>
            <w:r>
              <w:rPr>
                <w:rFonts w:hint="eastAsia" w:asciiTheme="minorEastAsia" w:hAnsiTheme="minorEastAsia" w:eastAsiaTheme="minorEastAsia"/>
                <w:sz w:val="18"/>
                <w:szCs w:val="18"/>
              </w:rPr>
              <w:t>：能够熟练、正确、规范地撰写技术报告和设计文稿，并能针对主题陈述发言、清晰表达自己的观点、正确回应指令，达到沟通目的。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2</w:t>
            </w:r>
          </w:p>
        </w:tc>
        <w:tc>
          <w:tcPr>
            <w:tcW w:w="2225" w:type="pct"/>
          </w:tcPr>
          <w:p>
            <w:pPr>
              <w:adjustRightInd w:val="0"/>
              <w:snapToGrid w:val="0"/>
              <w:spacing w:line="360" w:lineRule="auto"/>
              <w:rPr>
                <w:rFonts w:asciiTheme="minorEastAsia" w:hAnsiTheme="minorEastAsia" w:eastAsiaTheme="minorEastAsia"/>
                <w:sz w:val="18"/>
                <w:szCs w:val="18"/>
              </w:rPr>
            </w:pPr>
            <w:r>
              <w:rPr>
                <w:rFonts w:hint="eastAsia" w:asciiTheme="minorEastAsia" w:hAnsiTheme="minorEastAsia" w:eastAsiaTheme="minorEastAsia"/>
                <w:sz w:val="18"/>
                <w:szCs w:val="18"/>
              </w:rPr>
              <w:t>能够查阅借鉴国内外项目相关的英文背景资料，了解国际上相关技术发展情况，并完成一定的文献翻译工作；能够将自己的设计成果以英文摘要的方式加以展现；能够在项目方案中避免文化差异引起的问题；</w:t>
            </w:r>
          </w:p>
        </w:tc>
        <w:tc>
          <w:tcPr>
            <w:tcW w:w="2353" w:type="pct"/>
            <w:tcBorders>
              <w:right w:val="nil"/>
            </w:tcBorders>
          </w:tcPr>
          <w:p>
            <w:pPr>
              <w:adjustRightInd w:val="0"/>
              <w:snapToGrid w:val="0"/>
              <w:spacing w:line="360" w:lineRule="auto"/>
              <w:rPr>
                <w:rFonts w:asciiTheme="minorEastAsia" w:hAnsiTheme="minorEastAsia" w:eastAsiaTheme="minorEastAsia"/>
                <w:b/>
                <w:sz w:val="18"/>
                <w:szCs w:val="18"/>
              </w:rPr>
            </w:pPr>
            <w:r>
              <w:rPr>
                <w:rFonts w:hint="eastAsia" w:asciiTheme="minorEastAsia" w:hAnsiTheme="minorEastAsia" w:eastAsiaTheme="minorEastAsia"/>
                <w:b/>
                <w:sz w:val="18"/>
                <w:szCs w:val="18"/>
              </w:rPr>
              <w:t>指标点10-2 跨文化交流</w:t>
            </w:r>
            <w:r>
              <w:rPr>
                <w:rFonts w:hint="eastAsia" w:asciiTheme="minorEastAsia" w:hAnsiTheme="minorEastAsia" w:eastAsiaTheme="minorEastAsia"/>
                <w:sz w:val="18"/>
                <w:szCs w:val="18"/>
              </w:rPr>
              <w:t>：具备使用一门外语沟通交流的能力，了解并尊重不同文化，能够通过跨文化交流、竞争与合作开阔国际视野。能区别不同的对象、场所和要求，采用合适的方式进行有效沟通。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left w:val="nil"/>
            </w:tcBorders>
            <w:vAlign w:val="center"/>
          </w:tcPr>
          <w:p>
            <w:pPr>
              <w:adjustRightInd w:val="0"/>
              <w:snapToGrid w:val="0"/>
              <w:spacing w:line="36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3</w:t>
            </w:r>
          </w:p>
        </w:tc>
        <w:tc>
          <w:tcPr>
            <w:tcW w:w="2225" w:type="pct"/>
          </w:tcPr>
          <w:p>
            <w:pPr>
              <w:adjustRightInd w:val="0"/>
              <w:snapToGrid w:val="0"/>
              <w:spacing w:line="360" w:lineRule="auto"/>
              <w:rPr>
                <w:rFonts w:asciiTheme="minorEastAsia" w:hAnsiTheme="minorEastAsia" w:eastAsiaTheme="minorEastAsia"/>
                <w:color w:val="000000"/>
                <w:sz w:val="18"/>
                <w:szCs w:val="18"/>
              </w:rPr>
            </w:pPr>
            <w:r>
              <w:rPr>
                <w:rFonts w:hint="eastAsia" w:asciiTheme="minorEastAsia" w:hAnsiTheme="minorEastAsia" w:eastAsiaTheme="minorEastAsia"/>
                <w:sz w:val="18"/>
                <w:szCs w:val="18"/>
              </w:rPr>
              <w:t>能够在项目实施过程中</w:t>
            </w:r>
            <w:r>
              <w:rPr>
                <w:rFonts w:asciiTheme="minorEastAsia" w:hAnsiTheme="minorEastAsia" w:eastAsiaTheme="minorEastAsia"/>
                <w:sz w:val="18"/>
                <w:szCs w:val="18"/>
              </w:rPr>
              <w:t>强化工程实践意识</w:t>
            </w:r>
            <w:r>
              <w:rPr>
                <w:rFonts w:hint="eastAsia" w:asciiTheme="minorEastAsia" w:hAnsiTheme="minorEastAsia" w:eastAsiaTheme="minorEastAsia"/>
                <w:sz w:val="18"/>
                <w:szCs w:val="18"/>
              </w:rPr>
              <w:t>，</w:t>
            </w:r>
            <w:r>
              <w:rPr>
                <w:rFonts w:asciiTheme="minorEastAsia" w:hAnsiTheme="minorEastAsia" w:eastAsiaTheme="minorEastAsia"/>
                <w:sz w:val="18"/>
                <w:szCs w:val="18"/>
              </w:rPr>
              <w:t>适当</w:t>
            </w:r>
            <w:r>
              <w:rPr>
                <w:rFonts w:hint="eastAsia" w:asciiTheme="minorEastAsia" w:hAnsiTheme="minorEastAsia" w:eastAsiaTheme="minorEastAsia"/>
                <w:sz w:val="18"/>
                <w:szCs w:val="18"/>
              </w:rPr>
              <w:t>运用</w:t>
            </w:r>
            <w:r>
              <w:rPr>
                <w:rFonts w:asciiTheme="minorEastAsia" w:hAnsiTheme="minorEastAsia" w:eastAsiaTheme="minorEastAsia"/>
                <w:sz w:val="18"/>
                <w:szCs w:val="18"/>
              </w:rPr>
              <w:t>工程管理</w:t>
            </w:r>
            <w:r>
              <w:rPr>
                <w:rFonts w:hint="eastAsia" w:asciiTheme="minorEastAsia" w:hAnsiTheme="minorEastAsia" w:eastAsiaTheme="minorEastAsia"/>
                <w:sz w:val="18"/>
                <w:szCs w:val="18"/>
              </w:rPr>
              <w:t>和</w:t>
            </w:r>
            <w:r>
              <w:rPr>
                <w:rFonts w:asciiTheme="minorEastAsia" w:hAnsiTheme="minorEastAsia" w:eastAsiaTheme="minorEastAsia"/>
                <w:sz w:val="18"/>
                <w:szCs w:val="18"/>
              </w:rPr>
              <w:t>经济决策的思想，体现成本管理、进度管理、资源优化的意识；</w:t>
            </w:r>
          </w:p>
        </w:tc>
        <w:tc>
          <w:tcPr>
            <w:tcW w:w="2353" w:type="pct"/>
            <w:tcBorders>
              <w:right w:val="nil"/>
            </w:tcBorders>
          </w:tcPr>
          <w:p>
            <w:pPr>
              <w:adjustRightInd w:val="0"/>
              <w:snapToGrid w:val="0"/>
              <w:spacing w:line="360" w:lineRule="auto"/>
              <w:rPr>
                <w:rFonts w:asciiTheme="minorEastAsia" w:hAnsiTheme="minorEastAsia" w:eastAsiaTheme="minorEastAsia"/>
                <w:b/>
                <w:color w:val="000000"/>
                <w:sz w:val="18"/>
                <w:szCs w:val="18"/>
              </w:rPr>
            </w:pPr>
            <w:r>
              <w:rPr>
                <w:rFonts w:hint="eastAsia" w:asciiTheme="minorEastAsia" w:hAnsiTheme="minorEastAsia" w:eastAsiaTheme="minorEastAsia"/>
                <w:b/>
                <w:sz w:val="18"/>
                <w:szCs w:val="18"/>
              </w:rPr>
              <w:t>指标点11-2 项目管理实践</w:t>
            </w:r>
            <w:r>
              <w:rPr>
                <w:rFonts w:hint="eastAsia" w:asciiTheme="minorEastAsia" w:hAnsiTheme="minorEastAsia" w:eastAsiaTheme="minorEastAsia"/>
                <w:sz w:val="18"/>
                <w:szCs w:val="18"/>
              </w:rPr>
              <w:t>：能够在多学科环境中将工程项目管理与经济决策的知识和方法应用到专业工程实践中，协调平衡多种资源，使工程实践经济效益得到优化。</w:t>
            </w:r>
          </w:p>
        </w:tc>
      </w:tr>
    </w:tbl>
    <w:p>
      <w:pPr>
        <w:tabs>
          <w:tab w:val="left" w:pos="420"/>
        </w:tabs>
        <w:adjustRightInd w:val="0"/>
        <w:snapToGrid w:val="0"/>
        <w:spacing w:line="360" w:lineRule="auto"/>
        <w:rPr>
          <w:szCs w:val="24"/>
        </w:rPr>
      </w:pPr>
    </w:p>
    <w:p>
      <w:pPr>
        <w:adjustRightInd w:val="0"/>
        <w:snapToGrid w:val="0"/>
        <w:spacing w:line="360" w:lineRule="auto"/>
        <w:ind w:firstLine="420" w:firstLineChars="200"/>
        <w:rPr>
          <w:szCs w:val="21"/>
        </w:rPr>
      </w:pPr>
    </w:p>
    <w:p>
      <w:pPr>
        <w:spacing w:line="360" w:lineRule="auto"/>
        <w:ind w:firstLine="420" w:firstLineChars="200"/>
        <w:rPr>
          <w:szCs w:val="21"/>
        </w:rPr>
      </w:pPr>
      <w:r>
        <w:rPr>
          <w:rFonts w:hint="eastAsia"/>
          <w:szCs w:val="21"/>
        </w:rPr>
        <w:t>思政目标：</w:t>
      </w:r>
    </w:p>
    <w:p>
      <w:pPr>
        <w:spacing w:line="360" w:lineRule="auto"/>
        <w:ind w:firstLine="420" w:firstLineChars="200"/>
        <w:rPr>
          <w:szCs w:val="21"/>
        </w:rPr>
      </w:pPr>
      <w:r>
        <w:rPr>
          <w:szCs w:val="21"/>
        </w:rPr>
        <w:t>学生能够在</w:t>
      </w:r>
      <w:r>
        <w:rPr>
          <w:rFonts w:hint="eastAsia"/>
          <w:szCs w:val="21"/>
        </w:rPr>
        <w:t>工程问题的实现</w:t>
      </w:r>
      <w:r>
        <w:rPr>
          <w:szCs w:val="21"/>
        </w:rPr>
        <w:t>方案中尊重社会、环境、法律、经济、道德、政策、文化等因素影响，具有法律意识，遵守职业道德规范。</w:t>
      </w:r>
    </w:p>
    <w:p>
      <w:pPr>
        <w:spacing w:line="360" w:lineRule="auto"/>
        <w:ind w:firstLine="420" w:firstLineChars="200"/>
        <w:rPr>
          <w:szCs w:val="21"/>
        </w:rPr>
      </w:pPr>
      <w:r>
        <w:rPr>
          <w:rFonts w:hint="eastAsia"/>
          <w:szCs w:val="21"/>
        </w:rPr>
        <w:t>根据社会与民生需求解决问题</w:t>
      </w:r>
      <w:r>
        <w:rPr>
          <w:szCs w:val="21"/>
        </w:rPr>
        <w:t>，</w:t>
      </w:r>
      <w:r>
        <w:rPr>
          <w:rFonts w:hint="eastAsia"/>
          <w:szCs w:val="21"/>
        </w:rPr>
        <w:t>培养</w:t>
      </w:r>
      <w:r>
        <w:rPr>
          <w:szCs w:val="21"/>
        </w:rPr>
        <w:t>以服务国</w:t>
      </w:r>
      <w:r>
        <w:rPr>
          <w:rFonts w:hint="eastAsia"/>
          <w:szCs w:val="21"/>
        </w:rPr>
        <w:t>家</w:t>
      </w:r>
      <w:r>
        <w:rPr>
          <w:szCs w:val="21"/>
        </w:rPr>
        <w:t>、服务社会为己任</w:t>
      </w:r>
      <w:r>
        <w:rPr>
          <w:rFonts w:hint="eastAsia"/>
          <w:szCs w:val="21"/>
        </w:rPr>
        <w:t>的素质。</w:t>
      </w:r>
    </w:p>
    <w:p>
      <w:pPr>
        <w:adjustRightInd w:val="0"/>
        <w:snapToGrid w:val="0"/>
        <w:spacing w:line="360" w:lineRule="auto"/>
        <w:ind w:firstLine="420" w:firstLineChars="200"/>
        <w:rPr>
          <w:szCs w:val="21"/>
        </w:rPr>
      </w:pPr>
    </w:p>
    <w:p>
      <w:pPr>
        <w:tabs>
          <w:tab w:val="left" w:pos="420"/>
        </w:tabs>
        <w:adjustRightInd w:val="0"/>
        <w:snapToGrid w:val="0"/>
        <w:spacing w:before="120" w:beforeLines="50" w:line="360" w:lineRule="auto"/>
        <w:ind w:left="420" w:hanging="420"/>
        <w:rPr>
          <w:rFonts w:eastAsia="黑体"/>
          <w:szCs w:val="24"/>
        </w:rPr>
      </w:pPr>
      <w:r>
        <w:rPr>
          <w:rFonts w:hint="eastAsia" w:eastAsia="黑体"/>
          <w:szCs w:val="24"/>
        </w:rPr>
        <w:t>三、基本要求</w:t>
      </w:r>
    </w:p>
    <w:p>
      <w:pPr>
        <w:adjustRightInd w:val="0"/>
        <w:snapToGrid w:val="0"/>
        <w:spacing w:line="360" w:lineRule="auto"/>
        <w:ind w:firstLine="420" w:firstLineChars="200"/>
        <w:rPr>
          <w:szCs w:val="21"/>
        </w:rPr>
      </w:pPr>
      <w:r>
        <w:rPr>
          <w:rFonts w:hint="eastAsia"/>
          <w:szCs w:val="21"/>
        </w:rPr>
        <w:t>1、学生应在指导教师指导下独立完成一项给定的设计 (或论文)任务，独立撰写一份毕业设计</w:t>
      </w:r>
      <w:r>
        <w:rPr>
          <w:szCs w:val="21"/>
        </w:rPr>
        <w:t>说明书或毕业</w:t>
      </w:r>
      <w:r>
        <w:rPr>
          <w:rFonts w:hint="eastAsia"/>
          <w:szCs w:val="21"/>
        </w:rPr>
        <w:t>论文，并绘制有关软硬件图和装置结构图，设计</w:t>
      </w:r>
      <w:r>
        <w:rPr>
          <w:szCs w:val="21"/>
        </w:rPr>
        <w:t>编写相关的</w:t>
      </w:r>
      <w:r>
        <w:rPr>
          <w:rFonts w:hint="eastAsia"/>
          <w:szCs w:val="21"/>
        </w:rPr>
        <w:t>软件</w:t>
      </w:r>
      <w:r>
        <w:rPr>
          <w:szCs w:val="21"/>
        </w:rPr>
        <w:t>代码</w:t>
      </w:r>
      <w:r>
        <w:rPr>
          <w:rFonts w:hint="eastAsia"/>
          <w:szCs w:val="21"/>
        </w:rPr>
        <w:t>。</w:t>
      </w:r>
    </w:p>
    <w:p>
      <w:pPr>
        <w:adjustRightInd w:val="0"/>
        <w:snapToGrid w:val="0"/>
        <w:spacing w:line="360" w:lineRule="auto"/>
        <w:ind w:firstLine="420" w:firstLineChars="200"/>
        <w:rPr>
          <w:szCs w:val="21"/>
        </w:rPr>
      </w:pPr>
      <w:r>
        <w:rPr>
          <w:rFonts w:hint="eastAsia"/>
          <w:szCs w:val="21"/>
        </w:rPr>
        <w:t>2、毕业设计一般应由具有丰富教学经验和学术水平的讲师以上教师或具有</w:t>
      </w:r>
      <w:r>
        <w:rPr>
          <w:szCs w:val="21"/>
        </w:rPr>
        <w:t>博士学位的正式上岗教师或</w:t>
      </w:r>
      <w:r>
        <w:rPr>
          <w:rFonts w:hint="eastAsia"/>
          <w:szCs w:val="21"/>
        </w:rPr>
        <w:t>具有丰富实践经验的工程师以上企业工程技术人员担任指导。教师按设计进度，有针对性地对学生进行定期辅导。</w:t>
      </w:r>
    </w:p>
    <w:p>
      <w:pPr>
        <w:adjustRightInd w:val="0"/>
        <w:snapToGrid w:val="0"/>
        <w:spacing w:line="360" w:lineRule="auto"/>
        <w:ind w:firstLine="420" w:firstLineChars="200"/>
        <w:rPr>
          <w:szCs w:val="21"/>
        </w:rPr>
      </w:pPr>
      <w:r>
        <w:rPr>
          <w:rFonts w:hint="eastAsia"/>
          <w:szCs w:val="21"/>
        </w:rPr>
        <w:t>3、学生要</w:t>
      </w:r>
      <w:r>
        <w:rPr>
          <w:szCs w:val="21"/>
        </w:rPr>
        <w:t>使用《</w:t>
      </w:r>
      <w:r>
        <w:rPr>
          <w:rFonts w:hint="eastAsia"/>
          <w:szCs w:val="21"/>
        </w:rPr>
        <w:t>毕业</w:t>
      </w:r>
      <w:r>
        <w:rPr>
          <w:szCs w:val="21"/>
        </w:rPr>
        <w:t>设计记录册》</w:t>
      </w:r>
      <w:r>
        <w:rPr>
          <w:rFonts w:hint="eastAsia"/>
          <w:szCs w:val="21"/>
        </w:rPr>
        <w:t>，用于记录学生设计期间接受指导情况和学生从事毕业设计相关工作的情况。学生可以将其作为随笔和草稿使用，在上面可以记录设计相关的信息。学院将以此作为考察学生毕业设计进度的重要依据之一。</w:t>
      </w:r>
    </w:p>
    <w:p>
      <w:pPr>
        <w:tabs>
          <w:tab w:val="left" w:pos="420"/>
        </w:tabs>
        <w:adjustRightInd w:val="0"/>
        <w:snapToGrid w:val="0"/>
        <w:spacing w:before="120" w:beforeLines="50" w:line="360" w:lineRule="auto"/>
        <w:ind w:left="420" w:hanging="420"/>
        <w:rPr>
          <w:rFonts w:eastAsia="黑体"/>
          <w:szCs w:val="24"/>
        </w:rPr>
      </w:pPr>
      <w:r>
        <w:rPr>
          <w:rFonts w:hint="eastAsia" w:eastAsia="黑体"/>
          <w:szCs w:val="24"/>
        </w:rPr>
        <w:t>四、实践环节和内容</w:t>
      </w:r>
    </w:p>
    <w:p>
      <w:pPr>
        <w:adjustRightInd w:val="0"/>
        <w:snapToGrid w:val="0"/>
        <w:spacing w:line="360" w:lineRule="auto"/>
        <w:ind w:firstLine="420" w:firstLineChars="200"/>
        <w:rPr>
          <w:szCs w:val="21"/>
        </w:rPr>
      </w:pPr>
      <w:r>
        <w:rPr>
          <w:rFonts w:hint="eastAsia"/>
          <w:szCs w:val="21"/>
        </w:rPr>
        <w:t>毕业</w:t>
      </w:r>
      <w:r>
        <w:rPr>
          <w:szCs w:val="21"/>
        </w:rPr>
        <w:t>设计</w:t>
      </w:r>
      <w:r>
        <w:rPr>
          <w:rFonts w:hint="eastAsia"/>
          <w:szCs w:val="21"/>
        </w:rPr>
        <w:t>包括文献检索、外文资料翻译、方案论证、理论分析计算及软硬件设计、撰写论文等。具体</w:t>
      </w:r>
      <w:r>
        <w:rPr>
          <w:szCs w:val="21"/>
        </w:rPr>
        <w:t>包含</w:t>
      </w:r>
      <w:r>
        <w:rPr>
          <w:rFonts w:hint="eastAsia"/>
          <w:szCs w:val="21"/>
        </w:rPr>
        <w:t>以下</w:t>
      </w:r>
      <w:r>
        <w:rPr>
          <w:szCs w:val="21"/>
        </w:rPr>
        <w:t>环节：</w:t>
      </w:r>
    </w:p>
    <w:p>
      <w:pPr>
        <w:adjustRightInd w:val="0"/>
        <w:snapToGrid w:val="0"/>
        <w:spacing w:line="360" w:lineRule="auto"/>
        <w:ind w:firstLine="422" w:firstLineChars="200"/>
        <w:rPr>
          <w:b/>
          <w:szCs w:val="21"/>
        </w:rPr>
      </w:pPr>
      <w:r>
        <w:rPr>
          <w:rFonts w:hint="eastAsia"/>
          <w:b/>
          <w:szCs w:val="21"/>
        </w:rPr>
        <w:t>1、选题</w:t>
      </w:r>
    </w:p>
    <w:p>
      <w:pPr>
        <w:adjustRightInd w:val="0"/>
        <w:snapToGrid w:val="0"/>
        <w:spacing w:line="360" w:lineRule="auto"/>
        <w:ind w:firstLine="420" w:firstLineChars="200"/>
        <w:rPr>
          <w:szCs w:val="21"/>
        </w:rPr>
      </w:pPr>
      <w:r>
        <w:rPr>
          <w:rFonts w:hint="eastAsia"/>
          <w:szCs w:val="21"/>
        </w:rPr>
        <w:t>毕业设计实行网络选题制度，教师按规定数量出题，并经过学科管理部审查教师修改后发放。</w:t>
      </w:r>
    </w:p>
    <w:p>
      <w:pPr>
        <w:adjustRightInd w:val="0"/>
        <w:snapToGrid w:val="0"/>
        <w:spacing w:line="360" w:lineRule="auto"/>
        <w:ind w:firstLine="420" w:firstLineChars="200"/>
        <w:rPr>
          <w:szCs w:val="21"/>
        </w:rPr>
      </w:pPr>
      <w:r>
        <w:rPr>
          <w:rFonts w:hint="eastAsia"/>
          <w:szCs w:val="21"/>
        </w:rPr>
        <w:t>题目类型包括：（1）工程设计类题目，包括测控装置、仪器、电路设计，必须调试出相关主要功能；（2）实验研究类题目，独立完成完整的实验过程，取得足够的实验数据，必须有过程与结果分析；（3）软件开发类题目，独立完成一个专业相关的应用软件或较大软件系统中的一个模块开发调试，要保证足够的工作量，要写出软件说明书，并能够进行运行演示，给出运行结果；（</w:t>
      </w:r>
      <w:r>
        <w:rPr>
          <w:szCs w:val="21"/>
        </w:rPr>
        <w:t>4</w:t>
      </w:r>
      <w:r>
        <w:rPr>
          <w:rFonts w:hint="eastAsia"/>
          <w:szCs w:val="21"/>
        </w:rPr>
        <w:t>）软件仿真类题目，必须依据题目背景自行建模，通过特定的专业工具软件仿真出有效结果。</w:t>
      </w:r>
    </w:p>
    <w:p>
      <w:pPr>
        <w:adjustRightInd w:val="0"/>
        <w:snapToGrid w:val="0"/>
        <w:spacing w:line="360" w:lineRule="auto"/>
        <w:ind w:firstLine="420" w:firstLineChars="200"/>
        <w:rPr>
          <w:szCs w:val="21"/>
        </w:rPr>
      </w:pPr>
      <w:r>
        <w:rPr>
          <w:rFonts w:hint="eastAsia"/>
          <w:szCs w:val="21"/>
        </w:rPr>
        <w:t>教师出题一定要把握好每个题目的难度与工作量，不应出与本科生专业知识结构差别过大的题目。为了鼓励竞争，出题数量要比学生数多一些，实行溢出选题。</w:t>
      </w:r>
    </w:p>
    <w:p>
      <w:pPr>
        <w:adjustRightInd w:val="0"/>
        <w:snapToGrid w:val="0"/>
        <w:spacing w:line="360" w:lineRule="auto"/>
        <w:ind w:firstLine="422" w:firstLineChars="200"/>
        <w:rPr>
          <w:b/>
          <w:szCs w:val="21"/>
        </w:rPr>
      </w:pPr>
      <w:r>
        <w:rPr>
          <w:b/>
          <w:szCs w:val="21"/>
        </w:rPr>
        <w:t>2</w:t>
      </w:r>
      <w:r>
        <w:rPr>
          <w:rFonts w:hint="eastAsia"/>
          <w:b/>
          <w:szCs w:val="21"/>
        </w:rPr>
        <w:t>、外文资料翻译</w:t>
      </w:r>
    </w:p>
    <w:p>
      <w:pPr>
        <w:adjustRightInd w:val="0"/>
        <w:snapToGrid w:val="0"/>
        <w:spacing w:line="360" w:lineRule="auto"/>
        <w:ind w:firstLine="420" w:firstLineChars="200"/>
        <w:rPr>
          <w:szCs w:val="21"/>
        </w:rPr>
      </w:pPr>
      <w:r>
        <w:rPr>
          <w:rFonts w:hint="eastAsia"/>
          <w:szCs w:val="21"/>
        </w:rPr>
        <w:t>翻译与课题有关的外文资料，译文字数不少于5000汉字，可以是1~2篇外文资料。</w:t>
      </w:r>
    </w:p>
    <w:p>
      <w:pPr>
        <w:adjustRightInd w:val="0"/>
        <w:snapToGrid w:val="0"/>
        <w:spacing w:line="360" w:lineRule="auto"/>
        <w:ind w:firstLine="420" w:firstLineChars="200"/>
        <w:rPr>
          <w:szCs w:val="21"/>
        </w:rPr>
      </w:pPr>
      <w:r>
        <w:rPr>
          <w:rFonts w:hint="eastAsia"/>
          <w:szCs w:val="21"/>
        </w:rPr>
        <w:t>外文资料所选素材原则上要求取自芯片资料或数据手册以及国外知名的专业期刊，期刊资料内容为正规的学术性论文，而不是综述性、广告性、产品说明和应用经验类的文章。</w:t>
      </w:r>
    </w:p>
    <w:p>
      <w:pPr>
        <w:adjustRightInd w:val="0"/>
        <w:snapToGrid w:val="0"/>
        <w:spacing w:line="360" w:lineRule="auto"/>
        <w:ind w:firstLine="422" w:firstLineChars="200"/>
        <w:rPr>
          <w:b/>
          <w:szCs w:val="21"/>
        </w:rPr>
      </w:pPr>
      <w:r>
        <w:rPr>
          <w:b/>
          <w:szCs w:val="21"/>
        </w:rPr>
        <w:t>3</w:t>
      </w:r>
      <w:r>
        <w:rPr>
          <w:rFonts w:hint="eastAsia"/>
          <w:b/>
          <w:szCs w:val="21"/>
        </w:rPr>
        <w:t>、调研、文献检索与方案论证</w:t>
      </w:r>
    </w:p>
    <w:p>
      <w:pPr>
        <w:adjustRightInd w:val="0"/>
        <w:snapToGrid w:val="0"/>
        <w:spacing w:line="360" w:lineRule="auto"/>
        <w:ind w:firstLine="420" w:firstLineChars="200"/>
        <w:rPr>
          <w:szCs w:val="21"/>
        </w:rPr>
      </w:pPr>
      <w:r>
        <w:rPr>
          <w:rFonts w:hint="eastAsia"/>
          <w:szCs w:val="21"/>
        </w:rPr>
        <w:t>通过调研、查阅中外文献资料（要求文献15篇以上，外文4篇以上），熟悉本专业有关主要的文献期刊杂志及其查阅方法，或者完成教师指定的文献查阅。通过培养学生灵活运用已学的各种知识，在查阅有关文献资料基础上，根据课题要求提出设计方案，并进行不同方案的技术可行性分析、经济合理性分析和综合评价与比较，确定最优设计或者试验研究方案，写出开题报告，包括课题目的意义、国内外现状及存在的问题，课题研究方法及方案对比分析，对方案进行总体设计及原理特点分析等。</w:t>
      </w:r>
    </w:p>
    <w:p>
      <w:pPr>
        <w:adjustRightInd w:val="0"/>
        <w:snapToGrid w:val="0"/>
        <w:spacing w:line="360" w:lineRule="auto"/>
        <w:ind w:firstLine="422" w:firstLineChars="200"/>
        <w:rPr>
          <w:b/>
          <w:szCs w:val="21"/>
        </w:rPr>
      </w:pPr>
      <w:r>
        <w:rPr>
          <w:b/>
          <w:szCs w:val="21"/>
        </w:rPr>
        <w:t>4</w:t>
      </w:r>
      <w:r>
        <w:rPr>
          <w:rFonts w:hint="eastAsia"/>
          <w:b/>
          <w:szCs w:val="21"/>
        </w:rPr>
        <w:t>、理论分析计算及软硬件设计</w:t>
      </w:r>
    </w:p>
    <w:p>
      <w:pPr>
        <w:adjustRightInd w:val="0"/>
        <w:snapToGrid w:val="0"/>
        <w:spacing w:line="360" w:lineRule="auto"/>
        <w:ind w:firstLine="420" w:firstLineChars="200"/>
        <w:rPr>
          <w:szCs w:val="21"/>
        </w:rPr>
      </w:pPr>
      <w:r>
        <w:rPr>
          <w:rFonts w:hint="eastAsia"/>
          <w:szCs w:val="21"/>
        </w:rPr>
        <w:t>运用所学基础理论及专业知识，进行正确的计算分析和设计，并包括必要试验分析、计算机计算或者仿真调试分析、必要电路或实验装置结构设计及其图纸绘制等。</w:t>
      </w:r>
    </w:p>
    <w:p>
      <w:pPr>
        <w:adjustRightInd w:val="0"/>
        <w:snapToGrid w:val="0"/>
        <w:spacing w:line="360" w:lineRule="auto"/>
        <w:ind w:firstLine="420" w:firstLineChars="200"/>
        <w:rPr>
          <w:szCs w:val="21"/>
        </w:rPr>
      </w:pPr>
      <w:r>
        <w:rPr>
          <w:rFonts w:hint="eastAsia"/>
          <w:szCs w:val="21"/>
        </w:rPr>
        <w:t>设计过程中注重环境、社会、成本等因素影响，并能遵守相关标准和规范。</w:t>
      </w:r>
    </w:p>
    <w:p>
      <w:pPr>
        <w:adjustRightInd w:val="0"/>
        <w:snapToGrid w:val="0"/>
        <w:spacing w:line="360" w:lineRule="auto"/>
        <w:ind w:firstLine="422" w:firstLineChars="200"/>
        <w:rPr>
          <w:b/>
          <w:bCs/>
          <w:szCs w:val="21"/>
        </w:rPr>
      </w:pPr>
      <w:r>
        <w:rPr>
          <w:rFonts w:hint="eastAsia"/>
          <w:b/>
          <w:bCs/>
          <w:szCs w:val="21"/>
        </w:rPr>
        <w:t>思政元素：</w:t>
      </w:r>
    </w:p>
    <w:p>
      <w:pPr>
        <w:spacing w:line="360" w:lineRule="auto"/>
        <w:ind w:firstLine="422" w:firstLineChars="200"/>
        <w:rPr>
          <w:b/>
          <w:bCs/>
          <w:szCs w:val="21"/>
        </w:rPr>
      </w:pPr>
      <w:r>
        <w:rPr>
          <w:b/>
          <w:bCs/>
          <w:szCs w:val="21"/>
        </w:rPr>
        <w:t>学生能够在</w:t>
      </w:r>
      <w:r>
        <w:rPr>
          <w:rFonts w:hint="eastAsia"/>
          <w:b/>
          <w:bCs/>
          <w:szCs w:val="21"/>
        </w:rPr>
        <w:t>工程问题的实现</w:t>
      </w:r>
      <w:r>
        <w:rPr>
          <w:b/>
          <w:bCs/>
          <w:szCs w:val="21"/>
        </w:rPr>
        <w:t>方案中尊重社会、环境、法律、经济、道德、政策、文化等因素影响，具有法律意识，遵守职业道德规范。</w:t>
      </w:r>
    </w:p>
    <w:p>
      <w:pPr>
        <w:spacing w:line="360" w:lineRule="auto"/>
        <w:ind w:firstLine="422" w:firstLineChars="200"/>
        <w:rPr>
          <w:b/>
          <w:bCs/>
          <w:szCs w:val="21"/>
        </w:rPr>
      </w:pPr>
      <w:r>
        <w:rPr>
          <w:rFonts w:hint="eastAsia"/>
          <w:b/>
          <w:bCs/>
          <w:szCs w:val="21"/>
        </w:rPr>
        <w:t>根据社会与民生需求解决问题</w:t>
      </w:r>
      <w:r>
        <w:rPr>
          <w:b/>
          <w:bCs/>
          <w:szCs w:val="21"/>
        </w:rPr>
        <w:t>，</w:t>
      </w:r>
      <w:r>
        <w:rPr>
          <w:rFonts w:hint="eastAsia"/>
          <w:b/>
          <w:bCs/>
          <w:szCs w:val="21"/>
        </w:rPr>
        <w:t>培养</w:t>
      </w:r>
      <w:r>
        <w:rPr>
          <w:b/>
          <w:bCs/>
          <w:szCs w:val="21"/>
        </w:rPr>
        <w:t>以服务国</w:t>
      </w:r>
      <w:r>
        <w:rPr>
          <w:rFonts w:hint="eastAsia"/>
          <w:b/>
          <w:bCs/>
          <w:szCs w:val="21"/>
        </w:rPr>
        <w:t>家</w:t>
      </w:r>
      <w:r>
        <w:rPr>
          <w:b/>
          <w:bCs/>
          <w:szCs w:val="21"/>
        </w:rPr>
        <w:t>、服务社会为己任</w:t>
      </w:r>
      <w:r>
        <w:rPr>
          <w:rFonts w:hint="eastAsia"/>
          <w:b/>
          <w:bCs/>
          <w:szCs w:val="21"/>
        </w:rPr>
        <w:t>的素质。</w:t>
      </w:r>
    </w:p>
    <w:p>
      <w:pPr>
        <w:adjustRightInd w:val="0"/>
        <w:snapToGrid w:val="0"/>
        <w:spacing w:line="360" w:lineRule="auto"/>
        <w:ind w:firstLine="420" w:firstLineChars="200"/>
        <w:rPr>
          <w:szCs w:val="21"/>
        </w:rPr>
      </w:pPr>
    </w:p>
    <w:p>
      <w:pPr>
        <w:adjustRightInd w:val="0"/>
        <w:snapToGrid w:val="0"/>
        <w:spacing w:line="360" w:lineRule="auto"/>
        <w:ind w:firstLine="422" w:firstLineChars="200"/>
        <w:rPr>
          <w:b/>
          <w:szCs w:val="21"/>
        </w:rPr>
      </w:pPr>
      <w:r>
        <w:rPr>
          <w:rFonts w:hint="eastAsia"/>
          <w:b/>
          <w:szCs w:val="21"/>
        </w:rPr>
        <w:t>5、撰写毕业设计说明书（论文）</w:t>
      </w:r>
    </w:p>
    <w:p>
      <w:pPr>
        <w:adjustRightInd w:val="0"/>
        <w:snapToGrid w:val="0"/>
        <w:spacing w:line="360" w:lineRule="auto"/>
        <w:ind w:firstLine="420" w:firstLineChars="200"/>
        <w:rPr>
          <w:szCs w:val="21"/>
        </w:rPr>
      </w:pPr>
      <w:r>
        <w:rPr>
          <w:rFonts w:hint="eastAsia"/>
          <w:szCs w:val="21"/>
        </w:rPr>
        <w:t>毕业设计说明书（论文）的撰写字数不少于20000字，要求内容明确，论证严谨，层次分明，语句通顺，字体端正，表达确切，一律按照毕业设计说明书（论文）规定的格式打印。</w:t>
      </w:r>
    </w:p>
    <w:p>
      <w:pPr>
        <w:adjustRightInd w:val="0"/>
        <w:snapToGrid w:val="0"/>
        <w:spacing w:line="360" w:lineRule="auto"/>
        <w:ind w:firstLine="420" w:firstLineChars="200"/>
        <w:rPr>
          <w:szCs w:val="21"/>
        </w:rPr>
      </w:pPr>
      <w:r>
        <w:rPr>
          <w:rFonts w:hint="eastAsia"/>
          <w:szCs w:val="21"/>
        </w:rPr>
        <w:t>相关材料应能遵守相关规范性要求，体现较好的展示与沟通效果。</w:t>
      </w:r>
    </w:p>
    <w:p>
      <w:pPr>
        <w:adjustRightInd w:val="0"/>
        <w:snapToGrid w:val="0"/>
        <w:spacing w:line="360" w:lineRule="auto"/>
        <w:ind w:firstLine="422" w:firstLineChars="200"/>
        <w:rPr>
          <w:b/>
          <w:szCs w:val="21"/>
        </w:rPr>
      </w:pPr>
      <w:r>
        <w:rPr>
          <w:b/>
          <w:szCs w:val="21"/>
        </w:rPr>
        <w:t>6</w:t>
      </w:r>
      <w:r>
        <w:rPr>
          <w:rFonts w:hint="eastAsia"/>
          <w:b/>
          <w:szCs w:val="21"/>
        </w:rPr>
        <w:t>、毕业设计说明书（论文）资料的装订及归档</w:t>
      </w:r>
    </w:p>
    <w:p>
      <w:pPr>
        <w:adjustRightInd w:val="0"/>
        <w:snapToGrid w:val="0"/>
        <w:spacing w:line="360" w:lineRule="auto"/>
        <w:ind w:firstLine="420" w:firstLineChars="200"/>
        <w:rPr>
          <w:szCs w:val="21"/>
        </w:rPr>
      </w:pPr>
      <w:r>
        <w:rPr>
          <w:rFonts w:hint="eastAsia"/>
          <w:szCs w:val="21"/>
        </w:rPr>
        <w:t>（1） 毕业设计说明书（论文）统一使用学校印制的毕业设计（论文）封皮装订。</w:t>
      </w:r>
    </w:p>
    <w:p>
      <w:pPr>
        <w:adjustRightInd w:val="0"/>
        <w:snapToGrid w:val="0"/>
        <w:spacing w:line="360" w:lineRule="auto"/>
        <w:ind w:firstLine="420" w:firstLineChars="200"/>
        <w:rPr>
          <w:szCs w:val="21"/>
        </w:rPr>
      </w:pPr>
      <w:r>
        <w:rPr>
          <w:rFonts w:hint="eastAsia"/>
          <w:szCs w:val="21"/>
        </w:rPr>
        <w:t>（2） 毕业设计说明书（论文）资料袋按要求认真填写，字体要工整，卷面要整洁，手写一律用黑或蓝黑墨水。</w:t>
      </w:r>
    </w:p>
    <w:p>
      <w:pPr>
        <w:adjustRightInd w:val="0"/>
        <w:snapToGrid w:val="0"/>
        <w:spacing w:line="360" w:lineRule="auto"/>
        <w:ind w:firstLine="420" w:firstLineChars="200"/>
        <w:rPr>
          <w:szCs w:val="21"/>
        </w:rPr>
      </w:pPr>
      <w:r>
        <w:rPr>
          <w:rFonts w:hint="eastAsia"/>
          <w:szCs w:val="21"/>
        </w:rPr>
        <w:t>（3） 毕业设计说明书（论文）按统一顺序装订：</w:t>
      </w:r>
    </w:p>
    <w:p>
      <w:pPr>
        <w:adjustRightInd w:val="0"/>
        <w:snapToGrid w:val="0"/>
        <w:spacing w:line="360" w:lineRule="auto"/>
        <w:ind w:firstLine="420" w:firstLineChars="200"/>
        <w:rPr>
          <w:szCs w:val="21"/>
        </w:rPr>
      </w:pPr>
      <w:r>
        <w:rPr>
          <w:rFonts w:hint="eastAsia"/>
          <w:szCs w:val="21"/>
        </w:rPr>
        <w:t>（4） 装订好后放入填写好的资料袋内上交学院。毕业设计（论文）资料袋中应包括：说明书和文献翻译资料两本、毕业设计记录册、各类评阅意见、以及其它相关的资料、软件及其使用说明等内容。</w:t>
      </w:r>
    </w:p>
    <w:p>
      <w:pPr>
        <w:adjustRightInd w:val="0"/>
        <w:snapToGrid w:val="0"/>
        <w:spacing w:line="360" w:lineRule="auto"/>
        <w:ind w:firstLine="422" w:firstLineChars="200"/>
        <w:rPr>
          <w:b/>
          <w:szCs w:val="21"/>
        </w:rPr>
      </w:pPr>
      <w:r>
        <w:rPr>
          <w:rFonts w:hint="eastAsia"/>
          <w:b/>
          <w:szCs w:val="21"/>
        </w:rPr>
        <w:t>7、答辩</w:t>
      </w:r>
    </w:p>
    <w:p>
      <w:pPr>
        <w:adjustRightInd w:val="0"/>
        <w:snapToGrid w:val="0"/>
        <w:spacing w:line="360" w:lineRule="auto"/>
        <w:ind w:firstLine="420" w:firstLineChars="200"/>
        <w:rPr>
          <w:szCs w:val="21"/>
        </w:rPr>
      </w:pPr>
      <w:r>
        <w:rPr>
          <w:rFonts w:hint="eastAsia"/>
          <w:szCs w:val="21"/>
        </w:rPr>
        <w:t>答辩前，要准备好发言提纲及其答辩PPT文档、必要的结构图或装置图、图表。介绍毕业设计(论文)内容时要有系统，抓住重点，简明扼要，发言时间一般为10分钟。每位学生答辩时间控制在30分钟以内。</w:t>
      </w:r>
    </w:p>
    <w:p>
      <w:pPr>
        <w:adjustRightInd w:val="0"/>
        <w:snapToGrid w:val="0"/>
        <w:spacing w:line="360" w:lineRule="auto"/>
        <w:ind w:firstLine="420" w:firstLineChars="200"/>
        <w:rPr>
          <w:szCs w:val="21"/>
        </w:rPr>
      </w:pPr>
      <w:r>
        <w:rPr>
          <w:rFonts w:hint="eastAsia"/>
          <w:szCs w:val="21"/>
        </w:rPr>
        <w:t>答辩过程应体现对研究、设计内容的充分展示与表达，体现良好的沟通效果。</w:t>
      </w:r>
    </w:p>
    <w:p>
      <w:pPr>
        <w:adjustRightInd w:val="0"/>
        <w:snapToGrid w:val="0"/>
        <w:spacing w:line="360" w:lineRule="auto"/>
        <w:ind w:firstLine="422" w:firstLineChars="200"/>
        <w:rPr>
          <w:b/>
          <w:szCs w:val="21"/>
        </w:rPr>
      </w:pPr>
      <w:r>
        <w:rPr>
          <w:b/>
          <w:szCs w:val="21"/>
        </w:rPr>
        <w:t>8</w:t>
      </w:r>
      <w:r>
        <w:rPr>
          <w:rFonts w:hint="eastAsia"/>
          <w:b/>
          <w:szCs w:val="21"/>
        </w:rPr>
        <w:t>、毕业设计</w:t>
      </w:r>
      <w:r>
        <w:rPr>
          <w:b/>
          <w:szCs w:val="21"/>
        </w:rPr>
        <w:t>抽检</w:t>
      </w:r>
    </w:p>
    <w:p>
      <w:pPr>
        <w:adjustRightInd w:val="0"/>
        <w:snapToGrid w:val="0"/>
        <w:spacing w:line="360" w:lineRule="auto"/>
        <w:ind w:firstLine="420" w:firstLineChars="200"/>
        <w:rPr>
          <w:szCs w:val="21"/>
        </w:rPr>
      </w:pPr>
      <w:r>
        <w:rPr>
          <w:rFonts w:hint="eastAsia"/>
          <w:szCs w:val="21"/>
        </w:rPr>
        <w:t>根据《中北大学学士学位论文质量抽检办法》要求</w:t>
      </w:r>
      <w:r>
        <w:rPr>
          <w:szCs w:val="21"/>
        </w:rPr>
        <w:t>，</w:t>
      </w:r>
      <w:r>
        <w:rPr>
          <w:rFonts w:hint="eastAsia"/>
          <w:szCs w:val="21"/>
        </w:rPr>
        <w:t>毕业生</w:t>
      </w:r>
      <w:r>
        <w:rPr>
          <w:szCs w:val="21"/>
        </w:rPr>
        <w:t>毕业设计</w:t>
      </w:r>
      <w:r>
        <w:rPr>
          <w:rFonts w:hint="eastAsia"/>
          <w:szCs w:val="21"/>
        </w:rPr>
        <w:t>实行</w:t>
      </w:r>
      <w:r>
        <w:rPr>
          <w:szCs w:val="21"/>
        </w:rPr>
        <w:t>抽检。</w:t>
      </w:r>
    </w:p>
    <w:p>
      <w:pPr>
        <w:adjustRightInd w:val="0"/>
        <w:snapToGrid w:val="0"/>
        <w:spacing w:line="360" w:lineRule="auto"/>
        <w:ind w:firstLine="420" w:firstLineChars="200"/>
        <w:rPr>
          <w:szCs w:val="21"/>
        </w:rPr>
      </w:pPr>
      <w:r>
        <w:rPr>
          <w:rFonts w:ascii="宋体" w:hAnsi="宋体" w:cs="宋体"/>
          <w:szCs w:val="21"/>
        </w:rPr>
        <w:t xml:space="preserve">① </w:t>
      </w:r>
      <w:r>
        <w:rPr>
          <w:rFonts w:hint="eastAsia"/>
          <w:szCs w:val="21"/>
        </w:rPr>
        <w:t>查重：查重工作由教学科完成，全部抽到的论文或</w:t>
      </w:r>
      <w:r>
        <w:rPr>
          <w:szCs w:val="21"/>
        </w:rPr>
        <w:t>说明书</w:t>
      </w:r>
      <w:r>
        <w:rPr>
          <w:rFonts w:hint="eastAsia"/>
          <w:szCs w:val="21"/>
        </w:rPr>
        <w:t>统一使用指定软件查重，查重率</w:t>
      </w:r>
      <w:r>
        <w:rPr>
          <w:szCs w:val="21"/>
        </w:rPr>
        <w:t>不应</w:t>
      </w:r>
      <w:r>
        <w:rPr>
          <w:rFonts w:hint="eastAsia"/>
          <w:szCs w:val="21"/>
        </w:rPr>
        <w:t>超过学校当年</w:t>
      </w:r>
      <w:r>
        <w:rPr>
          <w:szCs w:val="21"/>
        </w:rPr>
        <w:t>的</w:t>
      </w:r>
      <w:r>
        <w:rPr>
          <w:rFonts w:hint="eastAsia"/>
          <w:szCs w:val="21"/>
        </w:rPr>
        <w:t>规定百分比。</w:t>
      </w:r>
    </w:p>
    <w:p>
      <w:pPr>
        <w:adjustRightInd w:val="0"/>
        <w:snapToGrid w:val="0"/>
        <w:spacing w:line="360" w:lineRule="auto"/>
        <w:ind w:firstLine="420" w:firstLineChars="200"/>
        <w:rPr>
          <w:szCs w:val="21"/>
        </w:rPr>
      </w:pPr>
      <w:r>
        <w:rPr>
          <w:rFonts w:hint="eastAsia"/>
          <w:szCs w:val="21"/>
        </w:rPr>
        <w:t>② 双盲审：抽到的论文或</w:t>
      </w:r>
      <w:r>
        <w:rPr>
          <w:szCs w:val="21"/>
        </w:rPr>
        <w:t>说明书</w:t>
      </w:r>
      <w:r>
        <w:rPr>
          <w:rFonts w:hint="eastAsia"/>
          <w:szCs w:val="21"/>
        </w:rPr>
        <w:t>要指定</w:t>
      </w:r>
      <w:r>
        <w:rPr>
          <w:szCs w:val="21"/>
        </w:rPr>
        <w:t>两位</w:t>
      </w:r>
      <w:r>
        <w:rPr>
          <w:rFonts w:hint="eastAsia"/>
          <w:szCs w:val="21"/>
        </w:rPr>
        <w:t>教师</w:t>
      </w:r>
      <w:r>
        <w:rPr>
          <w:szCs w:val="21"/>
        </w:rPr>
        <w:t>进行</w:t>
      </w:r>
      <w:r>
        <w:rPr>
          <w:rFonts w:hint="eastAsia"/>
          <w:szCs w:val="21"/>
        </w:rPr>
        <w:t>盲</w:t>
      </w:r>
      <w:r>
        <w:rPr>
          <w:szCs w:val="21"/>
        </w:rPr>
        <w:t>审</w:t>
      </w:r>
      <w:r>
        <w:rPr>
          <w:rFonts w:hint="eastAsia"/>
          <w:szCs w:val="21"/>
        </w:rPr>
        <w:t>。满足要求</w:t>
      </w:r>
      <w:r>
        <w:rPr>
          <w:szCs w:val="21"/>
        </w:rPr>
        <w:t>才能</w:t>
      </w:r>
      <w:r>
        <w:rPr>
          <w:rFonts w:hint="eastAsia"/>
          <w:szCs w:val="21"/>
        </w:rPr>
        <w:t>允许</w:t>
      </w:r>
      <w:r>
        <w:rPr>
          <w:szCs w:val="21"/>
        </w:rPr>
        <w:t>答辩。</w:t>
      </w:r>
    </w:p>
    <w:p>
      <w:pPr>
        <w:tabs>
          <w:tab w:val="left" w:pos="420"/>
        </w:tabs>
        <w:adjustRightInd w:val="0"/>
        <w:snapToGrid w:val="0"/>
        <w:spacing w:before="120" w:beforeLines="50" w:line="360" w:lineRule="auto"/>
        <w:ind w:left="420" w:hanging="420"/>
        <w:rPr>
          <w:rFonts w:eastAsia="黑体"/>
          <w:szCs w:val="24"/>
        </w:rPr>
      </w:pPr>
      <w:r>
        <w:rPr>
          <w:rFonts w:hint="eastAsia" w:eastAsia="黑体"/>
          <w:szCs w:val="24"/>
        </w:rPr>
        <w:t>五、时间节点</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3"/>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274" w:type="pct"/>
            <w:tcBorders>
              <w:left w:val="nil"/>
            </w:tcBorders>
            <w:vAlign w:val="center"/>
          </w:tcPr>
          <w:p>
            <w:pPr>
              <w:adjustRightInd w:val="0"/>
              <w:snapToGrid w:val="0"/>
              <w:jc w:val="center"/>
              <w:rPr>
                <w:sz w:val="18"/>
                <w:szCs w:val="18"/>
              </w:rPr>
            </w:pPr>
            <w:r>
              <w:rPr>
                <w:rFonts w:hint="eastAsia"/>
                <w:sz w:val="18"/>
                <w:szCs w:val="18"/>
              </w:rPr>
              <w:t>毕业设计环节</w:t>
            </w:r>
          </w:p>
        </w:tc>
        <w:tc>
          <w:tcPr>
            <w:tcW w:w="1726" w:type="pct"/>
            <w:tcBorders>
              <w:right w:val="nil"/>
            </w:tcBorders>
            <w:vAlign w:val="center"/>
          </w:tcPr>
          <w:p>
            <w:pPr>
              <w:adjustRightInd w:val="0"/>
              <w:snapToGrid w:val="0"/>
              <w:jc w:val="center"/>
              <w:rPr>
                <w:sz w:val="18"/>
                <w:szCs w:val="18"/>
              </w:rPr>
            </w:pPr>
            <w:r>
              <w:rPr>
                <w:rFonts w:hint="eastAsia"/>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snapToGrid w:val="0"/>
                <w:kern w:val="0"/>
                <w:sz w:val="18"/>
                <w:szCs w:val="18"/>
              </w:rPr>
            </w:pPr>
            <w:r>
              <w:rPr>
                <w:rFonts w:hint="eastAsia" w:cs="宋体"/>
                <w:snapToGrid w:val="0"/>
                <w:kern w:val="0"/>
                <w:sz w:val="18"/>
                <w:szCs w:val="18"/>
              </w:rPr>
              <w:t>1、教师出题、题目审查、</w:t>
            </w:r>
            <w:r>
              <w:rPr>
                <w:rFonts w:cs="宋体"/>
                <w:snapToGrid w:val="0"/>
                <w:kern w:val="0"/>
                <w:sz w:val="18"/>
                <w:szCs w:val="18"/>
              </w:rPr>
              <w:t>学生网络</w:t>
            </w:r>
            <w:r>
              <w:rPr>
                <w:rFonts w:hint="eastAsia" w:cs="宋体"/>
                <w:snapToGrid w:val="0"/>
                <w:kern w:val="0"/>
                <w:sz w:val="18"/>
                <w:szCs w:val="18"/>
              </w:rPr>
              <w:t>选题</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9</w:t>
            </w:r>
            <w:r>
              <w:rPr>
                <w:rFonts w:hint="eastAsia" w:cs="宋体"/>
                <w:kern w:val="0"/>
                <w:sz w:val="18"/>
                <w:szCs w:val="18"/>
              </w:rPr>
              <w:t>月下旬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snapToGrid w:val="0"/>
                <w:kern w:val="0"/>
                <w:sz w:val="18"/>
                <w:szCs w:val="18"/>
              </w:rPr>
            </w:pPr>
            <w:r>
              <w:rPr>
                <w:rFonts w:hint="eastAsia" w:cs="宋体"/>
                <w:bCs/>
                <w:snapToGrid w:val="0"/>
                <w:kern w:val="0"/>
                <w:sz w:val="18"/>
                <w:szCs w:val="18"/>
              </w:rPr>
              <w:t>2、提交、</w:t>
            </w:r>
            <w:r>
              <w:rPr>
                <w:rFonts w:cs="宋体"/>
                <w:bCs/>
                <w:snapToGrid w:val="0"/>
                <w:kern w:val="0"/>
                <w:sz w:val="18"/>
                <w:szCs w:val="18"/>
              </w:rPr>
              <w:t>审查开题</w:t>
            </w:r>
            <w:r>
              <w:rPr>
                <w:rFonts w:hint="eastAsia" w:cs="宋体"/>
                <w:bCs/>
                <w:snapToGrid w:val="0"/>
                <w:kern w:val="0"/>
                <w:sz w:val="18"/>
                <w:szCs w:val="18"/>
              </w:rPr>
              <w:t>报告</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11</w:t>
            </w:r>
            <w:r>
              <w:rPr>
                <w:rFonts w:hint="eastAsia" w:cs="宋体"/>
                <w:kern w:val="0"/>
                <w:sz w:val="18"/>
                <w:szCs w:val="18"/>
              </w:rPr>
              <w:t>月中旬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kern w:val="0"/>
                <w:sz w:val="18"/>
                <w:szCs w:val="18"/>
              </w:rPr>
            </w:pPr>
            <w:r>
              <w:rPr>
                <w:rFonts w:hint="eastAsia" w:cs="宋体"/>
                <w:snapToGrid w:val="0"/>
                <w:kern w:val="0"/>
                <w:sz w:val="18"/>
                <w:szCs w:val="18"/>
              </w:rPr>
              <w:t>3、提交、审查中期总结报告1</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12</w:t>
            </w:r>
            <w:r>
              <w:rPr>
                <w:rFonts w:hint="eastAsia" w:cs="宋体"/>
                <w:kern w:val="0"/>
                <w:sz w:val="18"/>
                <w:szCs w:val="18"/>
              </w:rPr>
              <w:t>月底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kern w:val="0"/>
                <w:sz w:val="18"/>
                <w:szCs w:val="18"/>
              </w:rPr>
            </w:pPr>
            <w:r>
              <w:rPr>
                <w:rFonts w:hint="eastAsia" w:cs="宋体"/>
                <w:snapToGrid w:val="0"/>
                <w:kern w:val="0"/>
                <w:sz w:val="18"/>
                <w:szCs w:val="18"/>
              </w:rPr>
              <w:t>4、提交、审查中期总结报告</w:t>
            </w:r>
            <w:r>
              <w:rPr>
                <w:rFonts w:cs="宋体"/>
                <w:snapToGrid w:val="0"/>
                <w:kern w:val="0"/>
                <w:sz w:val="18"/>
                <w:szCs w:val="18"/>
              </w:rPr>
              <w:t>2</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4</w:t>
            </w:r>
            <w:r>
              <w:rPr>
                <w:rFonts w:hint="eastAsia" w:cs="宋体"/>
                <w:kern w:val="0"/>
                <w:sz w:val="18"/>
                <w:szCs w:val="18"/>
              </w:rPr>
              <w:t>月中旬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kern w:val="0"/>
                <w:sz w:val="18"/>
                <w:szCs w:val="18"/>
              </w:rPr>
            </w:pPr>
            <w:r>
              <w:rPr>
                <w:rFonts w:hint="eastAsia"/>
                <w:snapToGrid w:val="0"/>
                <w:kern w:val="0"/>
                <w:sz w:val="18"/>
                <w:szCs w:val="18"/>
              </w:rPr>
              <w:t>5、提交毕业设计说明书查重、抽检</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5</w:t>
            </w:r>
            <w:r>
              <w:rPr>
                <w:rFonts w:hint="eastAsia" w:cs="宋体"/>
                <w:kern w:val="0"/>
                <w:sz w:val="18"/>
                <w:szCs w:val="18"/>
              </w:rPr>
              <w:t>月下旬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4" w:type="pct"/>
            <w:tcBorders>
              <w:left w:val="nil"/>
            </w:tcBorders>
            <w:vAlign w:val="center"/>
          </w:tcPr>
          <w:p>
            <w:pPr>
              <w:widowControl/>
              <w:adjustRightInd w:val="0"/>
              <w:snapToGrid w:val="0"/>
              <w:ind w:left="141" w:leftChars="67"/>
              <w:rPr>
                <w:rFonts w:cs="宋体"/>
                <w:kern w:val="0"/>
                <w:sz w:val="18"/>
                <w:szCs w:val="18"/>
              </w:rPr>
            </w:pPr>
            <w:r>
              <w:rPr>
                <w:rFonts w:hint="eastAsia" w:cs="宋体"/>
                <w:kern w:val="0"/>
                <w:sz w:val="18"/>
                <w:szCs w:val="18"/>
              </w:rPr>
              <w:t>6、毕业答辩</w:t>
            </w:r>
          </w:p>
        </w:tc>
        <w:tc>
          <w:tcPr>
            <w:tcW w:w="1726" w:type="pct"/>
            <w:tcBorders>
              <w:right w:val="nil"/>
            </w:tcBorders>
            <w:vAlign w:val="center"/>
          </w:tcPr>
          <w:p>
            <w:pPr>
              <w:widowControl/>
              <w:adjustRightInd w:val="0"/>
              <w:snapToGrid w:val="0"/>
              <w:jc w:val="center"/>
              <w:rPr>
                <w:rFonts w:cs="宋体"/>
                <w:kern w:val="0"/>
                <w:sz w:val="18"/>
                <w:szCs w:val="18"/>
              </w:rPr>
            </w:pPr>
            <w:r>
              <w:rPr>
                <w:rFonts w:cs="宋体"/>
                <w:kern w:val="0"/>
                <w:sz w:val="18"/>
                <w:szCs w:val="18"/>
              </w:rPr>
              <w:t>6</w:t>
            </w:r>
            <w:r>
              <w:rPr>
                <w:rFonts w:hint="eastAsia" w:cs="宋体"/>
                <w:kern w:val="0"/>
                <w:sz w:val="18"/>
                <w:szCs w:val="18"/>
              </w:rPr>
              <w:t>月中旬</w:t>
            </w:r>
          </w:p>
        </w:tc>
      </w:tr>
    </w:tbl>
    <w:p>
      <w:pPr>
        <w:adjustRightInd w:val="0"/>
        <w:snapToGrid w:val="0"/>
        <w:spacing w:line="360" w:lineRule="auto"/>
        <w:rPr>
          <w:b/>
          <w:sz w:val="24"/>
          <w:szCs w:val="24"/>
        </w:rPr>
      </w:pPr>
    </w:p>
    <w:p>
      <w:pPr>
        <w:tabs>
          <w:tab w:val="left" w:pos="420"/>
        </w:tabs>
        <w:adjustRightInd w:val="0"/>
        <w:snapToGrid w:val="0"/>
        <w:spacing w:before="120" w:beforeLines="50" w:line="360" w:lineRule="auto"/>
        <w:ind w:left="420" w:hanging="420"/>
        <w:rPr>
          <w:rFonts w:eastAsia="黑体"/>
          <w:szCs w:val="24"/>
        </w:rPr>
      </w:pPr>
      <w:r>
        <w:rPr>
          <w:rFonts w:hint="eastAsia" w:eastAsia="黑体"/>
          <w:szCs w:val="24"/>
        </w:rPr>
        <w:t>六、参考文件和资料</w:t>
      </w:r>
    </w:p>
    <w:p>
      <w:pPr>
        <w:adjustRightInd w:val="0"/>
        <w:snapToGrid w:val="0"/>
        <w:spacing w:line="360" w:lineRule="auto"/>
        <w:jc w:val="left"/>
        <w:rPr>
          <w:szCs w:val="21"/>
        </w:rPr>
      </w:pPr>
      <w:r>
        <w:rPr>
          <w:szCs w:val="21"/>
        </w:rPr>
        <w:tab/>
      </w:r>
      <w:r>
        <w:rPr>
          <w:szCs w:val="21"/>
        </w:rPr>
        <w:t>1</w:t>
      </w:r>
      <w:r>
        <w:rPr>
          <w:rFonts w:hint="eastAsia"/>
          <w:szCs w:val="21"/>
        </w:rPr>
        <w:t>、《中北大学仪器与电子学院毕业设计工作手册》</w:t>
      </w:r>
    </w:p>
    <w:p>
      <w:pPr>
        <w:adjustRightInd w:val="0"/>
        <w:snapToGrid w:val="0"/>
        <w:spacing w:line="360" w:lineRule="auto"/>
        <w:jc w:val="left"/>
        <w:rPr>
          <w:szCs w:val="21"/>
        </w:rPr>
      </w:pPr>
      <w:r>
        <w:rPr>
          <w:szCs w:val="21"/>
        </w:rPr>
        <w:tab/>
      </w:r>
      <w:r>
        <w:rPr>
          <w:szCs w:val="21"/>
        </w:rPr>
        <w:t>2</w:t>
      </w:r>
      <w:r>
        <w:rPr>
          <w:rFonts w:hint="eastAsia"/>
          <w:szCs w:val="21"/>
        </w:rPr>
        <w:t>、《中北大学仪器与电子学院毕业设计组织方案（XXXX年度）》</w:t>
      </w:r>
    </w:p>
    <w:p>
      <w:pPr>
        <w:tabs>
          <w:tab w:val="left" w:pos="420"/>
        </w:tabs>
        <w:adjustRightInd w:val="0"/>
        <w:snapToGrid w:val="0"/>
        <w:spacing w:before="120" w:beforeLines="50" w:line="360" w:lineRule="auto"/>
        <w:ind w:left="420" w:hanging="420"/>
        <w:rPr>
          <w:rFonts w:eastAsia="黑体"/>
          <w:szCs w:val="24"/>
        </w:rPr>
      </w:pPr>
      <w:r>
        <w:rPr>
          <w:rFonts w:hint="eastAsia" w:eastAsia="黑体"/>
          <w:szCs w:val="24"/>
        </w:rPr>
        <w:t>七、达成评价目标的考核环节及贡献率分配</w:t>
      </w:r>
    </w:p>
    <w:p>
      <w:pPr>
        <w:adjustRightInd w:val="0"/>
        <w:snapToGrid w:val="0"/>
        <w:spacing w:line="360" w:lineRule="auto"/>
        <w:ind w:firstLine="420" w:firstLineChars="200"/>
        <w:jc w:val="left"/>
        <w:rPr>
          <w:rFonts w:eastAsia="黑体"/>
          <w:szCs w:val="24"/>
        </w:rPr>
      </w:pPr>
      <w:r>
        <w:rPr>
          <w:rFonts w:hint="eastAsia"/>
          <w:szCs w:val="21"/>
        </w:rPr>
        <w:t>学生毕业设计(论文)成绩的评定采取指导教师、评阅人和毕业设计(论文)答辩小组分别单独评分，结合</w:t>
      </w:r>
      <w:r>
        <w:rPr>
          <w:szCs w:val="21"/>
        </w:rPr>
        <w:t>两次中期检查</w:t>
      </w:r>
      <w:r>
        <w:rPr>
          <w:rFonts w:hint="eastAsia"/>
          <w:szCs w:val="21"/>
        </w:rPr>
        <w:t>和</w:t>
      </w:r>
      <w:r>
        <w:rPr>
          <w:szCs w:val="21"/>
        </w:rPr>
        <w:t>项目预验收</w:t>
      </w:r>
      <w:r>
        <w:rPr>
          <w:rFonts w:hint="eastAsia"/>
          <w:szCs w:val="21"/>
        </w:rPr>
        <w:t>成绩</w:t>
      </w:r>
      <w:r>
        <w:rPr>
          <w:szCs w:val="21"/>
        </w:rPr>
        <w:t>，</w:t>
      </w:r>
      <w:r>
        <w:rPr>
          <w:rFonts w:hint="eastAsia"/>
          <w:szCs w:val="21"/>
        </w:rPr>
        <w:t>按比例综合评定，最后由毕业设计(论文)答辩委员会和</w:t>
      </w:r>
      <w:r>
        <w:rPr>
          <w:szCs w:val="21"/>
        </w:rPr>
        <w:t>学科</w:t>
      </w:r>
      <w:r>
        <w:rPr>
          <w:rFonts w:hint="eastAsia"/>
          <w:szCs w:val="21"/>
        </w:rPr>
        <w:t>管理部综合审定。</w:t>
      </w:r>
    </w:p>
    <w:tbl>
      <w:tblPr>
        <w:tblStyle w:val="22"/>
        <w:tblW w:w="5000" w:type="pct"/>
        <w:jc w:val="center"/>
        <w:tblLayout w:type="autofit"/>
        <w:tblCellMar>
          <w:top w:w="0" w:type="dxa"/>
          <w:left w:w="108" w:type="dxa"/>
          <w:bottom w:w="0" w:type="dxa"/>
          <w:right w:w="108" w:type="dxa"/>
        </w:tblCellMar>
      </w:tblPr>
      <w:tblGrid>
        <w:gridCol w:w="730"/>
        <w:gridCol w:w="1230"/>
        <w:gridCol w:w="1231"/>
        <w:gridCol w:w="1233"/>
        <w:gridCol w:w="1476"/>
        <w:gridCol w:w="1476"/>
        <w:gridCol w:w="936"/>
      </w:tblGrid>
      <w:tr>
        <w:tblPrEx>
          <w:tblCellMar>
            <w:top w:w="0" w:type="dxa"/>
            <w:left w:w="108" w:type="dxa"/>
            <w:bottom w:w="0" w:type="dxa"/>
            <w:right w:w="108" w:type="dxa"/>
          </w:tblCellMar>
        </w:tblPrEx>
        <w:trPr>
          <w:trHeight w:val="414" w:hRule="atLeast"/>
          <w:jc w:val="center"/>
        </w:trPr>
        <w:tc>
          <w:tcPr>
            <w:tcW w:w="454" w:type="pct"/>
            <w:vMerge w:val="restart"/>
            <w:tcBorders>
              <w:top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考察环节</w:t>
            </w:r>
          </w:p>
        </w:tc>
        <w:tc>
          <w:tcPr>
            <w:tcW w:w="1510" w:type="pct"/>
            <w:gridSpan w:val="2"/>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选题、开题、中期总结</w:t>
            </w:r>
          </w:p>
        </w:tc>
        <w:tc>
          <w:tcPr>
            <w:tcW w:w="756"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实物验收</w:t>
            </w:r>
          </w:p>
        </w:tc>
        <w:tc>
          <w:tcPr>
            <w:tcW w:w="2280" w:type="pct"/>
            <w:gridSpan w:val="3"/>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ascii="宋体" w:hAnsi="宋体" w:cs="宋体"/>
                <w:color w:val="000000"/>
                <w:kern w:val="0"/>
                <w:sz w:val="18"/>
              </w:rPr>
              <w:t>说明书、外文翻译、答辩展示</w:t>
            </w:r>
          </w:p>
        </w:tc>
      </w:tr>
      <w:tr>
        <w:tblPrEx>
          <w:tblCellMar>
            <w:top w:w="0" w:type="dxa"/>
            <w:left w:w="108" w:type="dxa"/>
            <w:bottom w:w="0" w:type="dxa"/>
            <w:right w:w="108" w:type="dxa"/>
          </w:tblCellMar>
        </w:tblPrEx>
        <w:trPr>
          <w:trHeight w:val="421" w:hRule="atLeast"/>
          <w:jc w:val="center"/>
        </w:trPr>
        <w:tc>
          <w:tcPr>
            <w:tcW w:w="454" w:type="pct"/>
            <w:vMerge w:val="continue"/>
            <w:tcBorders>
              <w:bottom w:val="single" w:color="auto" w:sz="4" w:space="0"/>
              <w:right w:val="single" w:color="auto" w:sz="4" w:space="0"/>
            </w:tcBorders>
            <w:vAlign w:val="center"/>
          </w:tcPr>
          <w:p>
            <w:pPr>
              <w:widowControl/>
              <w:jc w:val="center"/>
              <w:rPr>
                <w:rFonts w:ascii="宋体" w:hAnsi="宋体" w:cs="宋体"/>
                <w:color w:val="000000"/>
                <w:kern w:val="0"/>
                <w:sz w:val="18"/>
              </w:rPr>
            </w:pPr>
          </w:p>
        </w:tc>
        <w:tc>
          <w:tcPr>
            <w:tcW w:w="75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阶段1</w:t>
            </w:r>
          </w:p>
          <w:p>
            <w:pPr>
              <w:widowControl/>
              <w:jc w:val="center"/>
              <w:rPr>
                <w:rFonts w:ascii="宋体" w:hAnsi="宋体" w:cs="宋体"/>
                <w:color w:val="000000"/>
                <w:kern w:val="0"/>
                <w:sz w:val="18"/>
              </w:rPr>
            </w:pPr>
            <w:r>
              <w:rPr>
                <w:rFonts w:hint="eastAsia" w:ascii="宋体" w:hAnsi="宋体" w:cs="宋体"/>
                <w:color w:val="000000"/>
                <w:kern w:val="0"/>
                <w:sz w:val="18"/>
              </w:rPr>
              <w:t>中期检查</w:t>
            </w:r>
          </w:p>
        </w:tc>
        <w:tc>
          <w:tcPr>
            <w:tcW w:w="75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阶段2</w:t>
            </w:r>
          </w:p>
          <w:p>
            <w:pPr>
              <w:widowControl/>
              <w:jc w:val="center"/>
              <w:rPr>
                <w:rFonts w:ascii="宋体" w:hAnsi="宋体" w:cs="宋体"/>
                <w:color w:val="000000"/>
                <w:kern w:val="0"/>
                <w:sz w:val="18"/>
              </w:rPr>
            </w:pPr>
            <w:r>
              <w:rPr>
                <w:rFonts w:hint="eastAsia" w:ascii="宋体" w:hAnsi="宋体" w:cs="宋体"/>
                <w:color w:val="000000"/>
                <w:kern w:val="0"/>
                <w:sz w:val="18"/>
              </w:rPr>
              <w:t>中期检查</w:t>
            </w:r>
          </w:p>
        </w:tc>
        <w:tc>
          <w:tcPr>
            <w:tcW w:w="756"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现场</w:t>
            </w:r>
          </w:p>
          <w:p>
            <w:pPr>
              <w:widowControl/>
              <w:jc w:val="center"/>
              <w:rPr>
                <w:rFonts w:ascii="宋体" w:hAnsi="宋体" w:cs="宋体"/>
                <w:color w:val="000000"/>
                <w:kern w:val="0"/>
                <w:sz w:val="18"/>
              </w:rPr>
            </w:pPr>
            <w:r>
              <w:rPr>
                <w:rFonts w:hint="eastAsia" w:ascii="宋体" w:hAnsi="宋体" w:cs="宋体"/>
                <w:color w:val="000000"/>
                <w:kern w:val="0"/>
                <w:sz w:val="18"/>
              </w:rPr>
              <w:t>预验收</w:t>
            </w:r>
          </w:p>
        </w:tc>
        <w:tc>
          <w:tcPr>
            <w:tcW w:w="8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指导教师</w:t>
            </w:r>
          </w:p>
          <w:p>
            <w:pPr>
              <w:widowControl/>
              <w:jc w:val="center"/>
              <w:rPr>
                <w:rFonts w:ascii="宋体" w:hAnsi="宋体" w:cs="宋体"/>
                <w:color w:val="000000"/>
                <w:kern w:val="0"/>
                <w:sz w:val="18"/>
              </w:rPr>
            </w:pPr>
            <w:r>
              <w:rPr>
                <w:rFonts w:ascii="宋体" w:hAnsi="宋体" w:cs="宋体"/>
                <w:color w:val="000000"/>
                <w:kern w:val="0"/>
                <w:sz w:val="18"/>
              </w:rPr>
              <w:t>评语</w:t>
            </w:r>
          </w:p>
        </w:tc>
        <w:tc>
          <w:tcPr>
            <w:tcW w:w="8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评阅人</w:t>
            </w:r>
          </w:p>
          <w:p>
            <w:pPr>
              <w:widowControl/>
              <w:jc w:val="center"/>
              <w:rPr>
                <w:rFonts w:ascii="宋体" w:hAnsi="宋体" w:cs="宋体"/>
                <w:color w:val="000000"/>
                <w:kern w:val="0"/>
                <w:sz w:val="18"/>
              </w:rPr>
            </w:pPr>
            <w:r>
              <w:rPr>
                <w:rFonts w:hint="eastAsia" w:ascii="宋体" w:hAnsi="宋体" w:cs="宋体"/>
                <w:color w:val="000000"/>
                <w:kern w:val="0"/>
                <w:sz w:val="18"/>
              </w:rPr>
              <w:t>评语</w:t>
            </w:r>
          </w:p>
        </w:tc>
        <w:tc>
          <w:tcPr>
            <w:tcW w:w="549" w:type="pct"/>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color w:val="000000"/>
                <w:kern w:val="0"/>
                <w:sz w:val="18"/>
              </w:rPr>
            </w:pPr>
            <w:r>
              <w:rPr>
                <w:rFonts w:hint="eastAsia" w:ascii="宋体" w:hAnsi="宋体" w:cs="宋体"/>
                <w:color w:val="000000"/>
                <w:kern w:val="0"/>
                <w:sz w:val="18"/>
              </w:rPr>
              <w:t>答辩委员会评语</w:t>
            </w:r>
          </w:p>
        </w:tc>
      </w:tr>
      <w:tr>
        <w:tblPrEx>
          <w:tblCellMar>
            <w:top w:w="0" w:type="dxa"/>
            <w:left w:w="108" w:type="dxa"/>
            <w:bottom w:w="0" w:type="dxa"/>
            <w:right w:w="108" w:type="dxa"/>
          </w:tblCellMar>
        </w:tblPrEx>
        <w:trPr>
          <w:trHeight w:val="566" w:hRule="atLeast"/>
          <w:jc w:val="center"/>
        </w:trPr>
        <w:tc>
          <w:tcPr>
            <w:tcW w:w="454"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课程目标达成</w:t>
            </w:r>
          </w:p>
          <w:p>
            <w:pPr>
              <w:widowControl/>
              <w:jc w:val="center"/>
              <w:rPr>
                <w:rFonts w:ascii="宋体" w:hAnsi="宋体" w:cs="宋体"/>
                <w:color w:val="000000"/>
                <w:kern w:val="0"/>
                <w:sz w:val="18"/>
              </w:rPr>
            </w:pPr>
            <w:r>
              <w:rPr>
                <w:rFonts w:hint="eastAsia" w:ascii="宋体" w:hAnsi="宋体" w:cs="宋体"/>
                <w:color w:val="000000"/>
                <w:kern w:val="0"/>
                <w:sz w:val="18"/>
              </w:rPr>
              <w:t>的贡献率</w:t>
            </w:r>
          </w:p>
        </w:tc>
        <w:tc>
          <w:tcPr>
            <w:tcW w:w="755" w:type="pct"/>
            <w:tcBorders>
              <w:top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ascii="宋体" w:hAnsi="宋体" w:cs="宋体"/>
                <w:color w:val="000000"/>
                <w:kern w:val="0"/>
                <w:sz w:val="18"/>
              </w:rPr>
              <w:t>0.07</w:t>
            </w:r>
          </w:p>
        </w:tc>
        <w:tc>
          <w:tcPr>
            <w:tcW w:w="755" w:type="pct"/>
            <w:tcBorders>
              <w:top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ascii="宋体" w:hAnsi="宋体" w:cs="宋体"/>
                <w:color w:val="000000"/>
                <w:kern w:val="0"/>
                <w:sz w:val="18"/>
              </w:rPr>
              <w:t>0.06</w:t>
            </w:r>
          </w:p>
        </w:tc>
        <w:tc>
          <w:tcPr>
            <w:tcW w:w="756" w:type="pct"/>
            <w:tcBorders>
              <w:top w:val="single" w:color="auto" w:sz="4" w:space="0"/>
              <w:bottom w:val="single" w:color="auto" w:sz="4" w:space="0"/>
              <w:right w:val="single" w:color="auto" w:sz="4" w:space="0"/>
            </w:tcBorders>
            <w:vAlign w:val="center"/>
          </w:tcPr>
          <w:p>
            <w:pPr>
              <w:jc w:val="center"/>
              <w:rPr>
                <w:rFonts w:ascii="宋体" w:hAnsi="宋体" w:cs="宋体"/>
                <w:color w:val="000000"/>
                <w:kern w:val="0"/>
                <w:sz w:val="18"/>
              </w:rPr>
            </w:pPr>
            <w:r>
              <w:rPr>
                <w:rFonts w:ascii="宋体" w:hAnsi="宋体" w:cs="宋体"/>
                <w:color w:val="000000"/>
                <w:kern w:val="0"/>
                <w:sz w:val="18"/>
              </w:rPr>
              <w:t>0.25</w:t>
            </w:r>
          </w:p>
        </w:tc>
        <w:tc>
          <w:tcPr>
            <w:tcW w:w="8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18"/>
              </w:rPr>
            </w:pPr>
            <w:r>
              <w:rPr>
                <w:rFonts w:ascii="宋体" w:hAnsi="宋体" w:cs="宋体"/>
                <w:color w:val="000000"/>
                <w:kern w:val="0"/>
                <w:sz w:val="18"/>
              </w:rPr>
              <w:t>0.08</w:t>
            </w:r>
          </w:p>
        </w:tc>
        <w:tc>
          <w:tcPr>
            <w:tcW w:w="8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kern w:val="0"/>
                <w:sz w:val="18"/>
              </w:rPr>
            </w:pPr>
            <w:r>
              <w:rPr>
                <w:rFonts w:ascii="宋体" w:hAnsi="宋体" w:cs="宋体"/>
                <w:color w:val="000000"/>
                <w:kern w:val="0"/>
                <w:sz w:val="18"/>
              </w:rPr>
              <w:t>0.18</w:t>
            </w:r>
          </w:p>
        </w:tc>
        <w:tc>
          <w:tcPr>
            <w:tcW w:w="549" w:type="pct"/>
            <w:tcBorders>
              <w:top w:val="single" w:color="auto" w:sz="4" w:space="0"/>
              <w:left w:val="single" w:color="auto" w:sz="4" w:space="0"/>
              <w:bottom w:val="single" w:color="auto" w:sz="4" w:space="0"/>
            </w:tcBorders>
            <w:shd w:val="clear" w:color="auto" w:fill="auto"/>
            <w:vAlign w:val="center"/>
          </w:tcPr>
          <w:p>
            <w:pPr>
              <w:jc w:val="center"/>
              <w:rPr>
                <w:rFonts w:ascii="宋体" w:hAnsi="宋体" w:cs="宋体"/>
                <w:color w:val="000000"/>
                <w:kern w:val="0"/>
                <w:sz w:val="18"/>
              </w:rPr>
            </w:pPr>
            <w:r>
              <w:rPr>
                <w:rFonts w:ascii="宋体" w:hAnsi="宋体" w:cs="宋体"/>
                <w:color w:val="000000"/>
                <w:kern w:val="0"/>
                <w:sz w:val="18"/>
              </w:rPr>
              <w:t>0.36</w:t>
            </w:r>
          </w:p>
        </w:tc>
      </w:tr>
      <w:tr>
        <w:tblPrEx>
          <w:tblCellMar>
            <w:top w:w="0" w:type="dxa"/>
            <w:left w:w="108" w:type="dxa"/>
            <w:bottom w:w="0" w:type="dxa"/>
            <w:right w:w="108" w:type="dxa"/>
          </w:tblCellMar>
        </w:tblPrEx>
        <w:trPr>
          <w:trHeight w:val="1269" w:hRule="atLeast"/>
          <w:jc w:val="center"/>
        </w:trPr>
        <w:tc>
          <w:tcPr>
            <w:tcW w:w="454"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支撑材料</w:t>
            </w:r>
          </w:p>
        </w:tc>
        <w:tc>
          <w:tcPr>
            <w:tcW w:w="75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中期</w:t>
            </w:r>
            <w:r>
              <w:rPr>
                <w:rFonts w:hint="eastAsia" w:ascii="宋体" w:hAnsi="宋体" w:cs="宋体"/>
                <w:color w:val="000000"/>
                <w:kern w:val="0"/>
                <w:sz w:val="18"/>
              </w:rPr>
              <w:t>总结</w:t>
            </w:r>
            <w:r>
              <w:rPr>
                <w:rFonts w:ascii="宋体" w:hAnsi="宋体" w:cs="宋体"/>
                <w:color w:val="000000"/>
                <w:kern w:val="0"/>
                <w:sz w:val="18"/>
              </w:rPr>
              <w:t>报告</w:t>
            </w:r>
            <w:r>
              <w:rPr>
                <w:rFonts w:hint="eastAsia" w:ascii="宋体" w:hAnsi="宋体" w:cs="宋体"/>
                <w:color w:val="000000"/>
                <w:kern w:val="0"/>
                <w:sz w:val="18"/>
              </w:rPr>
              <w:t>、中期检查表、</w:t>
            </w:r>
          </w:p>
        </w:tc>
        <w:tc>
          <w:tcPr>
            <w:tcW w:w="755"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ascii="宋体" w:hAnsi="宋体" w:cs="宋体"/>
                <w:color w:val="000000"/>
                <w:kern w:val="0"/>
                <w:sz w:val="18"/>
              </w:rPr>
              <w:t>中期</w:t>
            </w:r>
            <w:r>
              <w:rPr>
                <w:rFonts w:hint="eastAsia" w:ascii="宋体" w:hAnsi="宋体" w:cs="宋体"/>
                <w:color w:val="000000"/>
                <w:kern w:val="0"/>
                <w:sz w:val="18"/>
              </w:rPr>
              <w:t>总结</w:t>
            </w:r>
            <w:r>
              <w:rPr>
                <w:rFonts w:ascii="宋体" w:hAnsi="宋体" w:cs="宋体"/>
                <w:color w:val="000000"/>
                <w:kern w:val="0"/>
                <w:sz w:val="18"/>
              </w:rPr>
              <w:t>报告</w:t>
            </w:r>
            <w:r>
              <w:rPr>
                <w:rFonts w:hint="eastAsia" w:ascii="宋体" w:hAnsi="宋体" w:cs="宋体"/>
                <w:color w:val="000000"/>
                <w:kern w:val="0"/>
                <w:sz w:val="18"/>
              </w:rPr>
              <w:t>、中期检查表、</w:t>
            </w:r>
          </w:p>
        </w:tc>
        <w:tc>
          <w:tcPr>
            <w:tcW w:w="756" w:type="pct"/>
            <w:tcBorders>
              <w:top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rPr>
            </w:pPr>
            <w:r>
              <w:rPr>
                <w:rFonts w:hint="eastAsia" w:ascii="宋体" w:hAnsi="宋体" w:cs="宋体"/>
                <w:color w:val="000000"/>
                <w:kern w:val="0"/>
                <w:sz w:val="18"/>
              </w:rPr>
              <w:t>预验收</w:t>
            </w:r>
          </w:p>
          <w:p>
            <w:pPr>
              <w:widowControl/>
              <w:jc w:val="center"/>
              <w:rPr>
                <w:rFonts w:ascii="宋体" w:hAnsi="宋体" w:cs="宋体"/>
                <w:color w:val="000000"/>
                <w:kern w:val="0"/>
                <w:sz w:val="18"/>
              </w:rPr>
            </w:pPr>
            <w:r>
              <w:rPr>
                <w:rFonts w:hint="eastAsia" w:ascii="宋体" w:hAnsi="宋体" w:cs="宋体"/>
                <w:color w:val="000000"/>
                <w:kern w:val="0"/>
                <w:sz w:val="18"/>
              </w:rPr>
              <w:t>检查表</w:t>
            </w:r>
          </w:p>
        </w:tc>
        <w:tc>
          <w:tcPr>
            <w:tcW w:w="8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指导教师</w:t>
            </w:r>
            <w:r>
              <w:rPr>
                <w:rFonts w:ascii="宋体" w:hAnsi="宋体" w:cs="宋体"/>
                <w:color w:val="000000"/>
                <w:kern w:val="0"/>
                <w:sz w:val="18"/>
              </w:rPr>
              <w:t>评语</w:t>
            </w:r>
            <w:r>
              <w:rPr>
                <w:rFonts w:hint="eastAsia" w:ascii="宋体" w:hAnsi="宋体" w:cs="宋体"/>
                <w:color w:val="000000"/>
                <w:kern w:val="0"/>
                <w:sz w:val="18"/>
              </w:rPr>
              <w:t>、</w:t>
            </w:r>
          </w:p>
          <w:p>
            <w:pPr>
              <w:widowControl/>
              <w:jc w:val="center"/>
              <w:rPr>
                <w:rFonts w:ascii="宋体" w:hAnsi="宋体" w:cs="宋体"/>
                <w:color w:val="000000"/>
                <w:kern w:val="0"/>
                <w:sz w:val="18"/>
              </w:rPr>
            </w:pPr>
            <w:r>
              <w:rPr>
                <w:rFonts w:hint="eastAsia" w:ascii="宋体" w:hAnsi="宋体" w:cs="宋体"/>
                <w:color w:val="000000"/>
                <w:kern w:val="0"/>
                <w:sz w:val="18"/>
              </w:rPr>
              <w:t>开题</w:t>
            </w:r>
            <w:r>
              <w:rPr>
                <w:rFonts w:ascii="宋体" w:hAnsi="宋体" w:cs="宋体"/>
                <w:color w:val="000000"/>
                <w:kern w:val="0"/>
                <w:sz w:val="18"/>
              </w:rPr>
              <w:t>报告、中期</w:t>
            </w:r>
          </w:p>
          <w:p>
            <w:pPr>
              <w:widowControl/>
              <w:jc w:val="center"/>
              <w:rPr>
                <w:rFonts w:ascii="宋体" w:hAnsi="宋体" w:cs="宋体"/>
                <w:color w:val="000000"/>
                <w:kern w:val="0"/>
                <w:sz w:val="18"/>
              </w:rPr>
            </w:pPr>
            <w:r>
              <w:rPr>
                <w:rFonts w:hint="eastAsia" w:ascii="宋体" w:hAnsi="宋体" w:cs="宋体"/>
                <w:color w:val="000000"/>
                <w:kern w:val="0"/>
                <w:sz w:val="18"/>
              </w:rPr>
              <w:t>总结</w:t>
            </w:r>
            <w:r>
              <w:rPr>
                <w:rFonts w:ascii="宋体" w:hAnsi="宋体" w:cs="宋体"/>
                <w:color w:val="000000"/>
                <w:kern w:val="0"/>
                <w:sz w:val="18"/>
              </w:rPr>
              <w:t>报告、</w:t>
            </w:r>
            <w:r>
              <w:rPr>
                <w:rFonts w:hint="eastAsia" w:ascii="宋体" w:hAnsi="宋体" w:cs="宋体"/>
                <w:color w:val="000000"/>
                <w:kern w:val="0"/>
                <w:sz w:val="18"/>
              </w:rPr>
              <w:t>毕业</w:t>
            </w:r>
          </w:p>
          <w:p>
            <w:pPr>
              <w:widowControl/>
              <w:jc w:val="center"/>
              <w:rPr>
                <w:rFonts w:ascii="宋体" w:hAnsi="宋体" w:cs="宋体"/>
                <w:color w:val="000000"/>
                <w:kern w:val="0"/>
                <w:sz w:val="18"/>
              </w:rPr>
            </w:pPr>
            <w:r>
              <w:rPr>
                <w:rFonts w:ascii="宋体" w:hAnsi="宋体" w:cs="宋体"/>
                <w:color w:val="000000"/>
                <w:kern w:val="0"/>
                <w:sz w:val="18"/>
              </w:rPr>
              <w:t>设计说明书、</w:t>
            </w:r>
          </w:p>
          <w:p>
            <w:pPr>
              <w:widowControl/>
              <w:jc w:val="center"/>
              <w:rPr>
                <w:rFonts w:ascii="宋体" w:hAnsi="宋体" w:cs="宋体"/>
                <w:color w:val="000000"/>
                <w:kern w:val="0"/>
                <w:sz w:val="18"/>
              </w:rPr>
            </w:pPr>
            <w:r>
              <w:rPr>
                <w:rFonts w:hint="eastAsia" w:ascii="宋体" w:hAnsi="宋体" w:cs="宋体"/>
                <w:color w:val="000000"/>
                <w:kern w:val="0"/>
                <w:sz w:val="18"/>
              </w:rPr>
              <w:t>设计</w:t>
            </w:r>
            <w:r>
              <w:rPr>
                <w:rFonts w:ascii="宋体" w:hAnsi="宋体" w:cs="宋体"/>
                <w:color w:val="000000"/>
                <w:kern w:val="0"/>
                <w:sz w:val="18"/>
              </w:rPr>
              <w:t>图纸或代码</w:t>
            </w:r>
          </w:p>
        </w:tc>
        <w:tc>
          <w:tcPr>
            <w:tcW w:w="86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评阅人</w:t>
            </w:r>
            <w:r>
              <w:rPr>
                <w:rFonts w:ascii="宋体" w:hAnsi="宋体" w:cs="宋体"/>
                <w:color w:val="000000"/>
                <w:kern w:val="0"/>
                <w:sz w:val="18"/>
              </w:rPr>
              <w:t>评语</w:t>
            </w:r>
            <w:r>
              <w:rPr>
                <w:rFonts w:hint="eastAsia" w:ascii="宋体" w:hAnsi="宋体" w:cs="宋体"/>
                <w:color w:val="000000"/>
                <w:kern w:val="0"/>
                <w:sz w:val="18"/>
              </w:rPr>
              <w:t>、</w:t>
            </w:r>
          </w:p>
          <w:p>
            <w:pPr>
              <w:widowControl/>
              <w:jc w:val="center"/>
              <w:rPr>
                <w:rFonts w:ascii="宋体" w:hAnsi="宋体" w:cs="宋体"/>
                <w:color w:val="000000"/>
                <w:kern w:val="0"/>
                <w:sz w:val="18"/>
              </w:rPr>
            </w:pPr>
            <w:r>
              <w:rPr>
                <w:rFonts w:hint="eastAsia" w:ascii="宋体" w:hAnsi="宋体" w:cs="宋体"/>
                <w:color w:val="000000"/>
                <w:kern w:val="0"/>
                <w:sz w:val="18"/>
              </w:rPr>
              <w:t>开题</w:t>
            </w:r>
            <w:r>
              <w:rPr>
                <w:rFonts w:ascii="宋体" w:hAnsi="宋体" w:cs="宋体"/>
                <w:color w:val="000000"/>
                <w:kern w:val="0"/>
                <w:sz w:val="18"/>
              </w:rPr>
              <w:t>报告、中期</w:t>
            </w:r>
          </w:p>
          <w:p>
            <w:pPr>
              <w:widowControl/>
              <w:jc w:val="center"/>
              <w:rPr>
                <w:rFonts w:ascii="宋体" w:hAnsi="宋体" w:cs="宋体"/>
                <w:color w:val="000000"/>
                <w:kern w:val="0"/>
                <w:sz w:val="18"/>
              </w:rPr>
            </w:pPr>
            <w:r>
              <w:rPr>
                <w:rFonts w:hint="eastAsia" w:ascii="宋体" w:hAnsi="宋体" w:cs="宋体"/>
                <w:color w:val="000000"/>
                <w:kern w:val="0"/>
                <w:sz w:val="18"/>
              </w:rPr>
              <w:t>总结</w:t>
            </w:r>
            <w:r>
              <w:rPr>
                <w:rFonts w:ascii="宋体" w:hAnsi="宋体" w:cs="宋体"/>
                <w:color w:val="000000"/>
                <w:kern w:val="0"/>
                <w:sz w:val="18"/>
              </w:rPr>
              <w:t>报告、</w:t>
            </w:r>
            <w:r>
              <w:rPr>
                <w:rFonts w:hint="eastAsia" w:ascii="宋体" w:hAnsi="宋体" w:cs="宋体"/>
                <w:color w:val="000000"/>
                <w:kern w:val="0"/>
                <w:sz w:val="18"/>
              </w:rPr>
              <w:t>毕业</w:t>
            </w:r>
          </w:p>
          <w:p>
            <w:pPr>
              <w:widowControl/>
              <w:jc w:val="center"/>
              <w:rPr>
                <w:rFonts w:ascii="宋体" w:hAnsi="宋体" w:cs="宋体"/>
                <w:color w:val="000000"/>
                <w:kern w:val="0"/>
                <w:sz w:val="18"/>
              </w:rPr>
            </w:pPr>
            <w:r>
              <w:rPr>
                <w:rFonts w:ascii="宋体" w:hAnsi="宋体" w:cs="宋体"/>
                <w:color w:val="000000"/>
                <w:kern w:val="0"/>
                <w:sz w:val="18"/>
              </w:rPr>
              <w:t>设计说明书、</w:t>
            </w:r>
          </w:p>
          <w:p>
            <w:pPr>
              <w:widowControl/>
              <w:jc w:val="center"/>
              <w:rPr>
                <w:rFonts w:ascii="宋体" w:hAnsi="宋体" w:cs="宋体"/>
                <w:color w:val="000000"/>
                <w:kern w:val="0"/>
                <w:sz w:val="18"/>
              </w:rPr>
            </w:pPr>
            <w:r>
              <w:rPr>
                <w:rFonts w:hint="eastAsia" w:ascii="宋体" w:hAnsi="宋体" w:cs="宋体"/>
                <w:color w:val="000000"/>
                <w:kern w:val="0"/>
                <w:sz w:val="18"/>
              </w:rPr>
              <w:t>设计</w:t>
            </w:r>
            <w:r>
              <w:rPr>
                <w:rFonts w:ascii="宋体" w:hAnsi="宋体" w:cs="宋体"/>
                <w:color w:val="000000"/>
                <w:kern w:val="0"/>
                <w:sz w:val="18"/>
              </w:rPr>
              <w:t>图纸或代码</w:t>
            </w:r>
          </w:p>
        </w:tc>
        <w:tc>
          <w:tcPr>
            <w:tcW w:w="549" w:type="pct"/>
            <w:tcBorders>
              <w:top w:val="single" w:color="auto" w:sz="4" w:space="0"/>
              <w:left w:val="single" w:color="auto" w:sz="4" w:space="0"/>
              <w:bottom w:val="single" w:color="auto" w:sz="4" w:space="0"/>
            </w:tcBorders>
            <w:shd w:val="clear" w:color="auto" w:fill="auto"/>
            <w:noWrap/>
            <w:vAlign w:val="center"/>
          </w:tcPr>
          <w:p>
            <w:pPr>
              <w:widowControl/>
              <w:jc w:val="center"/>
              <w:rPr>
                <w:rFonts w:ascii="宋体" w:hAnsi="宋体" w:cs="宋体"/>
                <w:color w:val="000000"/>
                <w:kern w:val="0"/>
                <w:sz w:val="18"/>
              </w:rPr>
            </w:pPr>
            <w:r>
              <w:rPr>
                <w:rFonts w:hint="eastAsia" w:ascii="宋体" w:hAnsi="宋体" w:cs="宋体"/>
                <w:color w:val="000000"/>
                <w:kern w:val="0"/>
                <w:sz w:val="18"/>
              </w:rPr>
              <w:t>答辩材料</w:t>
            </w:r>
          </w:p>
        </w:tc>
      </w:tr>
    </w:tbl>
    <w:p>
      <w:pPr>
        <w:tabs>
          <w:tab w:val="left" w:pos="420"/>
        </w:tabs>
        <w:adjustRightInd w:val="0"/>
        <w:snapToGrid w:val="0"/>
        <w:spacing w:line="360" w:lineRule="auto"/>
        <w:ind w:left="420" w:hanging="420"/>
        <w:rPr>
          <w:rFonts w:eastAsia="黑体"/>
          <w:szCs w:val="24"/>
        </w:rPr>
      </w:pPr>
    </w:p>
    <w:p>
      <w:pPr>
        <w:spacing w:line="360" w:lineRule="auto"/>
        <w:rPr>
          <w:sz w:val="18"/>
          <w:szCs w:val="18"/>
        </w:rPr>
      </w:pPr>
    </w:p>
    <w:p>
      <w:pPr>
        <w:spacing w:line="360" w:lineRule="auto"/>
        <w:rPr>
          <w:color w:val="0000FF"/>
          <w:sz w:val="18"/>
          <w:szCs w:val="18"/>
        </w:rPr>
        <w:sectPr>
          <w:footerReference r:id="rId148" w:type="default"/>
          <w:pgSz w:w="11906" w:h="16838"/>
          <w:pgMar w:top="1440" w:right="1797" w:bottom="1440" w:left="1797" w:header="851" w:footer="992" w:gutter="0"/>
          <w:cols w:space="425" w:num="1"/>
          <w:docGrid w:linePitch="312" w:charSpace="0"/>
        </w:sectPr>
      </w:pPr>
    </w:p>
    <w:p>
      <w:pPr>
        <w:tabs>
          <w:tab w:val="left" w:pos="420"/>
        </w:tabs>
        <w:adjustRightInd w:val="0"/>
        <w:snapToGrid w:val="0"/>
        <w:spacing w:line="360" w:lineRule="auto"/>
        <w:ind w:left="420" w:hanging="420"/>
        <w:rPr>
          <w:rFonts w:eastAsia="黑体"/>
          <w:szCs w:val="24"/>
        </w:rPr>
      </w:pPr>
      <w:r>
        <w:rPr>
          <w:rFonts w:hint="eastAsia" w:eastAsia="黑体"/>
          <w:szCs w:val="24"/>
        </w:rPr>
        <w:t>八、课程目标达成评价</w:t>
      </w:r>
    </w:p>
    <w:p>
      <w:pPr>
        <w:spacing w:line="360" w:lineRule="auto"/>
        <w:ind w:firstLine="420" w:firstLineChars="200"/>
        <w:jc w:val="center"/>
      </w:pPr>
      <w:r>
        <w:rPr>
          <w:rFonts w:hint="eastAsia"/>
        </w:rPr>
        <w:t>各环节对课程目标达成评价所使用到的权重占比分配</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95"/>
        <w:gridCol w:w="1005"/>
        <w:gridCol w:w="1004"/>
        <w:gridCol w:w="1004"/>
        <w:gridCol w:w="1004"/>
        <w:gridCol w:w="1004"/>
        <w:gridCol w:w="1010"/>
        <w:gridCol w:w="999"/>
        <w:gridCol w:w="1001"/>
        <w:gridCol w:w="1001"/>
        <w:gridCol w:w="1001"/>
        <w:gridCol w:w="1001"/>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22" w:type="pct"/>
            <w:vMerge w:val="restar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课程</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目标</w:t>
            </w:r>
          </w:p>
        </w:tc>
        <w:tc>
          <w:tcPr>
            <w:tcW w:w="464" w:type="pct"/>
            <w:vMerge w:val="restart"/>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知识面比例</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（本列总和为1）</w:t>
            </w:r>
          </w:p>
          <w:p>
            <w:pPr>
              <w:widowControl/>
              <w:jc w:val="center"/>
              <w:rPr>
                <w:rFonts w:ascii="宋体" w:hAnsi="宋体" w:cs="宋体"/>
                <w:i/>
                <w:color w:val="000000"/>
                <w:kern w:val="0"/>
                <w:sz w:val="18"/>
                <w:szCs w:val="18"/>
              </w:rPr>
            </w:pPr>
            <w:r>
              <w:rPr>
                <w:rFonts w:ascii="宋体" w:hAnsi="宋体" w:cs="宋体"/>
                <w:i/>
                <w:color w:val="000000"/>
                <w:kern w:val="0"/>
                <w:sz w:val="18"/>
                <w:szCs w:val="18"/>
              </w:rPr>
              <w:t>P</w:t>
            </w:r>
            <w:r>
              <w:rPr>
                <w:rFonts w:ascii="宋体" w:hAnsi="宋体" w:cs="宋体"/>
                <w:i/>
                <w:color w:val="000000"/>
                <w:kern w:val="0"/>
                <w:sz w:val="18"/>
                <w:szCs w:val="18"/>
                <w:vertAlign w:val="subscript"/>
              </w:rPr>
              <w:t>i</w:t>
            </w:r>
          </w:p>
        </w:tc>
        <w:tc>
          <w:tcPr>
            <w:tcW w:w="2162" w:type="pct"/>
            <w:gridSpan w:val="6"/>
            <w:shd w:val="clear" w:color="auto" w:fill="auto"/>
            <w:vAlign w:val="center"/>
          </w:tcPr>
          <w:p>
            <w:pPr>
              <w:widowControl/>
              <w:jc w:val="center"/>
              <w:rPr>
                <w:rFonts w:ascii="宋体" w:hAnsi="宋体"/>
                <w:color w:val="000000"/>
                <w:kern w:val="0"/>
                <w:sz w:val="18"/>
                <w:szCs w:val="18"/>
              </w:rPr>
            </w:pPr>
            <w:r>
              <w:rPr>
                <w:rFonts w:hint="eastAsia" w:ascii="宋体" w:hAnsi="宋体"/>
                <w:color w:val="000000"/>
                <w:sz w:val="18"/>
                <w:szCs w:val="18"/>
              </w:rPr>
              <w:t>各环节评价比例分配</w:t>
            </w:r>
            <w:r>
              <w:rPr>
                <w:rFonts w:hint="eastAsia" w:ascii="宋体" w:hAnsi="宋体"/>
                <w:color w:val="000000"/>
                <w:sz w:val="18"/>
                <w:szCs w:val="18"/>
              </w:rPr>
              <w:br w:type="textWrapping"/>
            </w:r>
            <w:r>
              <w:rPr>
                <w:rFonts w:hint="eastAsia" w:ascii="宋体" w:hAnsi="宋体"/>
                <w:color w:val="000000"/>
                <w:sz w:val="18"/>
                <w:szCs w:val="18"/>
              </w:rPr>
              <w:t>（每行总和为1）</w:t>
            </w:r>
            <w:r>
              <w:rPr>
                <w:rFonts w:hint="eastAsia" w:ascii="宋体" w:hAnsi="宋体"/>
                <w:color w:val="000000"/>
                <w:sz w:val="18"/>
                <w:szCs w:val="18"/>
              </w:rPr>
              <w:br w:type="textWrapping"/>
            </w:r>
            <w:r>
              <w:rPr>
                <w:rFonts w:hint="eastAsia" w:ascii="宋体" w:hAnsi="宋体"/>
                <w:i/>
                <w:color w:val="000000"/>
                <w:sz w:val="18"/>
                <w:szCs w:val="18"/>
              </w:rPr>
              <w:t>W</w:t>
            </w:r>
            <w:r>
              <w:rPr>
                <w:rFonts w:hint="eastAsia" w:ascii="宋体" w:hAnsi="宋体"/>
                <w:i/>
                <w:color w:val="000000"/>
                <w:sz w:val="18"/>
                <w:szCs w:val="18"/>
                <w:vertAlign w:val="subscript"/>
              </w:rPr>
              <w:t>ik</w:t>
            </w:r>
          </w:p>
        </w:tc>
        <w:tc>
          <w:tcPr>
            <w:tcW w:w="2153" w:type="pct"/>
            <w:gridSpan w:val="6"/>
            <w:shd w:val="clear" w:color="auto" w:fill="auto"/>
            <w:vAlign w:val="center"/>
          </w:tcPr>
          <w:p>
            <w:pPr>
              <w:jc w:val="center"/>
              <w:rPr>
                <w:rFonts w:ascii="宋体" w:hAnsi="宋体"/>
                <w:color w:val="000000"/>
                <w:sz w:val="18"/>
                <w:szCs w:val="18"/>
              </w:rPr>
            </w:pPr>
            <w:r>
              <w:rPr>
                <w:rFonts w:hint="eastAsia" w:ascii="宋体" w:hAnsi="宋体"/>
                <w:color w:val="000000"/>
                <w:sz w:val="18"/>
                <w:szCs w:val="18"/>
              </w:rPr>
              <w:t>各环节在课程达成中的占比</w:t>
            </w:r>
            <w:r>
              <w:rPr>
                <w:rFonts w:hint="eastAsia" w:ascii="宋体" w:hAnsi="宋体"/>
                <w:color w:val="000000"/>
                <w:sz w:val="18"/>
                <w:szCs w:val="18"/>
              </w:rPr>
              <w:br w:type="textWrapping"/>
            </w:r>
            <w:r>
              <w:rPr>
                <w:rFonts w:hint="eastAsia" w:ascii="宋体" w:hAnsi="宋体"/>
                <w:color w:val="000000"/>
                <w:sz w:val="18"/>
                <w:szCs w:val="18"/>
              </w:rPr>
              <w:t>（所有行列总和为1）</w:t>
            </w:r>
            <w:r>
              <w:rPr>
                <w:rFonts w:hint="eastAsia" w:ascii="宋体" w:hAnsi="宋体"/>
                <w:color w:val="000000"/>
                <w:sz w:val="18"/>
                <w:szCs w:val="18"/>
              </w:rPr>
              <w:br w:type="textWrapping"/>
            </w:r>
            <w:r>
              <w:rPr>
                <w:rFonts w:hint="eastAsia" w:ascii="宋体" w:hAnsi="宋体"/>
                <w:i/>
                <w:color w:val="000000"/>
                <w:sz w:val="18"/>
                <w:szCs w:val="18"/>
              </w:rPr>
              <w:t>S</w:t>
            </w:r>
            <w:r>
              <w:rPr>
                <w:rFonts w:hint="eastAsia" w:ascii="宋体" w:hAnsi="宋体"/>
                <w:i/>
                <w:color w:val="000000"/>
                <w:sz w:val="18"/>
                <w:szCs w:val="18"/>
                <w:vertAlign w:val="subscript"/>
              </w:rPr>
              <w:t>ik</w:t>
            </w:r>
            <w:r>
              <w:rPr>
                <w:rFonts w:hint="eastAsia" w:ascii="宋体" w:hAnsi="宋体"/>
                <w:i/>
                <w:color w:val="000000"/>
                <w:sz w:val="18"/>
                <w:szCs w:val="18"/>
              </w:rPr>
              <w:t>=P</w:t>
            </w:r>
            <w:r>
              <w:rPr>
                <w:rFonts w:hint="eastAsia" w:ascii="宋体" w:hAnsi="宋体"/>
                <w:i/>
                <w:color w:val="000000"/>
                <w:sz w:val="18"/>
                <w:szCs w:val="18"/>
                <w:vertAlign w:val="subscript"/>
              </w:rPr>
              <w:t>i</w:t>
            </w:r>
            <w:r>
              <w:rPr>
                <w:rFonts w:hint="eastAsia" w:ascii="宋体" w:hAnsi="宋体"/>
                <w:i/>
                <w:color w:val="000000"/>
                <w:sz w:val="18"/>
                <w:szCs w:val="18"/>
              </w:rPr>
              <w:t>*W</w:t>
            </w:r>
            <w:r>
              <w:rPr>
                <w:rFonts w:hint="eastAsia" w:ascii="宋体" w:hAnsi="宋体"/>
                <w:i/>
                <w:color w:val="000000"/>
                <w:sz w:val="18"/>
                <w:szCs w:val="18"/>
                <w:vertAlign w:val="subscript"/>
              </w:rPr>
              <w:t>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2" w:type="pct"/>
            <w:vMerge w:val="continue"/>
          </w:tcPr>
          <w:p>
            <w:pPr>
              <w:widowControl/>
              <w:jc w:val="left"/>
              <w:rPr>
                <w:rFonts w:ascii="宋体" w:hAnsi="宋体" w:cs="宋体"/>
                <w:color w:val="000000"/>
                <w:kern w:val="0"/>
                <w:sz w:val="18"/>
                <w:szCs w:val="18"/>
              </w:rPr>
            </w:pPr>
          </w:p>
        </w:tc>
        <w:tc>
          <w:tcPr>
            <w:tcW w:w="464" w:type="pct"/>
            <w:vMerge w:val="continue"/>
            <w:vAlign w:val="center"/>
          </w:tcPr>
          <w:p>
            <w:pPr>
              <w:widowControl/>
              <w:jc w:val="left"/>
              <w:rPr>
                <w:rFonts w:ascii="宋体" w:hAnsi="宋体" w:cs="宋体"/>
                <w:color w:val="000000"/>
                <w:kern w:val="0"/>
                <w:sz w:val="18"/>
                <w:szCs w:val="18"/>
              </w:rPr>
            </w:pPr>
          </w:p>
        </w:tc>
        <w:tc>
          <w:tcPr>
            <w:tcW w:w="360" w:type="pct"/>
            <w:shd w:val="clear" w:color="auto" w:fill="auto"/>
            <w:vAlign w:val="center"/>
          </w:tcPr>
          <w:p>
            <w:pPr>
              <w:widowControl/>
              <w:jc w:val="center"/>
              <w:rPr>
                <w:bCs/>
                <w:color w:val="000000"/>
                <w:kern w:val="0"/>
                <w:sz w:val="18"/>
                <w:szCs w:val="18"/>
              </w:rPr>
            </w:pPr>
            <w:r>
              <w:rPr>
                <w:rFonts w:hint="eastAsia"/>
                <w:bCs/>
                <w:color w:val="000000"/>
                <w:sz w:val="18"/>
                <w:szCs w:val="18"/>
              </w:rPr>
              <w:t>中期检查1</w:t>
            </w:r>
          </w:p>
        </w:tc>
        <w:tc>
          <w:tcPr>
            <w:tcW w:w="360" w:type="pct"/>
            <w:shd w:val="clear" w:color="auto" w:fill="auto"/>
            <w:vAlign w:val="center"/>
          </w:tcPr>
          <w:p>
            <w:pPr>
              <w:jc w:val="center"/>
              <w:rPr>
                <w:bCs/>
                <w:color w:val="000000"/>
                <w:sz w:val="18"/>
                <w:szCs w:val="18"/>
              </w:rPr>
            </w:pPr>
            <w:r>
              <w:rPr>
                <w:rFonts w:hint="eastAsia"/>
                <w:bCs/>
                <w:color w:val="000000"/>
                <w:sz w:val="18"/>
                <w:szCs w:val="18"/>
              </w:rPr>
              <w:t>中期检查2</w:t>
            </w:r>
          </w:p>
        </w:tc>
        <w:tc>
          <w:tcPr>
            <w:tcW w:w="360" w:type="pct"/>
            <w:shd w:val="clear" w:color="auto" w:fill="auto"/>
            <w:vAlign w:val="center"/>
          </w:tcPr>
          <w:p>
            <w:pPr>
              <w:jc w:val="center"/>
              <w:rPr>
                <w:bCs/>
                <w:color w:val="000000"/>
                <w:sz w:val="18"/>
                <w:szCs w:val="18"/>
              </w:rPr>
            </w:pPr>
            <w:r>
              <w:rPr>
                <w:rFonts w:hint="eastAsia"/>
                <w:bCs/>
                <w:color w:val="000000"/>
                <w:sz w:val="18"/>
                <w:szCs w:val="18"/>
              </w:rPr>
              <w:t>预验收</w:t>
            </w:r>
          </w:p>
        </w:tc>
        <w:tc>
          <w:tcPr>
            <w:tcW w:w="360" w:type="pct"/>
            <w:shd w:val="clear" w:color="auto" w:fill="auto"/>
            <w:vAlign w:val="center"/>
          </w:tcPr>
          <w:p>
            <w:pPr>
              <w:jc w:val="center"/>
              <w:rPr>
                <w:bCs/>
                <w:color w:val="000000"/>
                <w:sz w:val="18"/>
                <w:szCs w:val="18"/>
              </w:rPr>
            </w:pPr>
            <w:r>
              <w:rPr>
                <w:rFonts w:hint="eastAsia"/>
                <w:bCs/>
                <w:color w:val="000000"/>
                <w:sz w:val="18"/>
                <w:szCs w:val="18"/>
              </w:rPr>
              <w:t>指导教师评语</w:t>
            </w:r>
          </w:p>
        </w:tc>
        <w:tc>
          <w:tcPr>
            <w:tcW w:w="360" w:type="pct"/>
            <w:shd w:val="clear" w:color="auto" w:fill="auto"/>
            <w:vAlign w:val="center"/>
          </w:tcPr>
          <w:p>
            <w:pPr>
              <w:jc w:val="center"/>
              <w:rPr>
                <w:bCs/>
                <w:color w:val="000000"/>
                <w:sz w:val="18"/>
                <w:szCs w:val="18"/>
              </w:rPr>
            </w:pPr>
            <w:r>
              <w:rPr>
                <w:rFonts w:hint="eastAsia"/>
                <w:bCs/>
                <w:color w:val="000000"/>
                <w:sz w:val="18"/>
                <w:szCs w:val="18"/>
              </w:rPr>
              <w:t>评阅人评语</w:t>
            </w:r>
          </w:p>
        </w:tc>
        <w:tc>
          <w:tcPr>
            <w:tcW w:w="362" w:type="pct"/>
            <w:shd w:val="clear" w:color="auto" w:fill="auto"/>
            <w:vAlign w:val="center"/>
          </w:tcPr>
          <w:p>
            <w:pPr>
              <w:jc w:val="center"/>
              <w:rPr>
                <w:bCs/>
                <w:color w:val="000000"/>
                <w:sz w:val="18"/>
                <w:szCs w:val="18"/>
              </w:rPr>
            </w:pPr>
            <w:r>
              <w:rPr>
                <w:rFonts w:hint="eastAsia"/>
                <w:bCs/>
                <w:color w:val="000000"/>
                <w:sz w:val="18"/>
                <w:szCs w:val="18"/>
              </w:rPr>
              <w:t>答辩</w:t>
            </w:r>
          </w:p>
        </w:tc>
        <w:tc>
          <w:tcPr>
            <w:tcW w:w="358" w:type="pct"/>
            <w:shd w:val="clear" w:color="auto" w:fill="auto"/>
            <w:vAlign w:val="center"/>
          </w:tcPr>
          <w:p>
            <w:pPr>
              <w:jc w:val="center"/>
              <w:rPr>
                <w:color w:val="000000"/>
                <w:sz w:val="18"/>
                <w:szCs w:val="18"/>
              </w:rPr>
            </w:pPr>
            <w:r>
              <w:rPr>
                <w:rFonts w:hint="eastAsia"/>
                <w:color w:val="000000"/>
                <w:sz w:val="18"/>
                <w:szCs w:val="18"/>
              </w:rPr>
              <w:t>中期检查1</w:t>
            </w:r>
          </w:p>
        </w:tc>
        <w:tc>
          <w:tcPr>
            <w:tcW w:w="359" w:type="pct"/>
            <w:shd w:val="clear" w:color="auto" w:fill="auto"/>
            <w:vAlign w:val="center"/>
          </w:tcPr>
          <w:p>
            <w:pPr>
              <w:jc w:val="center"/>
              <w:rPr>
                <w:color w:val="000000"/>
                <w:sz w:val="18"/>
                <w:szCs w:val="18"/>
              </w:rPr>
            </w:pPr>
            <w:r>
              <w:rPr>
                <w:rFonts w:hint="eastAsia"/>
                <w:color w:val="000000"/>
                <w:sz w:val="18"/>
                <w:szCs w:val="18"/>
              </w:rPr>
              <w:t>中期检查2</w:t>
            </w:r>
          </w:p>
        </w:tc>
        <w:tc>
          <w:tcPr>
            <w:tcW w:w="359" w:type="pct"/>
            <w:shd w:val="clear" w:color="auto" w:fill="auto"/>
            <w:vAlign w:val="center"/>
          </w:tcPr>
          <w:p>
            <w:pPr>
              <w:jc w:val="center"/>
              <w:rPr>
                <w:color w:val="000000"/>
                <w:sz w:val="18"/>
                <w:szCs w:val="18"/>
              </w:rPr>
            </w:pPr>
            <w:r>
              <w:rPr>
                <w:rFonts w:hint="eastAsia"/>
                <w:color w:val="000000"/>
                <w:sz w:val="18"/>
                <w:szCs w:val="18"/>
              </w:rPr>
              <w:t>预验收</w:t>
            </w:r>
          </w:p>
        </w:tc>
        <w:tc>
          <w:tcPr>
            <w:tcW w:w="359" w:type="pct"/>
            <w:shd w:val="clear" w:color="auto" w:fill="auto"/>
            <w:vAlign w:val="center"/>
          </w:tcPr>
          <w:p>
            <w:pPr>
              <w:jc w:val="center"/>
              <w:rPr>
                <w:color w:val="000000"/>
                <w:sz w:val="18"/>
                <w:szCs w:val="18"/>
              </w:rPr>
            </w:pPr>
            <w:r>
              <w:rPr>
                <w:rFonts w:hint="eastAsia"/>
                <w:color w:val="000000"/>
                <w:sz w:val="18"/>
                <w:szCs w:val="18"/>
              </w:rPr>
              <w:t>指导教师评语</w:t>
            </w:r>
          </w:p>
        </w:tc>
        <w:tc>
          <w:tcPr>
            <w:tcW w:w="359" w:type="pct"/>
            <w:shd w:val="clear" w:color="auto" w:fill="auto"/>
            <w:vAlign w:val="center"/>
          </w:tcPr>
          <w:p>
            <w:pPr>
              <w:jc w:val="center"/>
              <w:rPr>
                <w:color w:val="000000"/>
                <w:sz w:val="18"/>
                <w:szCs w:val="18"/>
              </w:rPr>
            </w:pPr>
            <w:r>
              <w:rPr>
                <w:rFonts w:hint="eastAsia"/>
                <w:color w:val="000000"/>
                <w:sz w:val="18"/>
                <w:szCs w:val="18"/>
              </w:rPr>
              <w:t>评阅人评语</w:t>
            </w:r>
          </w:p>
        </w:tc>
        <w:tc>
          <w:tcPr>
            <w:tcW w:w="358" w:type="pct"/>
            <w:shd w:val="clear" w:color="auto" w:fill="auto"/>
            <w:vAlign w:val="center"/>
          </w:tcPr>
          <w:p>
            <w:pPr>
              <w:jc w:val="center"/>
              <w:rPr>
                <w:color w:val="000000"/>
                <w:sz w:val="18"/>
                <w:szCs w:val="18"/>
              </w:rPr>
            </w:pPr>
            <w:r>
              <w:rPr>
                <w:rFonts w:hint="eastAsia"/>
                <w:color w:val="000000"/>
                <w:sz w:val="18"/>
                <w:szCs w:val="18"/>
              </w:rPr>
              <w:t>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widowControl/>
              <w:jc w:val="center"/>
              <w:rPr>
                <w:color w:val="000000"/>
                <w:kern w:val="0"/>
                <w:sz w:val="18"/>
                <w:szCs w:val="18"/>
              </w:rPr>
            </w:pPr>
            <w:r>
              <w:rPr>
                <w:rFonts w:hint="eastAsia"/>
                <w:color w:val="000000"/>
                <w:sz w:val="18"/>
                <w:szCs w:val="18"/>
              </w:rPr>
              <w:t>1</w:t>
            </w:r>
          </w:p>
        </w:tc>
        <w:tc>
          <w:tcPr>
            <w:tcW w:w="464" w:type="pct"/>
            <w:shd w:val="clear" w:color="auto" w:fill="auto"/>
            <w:noWrap/>
            <w:vAlign w:val="center"/>
          </w:tcPr>
          <w:p>
            <w:pPr>
              <w:widowControl/>
              <w:jc w:val="center"/>
              <w:rPr>
                <w:color w:val="000000"/>
                <w:kern w:val="0"/>
                <w:sz w:val="18"/>
                <w:szCs w:val="18"/>
              </w:rPr>
            </w:pPr>
            <w:r>
              <w:rPr>
                <w:rFonts w:hint="eastAsia"/>
                <w:color w:val="000000"/>
                <w:sz w:val="18"/>
                <w:szCs w:val="18"/>
              </w:rPr>
              <w:t>0.08</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0.25</w:t>
            </w:r>
          </w:p>
        </w:tc>
        <w:tc>
          <w:tcPr>
            <w:tcW w:w="358"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r>
              <w:rPr>
                <w:rFonts w:hint="eastAsia"/>
                <w:color w:val="000000"/>
                <w:sz w:val="18"/>
                <w:szCs w:val="18"/>
              </w:rPr>
              <w:t>0.02</w:t>
            </w:r>
          </w:p>
        </w:tc>
        <w:tc>
          <w:tcPr>
            <w:tcW w:w="359" w:type="pct"/>
            <w:shd w:val="clear" w:color="auto" w:fill="auto"/>
            <w:noWrap/>
            <w:vAlign w:val="center"/>
          </w:tcPr>
          <w:p>
            <w:pPr>
              <w:jc w:val="center"/>
              <w:rPr>
                <w:color w:val="000000"/>
                <w:sz w:val="18"/>
                <w:szCs w:val="18"/>
              </w:rPr>
            </w:pPr>
            <w:r>
              <w:rPr>
                <w:rFonts w:hint="eastAsia"/>
                <w:color w:val="000000"/>
                <w:sz w:val="18"/>
                <w:szCs w:val="18"/>
              </w:rPr>
              <w:t>0.016</w:t>
            </w:r>
          </w:p>
        </w:tc>
        <w:tc>
          <w:tcPr>
            <w:tcW w:w="359" w:type="pct"/>
            <w:shd w:val="clear" w:color="auto" w:fill="auto"/>
            <w:noWrap/>
            <w:vAlign w:val="center"/>
          </w:tcPr>
          <w:p>
            <w:pPr>
              <w:jc w:val="center"/>
              <w:rPr>
                <w:color w:val="000000"/>
                <w:sz w:val="18"/>
                <w:szCs w:val="18"/>
              </w:rPr>
            </w:pPr>
            <w:r>
              <w:rPr>
                <w:rFonts w:hint="eastAsia"/>
                <w:color w:val="000000"/>
                <w:sz w:val="18"/>
                <w:szCs w:val="18"/>
              </w:rPr>
              <w:t>0.008</w:t>
            </w:r>
          </w:p>
        </w:tc>
        <w:tc>
          <w:tcPr>
            <w:tcW w:w="358" w:type="pct"/>
            <w:shd w:val="clear" w:color="auto" w:fill="auto"/>
            <w:noWrap/>
            <w:vAlign w:val="center"/>
          </w:tcPr>
          <w:p>
            <w:pPr>
              <w:jc w:val="center"/>
              <w:rPr>
                <w:color w:val="000000"/>
                <w:sz w:val="18"/>
                <w:szCs w:val="18"/>
              </w:rPr>
            </w:pPr>
            <w:r>
              <w:rPr>
                <w:rFonts w:hint="eastAsia"/>
                <w:color w:val="000000"/>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2</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0.25</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0.35</w:t>
            </w:r>
          </w:p>
        </w:tc>
        <w:tc>
          <w:tcPr>
            <w:tcW w:w="358" w:type="pct"/>
            <w:shd w:val="clear" w:color="auto" w:fill="auto"/>
            <w:noWrap/>
            <w:vAlign w:val="center"/>
          </w:tcPr>
          <w:p>
            <w:pPr>
              <w:jc w:val="center"/>
              <w:rPr>
                <w:color w:val="000000"/>
                <w:sz w:val="18"/>
                <w:szCs w:val="18"/>
              </w:rPr>
            </w:pPr>
            <w:r>
              <w:rPr>
                <w:rFonts w:hint="eastAsia"/>
                <w:color w:val="000000"/>
                <w:sz w:val="18"/>
                <w:szCs w:val="18"/>
              </w:rPr>
              <w:t>0.012</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0.004</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8" w:type="pct"/>
            <w:shd w:val="clear" w:color="auto" w:fill="auto"/>
            <w:noWrap/>
            <w:vAlign w:val="center"/>
          </w:tcPr>
          <w:p>
            <w:pPr>
              <w:jc w:val="center"/>
              <w:rPr>
                <w:color w:val="000000"/>
                <w:sz w:val="18"/>
                <w:szCs w:val="18"/>
              </w:rPr>
            </w:pPr>
            <w:r>
              <w:rPr>
                <w:rFonts w:hint="eastAsia"/>
                <w:color w:val="000000"/>
                <w:sz w:val="18"/>
                <w:szCs w:val="18"/>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3</w:t>
            </w:r>
          </w:p>
        </w:tc>
        <w:tc>
          <w:tcPr>
            <w:tcW w:w="464" w:type="pct"/>
            <w:shd w:val="clear" w:color="auto" w:fill="auto"/>
            <w:noWrap/>
            <w:vAlign w:val="center"/>
          </w:tcPr>
          <w:p>
            <w:pPr>
              <w:jc w:val="center"/>
              <w:rPr>
                <w:color w:val="000000"/>
                <w:sz w:val="18"/>
                <w:szCs w:val="18"/>
              </w:rPr>
            </w:pPr>
            <w:r>
              <w:rPr>
                <w:rFonts w:hint="eastAsia"/>
                <w:color w:val="000000"/>
                <w:sz w:val="18"/>
                <w:szCs w:val="18"/>
              </w:rPr>
              <w:t>0.25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0.34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0.06</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58" w:type="pct"/>
            <w:shd w:val="clear" w:color="auto" w:fill="auto"/>
            <w:noWrap/>
            <w:vAlign w:val="center"/>
          </w:tcPr>
          <w:p>
            <w:pPr>
              <w:jc w:val="center"/>
              <w:rPr>
                <w:color w:val="000000"/>
                <w:sz w:val="18"/>
                <w:szCs w:val="18"/>
              </w:rPr>
            </w:pPr>
            <w:r>
              <w:rPr>
                <w:rFonts w:hint="eastAsia"/>
                <w:color w:val="000000"/>
                <w:sz w:val="18"/>
                <w:szCs w:val="18"/>
              </w:rPr>
              <w:t>0.0125</w:t>
            </w:r>
          </w:p>
        </w:tc>
        <w:tc>
          <w:tcPr>
            <w:tcW w:w="359" w:type="pct"/>
            <w:shd w:val="clear" w:color="auto" w:fill="auto"/>
            <w:noWrap/>
            <w:vAlign w:val="center"/>
          </w:tcPr>
          <w:p>
            <w:pPr>
              <w:jc w:val="center"/>
              <w:rPr>
                <w:color w:val="000000"/>
                <w:sz w:val="18"/>
                <w:szCs w:val="18"/>
              </w:rPr>
            </w:pPr>
            <w:r>
              <w:rPr>
                <w:rFonts w:hint="eastAsia"/>
                <w:color w:val="000000"/>
                <w:sz w:val="18"/>
                <w:szCs w:val="18"/>
              </w:rPr>
              <w:t>0.0125</w:t>
            </w:r>
          </w:p>
        </w:tc>
        <w:tc>
          <w:tcPr>
            <w:tcW w:w="359" w:type="pct"/>
            <w:shd w:val="clear" w:color="auto" w:fill="auto"/>
            <w:noWrap/>
            <w:vAlign w:val="center"/>
          </w:tcPr>
          <w:p>
            <w:pPr>
              <w:jc w:val="center"/>
              <w:rPr>
                <w:color w:val="000000"/>
                <w:sz w:val="18"/>
                <w:szCs w:val="18"/>
              </w:rPr>
            </w:pPr>
            <w:r>
              <w:rPr>
                <w:rFonts w:hint="eastAsia"/>
                <w:color w:val="000000"/>
                <w:sz w:val="18"/>
                <w:szCs w:val="18"/>
              </w:rPr>
              <w:t>0.085</w:t>
            </w:r>
          </w:p>
        </w:tc>
        <w:tc>
          <w:tcPr>
            <w:tcW w:w="359" w:type="pct"/>
            <w:shd w:val="clear" w:color="auto" w:fill="auto"/>
            <w:noWrap/>
            <w:vAlign w:val="center"/>
          </w:tcPr>
          <w:p>
            <w:pPr>
              <w:jc w:val="center"/>
              <w:rPr>
                <w:color w:val="000000"/>
                <w:sz w:val="18"/>
                <w:szCs w:val="18"/>
              </w:rPr>
            </w:pPr>
            <w:r>
              <w:rPr>
                <w:rFonts w:hint="eastAsia"/>
                <w:color w:val="000000"/>
                <w:sz w:val="18"/>
                <w:szCs w:val="18"/>
              </w:rPr>
              <w:t>0.015</w:t>
            </w:r>
          </w:p>
        </w:tc>
        <w:tc>
          <w:tcPr>
            <w:tcW w:w="359" w:type="pct"/>
            <w:shd w:val="clear" w:color="auto" w:fill="auto"/>
            <w:noWrap/>
            <w:vAlign w:val="center"/>
          </w:tcPr>
          <w:p>
            <w:pPr>
              <w:jc w:val="center"/>
              <w:rPr>
                <w:color w:val="000000"/>
                <w:sz w:val="18"/>
                <w:szCs w:val="18"/>
              </w:rPr>
            </w:pPr>
            <w:r>
              <w:rPr>
                <w:rFonts w:hint="eastAsia"/>
                <w:color w:val="000000"/>
                <w:sz w:val="18"/>
                <w:szCs w:val="18"/>
              </w:rPr>
              <w:t>0.025</w:t>
            </w:r>
          </w:p>
        </w:tc>
        <w:tc>
          <w:tcPr>
            <w:tcW w:w="358" w:type="pct"/>
            <w:shd w:val="clear" w:color="auto" w:fill="auto"/>
            <w:noWrap/>
            <w:vAlign w:val="center"/>
          </w:tcPr>
          <w:p>
            <w:pPr>
              <w:jc w:val="center"/>
              <w:rPr>
                <w:color w:val="000000"/>
                <w:sz w:val="18"/>
                <w:szCs w:val="18"/>
              </w:rPr>
            </w:pPr>
            <w:r>
              <w:rPr>
                <w:rFonts w:hint="eastAsia"/>
                <w:color w:val="000000"/>
                <w:sz w:val="18"/>
                <w:szCs w:val="18"/>
              </w:rPr>
              <w:t>0.1</w:t>
            </w: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4</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0.15</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0.35</w:t>
            </w:r>
          </w:p>
        </w:tc>
        <w:tc>
          <w:tcPr>
            <w:tcW w:w="358" w:type="pct"/>
            <w:shd w:val="clear" w:color="auto" w:fill="auto"/>
            <w:noWrap/>
            <w:vAlign w:val="center"/>
          </w:tcPr>
          <w:p>
            <w:pPr>
              <w:jc w:val="center"/>
              <w:rPr>
                <w:color w:val="000000"/>
                <w:sz w:val="18"/>
                <w:szCs w:val="18"/>
              </w:rPr>
            </w:pPr>
            <w:r>
              <w:rPr>
                <w:rFonts w:hint="eastAsia"/>
                <w:color w:val="000000"/>
                <w:sz w:val="18"/>
                <w:szCs w:val="18"/>
              </w:rPr>
              <w:t>0.002</w:t>
            </w:r>
          </w:p>
        </w:tc>
        <w:tc>
          <w:tcPr>
            <w:tcW w:w="359" w:type="pct"/>
            <w:shd w:val="clear" w:color="auto" w:fill="auto"/>
            <w:noWrap/>
            <w:vAlign w:val="center"/>
          </w:tcPr>
          <w:p>
            <w:pPr>
              <w:jc w:val="center"/>
              <w:rPr>
                <w:color w:val="000000"/>
                <w:sz w:val="18"/>
                <w:szCs w:val="18"/>
              </w:rPr>
            </w:pPr>
            <w:r>
              <w:rPr>
                <w:rFonts w:hint="eastAsia"/>
                <w:color w:val="000000"/>
                <w:sz w:val="18"/>
                <w:szCs w:val="18"/>
              </w:rPr>
              <w:t>0.002</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9" w:type="pct"/>
            <w:shd w:val="clear" w:color="auto" w:fill="auto"/>
            <w:noWrap/>
            <w:vAlign w:val="center"/>
          </w:tcPr>
          <w:p>
            <w:pPr>
              <w:jc w:val="center"/>
              <w:rPr>
                <w:color w:val="000000"/>
                <w:sz w:val="18"/>
                <w:szCs w:val="18"/>
              </w:rPr>
            </w:pPr>
            <w:r>
              <w:rPr>
                <w:rFonts w:hint="eastAsia"/>
                <w:color w:val="000000"/>
                <w:sz w:val="18"/>
                <w:szCs w:val="18"/>
              </w:rPr>
              <w:t>0.006</w:t>
            </w:r>
          </w:p>
        </w:tc>
        <w:tc>
          <w:tcPr>
            <w:tcW w:w="359" w:type="pct"/>
            <w:shd w:val="clear" w:color="auto" w:fill="auto"/>
            <w:noWrap/>
            <w:vAlign w:val="center"/>
          </w:tcPr>
          <w:p>
            <w:pPr>
              <w:jc w:val="center"/>
              <w:rPr>
                <w:color w:val="000000"/>
                <w:sz w:val="18"/>
                <w:szCs w:val="18"/>
              </w:rPr>
            </w:pPr>
            <w:r>
              <w:rPr>
                <w:rFonts w:hint="eastAsia"/>
                <w:color w:val="000000"/>
                <w:sz w:val="18"/>
                <w:szCs w:val="18"/>
              </w:rPr>
              <w:t>0.006</w:t>
            </w:r>
          </w:p>
        </w:tc>
        <w:tc>
          <w:tcPr>
            <w:tcW w:w="358" w:type="pct"/>
            <w:shd w:val="clear" w:color="auto" w:fill="auto"/>
            <w:noWrap/>
            <w:vAlign w:val="center"/>
          </w:tcPr>
          <w:p>
            <w:pPr>
              <w:jc w:val="center"/>
              <w:rPr>
                <w:color w:val="000000"/>
                <w:sz w:val="18"/>
                <w:szCs w:val="18"/>
              </w:rPr>
            </w:pPr>
            <w:r>
              <w:rPr>
                <w:rFonts w:hint="eastAsia"/>
                <w:color w:val="000000"/>
                <w:sz w:val="18"/>
                <w:szCs w:val="18"/>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5</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58"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0.004</w:t>
            </w:r>
          </w:p>
        </w:tc>
        <w:tc>
          <w:tcPr>
            <w:tcW w:w="359"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r>
              <w:rPr>
                <w:rFonts w:hint="eastAsia"/>
                <w:color w:val="000000"/>
                <w:sz w:val="18"/>
                <w:szCs w:val="18"/>
              </w:rPr>
              <w:t>0.008</w:t>
            </w:r>
          </w:p>
        </w:tc>
        <w:tc>
          <w:tcPr>
            <w:tcW w:w="358" w:type="pct"/>
            <w:shd w:val="clear" w:color="auto" w:fill="auto"/>
            <w:noWrap/>
            <w:vAlign w:val="center"/>
          </w:tcPr>
          <w:p>
            <w:pPr>
              <w:jc w:val="center"/>
              <w:rPr>
                <w:color w:val="000000"/>
                <w:sz w:val="18"/>
                <w:szCs w:val="18"/>
              </w:rPr>
            </w:pPr>
            <w:r>
              <w:rPr>
                <w:rFonts w:hint="eastAsia"/>
                <w:color w:val="000000"/>
                <w:sz w:val="18"/>
                <w:szCs w:val="18"/>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6</w:t>
            </w:r>
          </w:p>
        </w:tc>
        <w:tc>
          <w:tcPr>
            <w:tcW w:w="464" w:type="pct"/>
            <w:shd w:val="clear" w:color="auto" w:fill="auto"/>
            <w:noWrap/>
            <w:vAlign w:val="center"/>
          </w:tcPr>
          <w:p>
            <w:pPr>
              <w:jc w:val="center"/>
              <w:rPr>
                <w:color w:val="000000"/>
                <w:sz w:val="18"/>
                <w:szCs w:val="18"/>
              </w:rPr>
            </w:pPr>
            <w:r>
              <w:rPr>
                <w:rFonts w:hint="eastAsia"/>
                <w:color w:val="000000"/>
                <w:sz w:val="18"/>
                <w:szCs w:val="18"/>
              </w:rPr>
              <w:t>0.1</w:t>
            </w:r>
            <w:r>
              <w:rPr>
                <w:color w:val="000000"/>
                <w:sz w:val="18"/>
                <w:szCs w:val="18"/>
              </w:rPr>
              <w:t>0</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58"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0.02</w:t>
            </w:r>
          </w:p>
        </w:tc>
        <w:tc>
          <w:tcPr>
            <w:tcW w:w="359" w:type="pct"/>
            <w:shd w:val="clear" w:color="auto" w:fill="auto"/>
            <w:noWrap/>
            <w:vAlign w:val="center"/>
          </w:tcPr>
          <w:p>
            <w:pPr>
              <w:jc w:val="center"/>
              <w:rPr>
                <w:color w:val="000000"/>
                <w:sz w:val="18"/>
                <w:szCs w:val="18"/>
              </w:rPr>
            </w:pPr>
            <w:r>
              <w:rPr>
                <w:rFonts w:hint="eastAsia"/>
                <w:color w:val="000000"/>
                <w:sz w:val="18"/>
                <w:szCs w:val="18"/>
              </w:rPr>
              <w:t>0.04</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8" w:type="pct"/>
            <w:shd w:val="clear" w:color="auto" w:fill="auto"/>
            <w:noWrap/>
            <w:vAlign w:val="center"/>
          </w:tcPr>
          <w:p>
            <w:pPr>
              <w:jc w:val="center"/>
              <w:rPr>
                <w:color w:val="000000"/>
                <w:sz w:val="18"/>
                <w:szCs w:val="18"/>
              </w:rPr>
            </w:pPr>
            <w:r>
              <w:rPr>
                <w:rFonts w:hint="eastAsia"/>
                <w:color w:val="000000"/>
                <w:sz w:val="18"/>
                <w:szCs w:val="18"/>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7</w:t>
            </w:r>
          </w:p>
        </w:tc>
        <w:tc>
          <w:tcPr>
            <w:tcW w:w="464" w:type="pct"/>
            <w:shd w:val="clear" w:color="auto" w:fill="auto"/>
            <w:noWrap/>
            <w:vAlign w:val="center"/>
          </w:tcPr>
          <w:p>
            <w:pPr>
              <w:jc w:val="center"/>
              <w:rPr>
                <w:color w:val="000000"/>
                <w:sz w:val="18"/>
                <w:szCs w:val="18"/>
              </w:rPr>
            </w:pPr>
            <w:r>
              <w:rPr>
                <w:rFonts w:hint="eastAsia"/>
                <w:color w:val="000000"/>
                <w:sz w:val="18"/>
                <w:szCs w:val="18"/>
              </w:rPr>
              <w:t>0.1</w:t>
            </w:r>
            <w:r>
              <w:rPr>
                <w:color w:val="000000"/>
                <w:sz w:val="18"/>
                <w:szCs w:val="18"/>
              </w:rPr>
              <w:t>0</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0.15</w:t>
            </w:r>
          </w:p>
        </w:tc>
        <w:tc>
          <w:tcPr>
            <w:tcW w:w="358" w:type="pct"/>
            <w:shd w:val="clear" w:color="auto" w:fill="auto"/>
            <w:noWrap/>
            <w:vAlign w:val="center"/>
          </w:tcPr>
          <w:p>
            <w:pPr>
              <w:jc w:val="center"/>
              <w:rPr>
                <w:color w:val="000000"/>
                <w:sz w:val="18"/>
                <w:szCs w:val="18"/>
              </w:rPr>
            </w:pPr>
            <w:r>
              <w:rPr>
                <w:rFonts w:hint="eastAsia"/>
                <w:color w:val="000000"/>
                <w:sz w:val="18"/>
                <w:szCs w:val="18"/>
              </w:rPr>
              <w:t>0.005</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9" w:type="pct"/>
            <w:shd w:val="clear" w:color="auto" w:fill="auto"/>
            <w:noWrap/>
            <w:vAlign w:val="center"/>
          </w:tcPr>
          <w:p>
            <w:pPr>
              <w:jc w:val="center"/>
              <w:rPr>
                <w:color w:val="000000"/>
                <w:sz w:val="18"/>
                <w:szCs w:val="18"/>
              </w:rPr>
            </w:pPr>
            <w:r>
              <w:rPr>
                <w:rFonts w:hint="eastAsia"/>
                <w:color w:val="000000"/>
                <w:sz w:val="18"/>
                <w:szCs w:val="18"/>
              </w:rPr>
              <w:t>0.05</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8" w:type="pct"/>
            <w:shd w:val="clear" w:color="auto" w:fill="auto"/>
            <w:noWrap/>
            <w:vAlign w:val="center"/>
          </w:tcPr>
          <w:p>
            <w:pPr>
              <w:jc w:val="center"/>
              <w:rPr>
                <w:color w:val="000000"/>
                <w:sz w:val="18"/>
                <w:szCs w:val="18"/>
              </w:rPr>
            </w:pPr>
            <w:r>
              <w:rPr>
                <w:rFonts w:hint="eastAsia"/>
                <w:color w:val="000000"/>
                <w:sz w:val="18"/>
                <w:szCs w:val="18"/>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8</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58"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0.004</w:t>
            </w:r>
          </w:p>
        </w:tc>
        <w:tc>
          <w:tcPr>
            <w:tcW w:w="359"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0.012</w:t>
            </w:r>
          </w:p>
        </w:tc>
        <w:tc>
          <w:tcPr>
            <w:tcW w:w="358" w:type="pct"/>
            <w:shd w:val="clear" w:color="auto" w:fill="auto"/>
            <w:noWrap/>
            <w:vAlign w:val="center"/>
          </w:tcPr>
          <w:p>
            <w:pPr>
              <w:jc w:val="center"/>
              <w:rPr>
                <w:color w:val="000000"/>
                <w:sz w:val="18"/>
                <w:szCs w:val="18"/>
              </w:rPr>
            </w:pPr>
            <w:r>
              <w:rPr>
                <w:rFonts w:hint="eastAsia"/>
                <w:color w:val="000000"/>
                <w:sz w:val="18"/>
                <w:szCs w:val="18"/>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9</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58" w:type="pct"/>
            <w:shd w:val="clear" w:color="auto" w:fill="auto"/>
            <w:noWrap/>
            <w:vAlign w:val="center"/>
          </w:tcPr>
          <w:p>
            <w:pPr>
              <w:jc w:val="center"/>
              <w:rPr>
                <w:color w:val="000000"/>
                <w:sz w:val="18"/>
                <w:szCs w:val="18"/>
              </w:rPr>
            </w:pPr>
            <w:r>
              <w:rPr>
                <w:rFonts w:hint="eastAsia"/>
                <w:color w:val="000000"/>
                <w:sz w:val="18"/>
                <w:szCs w:val="18"/>
              </w:rPr>
              <w:t>0.008</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0.016</w:t>
            </w:r>
          </w:p>
        </w:tc>
        <w:tc>
          <w:tcPr>
            <w:tcW w:w="358" w:type="pct"/>
            <w:shd w:val="clear" w:color="auto" w:fill="auto"/>
            <w:noWrap/>
            <w:vAlign w:val="center"/>
          </w:tcPr>
          <w:p>
            <w:pPr>
              <w:jc w:val="center"/>
              <w:rPr>
                <w:color w:val="000000"/>
                <w:sz w:val="18"/>
                <w:szCs w:val="18"/>
              </w:rPr>
            </w:pPr>
            <w:r>
              <w:rPr>
                <w:rFonts w:hint="eastAsia"/>
                <w:color w:val="000000"/>
                <w:sz w:val="18"/>
                <w:szCs w:val="18"/>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10</w:t>
            </w:r>
          </w:p>
        </w:tc>
        <w:tc>
          <w:tcPr>
            <w:tcW w:w="464" w:type="pct"/>
            <w:shd w:val="clear" w:color="auto" w:fill="auto"/>
            <w:noWrap/>
            <w:vAlign w:val="center"/>
          </w:tcPr>
          <w:p>
            <w:pPr>
              <w:jc w:val="center"/>
              <w:rPr>
                <w:color w:val="000000"/>
                <w:sz w:val="18"/>
                <w:szCs w:val="18"/>
              </w:rPr>
            </w:pPr>
            <w:r>
              <w:rPr>
                <w:rFonts w:hint="eastAsia"/>
                <w:color w:val="000000"/>
                <w:sz w:val="18"/>
                <w:szCs w:val="18"/>
              </w:rPr>
              <w:t>0.04</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0.6</w:t>
            </w:r>
          </w:p>
        </w:tc>
        <w:tc>
          <w:tcPr>
            <w:tcW w:w="358"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0.004</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0.012</w:t>
            </w:r>
          </w:p>
        </w:tc>
        <w:tc>
          <w:tcPr>
            <w:tcW w:w="358" w:type="pct"/>
            <w:shd w:val="clear" w:color="auto" w:fill="auto"/>
            <w:noWrap/>
            <w:vAlign w:val="center"/>
          </w:tcPr>
          <w:p>
            <w:pPr>
              <w:jc w:val="center"/>
              <w:rPr>
                <w:color w:val="000000"/>
                <w:sz w:val="18"/>
                <w:szCs w:val="18"/>
              </w:rPr>
            </w:pPr>
            <w:r>
              <w:rPr>
                <w:rFonts w:hint="eastAsia"/>
                <w:color w:val="000000"/>
                <w:sz w:val="18"/>
                <w:szCs w:val="18"/>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11</w:t>
            </w:r>
          </w:p>
        </w:tc>
        <w:tc>
          <w:tcPr>
            <w:tcW w:w="464" w:type="pct"/>
            <w:shd w:val="clear" w:color="auto" w:fill="auto"/>
            <w:noWrap/>
            <w:vAlign w:val="center"/>
          </w:tcPr>
          <w:p>
            <w:pPr>
              <w:jc w:val="center"/>
              <w:rPr>
                <w:color w:val="000000"/>
                <w:sz w:val="18"/>
                <w:szCs w:val="18"/>
              </w:rPr>
            </w:pPr>
            <w:r>
              <w:rPr>
                <w:rFonts w:hint="eastAsia"/>
                <w:color w:val="000000"/>
                <w:sz w:val="18"/>
                <w:szCs w:val="18"/>
              </w:rPr>
              <w:t>0.1</w:t>
            </w:r>
            <w:r>
              <w:rPr>
                <w:color w:val="000000"/>
                <w:sz w:val="18"/>
                <w:szCs w:val="18"/>
              </w:rPr>
              <w:t>0</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0.05</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0.15</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0.45</w:t>
            </w:r>
          </w:p>
        </w:tc>
        <w:tc>
          <w:tcPr>
            <w:tcW w:w="358" w:type="pct"/>
            <w:shd w:val="clear" w:color="auto" w:fill="auto"/>
            <w:noWrap/>
            <w:vAlign w:val="center"/>
          </w:tcPr>
          <w:p>
            <w:pPr>
              <w:jc w:val="center"/>
              <w:rPr>
                <w:color w:val="000000"/>
                <w:sz w:val="18"/>
                <w:szCs w:val="18"/>
              </w:rPr>
            </w:pPr>
            <w:r>
              <w:rPr>
                <w:rFonts w:hint="eastAsia"/>
                <w:color w:val="000000"/>
                <w:sz w:val="18"/>
                <w:szCs w:val="18"/>
              </w:rPr>
              <w:t>0.005</w:t>
            </w:r>
          </w:p>
        </w:tc>
        <w:tc>
          <w:tcPr>
            <w:tcW w:w="359" w:type="pct"/>
            <w:shd w:val="clear" w:color="auto" w:fill="auto"/>
            <w:noWrap/>
            <w:vAlign w:val="center"/>
          </w:tcPr>
          <w:p>
            <w:pPr>
              <w:jc w:val="center"/>
              <w:rPr>
                <w:color w:val="000000"/>
                <w:sz w:val="18"/>
                <w:szCs w:val="18"/>
              </w:rPr>
            </w:pPr>
            <w:r>
              <w:rPr>
                <w:rFonts w:hint="eastAsia"/>
                <w:color w:val="000000"/>
                <w:sz w:val="18"/>
                <w:szCs w:val="18"/>
              </w:rPr>
              <w:t>0.005</w:t>
            </w:r>
          </w:p>
        </w:tc>
        <w:tc>
          <w:tcPr>
            <w:tcW w:w="359" w:type="pct"/>
            <w:shd w:val="clear" w:color="auto" w:fill="auto"/>
            <w:noWrap/>
            <w:vAlign w:val="center"/>
          </w:tcPr>
          <w:p>
            <w:pPr>
              <w:jc w:val="center"/>
              <w:rPr>
                <w:color w:val="000000"/>
                <w:sz w:val="18"/>
                <w:szCs w:val="18"/>
              </w:rPr>
            </w:pPr>
            <w:r>
              <w:rPr>
                <w:rFonts w:hint="eastAsia"/>
                <w:color w:val="000000"/>
                <w:sz w:val="18"/>
                <w:szCs w:val="18"/>
              </w:rPr>
              <w:t>0.02</w:t>
            </w:r>
          </w:p>
        </w:tc>
        <w:tc>
          <w:tcPr>
            <w:tcW w:w="359" w:type="pct"/>
            <w:shd w:val="clear" w:color="auto" w:fill="auto"/>
            <w:noWrap/>
            <w:vAlign w:val="center"/>
          </w:tcPr>
          <w:p>
            <w:pPr>
              <w:jc w:val="center"/>
              <w:rPr>
                <w:color w:val="000000"/>
                <w:sz w:val="18"/>
                <w:szCs w:val="18"/>
              </w:rPr>
            </w:pPr>
            <w:r>
              <w:rPr>
                <w:rFonts w:hint="eastAsia"/>
                <w:color w:val="000000"/>
                <w:sz w:val="18"/>
                <w:szCs w:val="18"/>
              </w:rPr>
              <w:t>0.01</w:t>
            </w:r>
          </w:p>
        </w:tc>
        <w:tc>
          <w:tcPr>
            <w:tcW w:w="359" w:type="pct"/>
            <w:shd w:val="clear" w:color="auto" w:fill="auto"/>
            <w:noWrap/>
            <w:vAlign w:val="center"/>
          </w:tcPr>
          <w:p>
            <w:pPr>
              <w:jc w:val="center"/>
              <w:rPr>
                <w:color w:val="000000"/>
                <w:sz w:val="18"/>
                <w:szCs w:val="18"/>
              </w:rPr>
            </w:pPr>
            <w:r>
              <w:rPr>
                <w:rFonts w:hint="eastAsia"/>
                <w:color w:val="000000"/>
                <w:sz w:val="18"/>
                <w:szCs w:val="18"/>
              </w:rPr>
              <w:t>0.015</w:t>
            </w:r>
          </w:p>
        </w:tc>
        <w:tc>
          <w:tcPr>
            <w:tcW w:w="358" w:type="pct"/>
            <w:shd w:val="clear" w:color="auto" w:fill="auto"/>
            <w:noWrap/>
            <w:vAlign w:val="center"/>
          </w:tcPr>
          <w:p>
            <w:pPr>
              <w:jc w:val="center"/>
              <w:rPr>
                <w:color w:val="000000"/>
                <w:sz w:val="18"/>
                <w:szCs w:val="18"/>
              </w:rPr>
            </w:pPr>
            <w:r>
              <w:rPr>
                <w:rFonts w:hint="eastAsia"/>
                <w:color w:val="000000"/>
                <w:sz w:val="18"/>
                <w:szCs w:val="18"/>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12</w:t>
            </w:r>
          </w:p>
        </w:tc>
        <w:tc>
          <w:tcPr>
            <w:tcW w:w="464" w:type="pct"/>
            <w:shd w:val="clear" w:color="auto" w:fill="auto"/>
            <w:noWrap/>
            <w:vAlign w:val="center"/>
          </w:tcPr>
          <w:p>
            <w:pPr>
              <w:jc w:val="center"/>
              <w:rPr>
                <w:color w:val="000000"/>
                <w:sz w:val="18"/>
                <w:szCs w:val="18"/>
              </w:rPr>
            </w:pPr>
            <w:r>
              <w:rPr>
                <w:rFonts w:hint="eastAsia"/>
                <w:color w:val="000000"/>
                <w:sz w:val="18"/>
                <w:szCs w:val="18"/>
              </w:rPr>
              <w:t>0.07</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0.1</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0.4</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0.5</w:t>
            </w:r>
          </w:p>
        </w:tc>
        <w:tc>
          <w:tcPr>
            <w:tcW w:w="358"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0.007</w:t>
            </w:r>
          </w:p>
        </w:tc>
        <w:tc>
          <w:tcPr>
            <w:tcW w:w="359" w:type="pct"/>
            <w:shd w:val="clear" w:color="auto" w:fill="auto"/>
            <w:noWrap/>
            <w:vAlign w:val="center"/>
          </w:tcPr>
          <w:p>
            <w:pPr>
              <w:jc w:val="center"/>
              <w:rPr>
                <w:color w:val="000000"/>
                <w:sz w:val="18"/>
                <w:szCs w:val="18"/>
              </w:rPr>
            </w:pPr>
            <w:r>
              <w:rPr>
                <w:rFonts w:hint="eastAsia"/>
                <w:color w:val="000000"/>
                <w:sz w:val="18"/>
                <w:szCs w:val="18"/>
              </w:rPr>
              <w:t>0.028</w:t>
            </w:r>
          </w:p>
        </w:tc>
        <w:tc>
          <w:tcPr>
            <w:tcW w:w="358" w:type="pct"/>
            <w:shd w:val="clear" w:color="auto" w:fill="auto"/>
            <w:noWrap/>
            <w:vAlign w:val="center"/>
          </w:tcPr>
          <w:p>
            <w:pPr>
              <w:jc w:val="center"/>
              <w:rPr>
                <w:color w:val="000000"/>
                <w:sz w:val="18"/>
                <w:szCs w:val="18"/>
              </w:rPr>
            </w:pPr>
            <w:r>
              <w:rPr>
                <w:rFonts w:hint="eastAsia"/>
                <w:color w:val="000000"/>
                <w:sz w:val="18"/>
                <w:szCs w:val="18"/>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22" w:type="pct"/>
            <w:shd w:val="clear" w:color="auto" w:fill="auto"/>
            <w:vAlign w:val="center"/>
          </w:tcPr>
          <w:p>
            <w:pPr>
              <w:jc w:val="center"/>
              <w:rPr>
                <w:color w:val="000000"/>
                <w:sz w:val="18"/>
                <w:szCs w:val="18"/>
              </w:rPr>
            </w:pPr>
            <w:r>
              <w:rPr>
                <w:rFonts w:hint="eastAsia"/>
                <w:color w:val="000000"/>
                <w:sz w:val="18"/>
                <w:szCs w:val="18"/>
              </w:rPr>
              <w:t>13</w:t>
            </w:r>
          </w:p>
        </w:tc>
        <w:tc>
          <w:tcPr>
            <w:tcW w:w="464" w:type="pct"/>
            <w:shd w:val="clear" w:color="auto" w:fill="auto"/>
            <w:noWrap/>
            <w:vAlign w:val="center"/>
          </w:tcPr>
          <w:p>
            <w:pPr>
              <w:jc w:val="center"/>
              <w:rPr>
                <w:color w:val="000000"/>
                <w:sz w:val="18"/>
                <w:szCs w:val="18"/>
              </w:rPr>
            </w:pPr>
            <w:r>
              <w:rPr>
                <w:rFonts w:hint="eastAsia"/>
                <w:color w:val="000000"/>
                <w:sz w:val="18"/>
                <w:szCs w:val="18"/>
              </w:rPr>
              <w:t>0.06</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0.2</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　</w:t>
            </w:r>
          </w:p>
        </w:tc>
        <w:tc>
          <w:tcPr>
            <w:tcW w:w="360"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62" w:type="pct"/>
            <w:shd w:val="clear" w:color="auto" w:fill="auto"/>
            <w:noWrap/>
            <w:vAlign w:val="center"/>
          </w:tcPr>
          <w:p>
            <w:pPr>
              <w:jc w:val="center"/>
              <w:rPr>
                <w:bCs/>
                <w:color w:val="000000"/>
                <w:sz w:val="18"/>
                <w:szCs w:val="18"/>
              </w:rPr>
            </w:pPr>
            <w:r>
              <w:rPr>
                <w:rFonts w:hint="eastAsia"/>
                <w:bCs/>
                <w:color w:val="000000"/>
                <w:sz w:val="18"/>
                <w:szCs w:val="18"/>
              </w:rPr>
              <w:t>0.3</w:t>
            </w:r>
          </w:p>
        </w:tc>
        <w:tc>
          <w:tcPr>
            <w:tcW w:w="358" w:type="pct"/>
            <w:shd w:val="clear" w:color="auto" w:fill="auto"/>
            <w:noWrap/>
            <w:vAlign w:val="center"/>
          </w:tcPr>
          <w:p>
            <w:pPr>
              <w:jc w:val="center"/>
              <w:rPr>
                <w:color w:val="000000"/>
                <w:sz w:val="18"/>
                <w:szCs w:val="18"/>
              </w:rPr>
            </w:pPr>
            <w:r>
              <w:rPr>
                <w:rFonts w:hint="eastAsia"/>
                <w:color w:val="000000"/>
                <w:sz w:val="18"/>
                <w:szCs w:val="18"/>
              </w:rPr>
              <w:t>0.012</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0.012</w:t>
            </w:r>
          </w:p>
        </w:tc>
        <w:tc>
          <w:tcPr>
            <w:tcW w:w="359" w:type="pct"/>
            <w:shd w:val="clear" w:color="auto" w:fill="auto"/>
            <w:noWrap/>
            <w:vAlign w:val="center"/>
          </w:tcPr>
          <w:p>
            <w:pPr>
              <w:jc w:val="center"/>
              <w:rPr>
                <w:color w:val="000000"/>
                <w:sz w:val="18"/>
                <w:szCs w:val="18"/>
              </w:rPr>
            </w:pPr>
          </w:p>
        </w:tc>
        <w:tc>
          <w:tcPr>
            <w:tcW w:w="359" w:type="pct"/>
            <w:shd w:val="clear" w:color="auto" w:fill="auto"/>
            <w:noWrap/>
            <w:vAlign w:val="center"/>
          </w:tcPr>
          <w:p>
            <w:pPr>
              <w:jc w:val="center"/>
              <w:rPr>
                <w:color w:val="000000"/>
                <w:sz w:val="18"/>
                <w:szCs w:val="18"/>
              </w:rPr>
            </w:pPr>
            <w:r>
              <w:rPr>
                <w:rFonts w:hint="eastAsia"/>
                <w:color w:val="000000"/>
                <w:sz w:val="18"/>
                <w:szCs w:val="18"/>
              </w:rPr>
              <w:t>0.018</w:t>
            </w:r>
          </w:p>
        </w:tc>
        <w:tc>
          <w:tcPr>
            <w:tcW w:w="358" w:type="pct"/>
            <w:shd w:val="clear" w:color="auto" w:fill="auto"/>
            <w:noWrap/>
            <w:vAlign w:val="center"/>
          </w:tcPr>
          <w:p>
            <w:pPr>
              <w:jc w:val="center"/>
              <w:rPr>
                <w:color w:val="000000"/>
                <w:sz w:val="18"/>
                <w:szCs w:val="18"/>
              </w:rPr>
            </w:pPr>
            <w:r>
              <w:rPr>
                <w:rFonts w:hint="eastAsia"/>
                <w:color w:val="000000"/>
                <w:sz w:val="18"/>
                <w:szCs w:val="18"/>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847" w:type="pct"/>
            <w:gridSpan w:val="8"/>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各环节对课程目标达成的贡献率（</w:t>
            </w:r>
            <w:r>
              <w:rPr>
                <w:rFonts w:hint="eastAsia" w:ascii="宋体" w:hAnsi="宋体" w:cs="宋体"/>
                <w:i/>
                <w:color w:val="000000"/>
                <w:kern w:val="0"/>
                <w:sz w:val="18"/>
                <w:szCs w:val="18"/>
              </w:rPr>
              <w:t>M</w:t>
            </w:r>
            <w:r>
              <w:rPr>
                <w:rFonts w:hint="eastAsia" w:ascii="宋体" w:hAnsi="宋体" w:cs="宋体"/>
                <w:i/>
                <w:color w:val="000000"/>
                <w:kern w:val="0"/>
                <w:sz w:val="18"/>
                <w:szCs w:val="18"/>
                <w:vertAlign w:val="subscript"/>
              </w:rPr>
              <w:t>k</w:t>
            </w:r>
            <w:r>
              <w:rPr>
                <w:rFonts w:hint="eastAsia" w:ascii="宋体" w:hAnsi="宋体" w:cs="宋体"/>
                <w:color w:val="000000"/>
                <w:kern w:val="0"/>
                <w:sz w:val="18"/>
                <w:szCs w:val="18"/>
              </w:rPr>
              <w:t>）</w:t>
            </w:r>
          </w:p>
        </w:tc>
        <w:tc>
          <w:tcPr>
            <w:tcW w:w="35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0.07 </w:t>
            </w:r>
          </w:p>
        </w:tc>
        <w:tc>
          <w:tcPr>
            <w:tcW w:w="359" w:type="pct"/>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0.06 </w:t>
            </w:r>
          </w:p>
        </w:tc>
        <w:tc>
          <w:tcPr>
            <w:tcW w:w="359" w:type="pct"/>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0.25 </w:t>
            </w:r>
          </w:p>
        </w:tc>
        <w:tc>
          <w:tcPr>
            <w:tcW w:w="359" w:type="pct"/>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0.08 </w:t>
            </w:r>
          </w:p>
        </w:tc>
        <w:tc>
          <w:tcPr>
            <w:tcW w:w="359" w:type="pct"/>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0.18 </w:t>
            </w:r>
          </w:p>
        </w:tc>
        <w:tc>
          <w:tcPr>
            <w:tcW w:w="358" w:type="pct"/>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18"/>
                <w:szCs w:val="18"/>
              </w:rPr>
            </w:pPr>
            <w:r>
              <w:rPr>
                <w:rFonts w:hint="eastAsia"/>
                <w:color w:val="000000"/>
                <w:sz w:val="18"/>
                <w:szCs w:val="18"/>
              </w:rPr>
              <w:t xml:space="preserve">0.36 </w:t>
            </w:r>
          </w:p>
        </w:tc>
      </w:tr>
    </w:tbl>
    <w:p>
      <w:pPr>
        <w:spacing w:line="360" w:lineRule="auto"/>
        <w:rPr>
          <w:color w:val="0000FF"/>
        </w:rPr>
        <w:sectPr>
          <w:pgSz w:w="16838" w:h="11906" w:orient="landscape"/>
          <w:pgMar w:top="1797" w:right="1440" w:bottom="1797" w:left="1440" w:header="851" w:footer="992" w:gutter="0"/>
          <w:cols w:space="425" w:num="1"/>
          <w:docGrid w:linePitch="312" w:charSpace="0"/>
        </w:sectPr>
      </w:pPr>
    </w:p>
    <w:p>
      <w:pPr>
        <w:spacing w:line="360" w:lineRule="auto"/>
        <w:ind w:firstLine="420" w:firstLineChars="200"/>
        <w:rPr>
          <w:b/>
          <w:bCs/>
          <w:szCs w:val="21"/>
        </w:rPr>
      </w:pPr>
      <w:r>
        <w:rPr>
          <w:rFonts w:hint="eastAsia"/>
          <w:szCs w:val="21"/>
        </w:rPr>
        <w:t>采用达成值计算的</w:t>
      </w:r>
      <w:r>
        <w:rPr>
          <w:rFonts w:hint="eastAsia"/>
          <w:b/>
          <w:bCs/>
          <w:szCs w:val="21"/>
        </w:rPr>
        <w:t>课程目标定量评价方法：</w:t>
      </w:r>
    </w:p>
    <w:p>
      <w:pPr>
        <w:spacing w:line="360" w:lineRule="auto"/>
        <w:ind w:firstLine="420" w:firstLineChars="200"/>
        <w:rPr>
          <w:szCs w:val="21"/>
        </w:rPr>
      </w:pPr>
      <w:r>
        <w:rPr>
          <w:szCs w:val="21"/>
        </w:rPr>
        <w:t>达成值计算法结合上表权重分配，采用</w:t>
      </w:r>
      <w:r>
        <w:rPr>
          <w:rFonts w:hint="eastAsia"/>
          <w:szCs w:val="21"/>
        </w:rPr>
        <w:t>下表进行计算。</w:t>
      </w:r>
    </w:p>
    <w:p>
      <w:pPr>
        <w:spacing w:line="360" w:lineRule="auto"/>
        <w:ind w:firstLine="420" w:firstLineChars="200"/>
        <w:rPr>
          <w:szCs w:val="21"/>
        </w:rPr>
      </w:pPr>
      <w:r>
        <w:rPr>
          <w:szCs w:val="21"/>
        </w:rPr>
        <w:t>单一课程目标达成度评价采用下式：</w:t>
      </w:r>
    </w:p>
    <w:p>
      <w:pPr>
        <w:spacing w:line="360" w:lineRule="auto"/>
        <w:ind w:firstLine="420" w:firstLineChars="200"/>
        <w:rPr>
          <w:szCs w:val="21"/>
        </w:rPr>
      </w:pPr>
      <w:r>
        <w:rPr>
          <w:position w:val="-30"/>
          <w:szCs w:val="21"/>
        </w:rPr>
        <w:object>
          <v:shape id="_x0000_i1258" o:spt="75" type="#_x0000_t75" style="height:36pt;width:165.6pt;" o:ole="t" filled="f" o:preferrelative="t" stroked="f" coordsize="21600,21600">
            <v:path/>
            <v:fill on="f" focussize="0,0"/>
            <v:stroke on="f" joinstyle="miter"/>
            <v:imagedata r:id="rId201" o:title=""/>
            <o:lock v:ext="edit" aspectratio="t"/>
            <w10:wrap type="none"/>
            <w10:anchorlock/>
          </v:shape>
          <o:OLEObject Type="Embed" ProgID="Equation.3" ShapeID="_x0000_i1258" DrawAspect="Content" ObjectID="_1468075958" r:id="rId431">
            <o:LockedField>false</o:LockedField>
          </o:OLEObject>
        </w:object>
      </w:r>
    </w:p>
    <w:p>
      <w:pPr>
        <w:spacing w:line="360" w:lineRule="auto"/>
        <w:ind w:firstLine="420" w:firstLineChars="200"/>
        <w:rPr>
          <w:szCs w:val="21"/>
        </w:rPr>
      </w:pPr>
      <w:r>
        <w:rPr>
          <w:szCs w:val="21"/>
        </w:rPr>
        <w:t>总的课程目标达成度评价采用下式：</w:t>
      </w:r>
    </w:p>
    <w:p>
      <w:pPr>
        <w:spacing w:line="360" w:lineRule="auto"/>
        <w:ind w:firstLine="420" w:firstLineChars="200"/>
        <w:rPr>
          <w:szCs w:val="21"/>
        </w:rPr>
      </w:pPr>
      <w:r>
        <w:rPr>
          <w:position w:val="-30"/>
          <w:szCs w:val="21"/>
        </w:rPr>
        <w:object>
          <v:shape id="_x0000_i1259" o:spt="75" type="#_x0000_t75" style="height:36pt;width:151.2pt;" o:ole="t" filled="f" o:preferrelative="t" stroked="f" coordsize="21600,21600">
            <v:path/>
            <v:fill on="f" focussize="0,0"/>
            <v:stroke on="f" joinstyle="miter"/>
            <v:imagedata r:id="rId203" o:title=""/>
            <o:lock v:ext="edit" aspectratio="t"/>
            <w10:wrap type="none"/>
            <w10:anchorlock/>
          </v:shape>
          <o:OLEObject Type="Embed" ProgID="Equation.3" ShapeID="_x0000_i1259" DrawAspect="Content" ObjectID="_1468075959" r:id="rId432">
            <o:LockedField>false</o:LockedField>
          </o:OLEObject>
        </w:object>
      </w:r>
    </w:p>
    <w:p>
      <w:pPr>
        <w:spacing w:line="360" w:lineRule="auto"/>
        <w:ind w:firstLine="420" w:firstLineChars="200"/>
        <w:rPr>
          <w:szCs w:val="21"/>
        </w:rPr>
      </w:pPr>
      <w:r>
        <w:rPr>
          <w:szCs w:val="21"/>
        </w:rPr>
        <w:t>以上公式中：</w:t>
      </w:r>
    </w:p>
    <w:p>
      <w:pPr>
        <w:spacing w:line="360" w:lineRule="auto"/>
        <w:ind w:firstLine="420" w:firstLineChars="200"/>
        <w:rPr>
          <w:szCs w:val="21"/>
        </w:rPr>
      </w:pPr>
      <w:r>
        <w:rPr>
          <w:i/>
          <w:szCs w:val="21"/>
        </w:rPr>
        <w:t>k</w:t>
      </w:r>
      <w:r>
        <w:rPr>
          <w:szCs w:val="21"/>
        </w:rPr>
        <w:t>表示不同的评价方式，</w:t>
      </w:r>
      <w:r>
        <w:rPr>
          <w:i/>
          <w:szCs w:val="21"/>
        </w:rPr>
        <w:t>i</w:t>
      </w:r>
      <w:r>
        <w:rPr>
          <w:szCs w:val="21"/>
        </w:rPr>
        <w:t>表示不同的课程目标。</w:t>
      </w:r>
    </w:p>
    <w:p>
      <w:pPr>
        <w:spacing w:line="360" w:lineRule="auto"/>
        <w:ind w:firstLine="420" w:firstLineChars="200"/>
      </w:pPr>
      <w:r>
        <w:rPr>
          <w:position w:val="-10"/>
        </w:rPr>
        <w:object>
          <v:shape id="_x0000_i1260" o:spt="75" type="#_x0000_t75" style="height:21.6pt;width:14.4pt;" o:ole="t" filled="f" o:preferrelative="t" stroked="f" coordsize="21600,21600">
            <v:path/>
            <v:fill on="f" focussize="0,0"/>
            <v:stroke on="f" joinstyle="miter"/>
            <v:imagedata r:id="rId205" o:title=""/>
            <o:lock v:ext="edit" aspectratio="t"/>
            <w10:wrap type="none"/>
            <w10:anchorlock/>
          </v:shape>
          <o:OLEObject Type="Embed" ProgID="Equation.3" ShapeID="_x0000_i1260" DrawAspect="Content" ObjectID="_1468075960" r:id="rId433">
            <o:LockedField>false</o:LockedField>
          </o:OLEObject>
        </w:object>
      </w:r>
      <w:r>
        <w:t>表示第</w:t>
      </w:r>
      <w:r>
        <w:rPr>
          <w:i/>
        </w:rPr>
        <w:t>k</w:t>
      </w:r>
      <w:r>
        <w:t>种评价方式期末评价成绩平均分，均为百分制；</w:t>
      </w:r>
    </w:p>
    <w:p>
      <w:pPr>
        <w:spacing w:line="360" w:lineRule="auto"/>
        <w:ind w:firstLine="420" w:firstLineChars="200"/>
      </w:pPr>
      <w:r>
        <w:rPr>
          <w:position w:val="-10"/>
        </w:rPr>
        <w:object>
          <v:shape id="_x0000_i1261" o:spt="75" type="#_x0000_t75" style="height:21.6pt;width:72pt;" o:ole="t" filled="f" o:preferrelative="t" stroked="f" coordsize="21600,21600">
            <v:path/>
            <v:fill on="f" focussize="0,0"/>
            <v:stroke on="f" joinstyle="miter"/>
            <v:imagedata r:id="rId207" o:title=""/>
            <o:lock v:ext="edit" aspectratio="t"/>
            <w10:wrap type="none"/>
            <w10:anchorlock/>
          </v:shape>
          <o:OLEObject Type="Embed" ProgID="Equation.3" ShapeID="_x0000_i1261" DrawAspect="Content" ObjectID="_1468075961" r:id="rId434">
            <o:LockedField>false</o:LockedField>
          </o:OLEObject>
        </w:object>
      </w:r>
      <w:r>
        <w:t>是第</w:t>
      </w:r>
      <w:r>
        <w:rPr>
          <w:i/>
        </w:rPr>
        <w:t>k</w:t>
      </w:r>
      <w:r>
        <w:t>种评价方式通过第</w:t>
      </w:r>
      <w:r>
        <w:rPr>
          <w:i/>
        </w:rPr>
        <w:t>i</w:t>
      </w:r>
      <w:r>
        <w:t>个课程目标反映在总的课程目标评分占比；</w:t>
      </w:r>
    </w:p>
    <w:p>
      <w:pPr>
        <w:spacing w:line="360" w:lineRule="auto"/>
        <w:ind w:firstLine="420" w:firstLineChars="200"/>
        <w:rPr>
          <w:szCs w:val="21"/>
        </w:rPr>
      </w:pPr>
      <w:r>
        <w:rPr>
          <w:position w:val="-10"/>
        </w:rPr>
        <w:object>
          <v:shape id="_x0000_i1262" o:spt="75" type="#_x0000_t75" style="height:21.6pt;width:21.6pt;" o:ole="t" filled="f" o:preferrelative="t" stroked="f" coordsize="21600,21600">
            <v:path/>
            <v:fill on="f" focussize="0,0"/>
            <v:stroke on="f" joinstyle="miter"/>
            <v:imagedata r:id="rId209" o:title=""/>
            <o:lock v:ext="edit" aspectratio="t"/>
            <w10:wrap type="none"/>
            <w10:anchorlock/>
          </v:shape>
          <o:OLEObject Type="Embed" ProgID="Equation.3" ShapeID="_x0000_i1262" DrawAspect="Content" ObjectID="_1468075962" r:id="rId435">
            <o:LockedField>false</o:LockedField>
          </o:OLEObject>
        </w:object>
      </w:r>
      <w:r>
        <w:t>表示第</w:t>
      </w:r>
      <w:r>
        <w:rPr>
          <w:i/>
        </w:rPr>
        <w:t>k</w:t>
      </w:r>
      <w:r>
        <w:t>种评价方式对第</w:t>
      </w:r>
      <w:r>
        <w:rPr>
          <w:i/>
        </w:rPr>
        <w:t>i</w:t>
      </w:r>
      <w:r>
        <w:t>个课程目标百分占比；</w:t>
      </w:r>
    </w:p>
    <w:p>
      <w:pPr>
        <w:spacing w:line="360" w:lineRule="auto"/>
        <w:ind w:firstLine="420" w:firstLineChars="200"/>
      </w:pPr>
      <w:r>
        <w:rPr>
          <w:position w:val="-10"/>
        </w:rPr>
        <w:object>
          <v:shape id="_x0000_i1263" o:spt="75" type="#_x0000_t75" style="height:21.6pt;width:14.4pt;" o:ole="t" filled="f" o:preferrelative="t" stroked="f" coordsize="21600,21600">
            <v:path/>
            <v:fill on="f" focussize="0,0"/>
            <v:stroke on="f" joinstyle="miter"/>
            <v:imagedata r:id="rId211" o:title=""/>
            <o:lock v:ext="edit" aspectratio="t"/>
            <w10:wrap type="none"/>
            <w10:anchorlock/>
          </v:shape>
          <o:OLEObject Type="Embed" ProgID="Equation.3" ShapeID="_x0000_i1263" DrawAspect="Content" ObjectID="_1468075963" r:id="rId436">
            <o:LockedField>false</o:LockedField>
          </o:OLEObject>
        </w:object>
      </w:r>
      <w:r>
        <w:t>表示第</w:t>
      </w:r>
      <w:r>
        <w:rPr>
          <w:i/>
        </w:rPr>
        <w:t>i</w:t>
      </w:r>
      <w:r>
        <w:t>个课程目标在课程总评价中的占比；</w:t>
      </w:r>
    </w:p>
    <w:p>
      <w:pPr>
        <w:spacing w:line="360" w:lineRule="auto"/>
        <w:ind w:firstLine="420" w:firstLineChars="200"/>
        <w:rPr>
          <w:position w:val="-10"/>
          <w:szCs w:val="22"/>
        </w:rPr>
      </w:pPr>
      <w:r>
        <w:rPr>
          <w:rFonts w:hint="eastAsia"/>
          <w:position w:val="-10"/>
          <w:szCs w:val="22"/>
        </w:rPr>
        <w:t>课程目标达成度大于等于0.71为一级达成，大于等于0.65为二级达成。</w:t>
      </w:r>
    </w:p>
    <w:p>
      <w:pPr>
        <w:widowControl/>
        <w:jc w:val="left"/>
        <w:rPr>
          <w:rFonts w:eastAsia="黑体"/>
          <w:szCs w:val="24"/>
        </w:rPr>
      </w:pPr>
    </w:p>
    <w:p>
      <w:pPr>
        <w:tabs>
          <w:tab w:val="left" w:pos="420"/>
        </w:tabs>
        <w:adjustRightInd w:val="0"/>
        <w:snapToGrid w:val="0"/>
        <w:spacing w:line="360" w:lineRule="auto"/>
        <w:ind w:left="420" w:hanging="420"/>
        <w:rPr>
          <w:rFonts w:eastAsia="黑体"/>
          <w:szCs w:val="24"/>
        </w:rPr>
      </w:pPr>
      <w:r>
        <w:rPr>
          <w:rFonts w:hint="eastAsia" w:eastAsia="黑体"/>
          <w:szCs w:val="24"/>
        </w:rPr>
        <w:t>九、各环节评价标准</w:t>
      </w:r>
    </w:p>
    <w:p>
      <w:pPr>
        <w:spacing w:line="360" w:lineRule="auto"/>
        <w:ind w:firstLine="420" w:firstLineChars="200"/>
        <w:rPr>
          <w:szCs w:val="21"/>
        </w:rPr>
      </w:pPr>
      <w:r>
        <w:rPr>
          <w:rFonts w:hint="eastAsia"/>
          <w:szCs w:val="21"/>
        </w:rPr>
        <w:t>与毕业设计相关的各环节评价标准参见《SIE-PT</w:t>
      </w:r>
      <w:r>
        <w:rPr>
          <w:szCs w:val="21"/>
        </w:rPr>
        <w:t xml:space="preserve"> 电子科学与技术专业实践教学体系及规范</w:t>
      </w:r>
      <w:r>
        <w:rPr>
          <w:rFonts w:hint="eastAsia"/>
          <w:szCs w:val="21"/>
        </w:rPr>
        <w:t>》系列文件的规定。</w:t>
      </w:r>
      <w:r>
        <w:rPr>
          <w:szCs w:val="21"/>
        </w:rPr>
        <w:t>开题报告、中期检查、现场验收环节的评价标准参加相应检查环节的打分表，结课环节（包括毕业设计说明书、外文翻译、答辩、工作总体评价）的评价标准如下：</w:t>
      </w:r>
    </w:p>
    <w:p>
      <w:pPr>
        <w:adjustRightInd w:val="0"/>
        <w:snapToGrid w:val="0"/>
        <w:spacing w:line="360" w:lineRule="auto"/>
        <w:ind w:firstLine="420" w:firstLineChars="200"/>
        <w:rPr>
          <w:szCs w:val="21"/>
        </w:rPr>
      </w:pPr>
      <w:r>
        <w:rPr>
          <w:rFonts w:hint="eastAsia"/>
          <w:szCs w:val="21"/>
        </w:rPr>
        <w:t>1、优秀</w:t>
      </w:r>
    </w:p>
    <w:p>
      <w:pPr>
        <w:adjustRightInd w:val="0"/>
        <w:snapToGrid w:val="0"/>
        <w:spacing w:line="360" w:lineRule="auto"/>
        <w:ind w:firstLine="420" w:firstLineChars="200"/>
        <w:rPr>
          <w:szCs w:val="21"/>
        </w:rPr>
      </w:pPr>
      <w:r>
        <w:rPr>
          <w:rFonts w:hint="eastAsia"/>
          <w:szCs w:val="21"/>
        </w:rPr>
        <w:t>（1）独立完成毕业设计(论文)课题所规定的各项任务，综合运用所学知识分析问题和解决问题的能力强，刻苦钻研，努力拓宽知识，严肃认真，并在某些方面具有一定的创见；</w:t>
      </w:r>
    </w:p>
    <w:p>
      <w:pPr>
        <w:adjustRightInd w:val="0"/>
        <w:snapToGrid w:val="0"/>
        <w:spacing w:line="360" w:lineRule="auto"/>
        <w:ind w:firstLine="420" w:firstLineChars="200"/>
        <w:rPr>
          <w:szCs w:val="21"/>
        </w:rPr>
      </w:pPr>
      <w:r>
        <w:rPr>
          <w:rFonts w:hint="eastAsia"/>
          <w:szCs w:val="21"/>
        </w:rPr>
        <w:t>（2）图纸齐全、整洁、结构方案合理，视图、线条和尺寸标注正确，符合国家标准；</w:t>
      </w:r>
    </w:p>
    <w:p>
      <w:pPr>
        <w:adjustRightInd w:val="0"/>
        <w:snapToGrid w:val="0"/>
        <w:spacing w:line="360" w:lineRule="auto"/>
        <w:ind w:firstLine="420" w:firstLineChars="200"/>
        <w:rPr>
          <w:szCs w:val="21"/>
        </w:rPr>
      </w:pPr>
      <w:r>
        <w:rPr>
          <w:rFonts w:hint="eastAsia"/>
          <w:szCs w:val="21"/>
        </w:rPr>
        <w:t>（3）毕业设计说明书(论文)完整，内容正确，概念清楚，文理通顺，书写工整；</w:t>
      </w:r>
    </w:p>
    <w:p>
      <w:pPr>
        <w:adjustRightInd w:val="0"/>
        <w:snapToGrid w:val="0"/>
        <w:spacing w:line="360" w:lineRule="auto"/>
        <w:ind w:firstLine="420" w:firstLineChars="200"/>
        <w:rPr>
          <w:szCs w:val="21"/>
        </w:rPr>
      </w:pPr>
      <w:r>
        <w:rPr>
          <w:rFonts w:hint="eastAsia"/>
          <w:szCs w:val="21"/>
        </w:rPr>
        <w:t>（4）能顺利阅读外文资料，具有一定的外文写作能力，独立工作能力较强；</w:t>
      </w:r>
    </w:p>
    <w:p>
      <w:pPr>
        <w:adjustRightInd w:val="0"/>
        <w:snapToGrid w:val="0"/>
        <w:spacing w:line="360" w:lineRule="auto"/>
        <w:ind w:firstLine="420" w:firstLineChars="200"/>
        <w:rPr>
          <w:szCs w:val="21"/>
        </w:rPr>
      </w:pPr>
      <w:r>
        <w:rPr>
          <w:rFonts w:hint="eastAsia"/>
          <w:szCs w:val="21"/>
        </w:rPr>
        <w:t>（5）答辩时能熟练地、正确地回答问题，逻辑性较强，并按规定时间完成论述。</w:t>
      </w:r>
    </w:p>
    <w:p>
      <w:pPr>
        <w:adjustRightInd w:val="0"/>
        <w:snapToGrid w:val="0"/>
        <w:spacing w:line="360" w:lineRule="auto"/>
        <w:ind w:firstLine="420" w:firstLineChars="200"/>
        <w:rPr>
          <w:szCs w:val="21"/>
        </w:rPr>
      </w:pPr>
      <w:r>
        <w:rPr>
          <w:rFonts w:hint="eastAsia"/>
          <w:szCs w:val="21"/>
        </w:rPr>
        <w:t>2、良好</w:t>
      </w:r>
    </w:p>
    <w:p>
      <w:pPr>
        <w:adjustRightInd w:val="0"/>
        <w:snapToGrid w:val="0"/>
        <w:spacing w:line="360" w:lineRule="auto"/>
        <w:ind w:firstLine="420" w:firstLineChars="200"/>
        <w:rPr>
          <w:szCs w:val="21"/>
        </w:rPr>
      </w:pPr>
      <w:r>
        <w:rPr>
          <w:rFonts w:hint="eastAsia"/>
          <w:szCs w:val="21"/>
        </w:rPr>
        <w:t>（1）独立完成毕业设计(论文)课题所规定的各项任务，综合运用所学知识分析问题和解决问题的能力比较强，努力拓宽知识，毕业设计(论文)的关键问题或主要问题的质量较高；</w:t>
      </w:r>
    </w:p>
    <w:p>
      <w:pPr>
        <w:adjustRightInd w:val="0"/>
        <w:snapToGrid w:val="0"/>
        <w:spacing w:line="360" w:lineRule="auto"/>
        <w:ind w:firstLine="420" w:firstLineChars="200"/>
        <w:rPr>
          <w:szCs w:val="21"/>
        </w:rPr>
      </w:pPr>
      <w:r>
        <w:rPr>
          <w:rFonts w:hint="eastAsia"/>
          <w:szCs w:val="21"/>
        </w:rPr>
        <w:t>（2）图纸齐全、整洁、结构方案合理，视图，线条和尺寸标注正确，符合国家标准；</w:t>
      </w:r>
    </w:p>
    <w:p>
      <w:pPr>
        <w:adjustRightInd w:val="0"/>
        <w:snapToGrid w:val="0"/>
        <w:spacing w:line="360" w:lineRule="auto"/>
        <w:ind w:firstLine="420" w:firstLineChars="200"/>
        <w:rPr>
          <w:szCs w:val="21"/>
        </w:rPr>
      </w:pPr>
      <w:r>
        <w:rPr>
          <w:rFonts w:hint="eastAsia"/>
          <w:szCs w:val="21"/>
        </w:rPr>
        <w:t>（3）毕业设计说明书(论文)完整，内容正确，概念清楚，文理通顺，书写工整；</w:t>
      </w:r>
    </w:p>
    <w:p>
      <w:pPr>
        <w:adjustRightInd w:val="0"/>
        <w:snapToGrid w:val="0"/>
        <w:spacing w:line="360" w:lineRule="auto"/>
        <w:ind w:firstLine="420" w:firstLineChars="200"/>
        <w:rPr>
          <w:szCs w:val="21"/>
        </w:rPr>
      </w:pPr>
      <w:r>
        <w:rPr>
          <w:rFonts w:hint="eastAsia"/>
          <w:szCs w:val="21"/>
        </w:rPr>
        <w:t>（4）能顺利地阅读外文资料；</w:t>
      </w:r>
    </w:p>
    <w:p>
      <w:pPr>
        <w:adjustRightInd w:val="0"/>
        <w:snapToGrid w:val="0"/>
        <w:spacing w:line="360" w:lineRule="auto"/>
        <w:ind w:firstLine="420" w:firstLineChars="200"/>
        <w:rPr>
          <w:szCs w:val="21"/>
        </w:rPr>
      </w:pPr>
      <w:r>
        <w:rPr>
          <w:rFonts w:hint="eastAsia"/>
          <w:szCs w:val="21"/>
        </w:rPr>
        <w:t>（5）答辩时能正确地回答问题。</w:t>
      </w:r>
    </w:p>
    <w:p>
      <w:pPr>
        <w:adjustRightInd w:val="0"/>
        <w:snapToGrid w:val="0"/>
        <w:spacing w:line="360" w:lineRule="auto"/>
        <w:ind w:firstLine="420" w:firstLineChars="200"/>
        <w:rPr>
          <w:szCs w:val="21"/>
        </w:rPr>
      </w:pPr>
      <w:r>
        <w:rPr>
          <w:rFonts w:hint="eastAsia"/>
          <w:szCs w:val="21"/>
        </w:rPr>
        <w:t>3、中等</w:t>
      </w:r>
    </w:p>
    <w:p>
      <w:pPr>
        <w:adjustRightInd w:val="0"/>
        <w:snapToGrid w:val="0"/>
        <w:spacing w:line="360" w:lineRule="auto"/>
        <w:ind w:firstLine="420" w:firstLineChars="200"/>
        <w:rPr>
          <w:szCs w:val="21"/>
        </w:rPr>
      </w:pPr>
      <w:r>
        <w:rPr>
          <w:rFonts w:hint="eastAsia"/>
          <w:szCs w:val="21"/>
        </w:rPr>
        <w:t>（1）完成毕业设计(论文)课题所规定的各项任务，综合运用所学知识分析问题和解决问题的能力一般；</w:t>
      </w:r>
    </w:p>
    <w:p>
      <w:pPr>
        <w:adjustRightInd w:val="0"/>
        <w:snapToGrid w:val="0"/>
        <w:spacing w:line="360" w:lineRule="auto"/>
        <w:ind w:firstLine="420" w:firstLineChars="200"/>
        <w:rPr>
          <w:szCs w:val="21"/>
        </w:rPr>
      </w:pPr>
      <w:r>
        <w:rPr>
          <w:rFonts w:hint="eastAsia"/>
          <w:szCs w:val="21"/>
        </w:rPr>
        <w:t>（2）图纸齐全，结构方案比较合理，视图、线条和尺寸标注基本正确，符合国家标准；</w:t>
      </w:r>
    </w:p>
    <w:p>
      <w:pPr>
        <w:adjustRightInd w:val="0"/>
        <w:snapToGrid w:val="0"/>
        <w:spacing w:line="360" w:lineRule="auto"/>
        <w:ind w:firstLine="420" w:firstLineChars="200"/>
        <w:rPr>
          <w:szCs w:val="21"/>
        </w:rPr>
      </w:pPr>
      <w:r>
        <w:rPr>
          <w:rFonts w:hint="eastAsia"/>
          <w:szCs w:val="21"/>
        </w:rPr>
        <w:t>（3）毕业设计说明书(论文)基本完整，内容正确，但有个别遗漏，概念基本清楚；</w:t>
      </w:r>
    </w:p>
    <w:p>
      <w:pPr>
        <w:adjustRightInd w:val="0"/>
        <w:snapToGrid w:val="0"/>
        <w:spacing w:line="360" w:lineRule="auto"/>
        <w:ind w:firstLine="420" w:firstLineChars="200"/>
        <w:rPr>
          <w:szCs w:val="21"/>
        </w:rPr>
      </w:pPr>
      <w:r>
        <w:rPr>
          <w:rFonts w:hint="eastAsia"/>
          <w:szCs w:val="21"/>
        </w:rPr>
        <w:t>（4）尚能阅读外文资料；</w:t>
      </w:r>
    </w:p>
    <w:p>
      <w:pPr>
        <w:adjustRightInd w:val="0"/>
        <w:snapToGrid w:val="0"/>
        <w:spacing w:line="360" w:lineRule="auto"/>
        <w:ind w:firstLine="420" w:firstLineChars="200"/>
        <w:rPr>
          <w:szCs w:val="21"/>
        </w:rPr>
      </w:pPr>
      <w:r>
        <w:rPr>
          <w:rFonts w:hint="eastAsia"/>
          <w:szCs w:val="21"/>
        </w:rPr>
        <w:t>（5）答辩时基本论点正确，无原则性错误，经提示，主要问题能回答正确。</w:t>
      </w:r>
    </w:p>
    <w:p>
      <w:pPr>
        <w:adjustRightInd w:val="0"/>
        <w:snapToGrid w:val="0"/>
        <w:spacing w:line="360" w:lineRule="auto"/>
        <w:ind w:firstLine="420" w:firstLineChars="200"/>
        <w:rPr>
          <w:szCs w:val="21"/>
        </w:rPr>
      </w:pPr>
      <w:r>
        <w:rPr>
          <w:rFonts w:hint="eastAsia"/>
          <w:szCs w:val="21"/>
        </w:rPr>
        <w:t>4、及格</w:t>
      </w:r>
    </w:p>
    <w:p>
      <w:pPr>
        <w:adjustRightInd w:val="0"/>
        <w:snapToGrid w:val="0"/>
        <w:spacing w:line="360" w:lineRule="auto"/>
        <w:ind w:firstLine="420" w:firstLineChars="200"/>
        <w:rPr>
          <w:szCs w:val="21"/>
        </w:rPr>
      </w:pPr>
      <w:r>
        <w:rPr>
          <w:rFonts w:hint="eastAsia"/>
          <w:szCs w:val="21"/>
        </w:rPr>
        <w:t>（1）基本完成毕业设计(论文)课题所规定的各项任务，但分析问题和解决问题的能力较差；</w:t>
      </w:r>
    </w:p>
    <w:p>
      <w:pPr>
        <w:adjustRightInd w:val="0"/>
        <w:snapToGrid w:val="0"/>
        <w:spacing w:line="360" w:lineRule="auto"/>
        <w:ind w:firstLine="420" w:firstLineChars="200"/>
        <w:rPr>
          <w:szCs w:val="21"/>
        </w:rPr>
      </w:pPr>
      <w:r>
        <w:rPr>
          <w:rFonts w:hint="eastAsia"/>
          <w:szCs w:val="21"/>
        </w:rPr>
        <w:t>（2）图纸齐全，但不整洁；结构方案基本合理，但有个别错误；视图、线条和尺寸标注有个别错误，基本符合国家标准；</w:t>
      </w:r>
    </w:p>
    <w:p>
      <w:pPr>
        <w:adjustRightInd w:val="0"/>
        <w:snapToGrid w:val="0"/>
        <w:spacing w:line="360" w:lineRule="auto"/>
        <w:ind w:firstLine="420" w:firstLineChars="200"/>
        <w:rPr>
          <w:szCs w:val="21"/>
        </w:rPr>
      </w:pPr>
      <w:r>
        <w:rPr>
          <w:rFonts w:hint="eastAsia"/>
          <w:szCs w:val="21"/>
        </w:rPr>
        <w:t>（3）毕业设计说明书(论文)基本完整，但有个别错误或遗漏，概念基本清楚；</w:t>
      </w:r>
    </w:p>
    <w:p>
      <w:pPr>
        <w:adjustRightInd w:val="0"/>
        <w:snapToGrid w:val="0"/>
        <w:spacing w:line="360" w:lineRule="auto"/>
        <w:ind w:firstLine="420" w:firstLineChars="200"/>
        <w:rPr>
          <w:szCs w:val="21"/>
        </w:rPr>
      </w:pPr>
      <w:r>
        <w:rPr>
          <w:rFonts w:hint="eastAsia"/>
          <w:szCs w:val="21"/>
        </w:rPr>
        <w:t>（4）阅读外文资料较困难；</w:t>
      </w:r>
    </w:p>
    <w:p>
      <w:pPr>
        <w:adjustRightInd w:val="0"/>
        <w:snapToGrid w:val="0"/>
        <w:spacing w:line="360" w:lineRule="auto"/>
        <w:ind w:firstLine="420" w:firstLineChars="200"/>
        <w:rPr>
          <w:szCs w:val="21"/>
        </w:rPr>
      </w:pPr>
      <w:r>
        <w:rPr>
          <w:rFonts w:hint="eastAsia"/>
          <w:szCs w:val="21"/>
        </w:rPr>
        <w:t>（5）答辩时回答问题重点不突出，并有个别错误；某些问题经启示，尚能回答。</w:t>
      </w:r>
    </w:p>
    <w:p>
      <w:pPr>
        <w:adjustRightInd w:val="0"/>
        <w:snapToGrid w:val="0"/>
        <w:spacing w:line="360" w:lineRule="auto"/>
        <w:ind w:firstLine="420" w:firstLineChars="200"/>
        <w:rPr>
          <w:szCs w:val="21"/>
        </w:rPr>
      </w:pPr>
      <w:r>
        <w:rPr>
          <w:rFonts w:hint="eastAsia"/>
          <w:szCs w:val="21"/>
        </w:rPr>
        <w:t>5、不及格（符合以下一条或一条以上者）:</w:t>
      </w:r>
    </w:p>
    <w:p>
      <w:pPr>
        <w:adjustRightInd w:val="0"/>
        <w:snapToGrid w:val="0"/>
        <w:spacing w:line="360" w:lineRule="auto"/>
        <w:ind w:firstLine="420" w:firstLineChars="200"/>
        <w:rPr>
          <w:szCs w:val="21"/>
        </w:rPr>
      </w:pPr>
      <w:r>
        <w:rPr>
          <w:rFonts w:hint="eastAsia"/>
          <w:szCs w:val="21"/>
        </w:rPr>
        <w:t>（1）未能达到毕业设计(论文)课题所规定的任务要求，或设计(论文)中存在着原则性的错误，或弄虚作假，缺乏工程设计的基本能力；</w:t>
      </w:r>
    </w:p>
    <w:p>
      <w:pPr>
        <w:adjustRightInd w:val="0"/>
        <w:snapToGrid w:val="0"/>
        <w:spacing w:line="360" w:lineRule="auto"/>
        <w:ind w:firstLine="420" w:firstLineChars="200"/>
        <w:rPr>
          <w:szCs w:val="21"/>
        </w:rPr>
      </w:pPr>
      <w:r>
        <w:rPr>
          <w:rFonts w:hint="eastAsia"/>
          <w:szCs w:val="21"/>
        </w:rPr>
        <w:t>（2）图纸不齐全或有较多的错误；</w:t>
      </w:r>
    </w:p>
    <w:p>
      <w:pPr>
        <w:adjustRightInd w:val="0"/>
        <w:snapToGrid w:val="0"/>
        <w:spacing w:line="360" w:lineRule="auto"/>
        <w:ind w:firstLine="420" w:firstLineChars="200"/>
        <w:rPr>
          <w:szCs w:val="21"/>
        </w:rPr>
      </w:pPr>
      <w:r>
        <w:rPr>
          <w:rFonts w:hint="eastAsia"/>
          <w:szCs w:val="21"/>
        </w:rPr>
        <w:t>（3）毕业设计说明书(论文)概念不清楚或有较多的错误和遗漏；</w:t>
      </w:r>
    </w:p>
    <w:p>
      <w:pPr>
        <w:adjustRightInd w:val="0"/>
        <w:snapToGrid w:val="0"/>
        <w:spacing w:line="360" w:lineRule="auto"/>
        <w:ind w:firstLine="420" w:firstLineChars="200"/>
        <w:rPr>
          <w:szCs w:val="21"/>
        </w:rPr>
      </w:pPr>
      <w:r>
        <w:rPr>
          <w:rFonts w:hint="eastAsia"/>
          <w:szCs w:val="21"/>
        </w:rPr>
        <w:t>（4）基本上不能阅读外文资料；</w:t>
      </w:r>
    </w:p>
    <w:p>
      <w:pPr>
        <w:adjustRightInd w:val="0"/>
        <w:snapToGrid w:val="0"/>
        <w:spacing w:line="360" w:lineRule="auto"/>
        <w:ind w:firstLine="420" w:firstLineChars="200"/>
        <w:rPr>
          <w:szCs w:val="21"/>
        </w:rPr>
      </w:pPr>
      <w:r>
        <w:rPr>
          <w:rFonts w:hint="eastAsia"/>
          <w:szCs w:val="21"/>
        </w:rPr>
        <w:t>（5）答辩时有原则错误，经启发后仍不能正确回答。</w:t>
      </w:r>
    </w:p>
    <w:p>
      <w:pPr>
        <w:tabs>
          <w:tab w:val="left" w:pos="420"/>
        </w:tabs>
        <w:adjustRightInd w:val="0"/>
        <w:snapToGrid w:val="0"/>
        <w:spacing w:line="360" w:lineRule="auto"/>
        <w:ind w:left="420" w:hanging="420"/>
        <w:rPr>
          <w:color w:val="0000FF"/>
        </w:rPr>
      </w:pPr>
    </w:p>
    <w:p>
      <w:pPr>
        <w:tabs>
          <w:tab w:val="left" w:pos="420"/>
        </w:tabs>
        <w:adjustRightInd w:val="0"/>
        <w:snapToGrid w:val="0"/>
        <w:spacing w:line="360" w:lineRule="auto"/>
        <w:ind w:left="420" w:hanging="420"/>
        <w:rPr>
          <w:rFonts w:eastAsia="黑体"/>
          <w:szCs w:val="24"/>
        </w:rPr>
      </w:pPr>
      <w:r>
        <w:rPr>
          <w:rFonts w:hint="eastAsia" w:eastAsia="黑体"/>
          <w:szCs w:val="24"/>
        </w:rPr>
        <w:t>十、课程目标达成评价结果用于持续改进</w:t>
      </w:r>
    </w:p>
    <w:p>
      <w:pPr>
        <w:spacing w:line="360" w:lineRule="auto"/>
        <w:ind w:firstLine="420" w:firstLineChars="200"/>
        <w:rPr>
          <w:szCs w:val="21"/>
        </w:rPr>
      </w:pPr>
      <w:r>
        <w:rPr>
          <w:rFonts w:hint="eastAsia"/>
          <w:szCs w:val="21"/>
        </w:rPr>
        <w:t>课程目标达成评价结果将用于后续教学过程的持续改进。</w:t>
      </w:r>
    </w:p>
    <w:p>
      <w:pPr>
        <w:spacing w:line="360" w:lineRule="auto"/>
        <w:ind w:firstLine="420" w:firstLineChars="200"/>
        <w:rPr>
          <w:szCs w:val="21"/>
        </w:rPr>
      </w:pPr>
      <w:r>
        <w:rPr>
          <w:rFonts w:hint="eastAsia"/>
          <w:szCs w:val="21"/>
        </w:rPr>
        <w:t>针对毕业设计课程目标达成评价中发现的问题与不足，重点是达成值相对较低的项，在本次实践总结中应由授课教师分析具体原因，并给出改进建议。后续任课教师应当针对以前的问题和建议，在毕业设计计划中做好落实改进计划，并在指导过程中予以落实</w:t>
      </w:r>
      <w:r>
        <w:rPr>
          <w:szCs w:val="21"/>
        </w:rPr>
        <w:t>。</w:t>
      </w:r>
    </w:p>
    <w:p>
      <w:pPr>
        <w:widowControl/>
        <w:jc w:val="left"/>
        <w:rPr>
          <w:szCs w:val="21"/>
        </w:rPr>
      </w:pPr>
      <w:r>
        <w:rPr>
          <w:szCs w:val="21"/>
        </w:rPr>
        <w:br w:type="page"/>
      </w:r>
    </w:p>
    <w:p>
      <w:pPr>
        <w:spacing w:line="360" w:lineRule="auto"/>
        <w:rPr>
          <w:szCs w:val="21"/>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教学大纲和指标点支撑</w:t>
      </w:r>
    </w:p>
    <w:p>
      <w:pPr>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附件A5-2：2019版课程-毕业要求指标点支撑关系矩阵</w:t>
      </w:r>
    </w:p>
    <w:p>
      <w:pPr>
        <w:rPr>
          <w:rFonts w:eastAsia="楷体"/>
          <w:sz w:val="24"/>
        </w:rPr>
      </w:pPr>
    </w:p>
    <w:p>
      <w:pPr>
        <w:rPr>
          <w:rFonts w:eastAsia="楷体"/>
          <w:sz w:val="24"/>
        </w:rPr>
      </w:pPr>
    </w:p>
    <w:p>
      <w:pPr>
        <w:rPr>
          <w:rFonts w:eastAsia="楷体"/>
          <w:sz w:val="24"/>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sectPr>
          <w:footerReference r:id="rId149" w:type="default"/>
          <w:footerReference r:id="rId150" w:type="even"/>
          <w:pgSz w:w="11906" w:h="16838"/>
          <w:pgMar w:top="1134" w:right="1418" w:bottom="1134" w:left="1418" w:header="851" w:footer="547" w:gutter="0"/>
          <w:cols w:space="720" w:num="1"/>
          <w:titlePg/>
          <w:docGrid w:type="lines" w:linePitch="312" w:charSpace="0"/>
        </w:sectPr>
      </w:pPr>
    </w:p>
    <w:tbl>
      <w:tblPr>
        <w:tblStyle w:val="22"/>
        <w:tblW w:w="0" w:type="auto"/>
        <w:tblInd w:w="10" w:type="dxa"/>
        <w:tblLayout w:type="autofit"/>
        <w:tblCellMar>
          <w:top w:w="0" w:type="dxa"/>
          <w:left w:w="108" w:type="dxa"/>
          <w:bottom w:w="0" w:type="dxa"/>
          <w:right w:w="108" w:type="dxa"/>
        </w:tblCellMar>
      </w:tblPr>
      <w:tblGrid>
        <w:gridCol w:w="366"/>
        <w:gridCol w:w="1028"/>
        <w:gridCol w:w="407"/>
        <w:gridCol w:w="434"/>
        <w:gridCol w:w="407"/>
        <w:gridCol w:w="407"/>
        <w:gridCol w:w="407"/>
        <w:gridCol w:w="434"/>
        <w:gridCol w:w="407"/>
        <w:gridCol w:w="420"/>
        <w:gridCol w:w="407"/>
        <w:gridCol w:w="460"/>
        <w:gridCol w:w="434"/>
        <w:gridCol w:w="434"/>
        <w:gridCol w:w="447"/>
        <w:gridCol w:w="434"/>
        <w:gridCol w:w="447"/>
        <w:gridCol w:w="407"/>
        <w:gridCol w:w="407"/>
        <w:gridCol w:w="434"/>
        <w:gridCol w:w="434"/>
        <w:gridCol w:w="474"/>
        <w:gridCol w:w="407"/>
        <w:gridCol w:w="434"/>
        <w:gridCol w:w="407"/>
        <w:gridCol w:w="434"/>
        <w:gridCol w:w="420"/>
        <w:gridCol w:w="420"/>
        <w:gridCol w:w="420"/>
        <w:gridCol w:w="434"/>
        <w:gridCol w:w="434"/>
        <w:gridCol w:w="407"/>
        <w:gridCol w:w="407"/>
      </w:tblGrid>
      <w:tr>
        <w:tblPrEx>
          <w:tblCellMar>
            <w:top w:w="0" w:type="dxa"/>
            <w:left w:w="108" w:type="dxa"/>
            <w:bottom w:w="0" w:type="dxa"/>
            <w:right w:w="108" w:type="dxa"/>
          </w:tblCellMar>
        </w:tblPrEx>
        <w:trPr>
          <w:trHeight w:val="588" w:hRule="atLeast"/>
          <w:tblHeader/>
        </w:trPr>
        <w:tc>
          <w:tcPr>
            <w:tcW w:w="0" w:type="auto"/>
            <w:gridSpan w:val="33"/>
            <w:tcBorders>
              <w:top w:val="nil"/>
              <w:left w:val="nil"/>
              <w:bottom w:val="single" w:color="000000" w:sz="4" w:space="0"/>
              <w:right w:val="nil"/>
            </w:tcBorders>
            <w:shd w:val="clear" w:color="auto" w:fill="auto"/>
            <w:noWrap/>
            <w:vAlign w:val="center"/>
          </w:tcPr>
          <w:p>
            <w:pPr>
              <w:widowControl/>
              <w:adjustRightInd w:val="0"/>
              <w:snapToGrid w:val="0"/>
              <w:jc w:val="center"/>
              <w:rPr>
                <w:rFonts w:ascii="黑体" w:hAnsi="黑体" w:eastAsia="黑体" w:cs="宋体"/>
                <w:b/>
                <w:kern w:val="0"/>
                <w:szCs w:val="21"/>
              </w:rPr>
            </w:pPr>
            <w:r>
              <w:rPr>
                <w:rFonts w:hint="eastAsia" w:ascii="黑体" w:hAnsi="黑体" w:eastAsia="黑体" w:cs="宋体"/>
                <w:b/>
                <w:kern w:val="0"/>
                <w:szCs w:val="21"/>
              </w:rPr>
              <w:t>附件1：电子科学与技术专业毕业要求指标点分解及知识能力达成矩阵(</w:t>
            </w:r>
            <w:r>
              <w:rPr>
                <w:rFonts w:ascii="黑体" w:hAnsi="黑体" w:eastAsia="黑体" w:cs="宋体"/>
                <w:b/>
                <w:kern w:val="0"/>
                <w:szCs w:val="21"/>
              </w:rPr>
              <w:t>2019</w:t>
            </w:r>
            <w:r>
              <w:rPr>
                <w:rFonts w:hint="eastAsia" w:ascii="黑体" w:hAnsi="黑体" w:eastAsia="黑体" w:cs="宋体"/>
                <w:b/>
                <w:kern w:val="0"/>
                <w:szCs w:val="21"/>
              </w:rPr>
              <w:t>版</w:t>
            </w:r>
            <w:r>
              <w:rPr>
                <w:rFonts w:ascii="黑体" w:hAnsi="黑体" w:eastAsia="黑体" w:cs="宋体"/>
                <w:b/>
                <w:kern w:val="0"/>
                <w:szCs w:val="21"/>
              </w:rPr>
              <w:t>)</w:t>
            </w:r>
          </w:p>
        </w:tc>
      </w:tr>
      <w:tr>
        <w:tblPrEx>
          <w:tblCellMar>
            <w:top w:w="0" w:type="dxa"/>
            <w:left w:w="108" w:type="dxa"/>
            <w:bottom w:w="0" w:type="dxa"/>
            <w:right w:w="108" w:type="dxa"/>
          </w:tblCellMar>
        </w:tblPrEx>
        <w:trPr>
          <w:trHeight w:val="819"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F7FD9D"/>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毕业要求</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1、工程知识</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2、问题分析</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3、设计开发解决方案</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4、研究</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5、使用现代工具</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6、工程与社会</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7、环境与可持续发展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8、职业规范</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9、个人与团队</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10、沟通</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11、项目管理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12、终身学习</w:t>
            </w:r>
          </w:p>
        </w:tc>
      </w:tr>
      <w:tr>
        <w:tblPrEx>
          <w:tblCellMar>
            <w:top w:w="0" w:type="dxa"/>
            <w:left w:w="108" w:type="dxa"/>
            <w:bottom w:w="0" w:type="dxa"/>
            <w:right w:w="108" w:type="dxa"/>
          </w:tblCellMar>
        </w:tblPrEx>
        <w:trPr>
          <w:trHeight w:val="1549"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课程-&gt;指标点</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知识体系</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知识运用能力</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问题识别</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问题表达</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结论判断</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信息获取能力</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按需设计</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非技术因素</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创新意识</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领域现状认知能力</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实验设计能力</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实验结果分析</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工具选择与开发</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专业工具使用</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其它手段与资源</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参与社会</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落实法规</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社会影响评价</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环境影响评价</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环保设计与环保意识</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人文素养</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遵守职业规范</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团队意识</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明确个人责任</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竞争与合作</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沟通与表达</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跨文化交流</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工程管理知识</w:t>
            </w:r>
          </w:p>
        </w:tc>
        <w:tc>
          <w:tcPr>
            <w:tcW w:w="0" w:type="auto"/>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项目管理实践</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学习意识</w:t>
            </w:r>
          </w:p>
        </w:tc>
        <w:tc>
          <w:tcPr>
            <w:tcW w:w="0" w:type="auto"/>
            <w:tcBorders>
              <w:top w:val="single" w:color="000000" w:sz="4" w:space="0"/>
              <w:left w:val="single" w:color="000000" w:sz="4" w:space="0"/>
              <w:bottom w:val="single" w:color="000000" w:sz="4" w:space="0"/>
              <w:right w:val="single" w:color="000000" w:sz="4" w:space="0"/>
            </w:tcBorders>
            <w:shd w:val="clear" w:color="auto" w:fill="F7FD9D"/>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学习能力</w:t>
            </w:r>
          </w:p>
        </w:tc>
      </w:tr>
      <w:tr>
        <w:tblPrEx>
          <w:tblCellMar>
            <w:top w:w="0" w:type="dxa"/>
            <w:left w:w="108" w:type="dxa"/>
            <w:bottom w:w="0" w:type="dxa"/>
            <w:right w:w="108" w:type="dxa"/>
          </w:tblCellMar>
        </w:tblPrEx>
        <w:trPr>
          <w:trHeight w:val="564"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毛泽东思想和中国特色社会主义理论体系概论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思想道德修养及法律基础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马克思主义基本原理概论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中国近现代史纲要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大学生实用心理学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形势与政策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创业基础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安全教育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大学生职业发展与就业指导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环境保护与可持续发展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管理学概论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质量工程导论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西方礼仪与沟通技巧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军训（含军事理论）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公益劳动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社会实践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大学英语A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体育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高等数学A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线性代数A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概率论与数理统计B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复变函数与积分变换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大学物理A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大学物理实验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C语言程序设计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工程制图B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电路原理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模拟电子技术A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29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数字电子技术A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模拟电子技术实验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数字电子技术实验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信号与系统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微机原理及接口技术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文献检索专题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毕业设计专题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电子工艺实习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工程训练C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毕业实习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39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毕业设计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创新创业实践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电子科学与技术专业外语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电子系统设计综合实践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综合素质拓展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专业认知实习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理论物理导论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固体物理学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半导体物理与器件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电磁场与电磁波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49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光电子技术基础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可编程逻辑器件应用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电子系统集成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Theme="minorEastAsia" w:hAnsiTheme="minorEastAsia" w:eastAsiaTheme="minorEastAsia"/>
                <w:color w:val="FF0000"/>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微波技术基础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480" w:hRule="atLeast"/>
          <w:tblHeader/>
        </w:trPr>
        <w:tc>
          <w:tcPr>
            <w:tcW w:w="0" w:type="auto"/>
            <w:tcBorders>
              <w:top w:val="single" w:color="000000" w:sz="4" w:space="0"/>
              <w:left w:val="single" w:color="000000" w:sz="4" w:space="0"/>
              <w:bottom w:val="nil"/>
              <w:right w:val="nil"/>
            </w:tcBorders>
            <w:shd w:val="clear" w:color="auto" w:fill="FFFF00"/>
            <w:noWrap/>
            <w:vAlign w:val="center"/>
          </w:tcPr>
          <w:p>
            <w:pPr>
              <w:widowControl/>
              <w:adjustRightInd w:val="0"/>
              <w:snapToGrid w:val="0"/>
              <w:jc w:val="center"/>
              <w:rPr>
                <w:rFonts w:eastAsia="Times New Roman"/>
                <w:kern w:val="0"/>
                <w:sz w:val="15"/>
                <w:szCs w:val="15"/>
              </w:rPr>
            </w:pPr>
          </w:p>
        </w:tc>
        <w:tc>
          <w:tcPr>
            <w:tcW w:w="0" w:type="auto"/>
            <w:gridSpan w:val="32"/>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8"/>
                <w:szCs w:val="15"/>
              </w:rPr>
              <w:t>专业选修课</w:t>
            </w: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传感器原理及设计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单片机原理及应用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半导体集成电路基础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激光原理与技术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光电探测技术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光纤技术及应用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59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光学仪器应用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新型微电子/光电子器件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nil"/>
              <w:left w:val="nil"/>
              <w:bottom w:val="nil"/>
              <w:right w:val="nil"/>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通信原理导论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无线传感网络设计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工业控制网络设计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模式识别与机器学习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b/>
                <w:bCs/>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65</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人工智能导论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66</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总线接口设计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67</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DSP系统设计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68</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嵌入式系统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69</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模拟采集设计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70</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信号源设计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71</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电子设计自动化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b/>
                <w:bCs/>
                <w:kern w:val="0"/>
                <w:sz w:val="15"/>
                <w:szCs w:val="15"/>
              </w:rPr>
            </w:pPr>
            <w:r>
              <w:rPr>
                <w:rFonts w:hint="eastAsia" w:ascii="宋体" w:hAnsi="宋体" w:cs="宋体"/>
                <w:b/>
                <w:bCs/>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72</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VB程序设计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73</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MATLAB应用基础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r>
        <w:tblPrEx>
          <w:tblCellMar>
            <w:top w:w="0" w:type="dxa"/>
            <w:left w:w="108" w:type="dxa"/>
            <w:bottom w:w="0" w:type="dxa"/>
            <w:right w:w="108" w:type="dxa"/>
          </w:tblCellMar>
        </w:tblPrEx>
        <w:trPr>
          <w:trHeight w:val="372"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74</w:t>
            </w:r>
          </w:p>
        </w:tc>
        <w:tc>
          <w:tcPr>
            <w:tcW w:w="0" w:type="auto"/>
            <w:tcBorders>
              <w:top w:val="single" w:color="000000" w:sz="4" w:space="0"/>
              <w:left w:val="single" w:color="000000" w:sz="4" w:space="0"/>
              <w:bottom w:val="single" w:color="000000" w:sz="4" w:space="0"/>
              <w:right w:val="single" w:color="000000" w:sz="4" w:space="0"/>
            </w:tcBorders>
            <w:shd w:val="clear" w:color="auto" w:fill="FFF2CC"/>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电磁兼容设计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r>
              <w:rPr>
                <w:rFonts w:hint="eastAsia" w:ascii="宋体" w:hAnsi="宋体" w:cs="宋体"/>
                <w:kern w:val="0"/>
                <w:sz w:val="15"/>
                <w:szCs w:val="15"/>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ascii="宋体" w:hAnsi="宋体" w:cs="宋体"/>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E2EFDA"/>
            <w:noWrap/>
            <w:vAlign w:val="center"/>
          </w:tcPr>
          <w:p>
            <w:pPr>
              <w:widowControl/>
              <w:adjustRightInd w:val="0"/>
              <w:snapToGrid w:val="0"/>
              <w:jc w:val="center"/>
              <w:rPr>
                <w:rFonts w:eastAsia="Times New Roman"/>
                <w:kern w:val="0"/>
                <w:sz w:val="15"/>
                <w:szCs w:val="15"/>
              </w:rPr>
            </w:pPr>
          </w:p>
        </w:tc>
      </w:tr>
    </w:tbl>
    <w:p>
      <w:pPr>
        <w:spacing w:before="156" w:beforeLines="50"/>
        <w:rPr>
          <w:rFonts w:eastAsia="黑体"/>
          <w:b/>
          <w:bCs/>
          <w:szCs w:val="21"/>
        </w:rPr>
      </w:pPr>
      <w:r>
        <w:rPr>
          <w:rFonts w:hint="eastAsia" w:asciiTheme="minorEastAsia" w:hAnsiTheme="minorEastAsia" w:eastAsiaTheme="minorEastAsia"/>
          <w:bCs/>
          <w:szCs w:val="21"/>
        </w:rPr>
        <w:t>注：选修课不参与毕业要求达成评价。</w:t>
      </w:r>
    </w:p>
    <w:p>
      <w:pPr>
        <w:widowControl/>
        <w:jc w:val="left"/>
        <w:rPr>
          <w:rFonts w:eastAsia="黑体"/>
          <w:b/>
          <w:bCs/>
          <w:sz w:val="24"/>
        </w:rPr>
      </w:pPr>
    </w:p>
    <w:p>
      <w:pPr>
        <w:rPr>
          <w:rFonts w:asciiTheme="minorEastAsia" w:hAnsiTheme="minorEastAsia" w:eastAsiaTheme="minorEastAsia"/>
          <w:b/>
          <w:bCs/>
          <w:szCs w:val="21"/>
        </w:rPr>
      </w:pPr>
    </w:p>
    <w:p>
      <w:pPr>
        <w:spacing w:before="156" w:beforeLines="50"/>
        <w:rPr>
          <w:rFonts w:ascii="宋体" w:hAnsi="宋体"/>
          <w:bCs/>
          <w:sz w:val="24"/>
        </w:rPr>
        <w:sectPr>
          <w:footerReference r:id="rId151" w:type="even"/>
          <w:pgSz w:w="16838" w:h="11906" w:orient="landscape"/>
          <w:pgMar w:top="1418" w:right="1134" w:bottom="1418" w:left="1134" w:header="851" w:footer="575" w:gutter="0"/>
          <w:cols w:space="720" w:num="1"/>
          <w:docGrid w:type="lines" w:linePitch="312" w:charSpace="0"/>
        </w:sectPr>
      </w:pPr>
    </w:p>
    <w:p>
      <w:pPr>
        <w:widowControl/>
        <w:jc w:val="left"/>
        <w:rPr>
          <w:szCs w:val="21"/>
        </w:rPr>
      </w:pPr>
    </w:p>
    <w:p>
      <w:pPr>
        <w:spacing w:line="360" w:lineRule="auto"/>
        <w:rPr>
          <w:szCs w:val="21"/>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widowControl/>
        <w:adjustRightInd w:val="0"/>
        <w:snapToGrid w:val="0"/>
        <w:spacing w:line="360" w:lineRule="auto"/>
        <w:jc w:val="center"/>
        <w:rPr>
          <w:rFonts w:eastAsia="黑体"/>
          <w:b/>
          <w:sz w:val="48"/>
          <w:szCs w:val="48"/>
        </w:rPr>
      </w:pPr>
    </w:p>
    <w:p>
      <w:pPr>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教学大纲和指标点支撑</w:t>
      </w:r>
    </w:p>
    <w:p>
      <w:pPr>
        <w:snapToGrid w:val="0"/>
        <w:spacing w:line="360" w:lineRule="auto"/>
        <w:jc w:val="center"/>
        <w:rPr>
          <w:rFonts w:ascii="黑体" w:hAnsi="黑体" w:eastAsia="黑体" w:cs="黑体"/>
          <w:b/>
          <w:bCs/>
          <w:sz w:val="48"/>
          <w:szCs w:val="48"/>
        </w:rPr>
      </w:pPr>
      <w:r>
        <w:rPr>
          <w:rFonts w:hint="eastAsia" w:ascii="黑体" w:hAnsi="黑体" w:eastAsia="黑体" w:cs="黑体"/>
          <w:b/>
          <w:bCs/>
          <w:sz w:val="48"/>
          <w:szCs w:val="48"/>
        </w:rPr>
        <w:t>附件A5-3：2016版课程-毕业要求指标点支撑关系矩阵</w:t>
      </w:r>
    </w:p>
    <w:p>
      <w:pPr>
        <w:rPr>
          <w:rFonts w:eastAsia="楷体"/>
          <w:sz w:val="24"/>
        </w:rPr>
      </w:pPr>
    </w:p>
    <w:p>
      <w:pPr>
        <w:rPr>
          <w:rFonts w:eastAsia="楷体"/>
          <w:sz w:val="24"/>
        </w:rPr>
        <w:sectPr>
          <w:footerReference r:id="rId152" w:type="default"/>
          <w:pgSz w:w="11906" w:h="16838"/>
          <w:pgMar w:top="1440" w:right="1800" w:bottom="1440" w:left="1800" w:header="851" w:footer="992" w:gutter="0"/>
          <w:cols w:space="425" w:num="1"/>
          <w:docGrid w:type="lines" w:linePitch="312" w:charSpace="0"/>
        </w:sectPr>
      </w:pPr>
    </w:p>
    <w:p>
      <w:pPr>
        <w:rPr>
          <w:rFonts w:ascii="黑体" w:hAnsi="黑体" w:eastAsia="黑体"/>
          <w:b/>
          <w:bCs/>
          <w:sz w:val="24"/>
          <w:szCs w:val="24"/>
        </w:rPr>
      </w:pPr>
      <w:r>
        <w:rPr>
          <w:rFonts w:hint="eastAsia" w:ascii="黑体" w:hAnsi="黑体" w:eastAsia="黑体"/>
          <w:b/>
          <w:bCs/>
        </w:rPr>
        <w:t>附件1：课程-毕业要求指标点支撑关系矩阵（2016版）</w:t>
      </w:r>
    </w:p>
    <w:tbl>
      <w:tblPr>
        <w:tblStyle w:val="22"/>
        <w:tblW w:w="4998" w:type="pct"/>
        <w:jc w:val="center"/>
        <w:tblLayout w:type="autofit"/>
        <w:tblCellMar>
          <w:top w:w="0" w:type="dxa"/>
          <w:left w:w="108" w:type="dxa"/>
          <w:bottom w:w="0" w:type="dxa"/>
          <w:right w:w="108" w:type="dxa"/>
        </w:tblCellMar>
      </w:tblPr>
      <w:tblGrid>
        <w:gridCol w:w="418"/>
        <w:gridCol w:w="3634"/>
        <w:gridCol w:w="621"/>
        <w:gridCol w:w="3626"/>
      </w:tblGrid>
      <w:tr>
        <w:tblPrEx>
          <w:tblCellMar>
            <w:top w:w="0" w:type="dxa"/>
            <w:left w:w="108" w:type="dxa"/>
            <w:bottom w:w="0" w:type="dxa"/>
            <w:right w:w="108" w:type="dxa"/>
          </w:tblCellMar>
        </w:tblPrEx>
        <w:trPr>
          <w:jc w:val="center"/>
        </w:trPr>
        <w:tc>
          <w:tcPr>
            <w:tcW w:w="247" w:type="pct"/>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adjustRightInd w:val="0"/>
              <w:snapToGrid w:val="0"/>
              <w:spacing w:before="100" w:beforeAutospacing="1" w:after="100" w:afterAutospacing="1"/>
              <w:ind w:left="105" w:leftChars="50" w:right="105" w:rightChars="50"/>
              <w:jc w:val="center"/>
              <w:rPr>
                <w:rFonts w:ascii="宋体" w:hAnsi="宋体"/>
                <w:b/>
                <w:bCs/>
                <w:sz w:val="15"/>
                <w:szCs w:val="15"/>
              </w:rPr>
            </w:pPr>
            <w:r>
              <w:rPr>
                <w:rFonts w:hint="eastAsia" w:ascii="宋体" w:hAnsi="宋体"/>
                <w:b/>
                <w:bCs/>
                <w:sz w:val="15"/>
                <w:szCs w:val="15"/>
              </w:rPr>
              <w:t>毕业要求</w:t>
            </w:r>
          </w:p>
        </w:tc>
        <w:tc>
          <w:tcPr>
            <w:tcW w:w="2190" w:type="pct"/>
            <w:tcBorders>
              <w:top w:val="single" w:color="auto" w:sz="4" w:space="0"/>
              <w:left w:val="nil"/>
              <w:bottom w:val="single" w:color="auto" w:sz="4" w:space="0"/>
              <w:right w:val="single" w:color="auto" w:sz="4" w:space="0"/>
            </w:tcBorders>
            <w:shd w:val="clear" w:color="auto" w:fill="FFFFFF"/>
            <w:vAlign w:val="center"/>
          </w:tcPr>
          <w:p>
            <w:pPr>
              <w:widowControl/>
              <w:adjustRightInd w:val="0"/>
              <w:snapToGrid w:val="0"/>
              <w:spacing w:before="100" w:beforeAutospacing="1" w:after="100" w:afterAutospacing="1"/>
              <w:ind w:left="105" w:leftChars="50" w:right="105" w:rightChars="50"/>
              <w:jc w:val="center"/>
              <w:rPr>
                <w:rFonts w:ascii="宋体" w:hAnsi="宋体"/>
                <w:b/>
                <w:bCs/>
                <w:sz w:val="15"/>
                <w:szCs w:val="15"/>
              </w:rPr>
            </w:pPr>
            <w:r>
              <w:rPr>
                <w:rFonts w:hint="eastAsia" w:ascii="宋体" w:hAnsi="宋体"/>
                <w:b/>
                <w:bCs/>
                <w:sz w:val="15"/>
                <w:szCs w:val="15"/>
              </w:rPr>
              <w:t>指标点分解</w:t>
            </w:r>
          </w:p>
        </w:tc>
        <w:tc>
          <w:tcPr>
            <w:tcW w:w="376" w:type="pct"/>
            <w:tcBorders>
              <w:top w:val="single" w:color="auto" w:sz="4" w:space="0"/>
              <w:left w:val="nil"/>
              <w:bottom w:val="single" w:color="auto" w:sz="4" w:space="0"/>
              <w:right w:val="single" w:color="auto" w:sz="4" w:space="0"/>
            </w:tcBorders>
            <w:shd w:val="clear" w:color="auto" w:fill="FFFFFF"/>
            <w:vAlign w:val="center"/>
          </w:tcPr>
          <w:p>
            <w:pPr>
              <w:widowControl/>
              <w:adjustRightInd w:val="0"/>
              <w:snapToGrid w:val="0"/>
              <w:spacing w:before="100" w:beforeAutospacing="1" w:after="100" w:afterAutospacing="1"/>
              <w:ind w:left="105" w:leftChars="50" w:right="105" w:rightChars="50"/>
              <w:jc w:val="center"/>
              <w:rPr>
                <w:rFonts w:ascii="宋体" w:hAnsi="宋体"/>
                <w:b/>
                <w:bCs/>
                <w:sz w:val="15"/>
                <w:szCs w:val="15"/>
              </w:rPr>
            </w:pPr>
            <w:r>
              <w:rPr>
                <w:rFonts w:hint="eastAsia" w:ascii="宋体" w:hAnsi="宋体"/>
                <w:b/>
                <w:bCs/>
                <w:sz w:val="15"/>
                <w:szCs w:val="15"/>
              </w:rPr>
              <w:t>权重分解</w:t>
            </w:r>
          </w:p>
        </w:tc>
        <w:tc>
          <w:tcPr>
            <w:tcW w:w="2185" w:type="pct"/>
            <w:tcBorders>
              <w:top w:val="single" w:color="auto" w:sz="4" w:space="0"/>
              <w:left w:val="nil"/>
              <w:bottom w:val="single" w:color="auto" w:sz="4" w:space="0"/>
              <w:right w:val="single" w:color="auto" w:sz="4" w:space="0"/>
            </w:tcBorders>
            <w:shd w:val="clear" w:color="auto" w:fill="FFFFFF"/>
            <w:vAlign w:val="center"/>
          </w:tcPr>
          <w:p>
            <w:pPr>
              <w:widowControl/>
              <w:adjustRightInd w:val="0"/>
              <w:snapToGrid w:val="0"/>
              <w:spacing w:before="100" w:beforeAutospacing="1" w:after="100" w:afterAutospacing="1"/>
              <w:ind w:left="105" w:leftChars="50" w:right="105" w:rightChars="50"/>
              <w:jc w:val="center"/>
              <w:rPr>
                <w:rFonts w:ascii="宋体" w:hAnsi="宋体"/>
                <w:b/>
                <w:bCs/>
                <w:sz w:val="15"/>
                <w:szCs w:val="15"/>
              </w:rPr>
            </w:pPr>
            <w:r>
              <w:rPr>
                <w:rFonts w:hint="eastAsia" w:ascii="宋体" w:hAnsi="宋体"/>
                <w:b/>
                <w:bCs/>
                <w:sz w:val="15"/>
                <w:szCs w:val="15"/>
              </w:rPr>
              <w:t>实现课程（环节）</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000000"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1</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工程知识</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指标点1-1 知识体系</w:t>
            </w:r>
            <w:r>
              <w:rPr>
                <w:rFonts w:hint="eastAsia" w:ascii="宋体" w:hAnsi="宋体"/>
                <w:sz w:val="15"/>
                <w:szCs w:val="15"/>
              </w:rPr>
              <w:t>：系统地学习本专业相关的数学、自然科学、电子类工程基础和专业等多方面的知识。</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高等数学、线性代数、概率论与数理统计、复变函数与积分变换、大学物理、电路分析基础、模拟电子技术、数字电子技术、理论物理导论、固体物理、半导体物理与器件、光电子技术基础、激光原理与技术</w:t>
            </w:r>
            <w:r>
              <w:rPr>
                <w:rFonts w:hint="eastAsia" w:ascii="宋体" w:hAnsi="宋体"/>
                <w:b/>
                <w:bCs/>
                <w:sz w:val="15"/>
                <w:szCs w:val="15"/>
              </w:rPr>
              <w:t>（光电探测技术、光纤技术及应用、传感器原理及设计）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指标点1-2 知识运用能力</w:t>
            </w:r>
            <w:r>
              <w:rPr>
                <w:rFonts w:hint="eastAsia" w:ascii="宋体" w:hAnsi="宋体"/>
                <w:sz w:val="15"/>
                <w:szCs w:val="15"/>
              </w:rPr>
              <w:t>：能将基础知识与本专业基本工程问题结合起来，灵活、恰当地将其运用到复杂电子类工程问题的解决中。</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大学物理、电路分析基础、模拟电子技术、数字电子技术、半导体物理与器件、信号与系统、微机原理及接口技术、数字信号处理、激光原理与技术、电子工艺实习</w:t>
            </w:r>
            <w:r>
              <w:rPr>
                <w:rFonts w:hint="eastAsia" w:ascii="宋体" w:hAnsi="宋体"/>
                <w:b/>
                <w:bCs/>
                <w:sz w:val="15"/>
                <w:szCs w:val="15"/>
              </w:rPr>
              <w:t>（单片机原理及应用）</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2</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问题分析</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指标点2-1 问题识别</w:t>
            </w:r>
            <w:r>
              <w:rPr>
                <w:rFonts w:hint="eastAsia" w:ascii="宋体" w:hAnsi="宋体"/>
                <w:sz w:val="15"/>
                <w:szCs w:val="15"/>
              </w:rPr>
              <w:t>：能应用科学原理对电子科学与技术专业复杂工程问题进行分解，并识别其中的关键特征和参数。</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大学物理、电路分析基础、模拟电子技术、数字电子技术、半导体物理与器件、信号与系统、毕业设计专题、毕业设计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指标点2-2 问题表达</w:t>
            </w:r>
            <w:r>
              <w:rPr>
                <w:rFonts w:hint="eastAsia" w:ascii="宋体" w:hAnsi="宋体"/>
                <w:sz w:val="15"/>
                <w:szCs w:val="15"/>
              </w:rPr>
              <w:t>：能够应用科学原理对电子科学与技术专业复杂工程问题的识别结果进行有效表达，以模型或公式等形式说明问题特征。</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0.2</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大学物理、电路分析基础、模拟电子技术、数字电子技术、固体物理、毕业设计</w:t>
            </w:r>
            <w:r>
              <w:rPr>
                <w:rFonts w:hint="eastAsia" w:ascii="宋体" w:hAnsi="宋体"/>
                <w:b/>
                <w:bCs/>
                <w:sz w:val="15"/>
                <w:szCs w:val="15"/>
              </w:rPr>
              <w:t>（DSP系统设计、模拟采集设计、信号源设计）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指标点2-3 结论判断</w:t>
            </w:r>
            <w:r>
              <w:rPr>
                <w:rFonts w:hint="eastAsia" w:ascii="宋体" w:hAnsi="宋体"/>
                <w:sz w:val="15"/>
                <w:szCs w:val="15"/>
              </w:rPr>
              <w:t>：能够应用专业知识分析判断结论的有效性。</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0.2</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信号与系统、数字信号处理、大学物理实验、模拟电子技术实验、数字电子技术实验、毕业设计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指标点2-4 信息获取能力</w:t>
            </w:r>
            <w:r>
              <w:rPr>
                <w:rFonts w:hint="eastAsia" w:ascii="宋体" w:hAnsi="宋体"/>
                <w:sz w:val="15"/>
                <w:szCs w:val="15"/>
              </w:rPr>
              <w:t>：掌握文献检索、资料查询及运用现代技术获取信息的方法，能通过该手段获取行业内解决同类问题的方法与效果，并能够与自己的方案进行对比，并理解其差距与优势。</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文献检索专题、毕业设计专题、毕业设计</w:t>
            </w:r>
            <w:r>
              <w:rPr>
                <w:rFonts w:hint="eastAsia" w:ascii="宋体" w:hAnsi="宋体"/>
                <w:b/>
                <w:bCs/>
                <w:sz w:val="15"/>
                <w:szCs w:val="15"/>
              </w:rPr>
              <w:t>（总线接口技术）</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3</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设计开发解决方案</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指标点3-1 按需设计</w:t>
            </w:r>
            <w:r>
              <w:rPr>
                <w:rFonts w:hint="eastAsia" w:ascii="宋体" w:hAnsi="宋体"/>
                <w:sz w:val="15"/>
                <w:szCs w:val="15"/>
              </w:rPr>
              <w:t>：能够根据用户特定需求设计复杂工程问题的解决方案，设计相关的电路、系统和工艺流程。并能够针对方案进行优化选择。</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0.6</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工程制图基础、可编程逻辑器件应用、电子系统集成、微机原理及接口技术、电子系统设计综合实践、毕业设计</w:t>
            </w:r>
            <w:r>
              <w:rPr>
                <w:rFonts w:hint="eastAsia" w:ascii="宋体" w:hAnsi="宋体"/>
                <w:b/>
                <w:bCs/>
                <w:sz w:val="15"/>
                <w:szCs w:val="15"/>
              </w:rPr>
              <w:t>（光纤技术及应用、传感器原理及设计、无线传感网络设计、工业控制网络设计、嵌入式系统、电子设计自动化）</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指标点3-2 非技术因素</w:t>
            </w:r>
            <w:r>
              <w:rPr>
                <w:rFonts w:hint="eastAsia" w:ascii="宋体" w:hAnsi="宋体"/>
                <w:sz w:val="15"/>
                <w:szCs w:val="15"/>
              </w:rPr>
              <w:t>：能够在社会、健康、安全、法律、文化以及环境等因素约束下，对设计方案的可行性进行分析。</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0.25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质量工程导论、电子系统设计综合实践、毕业设计专题（无线传感网络设计）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指标点3-3 创新意识</w:t>
            </w:r>
            <w:r>
              <w:rPr>
                <w:rFonts w:hint="eastAsia" w:ascii="宋体" w:hAnsi="宋体"/>
                <w:sz w:val="15"/>
                <w:szCs w:val="15"/>
              </w:rPr>
              <w:t>：积极参与各类创新活动，在专业设计过程中能够体现创新意识。</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0.15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电子系统集成、电子系统设计综合实践、毕业设计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4</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研究</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指标点4-1 研究分析能力</w:t>
            </w:r>
            <w:r>
              <w:rPr>
                <w:rFonts w:hint="eastAsia" w:ascii="宋体" w:hAnsi="宋体"/>
                <w:sz w:val="15"/>
                <w:szCs w:val="15"/>
              </w:rPr>
              <w:t>：了解电子科学与技术专业领域背景及经典案例，能够针对复杂工程问题提出研究思路和分析方法，并有意识地将实验结果用于指导解决方案的改善和优化。</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0.4</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半导体物理与器件、光电子技术基础、电子系统集成、毕业设计</w:t>
            </w:r>
            <w:r>
              <w:rPr>
                <w:rFonts w:hint="eastAsia" w:ascii="宋体" w:hAnsi="宋体"/>
                <w:b/>
                <w:bCs/>
                <w:sz w:val="15"/>
                <w:szCs w:val="15"/>
              </w:rPr>
              <w:t>（光电探测技术、光纤技术及应用）</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指标点4-2实验设计能力</w:t>
            </w:r>
            <w:r>
              <w:rPr>
                <w:rFonts w:hint="eastAsia" w:ascii="宋体" w:hAnsi="宋体"/>
                <w:sz w:val="15"/>
                <w:szCs w:val="15"/>
              </w:rPr>
              <w:t>：能够基于专业理论，根据所面对的复杂问题的特征，选择研究路线，设计可行的实验方案，并选用或搭建实验装置，开展研究。</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大学物理实验、模拟电子技术实验、数字电子技术实验、毕业设计</w:t>
            </w:r>
            <w:r>
              <w:rPr>
                <w:rFonts w:hint="eastAsia" w:ascii="宋体" w:hAnsi="宋体"/>
                <w:b/>
                <w:bCs/>
                <w:sz w:val="15"/>
                <w:szCs w:val="15"/>
              </w:rPr>
              <w:t>（工业控制网络设计、模拟采集设计、信号源设计、电磁兼容设计）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指标点4-3 实验结果分析</w:t>
            </w:r>
            <w:r>
              <w:rPr>
                <w:rFonts w:hint="eastAsia" w:ascii="宋体" w:hAnsi="宋体"/>
                <w:sz w:val="15"/>
                <w:szCs w:val="15"/>
              </w:rPr>
              <w:t>：能正确采集、整理、综合实验数据及相关信息，对多因素实验结果进行关联处理，并对误差来源和影响进行综合分析，得到有效结论。</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大学物理实验、模拟电子技术实验、数字电子技术实验、毕业设计</w:t>
            </w:r>
            <w:r>
              <w:rPr>
                <w:rFonts w:hint="eastAsia" w:ascii="宋体" w:hAnsi="宋体"/>
                <w:b/>
                <w:bCs/>
                <w:sz w:val="15"/>
                <w:szCs w:val="15"/>
              </w:rPr>
              <w:t>（模拟采集设计、信号源设计）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5</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使用现代工具</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指标点5-1 工具选择与开发</w:t>
            </w:r>
            <w:r>
              <w:rPr>
                <w:rFonts w:hint="eastAsia" w:ascii="宋体" w:hAnsi="宋体"/>
                <w:sz w:val="15"/>
                <w:szCs w:val="15"/>
              </w:rPr>
              <w:t>：了解当前主流工具的优点与不足，能针对复杂工程问题特性与需求做出对比选择，并能够开发一定的辅助工具用于解决问题。</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0.2</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C语言程序设计、可编程逻辑器件应用、电子系统设计综合实践、电子工艺实习、毕业设计</w:t>
            </w:r>
            <w:r>
              <w:rPr>
                <w:rFonts w:hint="eastAsia" w:ascii="宋体" w:hAnsi="宋体"/>
                <w:b/>
                <w:bCs/>
                <w:sz w:val="15"/>
                <w:szCs w:val="15"/>
              </w:rPr>
              <w:t>（DSP系统设计、嵌入式系统、MATLAB应用基础）</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指标点5-2专业工具使用</w:t>
            </w:r>
            <w:r>
              <w:rPr>
                <w:rFonts w:hint="eastAsia" w:ascii="宋体" w:hAnsi="宋体"/>
                <w:sz w:val="15"/>
                <w:szCs w:val="15"/>
              </w:rPr>
              <w:t>：能够针对微结构、器件、电路、电气特性和逻辑等建立恰当的模型，并针对涉及到的环节和过程使用专门的EDA工具进行设计和仿真，确定功能和工艺参数。</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C语言程序设计、可编程逻辑器件应用、模拟电子技术实验、电子工艺实习</w:t>
            </w:r>
            <w:r>
              <w:rPr>
                <w:rFonts w:hint="eastAsia" w:ascii="宋体" w:hAnsi="宋体"/>
                <w:b/>
                <w:bCs/>
                <w:sz w:val="15"/>
                <w:szCs w:val="15"/>
              </w:rPr>
              <w:t>（单片机原理及应用、嵌入式系统、电子设计自动化、VB程序设计、MATLAB应用基础）</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指标点5-3 其它手段与资源</w:t>
            </w:r>
            <w:r>
              <w:rPr>
                <w:rFonts w:hint="eastAsia" w:ascii="宋体" w:hAnsi="宋体"/>
                <w:sz w:val="15"/>
                <w:szCs w:val="15"/>
              </w:rPr>
              <w:t>：能够充分利用高级语言、通用数据处理软件和字处理等其它信息技术工具与资源，提高工作效率和效果。</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文献检索专题、电子系统设计综合实践、毕业设计</w:t>
            </w:r>
            <w:r>
              <w:rPr>
                <w:rFonts w:hint="eastAsia" w:ascii="宋体" w:hAnsi="宋体"/>
                <w:b/>
                <w:bCs/>
                <w:sz w:val="15"/>
                <w:szCs w:val="15"/>
              </w:rPr>
              <w:t>（总线接口技术、单片机原理及应用、VB程序设计）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6</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工程与社会</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指标点6-1 参与社会</w:t>
            </w:r>
            <w:r>
              <w:rPr>
                <w:rFonts w:hint="eastAsia" w:ascii="宋体" w:hAnsi="宋体"/>
                <w:sz w:val="15"/>
                <w:szCs w:val="15"/>
              </w:rPr>
              <w:t>：具有工程实习和社会实践的经历。</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社会实践、毕业实习</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指标点6-2 落实法规</w:t>
            </w:r>
            <w:r>
              <w:rPr>
                <w:rFonts w:hint="eastAsia" w:ascii="宋体" w:hAnsi="宋体"/>
                <w:sz w:val="15"/>
                <w:szCs w:val="15"/>
              </w:rPr>
              <w:t>：了解与电子行业相关的技术标准、知识产权、产业政策和法律法规，能在工程实践中予以落实，并理解违反上述法规应承担的责任。</w:t>
            </w:r>
          </w:p>
        </w:tc>
        <w:tc>
          <w:tcPr>
            <w:tcW w:w="376" w:type="pct"/>
            <w:tcBorders>
              <w:top w:val="single" w:color="auto" w:sz="4" w:space="0"/>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0.4</w:t>
            </w:r>
          </w:p>
        </w:tc>
        <w:tc>
          <w:tcPr>
            <w:tcW w:w="2185"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形势与政策、安全教育、环境保护与可持续发展、毕业设计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指标点6-3 社会影响评价</w:t>
            </w:r>
            <w:r>
              <w:rPr>
                <w:rFonts w:hint="eastAsia" w:ascii="宋体" w:hAnsi="宋体"/>
                <w:sz w:val="15"/>
                <w:szCs w:val="15"/>
              </w:rPr>
              <w:t>：能客观分析预测专业工程实践、复杂工程问题解决方案、新产品新技术开发和应用对社会、健康、安全、法律以及文化的潜在影响。</w:t>
            </w:r>
          </w:p>
        </w:tc>
        <w:tc>
          <w:tcPr>
            <w:tcW w:w="376" w:type="pct"/>
            <w:tcBorders>
              <w:top w:val="single" w:color="auto" w:sz="4" w:space="0"/>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质量工程导论、社会实践、毕业设计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7</w:t>
            </w:r>
          </w:p>
          <w:p>
            <w:pPr>
              <w:widowControl/>
              <w:adjustRightInd w:val="0"/>
              <w:snapToGrid w:val="0"/>
              <w:ind w:left="105" w:leftChars="50" w:right="105" w:rightChars="50"/>
              <w:rPr>
                <w:rFonts w:ascii="宋体" w:hAnsi="宋体"/>
                <w:b/>
                <w:bCs/>
                <w:sz w:val="15"/>
                <w:szCs w:val="15"/>
              </w:rPr>
            </w:pPr>
            <w:r>
              <w:rPr>
                <w:rFonts w:hint="eastAsia" w:ascii="宋体" w:hAnsi="宋体"/>
                <w:b/>
                <w:bCs/>
                <w:sz w:val="15"/>
                <w:szCs w:val="15"/>
              </w:rPr>
              <w:t>环境和可持续发展</w:t>
            </w: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指标点7-1 环境影响评价</w:t>
            </w:r>
            <w:r>
              <w:rPr>
                <w:rFonts w:hint="eastAsia" w:ascii="宋体" w:hAnsi="宋体"/>
                <w:sz w:val="15"/>
                <w:szCs w:val="15"/>
              </w:rPr>
              <w:t>：充分了解本专业工程实践所使用的原材料、工艺、生产过程对各类资源的消耗情况，能合理评价生产试验和产品运行过程中可能产生的功耗、噪声、辐射、废料对环境的影响。</w:t>
            </w:r>
          </w:p>
        </w:tc>
        <w:tc>
          <w:tcPr>
            <w:tcW w:w="376" w:type="pct"/>
            <w:tcBorders>
              <w:top w:val="single" w:color="auto" w:sz="4" w:space="0"/>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0.4</w:t>
            </w:r>
          </w:p>
        </w:tc>
        <w:tc>
          <w:tcPr>
            <w:tcW w:w="2185" w:type="pct"/>
            <w:tcBorders>
              <w:top w:val="single" w:color="auto" w:sz="4" w:space="0"/>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环境保护与可持续发展、电子系统设计综合实践</w:t>
            </w:r>
            <w:r>
              <w:rPr>
                <w:rFonts w:hint="eastAsia" w:ascii="宋体" w:hAnsi="宋体"/>
                <w:b/>
                <w:bCs/>
                <w:sz w:val="15"/>
                <w:szCs w:val="15"/>
              </w:rPr>
              <w:t>（无线传感网络设计）</w:t>
            </w:r>
          </w:p>
        </w:tc>
      </w:tr>
      <w:tr>
        <w:tblPrEx>
          <w:tblCellMar>
            <w:top w:w="0" w:type="dxa"/>
            <w:left w:w="108" w:type="dxa"/>
            <w:bottom w:w="0" w:type="dxa"/>
            <w:right w:w="108" w:type="dxa"/>
          </w:tblCellMar>
        </w:tblPrEx>
        <w:trPr>
          <w:trHeight w:val="786" w:hRule="atLeast"/>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指标点7-2 环保设计与环保意识</w:t>
            </w:r>
            <w:r>
              <w:rPr>
                <w:rFonts w:hint="eastAsia" w:ascii="宋体" w:hAnsi="宋体"/>
                <w:sz w:val="15"/>
                <w:szCs w:val="15"/>
              </w:rPr>
              <w:t>：接受过相关的环保教育及环保案例教育，了解国家可持续发展的理念，在工程设计中体现保护环境、维持社会可持续发展的意识。</w:t>
            </w:r>
          </w:p>
        </w:tc>
        <w:tc>
          <w:tcPr>
            <w:tcW w:w="376" w:type="pct"/>
            <w:tcBorders>
              <w:top w:val="single" w:color="auto" w:sz="4" w:space="0"/>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0.6</w:t>
            </w:r>
          </w:p>
        </w:tc>
        <w:tc>
          <w:tcPr>
            <w:tcW w:w="2185"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环境保护与可持续发展、电子系统设计综合实践、微波技术基础</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8</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职业规范</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指标点8-1 人文素养</w:t>
            </w:r>
            <w:r>
              <w:rPr>
                <w:rFonts w:hint="eastAsia" w:ascii="宋体" w:hAnsi="宋体"/>
                <w:sz w:val="15"/>
                <w:szCs w:val="15"/>
              </w:rPr>
              <w:t>：具有人文社会科学素养、社会责任感。</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毛泽东思想和中国特色社会主义理论体系概论、思想道德修养及法律基础、马克思主义基本原理概论、中国近现代史纲要、西方礼仪与沟通技巧</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指标点8-2：遵守职业规范</w:t>
            </w:r>
            <w:r>
              <w:rPr>
                <w:rFonts w:hint="eastAsia" w:ascii="宋体" w:hAnsi="宋体"/>
                <w:sz w:val="15"/>
                <w:szCs w:val="15"/>
              </w:rPr>
              <w:t>：理解工程师的职业性质和责任，在专业工程实践活动中能够遵守职业道德规范，履行相应的责任。</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质量工程导论、创业基础、毕业实习、毕业设计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9</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个人和团队</w:t>
            </w: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指标点9-1 团队意识</w:t>
            </w:r>
            <w:r>
              <w:rPr>
                <w:rFonts w:hint="eastAsia" w:ascii="宋体" w:hAnsi="宋体"/>
                <w:sz w:val="15"/>
                <w:szCs w:val="15"/>
              </w:rPr>
              <w:t>：具备团队合作意识，愿意与团队其他成员共享信息，并给予他人帮助。</w:t>
            </w:r>
          </w:p>
        </w:tc>
        <w:tc>
          <w:tcPr>
            <w:tcW w:w="376" w:type="pct"/>
            <w:tcBorders>
              <w:top w:val="single" w:color="auto" w:sz="4" w:space="0"/>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0.4</w:t>
            </w:r>
          </w:p>
        </w:tc>
        <w:tc>
          <w:tcPr>
            <w:tcW w:w="2185" w:type="pct"/>
            <w:tcBorders>
              <w:top w:val="single" w:color="auto" w:sz="4" w:space="0"/>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管理学概论、军训（含军事理论）、公益劳动、体育、电子系统设计综合实践、毕业实习</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指标点9-2 明确个人责任</w:t>
            </w:r>
            <w:r>
              <w:rPr>
                <w:rFonts w:hint="eastAsia" w:ascii="宋体" w:hAnsi="宋体"/>
                <w:sz w:val="15"/>
                <w:szCs w:val="15"/>
              </w:rPr>
              <w:t>：能够在多学科背景下的团队中承担个体、团队成员以及负责人的角色并理解该角色应当承担的责任、权利和义务。</w:t>
            </w:r>
          </w:p>
        </w:tc>
        <w:tc>
          <w:tcPr>
            <w:tcW w:w="376" w:type="pct"/>
            <w:tcBorders>
              <w:top w:val="single" w:color="auto" w:sz="4" w:space="0"/>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大学生实用心理学、军训（含军事理论）、公益劳动、体育、电子系统设计综合实践</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指标点9-3 竞争与合作</w:t>
            </w:r>
            <w:r>
              <w:rPr>
                <w:rFonts w:hint="eastAsia" w:ascii="宋体" w:hAnsi="宋体"/>
                <w:sz w:val="15"/>
                <w:szCs w:val="15"/>
              </w:rPr>
              <w:t>：能在多学科背景下和不同层次间正确理解和处理团队内部和团队之间的竞争与合作关系。</w:t>
            </w:r>
          </w:p>
        </w:tc>
        <w:tc>
          <w:tcPr>
            <w:tcW w:w="376" w:type="pct"/>
            <w:tcBorders>
              <w:top w:val="single" w:color="auto" w:sz="4" w:space="0"/>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创业基础、大学生职业发展与就业指导、管理学概论、电子系统设计综合实践</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10</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沟通</w:t>
            </w:r>
          </w:p>
        </w:tc>
        <w:tc>
          <w:tcPr>
            <w:tcW w:w="2190" w:type="pct"/>
            <w:tcBorders>
              <w:top w:val="single" w:color="auto" w:sz="4" w:space="0"/>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指标点10-1 沟通与表达</w:t>
            </w:r>
            <w:r>
              <w:rPr>
                <w:rFonts w:hint="eastAsia" w:ascii="宋体" w:hAnsi="宋体"/>
                <w:sz w:val="15"/>
                <w:szCs w:val="15"/>
              </w:rPr>
              <w:t>：能够熟练、正确、规范地撰写技术报告和设计文稿，并能针对主题陈述发言、清晰表达自己的观点、正确回应指令，达到沟通目的。</w:t>
            </w:r>
          </w:p>
        </w:tc>
        <w:tc>
          <w:tcPr>
            <w:tcW w:w="376" w:type="pct"/>
            <w:tcBorders>
              <w:top w:val="single" w:color="auto" w:sz="4" w:space="0"/>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0.7</w:t>
            </w:r>
          </w:p>
        </w:tc>
        <w:tc>
          <w:tcPr>
            <w:tcW w:w="2185" w:type="pct"/>
            <w:tcBorders>
              <w:top w:val="single" w:color="auto" w:sz="4" w:space="0"/>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大学生实用心理学、管理学概论、西方礼仪与沟通技巧、大学英语、工程制图基础、电子科学与技术专业外语、毕业设计</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指标点10-2 跨文化交流</w:t>
            </w:r>
            <w:r>
              <w:rPr>
                <w:rFonts w:hint="eastAsia" w:ascii="宋体" w:hAnsi="宋体"/>
                <w:sz w:val="15"/>
                <w:szCs w:val="15"/>
              </w:rPr>
              <w:t>：具备使用一门外语沟通交流的能力，了解并尊重不同文化，能够通过跨文化交流、竞争与合作开阔国际视野。能区别不同的对象、场所和要求采用合适的方式进行有效沟通。</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0.3</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西方礼仪与沟通技巧、大学英语、电子科学与技术专业外语、毕业设计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11</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项目管理</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指标点11-1 工程管理知识</w:t>
            </w:r>
            <w:r>
              <w:rPr>
                <w:rFonts w:hint="eastAsia" w:ascii="宋体" w:hAnsi="宋体"/>
                <w:sz w:val="15"/>
                <w:szCs w:val="15"/>
              </w:rPr>
              <w:t>：理解并掌握工程管理与经济决策的基本原理和方法，具备工程管理的意识。</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管理学概论、质量工程导论</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指标点11-2 项目管理实践</w:t>
            </w:r>
            <w:r>
              <w:rPr>
                <w:rFonts w:hint="eastAsia" w:ascii="宋体" w:hAnsi="宋体"/>
                <w:sz w:val="15"/>
                <w:szCs w:val="15"/>
              </w:rPr>
              <w:t>：能够在多学科环境中将工程项目管理与经济决策的知识和方法应用到专业工程实践中，协调平衡多种资源，使工程实践经济效益得到优化。</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b/>
                <w:bCs/>
                <w:sz w:val="15"/>
                <w:szCs w:val="15"/>
              </w:rPr>
            </w:pPr>
            <w:r>
              <w:rPr>
                <w:rFonts w:hint="eastAsia" w:ascii="宋体" w:hAnsi="宋体"/>
                <w:sz w:val="15"/>
                <w:szCs w:val="15"/>
              </w:rPr>
              <w:t>电子系统设计综合实践、毕业设计</w:t>
            </w:r>
            <w:r>
              <w:rPr>
                <w:rFonts w:hint="eastAsia" w:ascii="宋体" w:hAnsi="宋体"/>
                <w:b/>
                <w:bCs/>
                <w:sz w:val="15"/>
                <w:szCs w:val="15"/>
              </w:rPr>
              <w:t>（工业控制网络设计）</w:t>
            </w:r>
          </w:p>
        </w:tc>
      </w:tr>
      <w:tr>
        <w:tblPrEx>
          <w:tblCellMar>
            <w:top w:w="0" w:type="dxa"/>
            <w:left w:w="108" w:type="dxa"/>
            <w:bottom w:w="0" w:type="dxa"/>
            <w:right w:w="108" w:type="dxa"/>
          </w:tblCellMar>
        </w:tblPrEx>
        <w:trPr>
          <w:jc w:val="center"/>
        </w:trPr>
        <w:tc>
          <w:tcPr>
            <w:tcW w:w="247" w:type="pct"/>
            <w:vMerge w:val="restart"/>
            <w:tcBorders>
              <w:top w:val="nil"/>
              <w:left w:val="single" w:color="auto" w:sz="4" w:space="0"/>
              <w:bottom w:val="single" w:color="auto" w:sz="4" w:space="0"/>
              <w:right w:val="single" w:color="auto" w:sz="4" w:space="0"/>
            </w:tcBorders>
            <w:tcMar>
              <w:top w:w="57" w:type="dxa"/>
              <w:left w:w="28" w:type="dxa"/>
              <w:bottom w:w="0" w:type="dxa"/>
              <w:right w:w="28" w:type="dxa"/>
            </w:tcMar>
            <w:vAlign w:val="center"/>
          </w:tcPr>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12</w:t>
            </w:r>
          </w:p>
          <w:p>
            <w:pPr>
              <w:widowControl/>
              <w:adjustRightInd w:val="0"/>
              <w:snapToGrid w:val="0"/>
              <w:ind w:left="105" w:leftChars="50" w:right="105" w:rightChars="50"/>
              <w:jc w:val="center"/>
              <w:rPr>
                <w:rFonts w:ascii="宋体" w:hAnsi="宋体"/>
                <w:b/>
                <w:bCs/>
                <w:sz w:val="15"/>
                <w:szCs w:val="15"/>
              </w:rPr>
            </w:pPr>
            <w:r>
              <w:rPr>
                <w:rFonts w:hint="eastAsia" w:ascii="宋体" w:hAnsi="宋体"/>
                <w:b/>
                <w:bCs/>
                <w:sz w:val="15"/>
                <w:szCs w:val="15"/>
              </w:rPr>
              <w:t>终身学习</w:t>
            </w: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指标点12-1 学习意识</w:t>
            </w:r>
            <w:r>
              <w:rPr>
                <w:rFonts w:hint="eastAsia" w:ascii="宋体" w:hAnsi="宋体"/>
                <w:sz w:val="15"/>
                <w:szCs w:val="15"/>
              </w:rPr>
              <w:t>：理解工程活动中搜集、获取、更新相关技术研究现状和未来发展趋势的必要性，具有自主学习和终身学习的意识和动力。</w:t>
            </w:r>
          </w:p>
        </w:tc>
        <w:tc>
          <w:tcPr>
            <w:tcW w:w="376" w:type="pct"/>
            <w:tcBorders>
              <w:top w:val="nil"/>
              <w:left w:val="nil"/>
              <w:bottom w:val="single" w:color="auto" w:sz="4" w:space="0"/>
              <w:right w:val="single" w:color="auto" w:sz="4" w:space="0"/>
            </w:tcBorders>
            <w:tcMar>
              <w:top w:w="57" w:type="dxa"/>
              <w:left w:w="28" w:type="dxa"/>
              <w:bottom w:w="0" w:type="dxa"/>
              <w:right w:w="2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28" w:type="dxa"/>
              <w:bottom w:w="0" w:type="dxa"/>
              <w:right w:w="2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形势与政策、大学生职业发展与就业指导</w:t>
            </w:r>
          </w:p>
        </w:tc>
      </w:tr>
      <w:tr>
        <w:tblPrEx>
          <w:tblCellMar>
            <w:top w:w="0" w:type="dxa"/>
            <w:left w:w="108" w:type="dxa"/>
            <w:bottom w:w="0" w:type="dxa"/>
            <w:right w:w="108" w:type="dxa"/>
          </w:tblCellMar>
        </w:tblPrEx>
        <w:trPr>
          <w:jc w:val="center"/>
        </w:trPr>
        <w:tc>
          <w:tcPr>
            <w:tcW w:w="247"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b/>
                <w:bCs/>
                <w:sz w:val="15"/>
                <w:szCs w:val="15"/>
              </w:rPr>
            </w:pPr>
          </w:p>
        </w:tc>
        <w:tc>
          <w:tcPr>
            <w:tcW w:w="2190"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b/>
                <w:bCs/>
                <w:sz w:val="15"/>
                <w:szCs w:val="15"/>
              </w:rPr>
              <w:t>指标点12-2 学习能力</w:t>
            </w:r>
            <w:r>
              <w:rPr>
                <w:rFonts w:hint="eastAsia" w:ascii="宋体" w:hAnsi="宋体"/>
                <w:sz w:val="15"/>
                <w:szCs w:val="15"/>
              </w:rPr>
              <w:t>：掌握正确的学习方法，具备通过学习不断提高、不断调整自己适应行业发展和环境变化的能力。</w:t>
            </w:r>
          </w:p>
        </w:tc>
        <w:tc>
          <w:tcPr>
            <w:tcW w:w="376" w:type="pct"/>
            <w:tcBorders>
              <w:top w:val="nil"/>
              <w:left w:val="nil"/>
              <w:bottom w:val="single" w:color="auto" w:sz="4" w:space="0"/>
              <w:right w:val="single" w:color="auto" w:sz="4" w:space="0"/>
            </w:tcBorders>
            <w:tcMar>
              <w:top w:w="57" w:type="dxa"/>
              <w:left w:w="108" w:type="dxa"/>
              <w:bottom w:w="0" w:type="dxa"/>
              <w:right w:w="108" w:type="dxa"/>
            </w:tcMar>
            <w:vAlign w:val="center"/>
          </w:tcPr>
          <w:p>
            <w:pPr>
              <w:adjustRightInd w:val="0"/>
              <w:snapToGrid w:val="0"/>
              <w:spacing w:before="100" w:beforeAutospacing="1" w:after="100" w:afterAutospacing="1"/>
              <w:jc w:val="center"/>
              <w:rPr>
                <w:rFonts w:ascii="宋体" w:hAnsi="宋体"/>
                <w:b/>
                <w:bCs/>
                <w:sz w:val="15"/>
                <w:szCs w:val="15"/>
              </w:rPr>
            </w:pPr>
            <w:r>
              <w:rPr>
                <w:rFonts w:hint="eastAsia" w:ascii="宋体" w:hAnsi="宋体"/>
                <w:sz w:val="15"/>
                <w:szCs w:val="15"/>
              </w:rPr>
              <w:t>0.5</w:t>
            </w:r>
          </w:p>
        </w:tc>
        <w:tc>
          <w:tcPr>
            <w:tcW w:w="2185" w:type="pct"/>
            <w:tcBorders>
              <w:top w:val="nil"/>
              <w:left w:val="nil"/>
              <w:bottom w:val="single" w:color="auto" w:sz="4" w:space="0"/>
              <w:right w:val="single" w:color="auto" w:sz="4" w:space="0"/>
            </w:tcBorders>
            <w:tcMar>
              <w:top w:w="57" w:type="dxa"/>
              <w:left w:w="108" w:type="dxa"/>
              <w:bottom w:w="0" w:type="dxa"/>
              <w:right w:w="108" w:type="dxa"/>
            </w:tcMar>
          </w:tcPr>
          <w:p>
            <w:pPr>
              <w:adjustRightInd w:val="0"/>
              <w:snapToGrid w:val="0"/>
              <w:spacing w:before="100" w:beforeAutospacing="1" w:after="100" w:afterAutospacing="1"/>
              <w:rPr>
                <w:rFonts w:ascii="宋体" w:hAnsi="宋体"/>
                <w:sz w:val="15"/>
                <w:szCs w:val="15"/>
              </w:rPr>
            </w:pPr>
            <w:r>
              <w:rPr>
                <w:rFonts w:hint="eastAsia" w:ascii="宋体" w:hAnsi="宋体"/>
                <w:sz w:val="15"/>
                <w:szCs w:val="15"/>
              </w:rPr>
              <w:t>社会实践、大学英语、电子科学与技术专业外语、文献检索专题</w:t>
            </w:r>
          </w:p>
        </w:tc>
      </w:tr>
    </w:tbl>
    <w:p>
      <w:pPr>
        <w:rPr>
          <w:sz w:val="15"/>
          <w:szCs w:val="15"/>
        </w:rPr>
      </w:pPr>
      <w:r>
        <w:rPr>
          <w:rFonts w:ascii="宋体" w:hAnsi="宋体"/>
          <w:sz w:val="15"/>
          <w:szCs w:val="15"/>
        </w:rPr>
        <w:t>注：实现课程（环节）列中括号内</w:t>
      </w:r>
      <w:r>
        <w:rPr>
          <w:rFonts w:hint="eastAsia" w:ascii="宋体" w:hAnsi="宋体"/>
          <w:sz w:val="15"/>
          <w:szCs w:val="15"/>
        </w:rPr>
        <w:t>加粗</w:t>
      </w:r>
      <w:r>
        <w:rPr>
          <w:rFonts w:ascii="宋体" w:hAnsi="宋体"/>
          <w:sz w:val="15"/>
          <w:szCs w:val="15"/>
        </w:rPr>
        <w:t>的课程为选修课，不参与毕业要求达成评价。</w:t>
      </w:r>
    </w:p>
    <w:p>
      <w:pPr>
        <w:spacing w:line="320" w:lineRule="exact"/>
        <w:rPr>
          <w:rFonts w:eastAsia="黑体"/>
          <w:b/>
          <w:bCs/>
          <w:sz w:val="28"/>
          <w:szCs w:val="28"/>
        </w:rPr>
      </w:pPr>
      <w:r>
        <w:rPr>
          <w:rFonts w:eastAsia="黑体"/>
          <w:b/>
          <w:bCs/>
          <w:sz w:val="28"/>
          <w:szCs w:val="28"/>
        </w:rPr>
        <w:t xml:space="preserve"> </w:t>
      </w:r>
    </w:p>
    <w:p>
      <w:pPr>
        <w:spacing w:line="320" w:lineRule="exact"/>
        <w:rPr>
          <w:rFonts w:eastAsia="黑体"/>
          <w:b/>
          <w:bCs/>
          <w:sz w:val="28"/>
          <w:szCs w:val="28"/>
        </w:rPr>
      </w:pPr>
      <w:r>
        <w:rPr>
          <w:rFonts w:eastAsia="黑体"/>
          <w:b/>
          <w:bCs/>
          <w:sz w:val="28"/>
          <w:szCs w:val="28"/>
        </w:rPr>
        <w:t xml:space="preserve"> </w:t>
      </w:r>
    </w:p>
    <w:p>
      <w:pPr>
        <w:spacing w:line="320" w:lineRule="exact"/>
        <w:rPr>
          <w:rFonts w:eastAsia="黑体"/>
          <w:b/>
          <w:bCs/>
          <w:sz w:val="28"/>
          <w:szCs w:val="28"/>
        </w:rPr>
      </w:pPr>
    </w:p>
    <w:p>
      <w:pPr>
        <w:spacing w:line="320" w:lineRule="exact"/>
        <w:rPr>
          <w:rFonts w:eastAsia="黑体"/>
          <w:b/>
          <w:bCs/>
          <w:sz w:val="28"/>
          <w:szCs w:val="28"/>
        </w:rPr>
      </w:pPr>
    </w:p>
    <w:p>
      <w:pPr>
        <w:spacing w:line="320" w:lineRule="exact"/>
        <w:rPr>
          <w:rFonts w:eastAsia="黑体"/>
          <w:b/>
          <w:bCs/>
          <w:sz w:val="28"/>
          <w:szCs w:val="28"/>
        </w:rPr>
      </w:pPr>
    </w:p>
    <w:p>
      <w:pPr>
        <w:spacing w:line="320" w:lineRule="exact"/>
        <w:rPr>
          <w:rFonts w:eastAsia="黑体"/>
          <w:b/>
          <w:bCs/>
          <w:sz w:val="28"/>
          <w:szCs w:val="28"/>
        </w:rPr>
      </w:pPr>
    </w:p>
    <w:p>
      <w:pPr>
        <w:spacing w:line="320" w:lineRule="exact"/>
        <w:jc w:val="center"/>
        <w:rPr>
          <w:rFonts w:ascii="宋体" w:hAnsi="宋体"/>
          <w:szCs w:val="21"/>
        </w:rPr>
      </w:pPr>
      <w:r>
        <w:rPr>
          <w:rFonts w:hint="eastAsia" w:ascii="宋体" w:hAnsi="宋体"/>
          <w:szCs w:val="21"/>
        </w:rPr>
        <w:t>——结束——</w: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Helvetica">
    <w:altName w:val="Arial"/>
    <w:panose1 w:val="020B0504020202020204"/>
    <w:charset w:val="00"/>
    <w:family w:val="swiss"/>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Times New Roman,Bold">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1905</wp:posOffset>
              </wp:positionV>
              <wp:extent cx="200025" cy="1238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200025" cy="1238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9.75pt;width:15.75pt;mso-position-horizontal:center;mso-position-horizontal-relative:margin;z-index:251659264;mso-width-relative:page;mso-height-relative:page;" filled="f" stroked="f" coordsize="21600,21600" o:gfxdata="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JKcX0gAAAAMBAAAPAAAAAAAAAAEAIAAAACIAAABkcnMvZG93bnJldi54bWxQSwECFAAU&#10;AAAACACHTuJA9/FDlzACAABZBAAADgAAAAAAAAABACAAAAAhAQAAZHJzL2Uyb0RvYy54bWxQSwUG&#10;AAAAAAYABgBZAQAAwwU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p>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241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XcYXXSAAAAAwEAAA8AAAAAAAAAAQAgAAAAIgAAAGRycy9kb3ducmV2LnhtbFBLAQIU&#10;ABQAAAAIAIdO4kB6ORQWMgIAAFcEAAAOAAAAAAAAAAEAIAAAACEBAABkcnMvZTJvRG9jLnhtbFBL&#10;BQYAAAAABgAGAFkBAADF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241</w:t>
                    </w:r>
                    <w:r>
                      <w:rPr>
                        <w:rFonts w:hint="eastAsia"/>
                      </w:rPr>
                      <w:fldChar w:fldCharType="end"/>
                    </w:r>
                  </w:p>
                </w:txbxContent>
              </v:textbox>
            </v:shape>
          </w:pict>
        </mc:Fallback>
      </mc:AlternateContent>
    </w:r>
  </w:p>
  <w:p>
    <w:pPr>
      <w:pStyle w:val="1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3144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248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643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E8dDnkxAgAAVwQAAA4AAAAAAAAAAQAgAAAAIQ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248</w:t>
                    </w:r>
                    <w:r>
                      <w:rPr>
                        <w:rFonts w:hint="eastAsia"/>
                      </w:rPr>
                      <w:fldChar w:fldCharType="end"/>
                    </w:r>
                  </w:p>
                </w:txbxContent>
              </v:textbox>
            </v:shape>
          </w:pict>
        </mc:Fallback>
      </mc:AlternateContent>
    </w:r>
  </w:p>
  <w:p>
    <w:pPr>
      <w:pStyle w:val="1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1905</wp:posOffset>
              </wp:positionV>
              <wp:extent cx="180975" cy="16192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0975" cy="1619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257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12.75pt;width:14.25pt;mso-position-horizontal:center;mso-position-horizontal-relative:margin;z-index:251667456;mso-width-relative:page;mso-height-relative:page;" filled="f" stroked="f" coordsize="21600,21600" o:gfxdata="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1eS0NMAAAADAQAADwAAAAAAAAABACAAAAAiAAAAZHJzL2Rvd25yZXYueG1sUEsB&#10;AhQAFAAAAAgAh07iQOkZELczAgAAWQQAAA4AAAAAAAAAAQAgAAAAIgEAAGRycy9lMm9Eb2MueG1s&#10;UEsFBgAAAAAGAAYAWQEAAMcFA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257</w:t>
                    </w:r>
                    <w:r>
                      <w:rPr>
                        <w:rFonts w:hint="eastAsia"/>
                      </w:rPr>
                      <w:fldChar w:fldCharType="end"/>
                    </w:r>
                  </w:p>
                </w:txbxContent>
              </v:textbox>
            </v:shape>
          </w:pict>
        </mc:Fallback>
      </mc:AlternateContent>
    </w:r>
  </w:p>
  <w:p>
    <w:pPr>
      <w:pStyle w:val="14"/>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3144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848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JcPjfgxAgAAVwQAAA4AAAAAAAAAAQAgAAAAIQ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266</w:t>
                    </w:r>
                    <w:r>
                      <w:rPr>
                        <w:rFonts w:hint="eastAsia"/>
                      </w:rPr>
                      <w:fldChar w:fldCharType="end"/>
                    </w:r>
                  </w:p>
                </w:txbxContent>
              </v:textbox>
            </v:shape>
          </w:pict>
        </mc:Fallback>
      </mc:AlternateContent>
    </w:r>
  </w:p>
  <w:p>
    <w:pPr>
      <w:pStyle w:val="1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275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L4+eaExAgAAVwQAAA4AAAAAAAAAAQAgAAAAIQ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275</w:t>
                    </w:r>
                    <w:r>
                      <w:rPr>
                        <w:rFonts w:hint="eastAsia"/>
                      </w:rPr>
                      <w:fldChar w:fldCharType="end"/>
                    </w:r>
                  </w:p>
                </w:txbxContent>
              </v:textbox>
            </v:shape>
          </w:pict>
        </mc:Fallback>
      </mc:AlternateContent>
    </w:r>
  </w:p>
  <w:p>
    <w:pPr>
      <w:pStyle w:val="14"/>
      <w:suppressLineNumber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3144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285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052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XcYXXSAAAAAwEAAA8AAAAAAAAAAQAgAAAAIgAAAGRycy9kb3ducmV2LnhtbFBLAQIUABQA&#10;AAAIAIdO4kDSt7jhLwIAAFcEAAAOAAAAAAAAAAEAIAAAACEBAABkcnMvZTJvRG9jLnhtbFBLBQYA&#10;AAAABgAGAFkBAADC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285</w:t>
                    </w:r>
                    <w:r>
                      <w:rPr>
                        <w:rFonts w:hint="eastAsia"/>
                      </w:rPr>
                      <w:fldChar w:fldCharType="end"/>
                    </w:r>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1905</wp:posOffset>
              </wp:positionV>
              <wp:extent cx="200025" cy="1238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00025" cy="1238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9.75pt;width:15.75pt;mso-position-horizontal:center;mso-position-horizontal-relative:margin;z-index:251705344;mso-width-relative:page;mso-height-relative:page;" filled="f" stroked="f" coordsize="21600,21600" o:gfxdata="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JKcX0gAAAAMBAAAPAAAAAAAAAAEAIAAAACIAAABkcnMvZG93bnJldi54bWxQSwECFAAU&#10;AAAACACHTuJAbHmJyDACAABXBAAADgAAAAAAAAABACAAAAAhAQAAZHJzL2Uyb0RvYy54bWxQSwUG&#10;AAAAAAYABgBZAQAAwwU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p>
    <w:pPr>
      <w:pStyle w:val="1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14935" cy="13144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292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155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GYs+iAxAgAAVwQAAA4AAAAAAAAAAQAgAAAAIQ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292</w:t>
                    </w:r>
                    <w:r>
                      <w:rPr>
                        <w:rFonts w:hint="eastAsia"/>
                      </w:rPr>
                      <w:fldChar w:fldCharType="end"/>
                    </w:r>
                  </w:p>
                </w:txbxContent>
              </v:textbox>
            </v:shape>
          </w:pict>
        </mc:Fallback>
      </mc:AlternateContent>
    </w:r>
  </w:p>
  <w:p>
    <w:pPr>
      <w:pStyle w:val="1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-72390</wp:posOffset>
              </wp:positionV>
              <wp:extent cx="257175" cy="20955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257175" cy="209550"/>
                      </a:xfrm>
                      <a:prstGeom prst="rect">
                        <a:avLst/>
                      </a:prstGeom>
                      <a:noFill/>
                      <a:ln w="6350">
                        <a:noFill/>
                      </a:ln>
                    </wps:spPr>
                    <wps:txbx>
                      <w:txbxContent>
                        <w:p>
                          <w:pPr>
                            <w:pStyle w:val="14"/>
                            <w:jc w:val="center"/>
                          </w:pPr>
                          <w:r>
                            <w:rPr>
                              <w:rFonts w:hint="eastAsia"/>
                            </w:rPr>
                            <w:fldChar w:fldCharType="begin"/>
                          </w:r>
                          <w:r>
                            <w:rPr>
                              <w:rFonts w:hint="eastAsia"/>
                            </w:rPr>
                            <w:instrText xml:space="preserve"> PAGE  \* MERGEFORMAT </w:instrText>
                          </w:r>
                          <w:r>
                            <w:rPr>
                              <w:rFonts w:hint="eastAsia"/>
                            </w:rPr>
                            <w:fldChar w:fldCharType="separate"/>
                          </w:r>
                          <w:r>
                            <w:t>309</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5.7pt;height:16.5pt;width:20.25pt;mso-position-horizontal:center;mso-position-horizontal-relative:margin;z-index:251672576;mso-width-relative:page;mso-height-relative:page;" filled="f" stroked="f" coordsize="21600,21600" o:gfxdata="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IFufVAAAABgEAAA8AAAAAAAAAAQAgAAAAIgAAAGRycy9kb3ducmV2LnhtbFBL&#10;AQIUABQAAAAIAIdO4kBheR+XMgIAAFkEAAAOAAAAAAAAAAEAIAAAACQBAABkcnMvZTJvRG9jLnht&#10;bFBLBQYAAAAABgAGAFkBAADIBQAAAAA=&#10;">
              <v:fill on="f" focussize="0,0"/>
              <v:stroke on="f" weight="0.5pt"/>
              <v:imagedata o:title=""/>
              <o:lock v:ext="edit" aspectratio="f"/>
              <v:textbox inset="0mm,0mm,0mm,0mm">
                <w:txbxContent>
                  <w:p>
                    <w:pPr>
                      <w:pStyle w:val="14"/>
                      <w:jc w:val="center"/>
                    </w:pPr>
                    <w:r>
                      <w:rPr>
                        <w:rFonts w:hint="eastAsia"/>
                      </w:rPr>
                      <w:fldChar w:fldCharType="begin"/>
                    </w:r>
                    <w:r>
                      <w:rPr>
                        <w:rFonts w:hint="eastAsia"/>
                      </w:rPr>
                      <w:instrText xml:space="preserve"> PAGE  \* MERGEFORMAT </w:instrText>
                    </w:r>
                    <w:r>
                      <w:rPr>
                        <w:rFonts w:hint="eastAsia"/>
                      </w:rPr>
                      <w:fldChar w:fldCharType="separate"/>
                    </w:r>
                    <w:r>
                      <w:t>309</w:t>
                    </w:r>
                    <w:r>
                      <w:rPr>
                        <w:rFonts w:hint="eastAsia"/>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72085" cy="13144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7208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73600;mso-width-relative:page;mso-height-relative:page;" filled="f" stroked="f" coordsize="21600,21600" o:gfxdata="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qzP2dEAAAADAQAADwAAAAAAAAABACAAAAAiAAAAZHJzL2Rvd25yZXYueG1sUEsBAhQA&#10;FAAAAAgAh07iQCLafs8yAgAAVwQAAA4AAAAAAAAAAQAgAAAAIA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317</w:t>
                    </w:r>
                    <w:r>
                      <w:rPr>
                        <w:rFonts w:hint="eastAsia"/>
                      </w:rPr>
                      <w:fldChar w:fldCharType="end"/>
                    </w:r>
                  </w:p>
                </w:txbxContent>
              </v:textbox>
            </v:shape>
          </w:pict>
        </mc:Fallback>
      </mc:AlternateContent>
    </w:r>
  </w:p>
  <w:p>
    <w:pPr>
      <w:pStyle w:val="14"/>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7wAWNEAAAACAQAADwAAAAAAAAABACAAAAAiAAAAZHJzL2Rvd25yZXYueG1sUEsBAhQA&#10;FAAAAAgAh07iQO/I/MsyAgAAVgQAAA4AAAAAAAAAAQAgAAAAIA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v:textbox>
            </v:shape>
          </w:pict>
        </mc:Fallback>
      </mc:AlternateContent>
    </w:r>
  </w:p>
  <w:p>
    <w:pPr>
      <w:pStyle w:val="1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67640" cy="1314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67640"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3.2pt;mso-position-horizontal:center;mso-position-horizontal-relative:margin;mso-wrap-style:none;z-index:251703296;mso-width-relative:page;mso-height-relative:page;" filled="f" stroked="f" coordsize="21600,21600" o:gfxdata="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IbfX0QAAAAMBAAAPAAAAAAAAAAEAIAAAACIAAABkcnMvZG93bnJldi54bWxQSwECFAAU&#10;AAAACACHTuJAhJW1iDECAABVBAAADgAAAAAAAAABACAAAAAgAQAAZHJzL2Uyb0RvYy54bWxQSwUG&#10;AAAAAAYABgBZAQAAww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325</w:t>
                    </w:r>
                    <w:r>
                      <w:rPr>
                        <w:rFonts w:hint="eastAsia"/>
                      </w:rPr>
                      <w:fldChar w:fldCharType="end"/>
                    </w:r>
                  </w:p>
                </w:txbxContent>
              </v:textbox>
            </v:shape>
          </w:pict>
        </mc:Fallback>
      </mc:AlternateContent>
    </w:r>
  </w:p>
  <w:p>
    <w:pPr>
      <w:pStyle w:val="14"/>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1905</wp:posOffset>
              </wp:positionV>
              <wp:extent cx="285750" cy="123825"/>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285750" cy="1238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9.75pt;width:22.5pt;mso-position-horizontal:center;mso-position-horizontal-relative:margin;z-index:251674624;mso-width-relative:page;mso-height-relative:page;" filled="f" stroked="f" coordsize="21600,21600" o:gfxdata="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6nb7NIAAAADAQAADwAAAAAAAAABACAAAAAiAAAAZHJzL2Rvd25yZXYueG1sUEsBAhQA&#10;FAAAAAgAh07iQDgPDBYxAgAAWQQAAA4AAAAAAAAAAQAgAAAAIQEAAGRycy9lMm9Eb2MueG1sUEsF&#10;BgAAAAAGAAYAWQEAAMQFA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335</w:t>
                    </w:r>
                    <w:r>
                      <w:rPr>
                        <w:rFonts w:hint="eastAsia"/>
                      </w:rPr>
                      <w:fldChar w:fldCharType="end"/>
                    </w:r>
                  </w:p>
                </w:txbxContent>
              </v:textbox>
            </v:shape>
          </w:pict>
        </mc:Fallback>
      </mc:AlternateContent>
    </w:r>
  </w:p>
  <w:p>
    <w:pPr>
      <w:pStyle w:val="14"/>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2540</wp:posOffset>
              </wp:positionV>
              <wp:extent cx="238125" cy="1524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238125" cy="152400"/>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342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2pt;height:12pt;width:18.75pt;mso-position-horizontal:center;mso-position-horizontal-relative:margin;z-index:251675648;mso-width-relative:page;mso-height-relative:page;" filled="f" stroked="f" coordsize="21600,21600" o:gfxdata="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tPUPNQAAAADAQAADwAAAAAAAAABACAAAAAiAAAAZHJzL2Rvd25yZXYueG1sUEsB&#10;AhQAFAAAAAgAh07iQK1EzjQyAgAAWQQAAA4AAAAAAAAAAQAgAAAAIwEAAGRycy9lMm9Eb2MueG1s&#10;UEsFBgAAAAAGAAYAWQEAAMcFA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342</w:t>
                    </w:r>
                    <w:r>
                      <w:rPr>
                        <w:rFonts w:hint="eastAsia"/>
                      </w:rPr>
                      <w:fldChar w:fldCharType="end"/>
                    </w:r>
                  </w:p>
                </w:txbxContent>
              </v:textbox>
            </v:shape>
          </w:pict>
        </mc:Fallback>
      </mc:AlternateContent>
    </w:r>
  </w:p>
  <w:p>
    <w:pPr>
      <w:pStyle w:val="14"/>
    </w:pPr>
  </w:p>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72085" cy="13144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7208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76672;mso-width-relative:page;mso-height-relative:page;" filled="f" stroked="f" coordsize="21600,21600" o:gfxdata="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qzP2dEAAAADAQAADwAAAAAAAAABACAAAAAiAAAAZHJzL2Rvd25yZXYueG1sUEsBAhQA&#10;FAAAAAgAh07iQGdiS9YyAgAAVwQAAA4AAAAAAAAAAQAgAAAAIA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350</w:t>
                    </w:r>
                    <w:r>
                      <w:rPr>
                        <w:rFonts w:hint="eastAsia"/>
                      </w:rPr>
                      <w:fldChar w:fldCharType="end"/>
                    </w:r>
                  </w:p>
                </w:txbxContent>
              </v:textbox>
            </v:shape>
          </w:pict>
        </mc:Fallback>
      </mc:AlternateContent>
    </w:r>
  </w:p>
  <w:p>
    <w:pPr>
      <w:pStyle w:val="14"/>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72085" cy="13144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7208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364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77696;mso-width-relative:page;mso-height-relative:page;" filled="f" stroked="f" coordsize="21600,21600" o:gfxdata="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qzP2dEAAAADAQAADwAAAAAAAAABACAAAAAiAAAAZHJzL2Rvd25yZXYueG1sUEsBAhQA&#10;FAAAAAgAh07iQAvripYyAgAAVwQAAA4AAAAAAAAAAQAgAAAAIA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364</w:t>
                    </w:r>
                    <w:r>
                      <w:rPr>
                        <w:rFonts w:hint="eastAsia"/>
                      </w:rPr>
                      <w:fldChar w:fldCharType="end"/>
                    </w:r>
                  </w:p>
                </w:txbxContent>
              </v:textbox>
            </v:shape>
          </w:pict>
        </mc:Fallback>
      </mc:AlternateContent>
    </w:r>
  </w:p>
  <w:p>
    <w:pPr>
      <w:pStyle w:val="14"/>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1905</wp:posOffset>
              </wp:positionV>
              <wp:extent cx="247650" cy="16192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247650" cy="1619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12.75pt;width:19.5pt;mso-position-horizontal:center;mso-position-horizontal-relative:margin;z-index:251661312;mso-width-relative:page;mso-height-relative:page;" filled="f" stroked="f" coordsize="21600,21600" o:gfxdata="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4D7b3TAAAAAwEAAA8AAAAAAAAAAQAgAAAAIgAAAGRycy9kb3ducmV2LnhtbFBLAQIU&#10;ABQAAAAIAIdO4kBmp1xCMQIAAFkEAAAOAAAAAAAAAAEAIAAAACIBAABkcnMvZTJvRG9jLnhtbFBL&#10;BQYAAAAABgAGAFkBAADFBQ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222</w:t>
                    </w:r>
                    <w:r>
                      <w:rPr>
                        <w:rFonts w:hint="eastAsia"/>
                      </w:rPr>
                      <w:fldChar w:fldCharType="end"/>
                    </w:r>
                  </w:p>
                </w:txbxContent>
              </v:textbox>
            </v:shape>
          </w:pict>
        </mc:Fallback>
      </mc:AlternateContent>
    </w:r>
  </w:p>
  <w:p>
    <w:pPr>
      <w:pStyle w:val="1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1905</wp:posOffset>
              </wp:positionV>
              <wp:extent cx="266700" cy="20002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266700" cy="20002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382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15pt;height:15.75pt;width:21pt;mso-position-horizontal:center;mso-position-horizontal-relative:margin;z-index:251678720;mso-width-relative:page;mso-height-relative:page;" filled="f" stroked="f" coordsize="21600,21600" o:gfxdata="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43NkdIAAAADAQAADwAAAAAAAAABACAAAAAiAAAAZHJzL2Rvd25yZXYueG1sUEsBAhQA&#10;FAAAAAgAh07iQA9Yx+AxAgAAWQQAAA4AAAAAAAAAAQAgAAAAIQEAAGRycy9lMm9Eb2MueG1sUEsF&#10;BgAAAAAGAAYAWQEAAMQFA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382</w:t>
                    </w:r>
                    <w:r>
                      <w:rPr>
                        <w:rFonts w:hint="eastAsia"/>
                      </w:rPr>
                      <w:fldChar w:fldCharType="end"/>
                    </w:r>
                  </w:p>
                </w:txbxContent>
              </v:textbox>
            </v:shape>
          </w:pict>
        </mc:Fallback>
      </mc:AlternateContent>
    </w:r>
  </w:p>
  <w:p>
    <w:pPr>
      <w:pStyle w:val="14"/>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229235" cy="131445"/>
              <wp:effectExtent l="0" t="0" r="0" b="0"/>
              <wp:wrapNone/>
              <wp:docPr id="12" name="文本框 129"/>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390</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文本框 129" o:spid="_x0000_s1026" o:spt="202" type="#_x0000_t202" style="position:absolute;left:0pt;margin-top:0pt;height:10.35pt;width:18.05pt;mso-position-horizontal:center;mso-position-horizontal-relative:margin;z-index:251679744;mso-width-relative:page;mso-height-relative:page;" filled="f" stroked="f" coordsize="21600,21600" o:gfxdata="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YUy9EAAAADAQAADwAAAAAAAAABACAAAAAiAAAA&#10;ZHJzL2Rvd25yZXYueG1sUEsBAhQAFAAAAAgAh07iQLhx+YUOAgAABwQAAA4AAAAAAAAAAQAgAAAA&#10;IAEAAGRycy9lMm9Eb2MueG1sUEsFBgAAAAAGAAYAWQEAAKAFA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390</w:t>
                    </w:r>
                    <w:r>
                      <w:rPr>
                        <w:rFonts w:hint="eastAsia"/>
                      </w:rPr>
                      <w:fldChar w:fldCharType="end"/>
                    </w:r>
                  </w:p>
                </w:txbxContent>
              </v:textbox>
            </v:shape>
          </w:pict>
        </mc:Fallback>
      </mc:AlternateContent>
    </w:r>
  </w:p>
  <w:p>
    <w:pPr>
      <w:pStyle w:val="14"/>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305435" cy="188595"/>
              <wp:effectExtent l="0" t="0" r="0" b="0"/>
              <wp:wrapNone/>
              <wp:docPr id="11" name="文本框 135"/>
              <wp:cNvGraphicFramePr/>
              <a:graphic xmlns:a="http://schemas.openxmlformats.org/drawingml/2006/main">
                <a:graphicData uri="http://schemas.microsoft.com/office/word/2010/wordprocessingShape">
                  <wps:wsp>
                    <wps:cNvSpPr txBox="1">
                      <a:spLocks noChangeArrowheads="1"/>
                    </wps:cNvSpPr>
                    <wps:spPr bwMode="auto">
                      <a:xfrm>
                        <a:off x="0" y="0"/>
                        <a:ext cx="305435" cy="1885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398</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35" o:spid="_x0000_s1026" o:spt="202" type="#_x0000_t202" style="position:absolute;left:0pt;margin-top:0pt;height:14.85pt;width:24.05pt;mso-position-horizontal:center;mso-position-horizontal-relative:margin;z-index:251681792;mso-width-relative:page;mso-height-relative:page;" filled="f" stroked="f" coordsize="21600,21600" o:gfxdata="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NkZVNQAAAADAQAADwAAAAAAAAABACAAAAAi&#10;AAAAZHJzL2Rvd25yZXYueG1sUEsBAhQAFAAAAAgAh07iQO9IQs4OAgAABwQAAA4AAAAAAAAAAQAg&#10;AAAAIwEAAGRycy9lMm9Eb2MueG1sUEsFBgAAAAAGAAYAWQEAAKMFA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398</w:t>
                    </w:r>
                    <w:r>
                      <w:rPr>
                        <w:rFonts w:hint="eastAsia"/>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305435" cy="198120"/>
              <wp:effectExtent l="0" t="0" r="0" b="0"/>
              <wp:wrapNone/>
              <wp:docPr id="10" name="文本框 136"/>
              <wp:cNvGraphicFramePr/>
              <a:graphic xmlns:a="http://schemas.openxmlformats.org/drawingml/2006/main">
                <a:graphicData uri="http://schemas.microsoft.com/office/word/2010/wordprocessingShape">
                  <wps:wsp>
                    <wps:cNvSpPr txBox="1">
                      <a:spLocks noChangeArrowheads="1"/>
                    </wps:cNvSpPr>
                    <wps:spPr bwMode="auto">
                      <a:xfrm>
                        <a:off x="0" y="0"/>
                        <a:ext cx="305435" cy="19812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405</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36" o:spid="_x0000_s1026" o:spt="202" type="#_x0000_t202" style="position:absolute;left:0pt;margin-top:0pt;height:15.6pt;width:24.05pt;mso-position-horizontal:center;mso-position-horizontal-relative:margin;z-index:251682816;mso-width-relative:page;mso-height-relative:page;" filled="f" stroked="f" coordsize="21600,21600" o:gfxdata="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4BkmjUAAAAAwEAAA8AAAAAAAAAAQAgAAAA&#10;IgAAAGRycy9kb3ducmV2LnhtbFBLAQIUABQAAAAIAIdO4kCkYlt2DwIAAAcEAAAOAAAAAAAAAAEA&#10;IAAAACMBAABkcnMvZTJvRG9jLnhtbFBLBQYAAAAABgAGAFkBAACkBQ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405</w:t>
                    </w:r>
                    <w:r>
                      <w:rPr>
                        <w:rFonts w:hint="eastAsia"/>
                      </w:rPr>
                      <w:fldChar w:fldCharType="end"/>
                    </w:r>
                  </w:p>
                </w:txbxContent>
              </v:textbox>
            </v:shape>
          </w:pict>
        </mc:Fallback>
      </mc:AlternateContent>
    </w:r>
  </w:p>
  <w:p>
    <w:pPr>
      <w:pStyle w:val="14"/>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XcYXXSAAAAAwEAAA8AAAAAAAAAAQAgAAAAIgAAAGRycy9kb3ducmV2LnhtbFBLAQIU&#10;ABQAAAAIAIdO4kCcwL5kMgIAAFcEAAAOAAAAAAAAAAEAIAAAACEBAABkcnMvZTJvRG9jLnhtbFBL&#10;BQYAAAAABgAGAFkBAADFBQ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223</w:t>
                    </w:r>
                    <w:r>
                      <w:rPr>
                        <w:rFonts w:hint="eastAsia"/>
                      </w:rPr>
                      <w:fldChar w:fldCharType="end"/>
                    </w:r>
                  </w:p>
                </w:txbxContent>
              </v:textbox>
            </v:shape>
          </w:pict>
        </mc:Fallback>
      </mc:AlternateContent>
    </w:r>
  </w:p>
  <w:p>
    <w:pPr>
      <w:pStyle w:val="14"/>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91135" cy="169545"/>
              <wp:effectExtent l="0" t="0" r="0" b="0"/>
              <wp:wrapNone/>
              <wp:docPr id="9" name="文本框 137"/>
              <wp:cNvGraphicFramePr/>
              <a:graphic xmlns:a="http://schemas.openxmlformats.org/drawingml/2006/main">
                <a:graphicData uri="http://schemas.microsoft.com/office/word/2010/wordprocessingShape">
                  <wps:wsp>
                    <wps:cNvSpPr txBox="1">
                      <a:spLocks noChangeArrowheads="1"/>
                    </wps:cNvSpPr>
                    <wps:spPr bwMode="auto">
                      <a:xfrm>
                        <a:off x="0" y="0"/>
                        <a:ext cx="191135" cy="16954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413</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37" o:spid="_x0000_s1026" o:spt="202" type="#_x0000_t202" style="position:absolute;left:0pt;margin-top:0pt;height:13.35pt;width:15.05pt;mso-position-horizontal:center;mso-position-horizontal-relative:margin;z-index:251683840;mso-width-relative:page;mso-height-relative:page;" filled="f" stroked="f" coordsize="21600,21600" o:gfxdata="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SE/X0wAAAAMBAAAPAAAAAAAAAAEAIAAAACIA&#10;AABkcnMvZG93bnJldi54bWxQSwECFAAUAAAACACHTuJAe3qySA4CAAAGBAAADgAAAAAAAAABACAA&#10;AAAiAQAAZHJzL2Uyb0RvYy54bWxQSwUGAAAAAAYABgBZAQAAogU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413</w:t>
                    </w:r>
                    <w:r>
                      <w:rPr>
                        <w:rFonts w:hint="eastAsia"/>
                      </w:rPr>
                      <w:fldChar w:fldCharType="end"/>
                    </w:r>
                  </w:p>
                </w:txbxContent>
              </v:textbox>
            </v:shape>
          </w:pict>
        </mc:Fallback>
      </mc:AlternateContent>
    </w:r>
  </w:p>
  <w:p>
    <w:pPr>
      <w:pStyle w:val="14"/>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276860" cy="169545"/>
              <wp:effectExtent l="0" t="0" r="0" b="0"/>
              <wp:wrapNone/>
              <wp:docPr id="8"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76860" cy="16954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420</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34" o:spid="_x0000_s1026" o:spt="202" type="#_x0000_t202" style="position:absolute;left:0pt;margin-top:0pt;height:13.35pt;width:21.8pt;mso-position-horizontal:center;mso-position-horizontal-relative:margin;z-index:251702272;mso-width-relative:page;mso-height-relative:page;" filled="f" stroked="f" coordsize="21600,21600" o:gfxdata="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AAi9dQAAAADAQAADwAAAAAAAAABACAAAAAi&#10;AAAAZHJzL2Rvd25yZXYueG1sUEsBAhQAFAAAAAgAh07iQE6tCFEOAgAABQQAAA4AAAAAAAAAAQAg&#10;AAAAIwEAAGRycy9lMm9Eb2MueG1sUEsFBgAAAAAGAAYAWQEAAKMFA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420</w:t>
                    </w:r>
                    <w:r>
                      <w:rPr>
                        <w:rFonts w:hint="eastAsia"/>
                      </w:rPr>
                      <w:fldChar w:fldCharType="end"/>
                    </w:r>
                  </w:p>
                </w:txbxContent>
              </v:textbox>
            </v:shape>
          </w:pict>
        </mc:Fallback>
      </mc:AlternateContent>
    </w:r>
  </w:p>
  <w:p>
    <w:pPr>
      <w:pStyle w:val="14"/>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76860" cy="188595"/>
              <wp:effectExtent l="0" t="0" r="0" b="0"/>
              <wp:wrapNone/>
              <wp:docPr id="7" name="文本框 138"/>
              <wp:cNvGraphicFramePr/>
              <a:graphic xmlns:a="http://schemas.openxmlformats.org/drawingml/2006/main">
                <a:graphicData uri="http://schemas.microsoft.com/office/word/2010/wordprocessingShape">
                  <wps:wsp>
                    <wps:cNvSpPr txBox="1">
                      <a:spLocks noChangeArrowheads="1"/>
                    </wps:cNvSpPr>
                    <wps:spPr bwMode="auto">
                      <a:xfrm>
                        <a:off x="0" y="0"/>
                        <a:ext cx="276860" cy="1885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421</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38" o:spid="_x0000_s1026" o:spt="202" type="#_x0000_t202" style="position:absolute;left:0pt;margin-top:0pt;height:14.85pt;width:21.8pt;mso-position-horizontal:center;mso-position-horizontal-relative:margin;z-index:251684864;mso-width-relative:page;mso-height-relative:page;" filled="f" stroked="f" coordsize="21600,21600" o:gfxdata="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wvYnUAAAAAwEAAA8AAAAAAAAAAQAgAAAA&#10;IgAAAGRycy9kb3ducmV2LnhtbFBLAQIUABQAAAAIAIdO4kB/4Wi2DwIAAAYEAAAOAAAAAAAAAAEA&#10;IAAAACMBAABkcnMvZTJvRG9jLnhtbFBLBQYAAAAABgAGAFkBAACkBQ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421</w:t>
                    </w:r>
                    <w:r>
                      <w:rPr>
                        <w:rFonts w:hint="eastAsia"/>
                      </w:rP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219710" cy="226695"/>
              <wp:effectExtent l="0" t="0" r="0" b="0"/>
              <wp:wrapNone/>
              <wp:docPr id="6" name="文本框 147"/>
              <wp:cNvGraphicFramePr/>
              <a:graphic xmlns:a="http://schemas.openxmlformats.org/drawingml/2006/main">
                <a:graphicData uri="http://schemas.microsoft.com/office/word/2010/wordprocessingShape">
                  <wps:wsp>
                    <wps:cNvSpPr txBox="1">
                      <a:spLocks noChangeArrowheads="1"/>
                    </wps:cNvSpPr>
                    <wps:spPr bwMode="auto">
                      <a:xfrm>
                        <a:off x="0" y="0"/>
                        <a:ext cx="219710" cy="2266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47" o:spid="_x0000_s1026" o:spt="202" type="#_x0000_t202" style="position:absolute;left:0pt;margin-top:0pt;height:17.85pt;width:17.3pt;mso-position-horizontal:center;mso-position-horizontal-relative:margin;z-index:251685888;mso-width-relative:page;mso-height-relative:page;" filled="f" stroked="f" coordsize="21600,21600" o:gfxdata="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o0PjPUAAAAAwEAAA8AAAAAAAAAAQAgAAAA&#10;IgAAAGRycy9kb3ducmV2LnhtbFBLAQIUABQAAAAIAIdO4kDs/tTtDwIAAAYEAAAOAAAAAAAAAAEA&#10;IAAAACMBAABkcnMvZTJvRG9jLnhtbFBLBQYAAAAABgAGAFkBAACkBQ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427</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-215265</wp:posOffset>
              </wp:positionV>
              <wp:extent cx="238125" cy="17145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238125" cy="171450"/>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231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6.95pt;height:13.5pt;width:18.75pt;mso-position-horizontal:center;mso-position-horizontal-relative:margin;z-index:251663360;mso-width-relative:page;mso-height-relative:page;" filled="f" stroked="f" coordsize="21600,21600" o:gfxdata="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J9ExLWAAAABgEAAA8AAAAAAAAAAQAgAAAAIgAAAGRycy9kb3ducmV2Lnht&#10;bFBLAQIUABQAAAAIAIdO4kBhCupSNAIAAFkEAAAOAAAAAAAAAAEAIAAAACUBAABkcnMvZTJvRG9j&#10;LnhtbFBLBQYAAAAABgAGAFkBAADLBQ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231</w:t>
                    </w:r>
                    <w:r>
                      <w:rPr>
                        <w:rFonts w:hint="eastAsia"/>
                      </w:rP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238760" cy="226695"/>
              <wp:effectExtent l="0" t="0" r="0" b="0"/>
              <wp:wrapNone/>
              <wp:docPr id="5" name="文本框 148"/>
              <wp:cNvGraphicFramePr/>
              <a:graphic xmlns:a="http://schemas.openxmlformats.org/drawingml/2006/main">
                <a:graphicData uri="http://schemas.microsoft.com/office/word/2010/wordprocessingShape">
                  <wps:wsp>
                    <wps:cNvSpPr txBox="1">
                      <a:spLocks noChangeArrowheads="1"/>
                    </wps:cNvSpPr>
                    <wps:spPr bwMode="auto">
                      <a:xfrm>
                        <a:off x="0" y="0"/>
                        <a:ext cx="238760" cy="2266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443</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48" o:spid="_x0000_s1026" o:spt="202" type="#_x0000_t202" style="position:absolute;left:0pt;margin-top:0pt;height:17.85pt;width:18.8pt;mso-position-horizontal:center;mso-position-horizontal-relative:margin;z-index:251686912;mso-width-relative:page;mso-height-relative:page;" filled="f" stroked="f" coordsize="21600,21600" o:gfxdata="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TPgMdMAAAADAQAADwAAAAAAAAABACAAAAAi&#10;AAAAZHJzL2Rvd25yZXYueG1sUEsBAhQAFAAAAAgAh07iQBtm614PAgAABgQAAA4AAAAAAAAAAQAg&#10;AAAAIgEAAGRycy9lMm9Eb2MueG1sUEsFBgAAAAAGAAYAWQEAAKMFA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443</w:t>
                    </w:r>
                    <w:r>
                      <w:rPr>
                        <w:rFonts w:hint="eastAsia"/>
                      </w:rPr>
                      <w:fldChar w:fldCharType="end"/>
                    </w:r>
                  </w:p>
                </w:txbxContent>
              </v:textbox>
            </v:shape>
          </w:pict>
        </mc:Fallback>
      </mc:AlternateContent>
    </w:r>
  </w:p>
  <w:p>
    <w:pPr>
      <w:pStyle w:val="14"/>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267335" cy="217170"/>
              <wp:effectExtent l="0" t="0" r="0" b="0"/>
              <wp:wrapNone/>
              <wp:docPr id="4" name="文本框 149"/>
              <wp:cNvGraphicFramePr/>
              <a:graphic xmlns:a="http://schemas.openxmlformats.org/drawingml/2006/main">
                <a:graphicData uri="http://schemas.microsoft.com/office/word/2010/wordprocessingShape">
                  <wps:wsp>
                    <wps:cNvSpPr txBox="1">
                      <a:spLocks noChangeArrowheads="1"/>
                    </wps:cNvSpPr>
                    <wps:spPr bwMode="auto">
                      <a:xfrm>
                        <a:off x="0" y="0"/>
                        <a:ext cx="267335" cy="21717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49" o:spid="_x0000_s1026" o:spt="202" type="#_x0000_t202" style="position:absolute;left:0pt;margin-top:0pt;height:17.1pt;width:21.05pt;mso-position-horizontal:center;mso-position-horizontal-relative:margin;z-index:251687936;mso-width-relative:page;mso-height-relative:page;" filled="f" stroked="f" coordsize="21600,21600" o:gfxdata="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PD3E3UAAAAAwEAAA8AAAAAAAAAAQAgAAAA&#10;IgAAAGRycy9kb3ducmV2LnhtbFBLAQIUABQAAAAIAIdO4kCecnbnDwIAAAYEAAAOAAAAAAAAAAEA&#10;IAAAACMBAABkcnMvZTJvRG9jLnhtbFBLBQYAAAAABgAGAFkBAACkBQ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449</w:t>
                    </w:r>
                    <w:r>
                      <w:rPr>
                        <w:rFonts w:hint="eastAsia"/>
                      </w:rPr>
                      <w:fldChar w:fldCharType="end"/>
                    </w:r>
                  </w:p>
                </w:txbxContent>
              </v:textbox>
            </v:shape>
          </w:pict>
        </mc:Fallback>
      </mc:AlternateContent>
    </w:r>
  </w:p>
  <w:p>
    <w:pPr>
      <w:pStyle w:val="14"/>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20955</wp:posOffset>
              </wp:positionV>
              <wp:extent cx="285750" cy="1524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285750" cy="152400"/>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65pt;height:12pt;width:22.5pt;mso-position-horizontal:center;mso-position-horizontal-relative:margin;z-index:251688960;mso-width-relative:page;mso-height-relative:page;" filled="f" stroked="f" coordsize="21600,21600" o:gfxdata="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90rP1AAAAAQBAAAPAAAAAAAAAAEAIAAAACIAAABkcnMvZG93bnJldi54bWxQSwEC&#10;FAAUAAAACACHTuJAteQ/ATECAABZBAAADgAAAAAAAAABACAAAAAjAQAAZHJzL2Uyb0RvYy54bWxQ&#10;SwUGAAAAAAYABgBZAQAAxgUAAAAA&#10;">
              <v:fill on="f" focussize="0,0"/>
              <v:stroke on="f" weight="0.5pt"/>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455</w:t>
                    </w:r>
                    <w:r>
                      <w:rPr>
                        <w:rFonts w:hint="eastAsia"/>
                      </w:rPr>
                      <w:fldChar w:fldCharType="end"/>
                    </w:r>
                  </w:p>
                </w:txbxContent>
              </v:textbox>
            </v:shape>
          </w:pict>
        </mc:Fallback>
      </mc:AlternateContent>
    </w:r>
  </w:p>
  <w:p>
    <w:pPr>
      <w:pStyle w:val="14"/>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334010" cy="226695"/>
              <wp:effectExtent l="0" t="0" r="0" b="0"/>
              <wp:wrapNone/>
              <wp:docPr id="3" name="文本框 152"/>
              <wp:cNvGraphicFramePr/>
              <a:graphic xmlns:a="http://schemas.openxmlformats.org/drawingml/2006/main">
                <a:graphicData uri="http://schemas.microsoft.com/office/word/2010/wordprocessingShape">
                  <wps:wsp>
                    <wps:cNvSpPr txBox="1">
                      <a:spLocks noChangeArrowheads="1"/>
                    </wps:cNvSpPr>
                    <wps:spPr bwMode="auto">
                      <a:xfrm>
                        <a:off x="0" y="0"/>
                        <a:ext cx="334010" cy="2266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465</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52" o:spid="_x0000_s1026" o:spt="202" type="#_x0000_t202" style="position:absolute;left:0pt;margin-top:0pt;height:17.85pt;width:26.3pt;mso-position-horizontal:center;mso-position-horizontal-relative:margin;z-index:251689984;mso-width-relative:page;mso-height-relative:page;" filled="f" stroked="f" coordsize="21600,21600" o:gfxdata="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erjp9QAAAADAQAADwAAAAAAAAABACAAAAAi&#10;AAAAZHJzL2Rvd25yZXYueG1sUEsBAhQAFAAAAAgAh07iQFaOo6QOAgAABgQAAA4AAAAAAAAAAQAg&#10;AAAAIwEAAGRycy9lMm9Eb2MueG1sUEsFBgAAAAAGAAYAWQEAAKMFA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465</w:t>
                    </w:r>
                    <w:r>
                      <w:rPr>
                        <w:rFonts w:hint="eastAsia"/>
                      </w:rPr>
                      <w:fldChar w:fldCharType="end"/>
                    </w:r>
                  </w:p>
                </w:txbxContent>
              </v:textbox>
            </v:shape>
          </w:pict>
        </mc:Fallback>
      </mc:AlternateContent>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305435" cy="150495"/>
              <wp:effectExtent l="0" t="0" r="0" b="0"/>
              <wp:wrapNone/>
              <wp:docPr id="2" name="文本框 153"/>
              <wp:cNvGraphicFramePr/>
              <a:graphic xmlns:a="http://schemas.openxmlformats.org/drawingml/2006/main">
                <a:graphicData uri="http://schemas.microsoft.com/office/word/2010/wordprocessingShape">
                  <wps:wsp>
                    <wps:cNvSpPr txBox="1">
                      <a:spLocks noChangeArrowheads="1"/>
                    </wps:cNvSpPr>
                    <wps:spPr bwMode="auto">
                      <a:xfrm>
                        <a:off x="0" y="0"/>
                        <a:ext cx="305435" cy="15049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473</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53" o:spid="_x0000_s1026" o:spt="202" type="#_x0000_t202" style="position:absolute;left:0pt;margin-top:0pt;height:11.85pt;width:24.05pt;mso-position-horizontal:center;mso-position-horizontal-relative:margin;z-index:251691008;mso-width-relative:page;mso-height-relative:page;" filled="f" stroked="f" coordsize="21600,21600" o:gfxdata="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5DAPUAAAAAwEAAA8AAAAAAAAAAQAgAAAA&#10;IgAAAGRycy9kb3ducmV2LnhtbFBLAQIUABQAAAAIAIdO4kD9hUgaDwIAAAYEAAAOAAAAAAAAAAEA&#10;IAAAACMBAABkcnMvZTJvRG9jLnhtbFBLBQYAAAAABgAGAFkBAACkBQ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473</w:t>
                    </w:r>
                    <w:r>
                      <w:rPr>
                        <w:rFonts w:hint="eastAsia"/>
                      </w:rP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219710" cy="169545"/>
              <wp:effectExtent l="0" t="0" r="0" b="0"/>
              <wp:wrapNone/>
              <wp:docPr id="1" name="文本框 154"/>
              <wp:cNvGraphicFramePr/>
              <a:graphic xmlns:a="http://schemas.openxmlformats.org/drawingml/2006/main">
                <a:graphicData uri="http://schemas.microsoft.com/office/word/2010/wordprocessingShape">
                  <wps:wsp>
                    <wps:cNvSpPr txBox="1">
                      <a:spLocks noChangeArrowheads="1"/>
                    </wps:cNvSpPr>
                    <wps:spPr bwMode="auto">
                      <a:xfrm>
                        <a:off x="0" y="0"/>
                        <a:ext cx="219710" cy="169545"/>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480</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54" o:spid="_x0000_s1026" o:spt="202" type="#_x0000_t202" style="position:absolute;left:0pt;margin-top:0pt;height:13.35pt;width:17.3pt;mso-position-horizontal:center;mso-position-horizontal-relative:margin;z-index:251692032;mso-width-relative:page;mso-height-relative:page;" filled="f" stroked="f" coordsize="21600,21600" o:gfxdata="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vpNA9QAAAADAQAADwAAAAAAAAABACAAAAAi&#10;AAAAZHJzL2Rvd25yZXYueG1sUEsBAhQAFAAAAAgAh07iQItMLY0OAgAABgQAAA4AAAAAAAAAAQAg&#10;AAAAIwEAAGRycy9lMm9Eb2MueG1sUEsFBgAAAAAGAAYAWQEAAKMFAAAAAA==&#10;">
              <v:fill on="f" focussize="0,0"/>
              <v:stroke on="f"/>
              <v:imagedata o:title=""/>
              <o:lock v:ext="edit" aspectratio="f"/>
              <v:textbox inset="0mm,0mm,0mm,0mm">
                <w:txbxContent>
                  <w:p>
                    <w:pPr>
                      <w:pStyle w:val="14"/>
                    </w:pPr>
                    <w:r>
                      <w:rPr>
                        <w:rFonts w:hint="eastAsia"/>
                      </w:rPr>
                      <w:fldChar w:fldCharType="begin"/>
                    </w:r>
                    <w:r>
                      <w:rPr>
                        <w:rFonts w:hint="eastAsia"/>
                      </w:rPr>
                      <w:instrText xml:space="preserve"> PAGE  \* MERGEFORMAT </w:instrText>
                    </w:r>
                    <w:r>
                      <w:rPr>
                        <w:rFonts w:hint="eastAsia"/>
                      </w:rPr>
                      <w:fldChar w:fldCharType="separate"/>
                    </w:r>
                    <w:r>
                      <w:t>480</w:t>
                    </w:r>
                    <w:r>
                      <w:rPr>
                        <w:rFonts w:hint="eastAsia"/>
                      </w:rPr>
                      <w:fldChar w:fldCharType="end"/>
                    </w:r>
                  </w:p>
                </w:txbxContent>
              </v:textbox>
            </v:shape>
          </w:pict>
        </mc:Fallback>
      </mc:AlternateContent>
    </w:r>
  </w:p>
  <w:p>
    <w:pPr>
      <w:pStyle w:val="14"/>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1688477"/>
    </w:sdtPr>
    <w:sdtContent>
      <w:p>
        <w:pPr>
          <w:pStyle w:val="14"/>
          <w:jc w:val="center"/>
        </w:pPr>
        <w:r>
          <w:fldChar w:fldCharType="begin"/>
        </w:r>
        <w:r>
          <w:instrText xml:space="preserve">PAGE   \* MERGEFORMAT</w:instrText>
        </w:r>
        <w:r>
          <w:fldChar w:fldCharType="separate"/>
        </w:r>
        <w:r>
          <w:rPr>
            <w:lang w:val="zh-CN"/>
          </w:rPr>
          <w:t>512</w:t>
        </w:r>
        <w:r>
          <w:fldChar w:fldCharType="end"/>
        </w:r>
      </w:p>
    </w:sdtContent>
  </w:sdt>
  <w:p>
    <w:pPr>
      <w:pStyle w:val="14"/>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498</w:t>
                    </w:r>
                    <w:r>
                      <w:rPr>
                        <w:rFonts w:hint="eastAsia"/>
                      </w:rP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1905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jc w:val="center"/>
                          </w:pPr>
                          <w:r>
                            <w:fldChar w:fldCharType="begin"/>
                          </w:r>
                          <w:r>
                            <w:instrText xml:space="preserve">PAGE   \* MERGEFORMAT</w:instrText>
                          </w:r>
                          <w:r>
                            <w:fldChar w:fldCharType="separate"/>
                          </w:r>
                          <w:r>
                            <w:rPr>
                              <w:lang w:val="zh-CN"/>
                            </w:rPr>
                            <w:t>511</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144pt;mso-position-horizontal:center;mso-position-horizontal-relative:margin;mso-wrap-style:none;z-index:251706368;mso-width-relative:page;mso-height-relative:page;" filled="f" stroked="f" coordsize="21600,21600" o:gfxdata="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wbxfSAAAABQEAAA8AAAAAAAAAAQAgAAAAIgAAAGRycy9kb3ducmV2LnhtbFBLAQIUABQAAAAI&#10;AIdO4kCDoLiWLAIAAFcEAAAOAAAAAAAAAAEAIAAAACEBAABkcnMvZTJvRG9jLnhtbFBLBQYAAAAA&#10;BgAGAFkBAAC/BQAAAAA=&#10;">
              <v:fill on="f" focussize="0,0"/>
              <v:stroke on="f" weight="0.5pt"/>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511</w:t>
                    </w:r>
                    <w:r>
                      <w:rPr>
                        <w:lang w:val="zh-CN"/>
                      </w:rPr>
                      <w:fldChar w:fldCharType="end"/>
                    </w:r>
                  </w:p>
                </w:txbxContent>
              </v:textbox>
            </v:shape>
          </w:pict>
        </mc:Fallback>
      </mc:AlternateContent>
    </w:r>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jc w:val="center"/>
                          </w:pPr>
                          <w:r>
                            <w:fldChar w:fldCharType="begin"/>
                          </w:r>
                          <w:r>
                            <w:instrText xml:space="preserve">PAGE   \* MERGEFORMAT</w:instrText>
                          </w:r>
                          <w:r>
                            <w:fldChar w:fldCharType="separate"/>
                          </w:r>
                          <w:r>
                            <w:rPr>
                              <w:lang w:val="zh-CN"/>
                            </w:rPr>
                            <w:t>518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518</w:t>
                    </w:r>
                    <w:r>
                      <w:fldChar w:fldCharType="end"/>
                    </w:r>
                  </w:p>
                </w:txbxContent>
              </v:textbox>
            </v:shape>
          </w:pict>
        </mc:Fallback>
      </mc:AlternateContent>
    </w:r>
  </w:p>
  <w:p>
    <w:pPr>
      <w:pStyle w:val="14"/>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4"/>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521</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4"/>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521</w:t>
                    </w:r>
                    <w:r>
                      <w:rPr>
                        <w:rFonts w:hint="eastAsia"/>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240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Baw1VYxAgAAVwQAAA4AAAAAAAAAAQAgAAAAIQEAAGRycy9lMm9Eb2MueG1sUEsF&#10;BgAAAAAGAAYAWQEAAMQFA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240</w:t>
                    </w:r>
                    <w:r>
                      <w:rPr>
                        <w:rFonts w:hint="eastAsia"/>
                      </w:rPr>
                      <w:fldChar w:fldCharType="end"/>
                    </w:r>
                  </w:p>
                </w:txbxContent>
              </v:textbox>
            </v:shape>
          </w:pict>
        </mc:Fallback>
      </mc:AlternateContent>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6280"/>
    <w:multiLevelType w:val="singleLevel"/>
    <w:tmpl w:val="9CDE6280"/>
    <w:lvl w:ilvl="0" w:tentative="0">
      <w:start w:val="4"/>
      <w:numFmt w:val="chineseCounting"/>
      <w:suff w:val="nothing"/>
      <w:lvlText w:val="%1、"/>
      <w:lvlJc w:val="left"/>
      <w:rPr>
        <w:rFonts w:hint="eastAsia"/>
      </w:rPr>
    </w:lvl>
  </w:abstractNum>
  <w:abstractNum w:abstractNumId="1">
    <w:nsid w:val="AE14857F"/>
    <w:multiLevelType w:val="multilevel"/>
    <w:tmpl w:val="AE14857F"/>
    <w:lvl w:ilvl="0" w:tentative="0">
      <w:start w:val="1"/>
      <w:numFmt w:val="japaneseCounting"/>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BE4796D9"/>
    <w:multiLevelType w:val="singleLevel"/>
    <w:tmpl w:val="BE4796D9"/>
    <w:lvl w:ilvl="0" w:tentative="0">
      <w:start w:val="6"/>
      <w:numFmt w:val="decimal"/>
      <w:suff w:val="space"/>
      <w:lvlText w:val="%1."/>
      <w:lvlJc w:val="left"/>
    </w:lvl>
  </w:abstractNum>
  <w:abstractNum w:abstractNumId="3">
    <w:nsid w:val="EEAE1D30"/>
    <w:multiLevelType w:val="singleLevel"/>
    <w:tmpl w:val="EEAE1D30"/>
    <w:lvl w:ilvl="0" w:tentative="0">
      <w:start w:val="1"/>
      <w:numFmt w:val="decimal"/>
      <w:suff w:val="space"/>
      <w:lvlText w:val="%1."/>
      <w:lvlJc w:val="left"/>
    </w:lvl>
  </w:abstractNum>
  <w:abstractNum w:abstractNumId="4">
    <w:nsid w:val="00000001"/>
    <w:multiLevelType w:val="singleLevel"/>
    <w:tmpl w:val="00000001"/>
    <w:lvl w:ilvl="0" w:tentative="0">
      <w:start w:val="9"/>
      <w:numFmt w:val="chineseCounting"/>
      <w:suff w:val="nothing"/>
      <w:lvlText w:val="%1、"/>
      <w:lvlJc w:val="left"/>
      <w:rPr>
        <w:rFonts w:hint="eastAsia"/>
      </w:rPr>
    </w:lvl>
  </w:abstractNum>
  <w:abstractNum w:abstractNumId="5">
    <w:nsid w:val="00000002"/>
    <w:multiLevelType w:val="multilevel"/>
    <w:tmpl w:val="00000002"/>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6"/>
    <w:multiLevelType w:val="multilevel"/>
    <w:tmpl w:val="00000006"/>
    <w:lvl w:ilvl="0" w:tentative="0">
      <w:start w:val="1"/>
      <w:numFmt w:val="decimal"/>
      <w:lvlText w:val="%1、"/>
      <w:lvlJc w:val="left"/>
      <w:pPr>
        <w:ind w:left="777" w:hanging="360"/>
      </w:pPr>
      <w:rPr>
        <w:rFonts w:hint="default"/>
      </w:rPr>
    </w:lvl>
    <w:lvl w:ilvl="1" w:tentative="0">
      <w:start w:val="1"/>
      <w:numFmt w:val="lowerLetter"/>
      <w:lvlText w:val="%2)"/>
      <w:lvlJc w:val="left"/>
      <w:pPr>
        <w:ind w:left="1257" w:hanging="420"/>
      </w:pPr>
    </w:lvl>
    <w:lvl w:ilvl="2" w:tentative="0">
      <w:start w:val="1"/>
      <w:numFmt w:val="lowerRoman"/>
      <w:lvlText w:val="%3."/>
      <w:lvlJc w:val="right"/>
      <w:pPr>
        <w:ind w:left="1677" w:hanging="420"/>
      </w:pPr>
    </w:lvl>
    <w:lvl w:ilvl="3" w:tentative="0">
      <w:start w:val="1"/>
      <w:numFmt w:val="decimal"/>
      <w:lvlText w:val="%4."/>
      <w:lvlJc w:val="left"/>
      <w:pPr>
        <w:ind w:left="2097" w:hanging="420"/>
      </w:pPr>
    </w:lvl>
    <w:lvl w:ilvl="4" w:tentative="0">
      <w:start w:val="1"/>
      <w:numFmt w:val="lowerLetter"/>
      <w:lvlText w:val="%5)"/>
      <w:lvlJc w:val="left"/>
      <w:pPr>
        <w:ind w:left="2517" w:hanging="420"/>
      </w:pPr>
    </w:lvl>
    <w:lvl w:ilvl="5" w:tentative="0">
      <w:start w:val="1"/>
      <w:numFmt w:val="lowerRoman"/>
      <w:lvlText w:val="%6."/>
      <w:lvlJc w:val="right"/>
      <w:pPr>
        <w:ind w:left="2937" w:hanging="420"/>
      </w:pPr>
    </w:lvl>
    <w:lvl w:ilvl="6" w:tentative="0">
      <w:start w:val="1"/>
      <w:numFmt w:val="decimal"/>
      <w:lvlText w:val="%7."/>
      <w:lvlJc w:val="left"/>
      <w:pPr>
        <w:ind w:left="3357" w:hanging="420"/>
      </w:pPr>
    </w:lvl>
    <w:lvl w:ilvl="7" w:tentative="0">
      <w:start w:val="1"/>
      <w:numFmt w:val="lowerLetter"/>
      <w:lvlText w:val="%8)"/>
      <w:lvlJc w:val="left"/>
      <w:pPr>
        <w:ind w:left="3777" w:hanging="420"/>
      </w:pPr>
    </w:lvl>
    <w:lvl w:ilvl="8" w:tentative="0">
      <w:start w:val="1"/>
      <w:numFmt w:val="lowerRoman"/>
      <w:lvlText w:val="%9."/>
      <w:lvlJc w:val="right"/>
      <w:pPr>
        <w:ind w:left="4197" w:hanging="420"/>
      </w:pPr>
    </w:lvl>
  </w:abstractNum>
  <w:abstractNum w:abstractNumId="7">
    <w:nsid w:val="00000009"/>
    <w:multiLevelType w:val="multilevel"/>
    <w:tmpl w:val="000000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multilevel"/>
    <w:tmpl w:val="0000001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0000013"/>
    <w:multiLevelType w:val="multilevel"/>
    <w:tmpl w:val="00000013"/>
    <w:lvl w:ilvl="0" w:tentative="0">
      <w:start w:val="1"/>
      <w:numFmt w:val="japaneseCounting"/>
      <w:lvlText w:val="%1、"/>
      <w:lvlJc w:val="left"/>
      <w:pPr>
        <w:tabs>
          <w:tab w:val="left" w:pos="420"/>
        </w:tabs>
        <w:ind w:left="42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5"/>
    <w:multiLevelType w:val="multilevel"/>
    <w:tmpl w:val="00000015"/>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6"/>
    <w:multiLevelType w:val="multilevel"/>
    <w:tmpl w:val="00000016"/>
    <w:lvl w:ilvl="0" w:tentative="0">
      <w:start w:val="7"/>
      <w:numFmt w:val="none"/>
      <w:lvlText w:val="七、"/>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18"/>
    <w:multiLevelType w:val="multilevel"/>
    <w:tmpl w:val="00000018"/>
    <w:lvl w:ilvl="0" w:tentative="0">
      <w:start w:val="1"/>
      <w:numFmt w:val="none"/>
      <w:lvlText w:val="一、"/>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53208E"/>
    <w:multiLevelType w:val="multilevel"/>
    <w:tmpl w:val="0053208E"/>
    <w:lvl w:ilvl="0" w:tentative="0">
      <w:start w:val="1"/>
      <w:numFmt w:val="decimal"/>
      <w:lvlText w:val="%1、"/>
      <w:lvlJc w:val="left"/>
      <w:pPr>
        <w:tabs>
          <w:tab w:val="left" w:pos="765"/>
        </w:tabs>
        <w:ind w:left="765" w:hanging="375"/>
      </w:pPr>
      <w:rPr>
        <w:rFonts w:ascii="宋体" w:hAnsi="宋体" w:eastAsia="宋体" w:cs="宋体"/>
      </w:rPr>
    </w:lvl>
    <w:lvl w:ilvl="1" w:tentative="0">
      <w:start w:val="1"/>
      <w:numFmt w:val="lowerLetter"/>
      <w:lvlText w:val="%2)"/>
      <w:lvlJc w:val="left"/>
      <w:pPr>
        <w:tabs>
          <w:tab w:val="left" w:pos="1230"/>
        </w:tabs>
        <w:ind w:left="1230" w:hanging="420"/>
      </w:pPr>
    </w:lvl>
    <w:lvl w:ilvl="2" w:tentative="0">
      <w:start w:val="1"/>
      <w:numFmt w:val="lowerRoman"/>
      <w:lvlText w:val="%3."/>
      <w:lvlJc w:val="right"/>
      <w:pPr>
        <w:tabs>
          <w:tab w:val="left" w:pos="1650"/>
        </w:tabs>
        <w:ind w:left="1650" w:hanging="420"/>
      </w:pPr>
    </w:lvl>
    <w:lvl w:ilvl="3" w:tentative="0">
      <w:start w:val="1"/>
      <w:numFmt w:val="decimal"/>
      <w:lvlText w:val="%4."/>
      <w:lvlJc w:val="left"/>
      <w:pPr>
        <w:tabs>
          <w:tab w:val="left" w:pos="2070"/>
        </w:tabs>
        <w:ind w:left="2070" w:hanging="420"/>
      </w:pPr>
    </w:lvl>
    <w:lvl w:ilvl="4" w:tentative="0">
      <w:start w:val="1"/>
      <w:numFmt w:val="lowerLetter"/>
      <w:lvlText w:val="%5)"/>
      <w:lvlJc w:val="left"/>
      <w:pPr>
        <w:tabs>
          <w:tab w:val="left" w:pos="2490"/>
        </w:tabs>
        <w:ind w:left="2490" w:hanging="420"/>
      </w:pPr>
    </w:lvl>
    <w:lvl w:ilvl="5" w:tentative="0">
      <w:start w:val="1"/>
      <w:numFmt w:val="lowerRoman"/>
      <w:lvlText w:val="%6."/>
      <w:lvlJc w:val="right"/>
      <w:pPr>
        <w:tabs>
          <w:tab w:val="left" w:pos="2910"/>
        </w:tabs>
        <w:ind w:left="2910" w:hanging="420"/>
      </w:pPr>
    </w:lvl>
    <w:lvl w:ilvl="6" w:tentative="0">
      <w:start w:val="1"/>
      <w:numFmt w:val="decimal"/>
      <w:lvlText w:val="%7."/>
      <w:lvlJc w:val="left"/>
      <w:pPr>
        <w:tabs>
          <w:tab w:val="left" w:pos="3330"/>
        </w:tabs>
        <w:ind w:left="3330" w:hanging="420"/>
      </w:pPr>
    </w:lvl>
    <w:lvl w:ilvl="7" w:tentative="0">
      <w:start w:val="1"/>
      <w:numFmt w:val="lowerLetter"/>
      <w:lvlText w:val="%8)"/>
      <w:lvlJc w:val="left"/>
      <w:pPr>
        <w:tabs>
          <w:tab w:val="left" w:pos="3750"/>
        </w:tabs>
        <w:ind w:left="3750" w:hanging="420"/>
      </w:pPr>
    </w:lvl>
    <w:lvl w:ilvl="8" w:tentative="0">
      <w:start w:val="1"/>
      <w:numFmt w:val="lowerRoman"/>
      <w:lvlText w:val="%9."/>
      <w:lvlJc w:val="right"/>
      <w:pPr>
        <w:tabs>
          <w:tab w:val="left" w:pos="4170"/>
        </w:tabs>
        <w:ind w:left="4170" w:hanging="420"/>
      </w:pPr>
    </w:lvl>
  </w:abstractNum>
  <w:abstractNum w:abstractNumId="14">
    <w:nsid w:val="058443F5"/>
    <w:multiLevelType w:val="singleLevel"/>
    <w:tmpl w:val="058443F5"/>
    <w:lvl w:ilvl="0" w:tentative="0">
      <w:start w:val="1"/>
      <w:numFmt w:val="decimal"/>
      <w:suff w:val="nothing"/>
      <w:lvlText w:val="%1."/>
      <w:lvlJc w:val="left"/>
    </w:lvl>
  </w:abstractNum>
  <w:abstractNum w:abstractNumId="15">
    <w:nsid w:val="0DC20DA4"/>
    <w:multiLevelType w:val="multilevel"/>
    <w:tmpl w:val="0DC20DA4"/>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A4A4C8F"/>
    <w:multiLevelType w:val="multilevel"/>
    <w:tmpl w:val="1A4A4C8F"/>
    <w:lvl w:ilvl="0" w:tentative="0">
      <w:start w:val="1"/>
      <w:numFmt w:val="japaneseCounting"/>
      <w:lvlText w:val="%1、"/>
      <w:lvlJc w:val="left"/>
      <w:pPr>
        <w:tabs>
          <w:tab w:val="left" w:pos="562"/>
        </w:tabs>
        <w:ind w:left="562"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D061BC0"/>
    <w:multiLevelType w:val="multilevel"/>
    <w:tmpl w:val="1D061BC0"/>
    <w:lvl w:ilvl="0" w:tentative="0">
      <w:start w:val="1"/>
      <w:numFmt w:val="decimal"/>
      <w:lvlText w:val="%1、"/>
      <w:lvlJc w:val="left"/>
      <w:pPr>
        <w:ind w:left="780" w:hanging="360"/>
      </w:pPr>
      <w:rPr>
        <w:rFonts w:hint="default"/>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239544A1"/>
    <w:multiLevelType w:val="multilevel"/>
    <w:tmpl w:val="239544A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3722456E"/>
    <w:multiLevelType w:val="multilevel"/>
    <w:tmpl w:val="3722456E"/>
    <w:lvl w:ilvl="0" w:tentative="0">
      <w:start w:val="1"/>
      <w:numFmt w:val="japaneseCounting"/>
      <w:lvlText w:val="%1、"/>
      <w:lvlJc w:val="left"/>
      <w:pPr>
        <w:tabs>
          <w:tab w:val="left" w:pos="420"/>
        </w:tabs>
        <w:ind w:left="420" w:hanging="420"/>
      </w:pPr>
      <w:rPr>
        <w:rFonts w:hint="eastAsia" w:ascii="宋体" w:hAnsi="宋体" w:eastAsia="宋体"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20">
    <w:nsid w:val="3F1718D3"/>
    <w:multiLevelType w:val="multilevel"/>
    <w:tmpl w:val="3F1718D3"/>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1">
    <w:nsid w:val="42D234C0"/>
    <w:multiLevelType w:val="multilevel"/>
    <w:tmpl w:val="42D234C0"/>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42E22A54"/>
    <w:multiLevelType w:val="multilevel"/>
    <w:tmpl w:val="42E22A54"/>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437640D8"/>
    <w:multiLevelType w:val="multilevel"/>
    <w:tmpl w:val="437640D8"/>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4">
    <w:nsid w:val="459A5DE2"/>
    <w:multiLevelType w:val="multilevel"/>
    <w:tmpl w:val="459A5DE2"/>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5">
    <w:nsid w:val="54B27FEF"/>
    <w:multiLevelType w:val="multilevel"/>
    <w:tmpl w:val="54B27FEF"/>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5626528B"/>
    <w:multiLevelType w:val="singleLevel"/>
    <w:tmpl w:val="5626528B"/>
    <w:lvl w:ilvl="0" w:tentative="0">
      <w:start w:val="1"/>
      <w:numFmt w:val="decimal"/>
      <w:suff w:val="nothing"/>
      <w:lvlText w:val="%1、"/>
      <w:lvlJc w:val="left"/>
    </w:lvl>
  </w:abstractNum>
  <w:abstractNum w:abstractNumId="27">
    <w:nsid w:val="5627801E"/>
    <w:multiLevelType w:val="singleLevel"/>
    <w:tmpl w:val="5627801E"/>
    <w:lvl w:ilvl="0" w:tentative="0">
      <w:start w:val="1"/>
      <w:numFmt w:val="decimal"/>
      <w:suff w:val="nothing"/>
      <w:lvlText w:val="%1、"/>
      <w:lvlJc w:val="left"/>
    </w:lvl>
  </w:abstractNum>
  <w:abstractNum w:abstractNumId="28">
    <w:nsid w:val="57008715"/>
    <w:multiLevelType w:val="singleLevel"/>
    <w:tmpl w:val="57008715"/>
    <w:lvl w:ilvl="0" w:tentative="0">
      <w:start w:val="2"/>
      <w:numFmt w:val="decimal"/>
      <w:suff w:val="nothing"/>
      <w:lvlText w:val="%1、"/>
      <w:lvlJc w:val="left"/>
    </w:lvl>
  </w:abstractNum>
  <w:abstractNum w:abstractNumId="29">
    <w:nsid w:val="57051287"/>
    <w:multiLevelType w:val="singleLevel"/>
    <w:tmpl w:val="57051287"/>
    <w:lvl w:ilvl="0" w:tentative="0">
      <w:start w:val="1"/>
      <w:numFmt w:val="decimal"/>
      <w:suff w:val="nothing"/>
      <w:lvlText w:val="%1、"/>
      <w:lvlJc w:val="left"/>
      <w:pPr>
        <w:ind w:left="0" w:firstLine="0"/>
      </w:pPr>
    </w:lvl>
  </w:abstractNum>
  <w:abstractNum w:abstractNumId="30">
    <w:nsid w:val="5E3148D6"/>
    <w:multiLevelType w:val="multilevel"/>
    <w:tmpl w:val="5E3148D6"/>
    <w:lvl w:ilvl="0" w:tentative="0">
      <w:start w:val="1"/>
      <w:numFmt w:val="none"/>
      <w:lvlText w:val="一、"/>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457F077"/>
    <w:multiLevelType w:val="singleLevel"/>
    <w:tmpl w:val="6457F077"/>
    <w:lvl w:ilvl="0" w:tentative="0">
      <w:start w:val="1"/>
      <w:numFmt w:val="decimal"/>
      <w:suff w:val="space"/>
      <w:lvlText w:val="%1."/>
      <w:lvlJc w:val="left"/>
    </w:lvl>
  </w:abstractNum>
  <w:abstractNum w:abstractNumId="32">
    <w:nsid w:val="655E112B"/>
    <w:multiLevelType w:val="multilevel"/>
    <w:tmpl w:val="655E112B"/>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4D96FF5"/>
    <w:multiLevelType w:val="multilevel"/>
    <w:tmpl w:val="74D96FF5"/>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55C2DEA"/>
    <w:multiLevelType w:val="multilevel"/>
    <w:tmpl w:val="755C2DEA"/>
    <w:lvl w:ilvl="0" w:tentative="0">
      <w:start w:val="1"/>
      <w:numFmt w:val="japaneseCounting"/>
      <w:lvlText w:val="%1、"/>
      <w:lvlJc w:val="left"/>
      <w:pPr>
        <w:tabs>
          <w:tab w:val="left" w:pos="420"/>
        </w:tabs>
        <w:ind w:left="420" w:hanging="420"/>
      </w:pPr>
      <w:rPr>
        <w:rFonts w:hint="eastAsia" w:ascii="宋体" w:hAnsi="宋体" w:eastAsia="宋体"/>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35">
    <w:nsid w:val="76B06DF9"/>
    <w:multiLevelType w:val="multilevel"/>
    <w:tmpl w:val="76B06DF9"/>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suff w:val="nothing"/>
      <w:lvlText w:val="%1.%2.%3.%4、"/>
      <w:lvlJc w:val="left"/>
      <w:pPr>
        <w:ind w:left="0" w:firstLine="0"/>
      </w:pPr>
      <w:rPr>
        <w:rFonts w:hint="default"/>
      </w:rPr>
    </w:lvl>
    <w:lvl w:ilvl="4" w:tentative="0">
      <w:start w:val="1"/>
      <w:numFmt w:val="decimal"/>
      <w:suff w:val="nothing"/>
      <w:lvlText w:val="%1.%2.%3.%4.%5、"/>
      <w:lvlJc w:val="left"/>
      <w:pPr>
        <w:ind w:left="0" w:firstLine="0"/>
      </w:pPr>
      <w:rPr>
        <w:rFonts w:hint="default"/>
      </w:rPr>
    </w:lvl>
    <w:lvl w:ilvl="5" w:tentative="0">
      <w:start w:val="1"/>
      <w:numFmt w:val="decimal"/>
      <w:suff w:val="nothing"/>
      <w:lvlText w:val="%1.%2.%3.%4.%5.%6、"/>
      <w:lvlJc w:val="left"/>
      <w:pPr>
        <w:ind w:left="0" w:firstLine="0"/>
      </w:pPr>
      <w:rPr>
        <w:rFonts w:hint="default"/>
      </w:rPr>
    </w:lvl>
    <w:lvl w:ilvl="6" w:tentative="0">
      <w:start w:val="1"/>
      <w:numFmt w:val="decimal"/>
      <w:suff w:val="nothing"/>
      <w:lvlText w:val="%1.%2.%3.%4.%5.%6.%7、"/>
      <w:lvlJc w:val="left"/>
      <w:pPr>
        <w:ind w:left="0" w:firstLine="0"/>
      </w:pPr>
      <w:rPr>
        <w:rFonts w:hint="default"/>
      </w:rPr>
    </w:lvl>
    <w:lvl w:ilvl="7" w:tentative="0">
      <w:start w:val="1"/>
      <w:numFmt w:val="decimal"/>
      <w:suff w:val="nothing"/>
      <w:lvlText w:val="%1.%2.%3.%4.%5.%6.%7.%8、"/>
      <w:lvlJc w:val="left"/>
      <w:pPr>
        <w:ind w:left="0" w:firstLine="0"/>
      </w:pPr>
      <w:rPr>
        <w:rFonts w:hint="default"/>
      </w:rPr>
    </w:lvl>
    <w:lvl w:ilvl="8" w:tentative="0">
      <w:start w:val="1"/>
      <w:numFmt w:val="decimal"/>
      <w:suff w:val="nothing"/>
      <w:lvlText w:val="%1.%2.%3.%4.%5.%6.%7.%8.%9、"/>
      <w:lvlJc w:val="left"/>
      <w:pPr>
        <w:ind w:left="0" w:firstLine="0"/>
      </w:pPr>
      <w:rPr>
        <w:rFonts w:hint="default"/>
      </w:rPr>
    </w:lvl>
  </w:abstractNum>
  <w:abstractNum w:abstractNumId="36">
    <w:nsid w:val="76FD273A"/>
    <w:multiLevelType w:val="multilevel"/>
    <w:tmpl w:val="76FD273A"/>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7C290ECE"/>
    <w:multiLevelType w:val="multilevel"/>
    <w:tmpl w:val="7C290ECE"/>
    <w:lvl w:ilvl="0" w:tentative="0">
      <w:start w:val="1"/>
      <w:numFmt w:val="japaneseCounting"/>
      <w:lvlText w:val="%1、"/>
      <w:lvlJc w:val="left"/>
      <w:pPr>
        <w:tabs>
          <w:tab w:val="left" w:pos="420"/>
        </w:tabs>
        <w:ind w:left="42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2"/>
  </w:num>
  <w:num w:numId="2">
    <w:abstractNumId w:val="3"/>
  </w:num>
  <w:num w:numId="3">
    <w:abstractNumId w:val="0"/>
  </w:num>
  <w:num w:numId="4">
    <w:abstractNumId w:val="31"/>
  </w:num>
  <w:num w:numId="5">
    <w:abstractNumId w:val="27"/>
  </w:num>
  <w:num w:numId="6">
    <w:abstractNumId w:val="20"/>
  </w:num>
  <w:num w:numId="7">
    <w:abstractNumId w:val="14"/>
  </w:num>
  <w:num w:numId="8">
    <w:abstractNumId w:val="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28"/>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9"/>
  </w:num>
  <w:num w:numId="23">
    <w:abstractNumId w:val="26"/>
  </w:num>
  <w:num w:numId="24">
    <w:abstractNumId w:val="10"/>
  </w:num>
  <w:num w:numId="25">
    <w:abstractNumId w:val="7"/>
  </w:num>
  <w:num w:numId="26">
    <w:abstractNumId w:val="8"/>
  </w:num>
  <w:num w:numId="27">
    <w:abstractNumId w:val="12"/>
  </w:num>
  <w:num w:numId="28">
    <w:abstractNumId w:val="16"/>
  </w:num>
  <w:num w:numId="29">
    <w:abstractNumId w:val="15"/>
  </w:num>
  <w:num w:numId="30">
    <w:abstractNumId w:val="1"/>
  </w:num>
  <w:num w:numId="31">
    <w:abstractNumId w:val="30"/>
  </w:num>
  <w:num w:numId="32">
    <w:abstractNumId w:val="18"/>
  </w:num>
  <w:num w:numId="33">
    <w:abstractNumId w:val="24"/>
  </w:num>
  <w:num w:numId="34">
    <w:abstractNumId w:val="23"/>
  </w:num>
  <w:num w:numId="35">
    <w:abstractNumId w:val="11"/>
  </w:num>
  <w:num w:numId="36">
    <w:abstractNumId w:val="6"/>
  </w:num>
  <w:num w:numId="37">
    <w:abstractNumId w:val="5"/>
  </w:num>
  <w:num w:numId="38">
    <w:abstractNumId w:val="17"/>
  </w:num>
  <w:num w:numId="39">
    <w:abstractNumId w:val="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2NjhhMmM0YmQwN2FjYTcyNTk4OTI5MWNjODQ1OGIifQ=="/>
  </w:docVars>
  <w:rsids>
    <w:rsidRoot w:val="00C12953"/>
    <w:rsid w:val="00020169"/>
    <w:rsid w:val="00027EE5"/>
    <w:rsid w:val="00034CE4"/>
    <w:rsid w:val="0003642A"/>
    <w:rsid w:val="0006207F"/>
    <w:rsid w:val="00063D8E"/>
    <w:rsid w:val="000752B9"/>
    <w:rsid w:val="00075948"/>
    <w:rsid w:val="00077DD1"/>
    <w:rsid w:val="00093937"/>
    <w:rsid w:val="000944B5"/>
    <w:rsid w:val="000A58C0"/>
    <w:rsid w:val="000A751A"/>
    <w:rsid w:val="000B5D82"/>
    <w:rsid w:val="000C3B3D"/>
    <w:rsid w:val="000D10FA"/>
    <w:rsid w:val="000D151F"/>
    <w:rsid w:val="000D1DBA"/>
    <w:rsid w:val="000D53A4"/>
    <w:rsid w:val="000E06A6"/>
    <w:rsid w:val="000E12D9"/>
    <w:rsid w:val="000E1E91"/>
    <w:rsid w:val="000E7640"/>
    <w:rsid w:val="000F04F1"/>
    <w:rsid w:val="000F4C98"/>
    <w:rsid w:val="000F6F8C"/>
    <w:rsid w:val="000F7930"/>
    <w:rsid w:val="000F7CA2"/>
    <w:rsid w:val="0010221E"/>
    <w:rsid w:val="00102914"/>
    <w:rsid w:val="001104DC"/>
    <w:rsid w:val="00114700"/>
    <w:rsid w:val="00116556"/>
    <w:rsid w:val="00130D0D"/>
    <w:rsid w:val="00131A88"/>
    <w:rsid w:val="001337F2"/>
    <w:rsid w:val="00134916"/>
    <w:rsid w:val="001400AB"/>
    <w:rsid w:val="00140532"/>
    <w:rsid w:val="001432A4"/>
    <w:rsid w:val="001512E3"/>
    <w:rsid w:val="00156511"/>
    <w:rsid w:val="0015740F"/>
    <w:rsid w:val="001635A0"/>
    <w:rsid w:val="001647F5"/>
    <w:rsid w:val="0016787B"/>
    <w:rsid w:val="001765F9"/>
    <w:rsid w:val="00181233"/>
    <w:rsid w:val="00182BFD"/>
    <w:rsid w:val="00187C7D"/>
    <w:rsid w:val="00193ED8"/>
    <w:rsid w:val="001944DA"/>
    <w:rsid w:val="001A32E2"/>
    <w:rsid w:val="001A604A"/>
    <w:rsid w:val="001A6D27"/>
    <w:rsid w:val="001A78FD"/>
    <w:rsid w:val="001B18A1"/>
    <w:rsid w:val="001B3815"/>
    <w:rsid w:val="001B3A68"/>
    <w:rsid w:val="001B56DD"/>
    <w:rsid w:val="001C35D3"/>
    <w:rsid w:val="001D111A"/>
    <w:rsid w:val="001D18A1"/>
    <w:rsid w:val="001E1837"/>
    <w:rsid w:val="001F0272"/>
    <w:rsid w:val="001F08AD"/>
    <w:rsid w:val="00202D7D"/>
    <w:rsid w:val="00204C5B"/>
    <w:rsid w:val="002077B5"/>
    <w:rsid w:val="002113E2"/>
    <w:rsid w:val="00214C50"/>
    <w:rsid w:val="002159F8"/>
    <w:rsid w:val="00225B9F"/>
    <w:rsid w:val="00241F9B"/>
    <w:rsid w:val="00243F4C"/>
    <w:rsid w:val="00246013"/>
    <w:rsid w:val="002617D0"/>
    <w:rsid w:val="00264DA0"/>
    <w:rsid w:val="00266C0B"/>
    <w:rsid w:val="002708EC"/>
    <w:rsid w:val="00271794"/>
    <w:rsid w:val="002913A1"/>
    <w:rsid w:val="0029408B"/>
    <w:rsid w:val="00294BB7"/>
    <w:rsid w:val="002A1D5B"/>
    <w:rsid w:val="002A47C4"/>
    <w:rsid w:val="002A4986"/>
    <w:rsid w:val="002A7174"/>
    <w:rsid w:val="002B162B"/>
    <w:rsid w:val="002B5652"/>
    <w:rsid w:val="002B6448"/>
    <w:rsid w:val="002C3BB6"/>
    <w:rsid w:val="002D128E"/>
    <w:rsid w:val="002D3E8F"/>
    <w:rsid w:val="002E2F87"/>
    <w:rsid w:val="002E610D"/>
    <w:rsid w:val="002F2590"/>
    <w:rsid w:val="002F48D3"/>
    <w:rsid w:val="00300562"/>
    <w:rsid w:val="00305313"/>
    <w:rsid w:val="0031685A"/>
    <w:rsid w:val="00320066"/>
    <w:rsid w:val="00327ADC"/>
    <w:rsid w:val="00341092"/>
    <w:rsid w:val="003416A5"/>
    <w:rsid w:val="00346D67"/>
    <w:rsid w:val="00347CDB"/>
    <w:rsid w:val="0035458B"/>
    <w:rsid w:val="003636DE"/>
    <w:rsid w:val="003715AF"/>
    <w:rsid w:val="003722FB"/>
    <w:rsid w:val="00383551"/>
    <w:rsid w:val="00384B9A"/>
    <w:rsid w:val="00386CFD"/>
    <w:rsid w:val="003A02BE"/>
    <w:rsid w:val="003A7FE6"/>
    <w:rsid w:val="003B0192"/>
    <w:rsid w:val="003B3DEB"/>
    <w:rsid w:val="003B5A88"/>
    <w:rsid w:val="003B6B26"/>
    <w:rsid w:val="003C55A4"/>
    <w:rsid w:val="003C6BAB"/>
    <w:rsid w:val="003D3867"/>
    <w:rsid w:val="003D4EBA"/>
    <w:rsid w:val="003D5AEF"/>
    <w:rsid w:val="003D624E"/>
    <w:rsid w:val="003D6F64"/>
    <w:rsid w:val="003E0E6E"/>
    <w:rsid w:val="003E6268"/>
    <w:rsid w:val="003F0D93"/>
    <w:rsid w:val="003F3AEB"/>
    <w:rsid w:val="003F5AE6"/>
    <w:rsid w:val="00405735"/>
    <w:rsid w:val="00410414"/>
    <w:rsid w:val="00412D22"/>
    <w:rsid w:val="00425D84"/>
    <w:rsid w:val="00433F95"/>
    <w:rsid w:val="004349C4"/>
    <w:rsid w:val="00441D4A"/>
    <w:rsid w:val="004457D8"/>
    <w:rsid w:val="0045603A"/>
    <w:rsid w:val="004600A0"/>
    <w:rsid w:val="00462C8C"/>
    <w:rsid w:val="00466E1C"/>
    <w:rsid w:val="0047599B"/>
    <w:rsid w:val="004770AB"/>
    <w:rsid w:val="00483B6B"/>
    <w:rsid w:val="00485010"/>
    <w:rsid w:val="00493651"/>
    <w:rsid w:val="00494EC1"/>
    <w:rsid w:val="00495489"/>
    <w:rsid w:val="00495B91"/>
    <w:rsid w:val="004965D1"/>
    <w:rsid w:val="004A51D9"/>
    <w:rsid w:val="004B4275"/>
    <w:rsid w:val="004B4C8C"/>
    <w:rsid w:val="004C03DC"/>
    <w:rsid w:val="004C7115"/>
    <w:rsid w:val="004D1254"/>
    <w:rsid w:val="004D4A13"/>
    <w:rsid w:val="004D6A36"/>
    <w:rsid w:val="004E4ACE"/>
    <w:rsid w:val="004E5CC2"/>
    <w:rsid w:val="004E70AF"/>
    <w:rsid w:val="004F7881"/>
    <w:rsid w:val="00502A3E"/>
    <w:rsid w:val="00515B32"/>
    <w:rsid w:val="005209B2"/>
    <w:rsid w:val="00521A1F"/>
    <w:rsid w:val="00522DD5"/>
    <w:rsid w:val="005238B5"/>
    <w:rsid w:val="00530D25"/>
    <w:rsid w:val="005315D4"/>
    <w:rsid w:val="00531DCF"/>
    <w:rsid w:val="005411E6"/>
    <w:rsid w:val="00553161"/>
    <w:rsid w:val="00564D7C"/>
    <w:rsid w:val="00571374"/>
    <w:rsid w:val="00582117"/>
    <w:rsid w:val="00586755"/>
    <w:rsid w:val="00587D1F"/>
    <w:rsid w:val="00594BF2"/>
    <w:rsid w:val="00596459"/>
    <w:rsid w:val="00597BCC"/>
    <w:rsid w:val="005B201D"/>
    <w:rsid w:val="005B25AB"/>
    <w:rsid w:val="005B2DB8"/>
    <w:rsid w:val="005B5D87"/>
    <w:rsid w:val="005D4400"/>
    <w:rsid w:val="005D7092"/>
    <w:rsid w:val="005E385C"/>
    <w:rsid w:val="005F1318"/>
    <w:rsid w:val="005F54B0"/>
    <w:rsid w:val="00601D78"/>
    <w:rsid w:val="0060226C"/>
    <w:rsid w:val="006056D6"/>
    <w:rsid w:val="00617235"/>
    <w:rsid w:val="006227CA"/>
    <w:rsid w:val="00625D11"/>
    <w:rsid w:val="006313AC"/>
    <w:rsid w:val="00636CEC"/>
    <w:rsid w:val="0065620C"/>
    <w:rsid w:val="0068551B"/>
    <w:rsid w:val="0068574F"/>
    <w:rsid w:val="0068640E"/>
    <w:rsid w:val="00690052"/>
    <w:rsid w:val="00690420"/>
    <w:rsid w:val="00691614"/>
    <w:rsid w:val="006955FA"/>
    <w:rsid w:val="006A02F1"/>
    <w:rsid w:val="006A4E56"/>
    <w:rsid w:val="006A52B0"/>
    <w:rsid w:val="006A5D6F"/>
    <w:rsid w:val="006B0D63"/>
    <w:rsid w:val="006C0B9B"/>
    <w:rsid w:val="006D0614"/>
    <w:rsid w:val="006D6B95"/>
    <w:rsid w:val="006E4E47"/>
    <w:rsid w:val="006F1BBD"/>
    <w:rsid w:val="007067E4"/>
    <w:rsid w:val="00715FFB"/>
    <w:rsid w:val="00726D36"/>
    <w:rsid w:val="007336E3"/>
    <w:rsid w:val="00743638"/>
    <w:rsid w:val="007452E4"/>
    <w:rsid w:val="00754611"/>
    <w:rsid w:val="00756C88"/>
    <w:rsid w:val="00756CAB"/>
    <w:rsid w:val="0076373D"/>
    <w:rsid w:val="0076786F"/>
    <w:rsid w:val="00777810"/>
    <w:rsid w:val="00783E53"/>
    <w:rsid w:val="0079200D"/>
    <w:rsid w:val="00793C80"/>
    <w:rsid w:val="0079727F"/>
    <w:rsid w:val="007A08A0"/>
    <w:rsid w:val="007A268E"/>
    <w:rsid w:val="007A58CF"/>
    <w:rsid w:val="007C14E2"/>
    <w:rsid w:val="007C2DBF"/>
    <w:rsid w:val="007D3734"/>
    <w:rsid w:val="007D69E1"/>
    <w:rsid w:val="007D6FFF"/>
    <w:rsid w:val="007D7D2E"/>
    <w:rsid w:val="007E2FAE"/>
    <w:rsid w:val="007E37E1"/>
    <w:rsid w:val="007E667A"/>
    <w:rsid w:val="007F0B71"/>
    <w:rsid w:val="007F3145"/>
    <w:rsid w:val="007F35D4"/>
    <w:rsid w:val="008067FE"/>
    <w:rsid w:val="00806C6A"/>
    <w:rsid w:val="00812046"/>
    <w:rsid w:val="00813430"/>
    <w:rsid w:val="008134E9"/>
    <w:rsid w:val="00817E25"/>
    <w:rsid w:val="00823B8B"/>
    <w:rsid w:val="00834CCE"/>
    <w:rsid w:val="00841A87"/>
    <w:rsid w:val="00852E0B"/>
    <w:rsid w:val="00853C67"/>
    <w:rsid w:val="00854DF0"/>
    <w:rsid w:val="00860310"/>
    <w:rsid w:val="00865F42"/>
    <w:rsid w:val="0088311A"/>
    <w:rsid w:val="00892D25"/>
    <w:rsid w:val="00893D92"/>
    <w:rsid w:val="008B2DEC"/>
    <w:rsid w:val="008B35B9"/>
    <w:rsid w:val="008B5021"/>
    <w:rsid w:val="008C2A15"/>
    <w:rsid w:val="008D1512"/>
    <w:rsid w:val="008D3874"/>
    <w:rsid w:val="008D5F11"/>
    <w:rsid w:val="008E44F4"/>
    <w:rsid w:val="008E54E9"/>
    <w:rsid w:val="00902BE4"/>
    <w:rsid w:val="0090440E"/>
    <w:rsid w:val="00930221"/>
    <w:rsid w:val="0093275F"/>
    <w:rsid w:val="00941570"/>
    <w:rsid w:val="009469CF"/>
    <w:rsid w:val="00950BD8"/>
    <w:rsid w:val="009644D1"/>
    <w:rsid w:val="00964572"/>
    <w:rsid w:val="00970DDA"/>
    <w:rsid w:val="00985EDC"/>
    <w:rsid w:val="00987764"/>
    <w:rsid w:val="0099379F"/>
    <w:rsid w:val="009A1106"/>
    <w:rsid w:val="009A138D"/>
    <w:rsid w:val="009A3A1A"/>
    <w:rsid w:val="009A73BE"/>
    <w:rsid w:val="009B0839"/>
    <w:rsid w:val="009C3C16"/>
    <w:rsid w:val="009C7728"/>
    <w:rsid w:val="009D1835"/>
    <w:rsid w:val="009D64FF"/>
    <w:rsid w:val="009E0C70"/>
    <w:rsid w:val="009E2031"/>
    <w:rsid w:val="009E5E61"/>
    <w:rsid w:val="009F7942"/>
    <w:rsid w:val="00A00ED9"/>
    <w:rsid w:val="00A03F9D"/>
    <w:rsid w:val="00A11E19"/>
    <w:rsid w:val="00A14130"/>
    <w:rsid w:val="00A171E1"/>
    <w:rsid w:val="00A30B99"/>
    <w:rsid w:val="00A35226"/>
    <w:rsid w:val="00A5097D"/>
    <w:rsid w:val="00A523D5"/>
    <w:rsid w:val="00A52CAD"/>
    <w:rsid w:val="00A60992"/>
    <w:rsid w:val="00A635A1"/>
    <w:rsid w:val="00A8131A"/>
    <w:rsid w:val="00A81FF1"/>
    <w:rsid w:val="00A85D8C"/>
    <w:rsid w:val="00A91925"/>
    <w:rsid w:val="00A927CF"/>
    <w:rsid w:val="00A9571E"/>
    <w:rsid w:val="00AA2F7A"/>
    <w:rsid w:val="00AA5494"/>
    <w:rsid w:val="00AB23AE"/>
    <w:rsid w:val="00AB7FF7"/>
    <w:rsid w:val="00AC031C"/>
    <w:rsid w:val="00AC2D0E"/>
    <w:rsid w:val="00AC78F6"/>
    <w:rsid w:val="00AD52AB"/>
    <w:rsid w:val="00AD53C7"/>
    <w:rsid w:val="00AD5D94"/>
    <w:rsid w:val="00AE63C0"/>
    <w:rsid w:val="00AF6486"/>
    <w:rsid w:val="00B077C6"/>
    <w:rsid w:val="00B12119"/>
    <w:rsid w:val="00B15C01"/>
    <w:rsid w:val="00B23332"/>
    <w:rsid w:val="00B278DB"/>
    <w:rsid w:val="00B30284"/>
    <w:rsid w:val="00B3031A"/>
    <w:rsid w:val="00B304CA"/>
    <w:rsid w:val="00B32DBE"/>
    <w:rsid w:val="00B34A86"/>
    <w:rsid w:val="00B411CE"/>
    <w:rsid w:val="00B42F13"/>
    <w:rsid w:val="00B455D9"/>
    <w:rsid w:val="00B45684"/>
    <w:rsid w:val="00B45AC6"/>
    <w:rsid w:val="00B54866"/>
    <w:rsid w:val="00B6507D"/>
    <w:rsid w:val="00B76367"/>
    <w:rsid w:val="00B7686F"/>
    <w:rsid w:val="00B8061E"/>
    <w:rsid w:val="00B81834"/>
    <w:rsid w:val="00B84078"/>
    <w:rsid w:val="00B870B1"/>
    <w:rsid w:val="00B92856"/>
    <w:rsid w:val="00B95C93"/>
    <w:rsid w:val="00BA6C32"/>
    <w:rsid w:val="00BB18C1"/>
    <w:rsid w:val="00BD24F9"/>
    <w:rsid w:val="00BD2F6C"/>
    <w:rsid w:val="00BE0A85"/>
    <w:rsid w:val="00BE1772"/>
    <w:rsid w:val="00BE1783"/>
    <w:rsid w:val="00BE35BD"/>
    <w:rsid w:val="00BF41C2"/>
    <w:rsid w:val="00BF5410"/>
    <w:rsid w:val="00C10FF9"/>
    <w:rsid w:val="00C12953"/>
    <w:rsid w:val="00C1747B"/>
    <w:rsid w:val="00C369D4"/>
    <w:rsid w:val="00C40845"/>
    <w:rsid w:val="00C427A5"/>
    <w:rsid w:val="00C4319F"/>
    <w:rsid w:val="00C4419D"/>
    <w:rsid w:val="00C45B58"/>
    <w:rsid w:val="00C54D39"/>
    <w:rsid w:val="00C60297"/>
    <w:rsid w:val="00C60867"/>
    <w:rsid w:val="00C612BF"/>
    <w:rsid w:val="00C73954"/>
    <w:rsid w:val="00C83CE1"/>
    <w:rsid w:val="00C904D2"/>
    <w:rsid w:val="00C94B63"/>
    <w:rsid w:val="00C96DDD"/>
    <w:rsid w:val="00CA028C"/>
    <w:rsid w:val="00CA421A"/>
    <w:rsid w:val="00CB6B9A"/>
    <w:rsid w:val="00CB6C7A"/>
    <w:rsid w:val="00CC310C"/>
    <w:rsid w:val="00CC6861"/>
    <w:rsid w:val="00CD1247"/>
    <w:rsid w:val="00CD39E0"/>
    <w:rsid w:val="00CD4DF2"/>
    <w:rsid w:val="00CD5BEA"/>
    <w:rsid w:val="00CE1425"/>
    <w:rsid w:val="00CF1FB7"/>
    <w:rsid w:val="00CF53C0"/>
    <w:rsid w:val="00D00F43"/>
    <w:rsid w:val="00D026C8"/>
    <w:rsid w:val="00D0488E"/>
    <w:rsid w:val="00D30D3B"/>
    <w:rsid w:val="00D411BE"/>
    <w:rsid w:val="00D41CBF"/>
    <w:rsid w:val="00D46558"/>
    <w:rsid w:val="00D50C1B"/>
    <w:rsid w:val="00D5624D"/>
    <w:rsid w:val="00D63E2C"/>
    <w:rsid w:val="00D715D3"/>
    <w:rsid w:val="00D734E0"/>
    <w:rsid w:val="00D81742"/>
    <w:rsid w:val="00D90D52"/>
    <w:rsid w:val="00D92677"/>
    <w:rsid w:val="00D93712"/>
    <w:rsid w:val="00DA3A8F"/>
    <w:rsid w:val="00DA7892"/>
    <w:rsid w:val="00DB408B"/>
    <w:rsid w:val="00DB4F1C"/>
    <w:rsid w:val="00DC42CC"/>
    <w:rsid w:val="00DD0B68"/>
    <w:rsid w:val="00DD6DE3"/>
    <w:rsid w:val="00DD75CC"/>
    <w:rsid w:val="00DE0055"/>
    <w:rsid w:val="00DF55DE"/>
    <w:rsid w:val="00E00F47"/>
    <w:rsid w:val="00E0381F"/>
    <w:rsid w:val="00E03DF5"/>
    <w:rsid w:val="00E248C4"/>
    <w:rsid w:val="00E2697A"/>
    <w:rsid w:val="00E279A5"/>
    <w:rsid w:val="00E35C33"/>
    <w:rsid w:val="00E53F2D"/>
    <w:rsid w:val="00E80517"/>
    <w:rsid w:val="00E9003A"/>
    <w:rsid w:val="00E932D1"/>
    <w:rsid w:val="00E949AE"/>
    <w:rsid w:val="00E96B30"/>
    <w:rsid w:val="00E97697"/>
    <w:rsid w:val="00E97ECD"/>
    <w:rsid w:val="00EA4F83"/>
    <w:rsid w:val="00EA7416"/>
    <w:rsid w:val="00EB1F60"/>
    <w:rsid w:val="00EB37FA"/>
    <w:rsid w:val="00EC51F6"/>
    <w:rsid w:val="00EC5D34"/>
    <w:rsid w:val="00ED138D"/>
    <w:rsid w:val="00ED1533"/>
    <w:rsid w:val="00ED537B"/>
    <w:rsid w:val="00EE14FD"/>
    <w:rsid w:val="00EF0C6D"/>
    <w:rsid w:val="00EF3974"/>
    <w:rsid w:val="00F167E7"/>
    <w:rsid w:val="00F21A38"/>
    <w:rsid w:val="00F2484A"/>
    <w:rsid w:val="00F24FD8"/>
    <w:rsid w:val="00F27079"/>
    <w:rsid w:val="00F32ADF"/>
    <w:rsid w:val="00F332CB"/>
    <w:rsid w:val="00F4483E"/>
    <w:rsid w:val="00F449EF"/>
    <w:rsid w:val="00F44E5F"/>
    <w:rsid w:val="00F47956"/>
    <w:rsid w:val="00F5364A"/>
    <w:rsid w:val="00F57501"/>
    <w:rsid w:val="00F67D2C"/>
    <w:rsid w:val="00F72F3B"/>
    <w:rsid w:val="00F76190"/>
    <w:rsid w:val="00F90747"/>
    <w:rsid w:val="00F94727"/>
    <w:rsid w:val="00FA7885"/>
    <w:rsid w:val="00FB29D5"/>
    <w:rsid w:val="00FB51CF"/>
    <w:rsid w:val="00FB68FC"/>
    <w:rsid w:val="00FB70D9"/>
    <w:rsid w:val="00FD0B97"/>
    <w:rsid w:val="00FD2643"/>
    <w:rsid w:val="00FD4664"/>
    <w:rsid w:val="00FD5F5A"/>
    <w:rsid w:val="00FD7722"/>
    <w:rsid w:val="00FD795B"/>
    <w:rsid w:val="00FE16AD"/>
    <w:rsid w:val="00FE37B4"/>
    <w:rsid w:val="00FE3F45"/>
    <w:rsid w:val="00FF6219"/>
    <w:rsid w:val="09765A83"/>
    <w:rsid w:val="0AA76436"/>
    <w:rsid w:val="0C317112"/>
    <w:rsid w:val="10BD720D"/>
    <w:rsid w:val="126C21EF"/>
    <w:rsid w:val="132B5A1A"/>
    <w:rsid w:val="178B69AD"/>
    <w:rsid w:val="202040E1"/>
    <w:rsid w:val="35197639"/>
    <w:rsid w:val="360375D0"/>
    <w:rsid w:val="38F72C21"/>
    <w:rsid w:val="3B225A3C"/>
    <w:rsid w:val="4A4D3134"/>
    <w:rsid w:val="4D2572FF"/>
    <w:rsid w:val="4DF86948"/>
    <w:rsid w:val="5922291B"/>
    <w:rsid w:val="59887584"/>
    <w:rsid w:val="64E34885"/>
    <w:rsid w:val="650F142E"/>
    <w:rsid w:val="689F2198"/>
    <w:rsid w:val="6CA730FC"/>
    <w:rsid w:val="6D621A1D"/>
    <w:rsid w:val="6DCA10D6"/>
    <w:rsid w:val="6F483205"/>
    <w:rsid w:val="6FF96532"/>
    <w:rsid w:val="724C2BB7"/>
    <w:rsid w:val="76A51AB5"/>
    <w:rsid w:val="7A287874"/>
    <w:rsid w:val="7E0252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1"/>
    <w:qFormat/>
    <w:uiPriority w:val="0"/>
    <w:pPr>
      <w:widowControl/>
      <w:spacing w:before="100" w:beforeAutospacing="1" w:after="100" w:afterAutospacing="1"/>
      <w:jc w:val="left"/>
      <w:outlineLvl w:val="0"/>
    </w:pPr>
    <w:rPr>
      <w:rFonts w:ascii="宋体" w:hAnsi="宋体"/>
      <w:b/>
      <w:bCs/>
      <w:kern w:val="36"/>
      <w:sz w:val="48"/>
      <w:szCs w:val="48"/>
      <w:lang w:val="zh-CN"/>
    </w:rPr>
  </w:style>
  <w:style w:type="paragraph" w:styleId="3">
    <w:name w:val="heading 2"/>
    <w:basedOn w:val="1"/>
    <w:next w:val="1"/>
    <w:link w:val="43"/>
    <w:unhideWhenUsed/>
    <w:qFormat/>
    <w:uiPriority w:val="9"/>
    <w:pPr>
      <w:keepNext/>
      <w:keepLines/>
      <w:spacing w:before="260" w:after="260" w:line="416" w:lineRule="auto"/>
      <w:outlineLvl w:val="1"/>
    </w:pPr>
    <w:rPr>
      <w:rFonts w:ascii="Calibri Light" w:hAnsi="Calibri Light"/>
      <w:b/>
      <w:bCs/>
      <w:sz w:val="32"/>
      <w:szCs w:val="32"/>
      <w:lang w:val="zh-CN"/>
    </w:rPr>
  </w:style>
  <w:style w:type="paragraph" w:styleId="4">
    <w:name w:val="heading 3"/>
    <w:basedOn w:val="1"/>
    <w:next w:val="1"/>
    <w:link w:val="32"/>
    <w:qFormat/>
    <w:uiPriority w:val="9"/>
    <w:pPr>
      <w:keepNext/>
      <w:keepLines/>
      <w:spacing w:before="260" w:after="260" w:line="413" w:lineRule="auto"/>
      <w:outlineLvl w:val="2"/>
    </w:pPr>
    <w:rPr>
      <w:rFonts w:ascii="Calibri" w:hAnsi="Calibri" w:cs="宋体"/>
      <w:b/>
      <w:sz w:val="32"/>
      <w:szCs w:val="22"/>
    </w:rPr>
  </w:style>
  <w:style w:type="character" w:default="1" w:styleId="24">
    <w:name w:val="Default Paragraph Font"/>
    <w:semiHidden/>
    <w:unhideWhenUsed/>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link w:val="59"/>
    <w:autoRedefine/>
    <w:qFormat/>
    <w:uiPriority w:val="0"/>
    <w:rPr>
      <w:rFonts w:ascii="宋体"/>
      <w:sz w:val="18"/>
      <w:szCs w:val="18"/>
    </w:rPr>
  </w:style>
  <w:style w:type="paragraph" w:styleId="6">
    <w:name w:val="annotation text"/>
    <w:basedOn w:val="1"/>
    <w:link w:val="57"/>
    <w:autoRedefine/>
    <w:unhideWhenUsed/>
    <w:qFormat/>
    <w:uiPriority w:val="99"/>
    <w:pPr>
      <w:jc w:val="left"/>
    </w:pPr>
  </w:style>
  <w:style w:type="paragraph" w:styleId="7">
    <w:name w:val="Body Text"/>
    <w:basedOn w:val="1"/>
    <w:link w:val="72"/>
    <w:autoRedefine/>
    <w:qFormat/>
    <w:uiPriority w:val="0"/>
    <w:pPr>
      <w:spacing w:line="360" w:lineRule="auto"/>
    </w:pPr>
    <w:rPr>
      <w:rFonts w:ascii="宋体" w:hAnsi="宋体"/>
      <w:sz w:val="20"/>
    </w:rPr>
  </w:style>
  <w:style w:type="paragraph" w:styleId="8">
    <w:name w:val="Body Text Indent"/>
    <w:basedOn w:val="1"/>
    <w:link w:val="38"/>
    <w:autoRedefine/>
    <w:qFormat/>
    <w:uiPriority w:val="0"/>
    <w:pPr>
      <w:ind w:firstLine="420"/>
    </w:pPr>
  </w:style>
  <w:style w:type="paragraph" w:styleId="9">
    <w:name w:val="toc 3"/>
    <w:basedOn w:val="1"/>
    <w:next w:val="1"/>
    <w:autoRedefine/>
    <w:unhideWhenUsed/>
    <w:qFormat/>
    <w:uiPriority w:val="39"/>
    <w:pPr>
      <w:ind w:left="840" w:leftChars="400"/>
    </w:pPr>
    <w:rPr>
      <w:rFonts w:asciiTheme="minorHAnsi" w:hAnsiTheme="minorHAnsi" w:eastAsiaTheme="minorEastAsia" w:cstheme="minorBidi"/>
      <w:szCs w:val="22"/>
    </w:rPr>
  </w:style>
  <w:style w:type="paragraph" w:styleId="10">
    <w:name w:val="Plain Text"/>
    <w:basedOn w:val="1"/>
    <w:link w:val="34"/>
    <w:autoRedefine/>
    <w:qFormat/>
    <w:uiPriority w:val="0"/>
    <w:rPr>
      <w:rFonts w:ascii="宋体" w:hAnsi="Courier New"/>
    </w:rPr>
  </w:style>
  <w:style w:type="paragraph" w:styleId="11">
    <w:name w:val="Date"/>
    <w:basedOn w:val="1"/>
    <w:next w:val="1"/>
    <w:link w:val="70"/>
    <w:autoRedefine/>
    <w:qFormat/>
    <w:uiPriority w:val="0"/>
    <w:rPr>
      <w:sz w:val="28"/>
    </w:rPr>
  </w:style>
  <w:style w:type="paragraph" w:styleId="12">
    <w:name w:val="Body Text Indent 2"/>
    <w:basedOn w:val="1"/>
    <w:link w:val="71"/>
    <w:autoRedefine/>
    <w:qFormat/>
    <w:uiPriority w:val="0"/>
    <w:pPr>
      <w:spacing w:line="360" w:lineRule="auto"/>
      <w:ind w:left="-21" w:leftChars="-10" w:firstLine="240" w:firstLineChars="100"/>
    </w:pPr>
    <w:rPr>
      <w:rFonts w:ascii="宋体" w:hAnsi="宋体"/>
      <w:sz w:val="24"/>
    </w:rPr>
  </w:style>
  <w:style w:type="paragraph" w:styleId="13">
    <w:name w:val="Balloon Text"/>
    <w:basedOn w:val="1"/>
    <w:link w:val="47"/>
    <w:autoRedefine/>
    <w:unhideWhenUsed/>
    <w:qFormat/>
    <w:uiPriority w:val="99"/>
    <w:rPr>
      <w:sz w:val="18"/>
      <w:szCs w:val="18"/>
      <w:lang w:val="zh-CN"/>
    </w:rPr>
  </w:style>
  <w:style w:type="paragraph" w:styleId="14">
    <w:name w:val="footer"/>
    <w:basedOn w:val="1"/>
    <w:link w:val="30"/>
    <w:qFormat/>
    <w:uiPriority w:val="99"/>
    <w:pPr>
      <w:tabs>
        <w:tab w:val="center" w:pos="4153"/>
        <w:tab w:val="right" w:pos="8306"/>
      </w:tabs>
      <w:snapToGrid w:val="0"/>
      <w:jc w:val="left"/>
    </w:pPr>
    <w:rPr>
      <w:sz w:val="18"/>
      <w:szCs w:val="18"/>
    </w:rPr>
  </w:style>
  <w:style w:type="paragraph" w:styleId="15">
    <w:name w:val="header"/>
    <w:basedOn w:val="1"/>
    <w:link w:val="29"/>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tabs>
        <w:tab w:val="right" w:leader="dot" w:pos="8302"/>
      </w:tabs>
      <w:jc w:val="left"/>
    </w:pPr>
  </w:style>
  <w:style w:type="paragraph" w:styleId="17">
    <w:name w:val="Body Text Indent 3"/>
    <w:basedOn w:val="1"/>
    <w:link w:val="69"/>
    <w:autoRedefine/>
    <w:qFormat/>
    <w:uiPriority w:val="0"/>
    <w:pPr>
      <w:spacing w:line="360" w:lineRule="auto"/>
      <w:ind w:firstLine="482"/>
    </w:pPr>
    <w:rPr>
      <w:sz w:val="24"/>
      <w:szCs w:val="24"/>
    </w:rPr>
  </w:style>
  <w:style w:type="paragraph" w:styleId="18">
    <w:name w:val="toc 2"/>
    <w:basedOn w:val="1"/>
    <w:next w:val="1"/>
    <w:autoRedefine/>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Title"/>
    <w:basedOn w:val="1"/>
    <w:next w:val="1"/>
    <w:link w:val="53"/>
    <w:autoRedefine/>
    <w:qFormat/>
    <w:uiPriority w:val="0"/>
    <w:pPr>
      <w:spacing w:beforeLines="100" w:afterLines="150"/>
      <w:jc w:val="center"/>
      <w:outlineLvl w:val="2"/>
    </w:pPr>
    <w:rPr>
      <w:rFonts w:eastAsia="黑体" w:asciiTheme="majorHAnsi" w:hAnsiTheme="majorHAnsi" w:cstheme="majorBidi"/>
      <w:bCs/>
      <w:sz w:val="28"/>
      <w:szCs w:val="32"/>
    </w:rPr>
  </w:style>
  <w:style w:type="paragraph" w:styleId="21">
    <w:name w:val="annotation subject"/>
    <w:basedOn w:val="6"/>
    <w:next w:val="6"/>
    <w:link w:val="60"/>
    <w:autoRedefine/>
    <w:semiHidden/>
    <w:unhideWhenUsed/>
    <w:qFormat/>
    <w:uiPriority w:val="0"/>
    <w:rPr>
      <w:b/>
      <w:bCs/>
    </w:rPr>
  </w:style>
  <w:style w:type="table" w:styleId="23">
    <w:name w:val="Table Grid"/>
    <w:basedOn w:val="2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autoRedefine/>
    <w:qFormat/>
    <w:uiPriority w:val="0"/>
    <w:rPr>
      <w:rFonts w:cs="Times New Roman"/>
    </w:rPr>
  </w:style>
  <w:style w:type="character" w:styleId="26">
    <w:name w:val="FollowedHyperlink"/>
    <w:basedOn w:val="24"/>
    <w:autoRedefine/>
    <w:semiHidden/>
    <w:unhideWhenUsed/>
    <w:qFormat/>
    <w:uiPriority w:val="0"/>
    <w:rPr>
      <w:color w:val="800080"/>
      <w:u w:val="single"/>
    </w:rPr>
  </w:style>
  <w:style w:type="character" w:styleId="27">
    <w:name w:val="Hyperlink"/>
    <w:autoRedefine/>
    <w:unhideWhenUsed/>
    <w:qFormat/>
    <w:uiPriority w:val="99"/>
    <w:rPr>
      <w:color w:val="0000FF"/>
      <w:u w:val="single"/>
    </w:rPr>
  </w:style>
  <w:style w:type="character" w:styleId="28">
    <w:name w:val="annotation reference"/>
    <w:basedOn w:val="24"/>
    <w:autoRedefine/>
    <w:qFormat/>
    <w:uiPriority w:val="0"/>
    <w:rPr>
      <w:sz w:val="21"/>
      <w:szCs w:val="21"/>
    </w:rPr>
  </w:style>
  <w:style w:type="character" w:customStyle="1" w:styleId="29">
    <w:name w:val="页眉 字符"/>
    <w:basedOn w:val="24"/>
    <w:link w:val="15"/>
    <w:autoRedefine/>
    <w:qFormat/>
    <w:uiPriority w:val="99"/>
    <w:rPr>
      <w:kern w:val="2"/>
      <w:sz w:val="18"/>
      <w:szCs w:val="18"/>
    </w:rPr>
  </w:style>
  <w:style w:type="character" w:customStyle="1" w:styleId="30">
    <w:name w:val="页脚 字符"/>
    <w:basedOn w:val="24"/>
    <w:link w:val="14"/>
    <w:autoRedefine/>
    <w:qFormat/>
    <w:uiPriority w:val="99"/>
    <w:rPr>
      <w:kern w:val="2"/>
      <w:sz w:val="18"/>
      <w:szCs w:val="18"/>
    </w:rPr>
  </w:style>
  <w:style w:type="paragraph" w:styleId="31">
    <w:name w:val="List Paragraph"/>
    <w:basedOn w:val="1"/>
    <w:autoRedefine/>
    <w:qFormat/>
    <w:uiPriority w:val="34"/>
    <w:pPr>
      <w:ind w:firstLine="420" w:firstLineChars="200"/>
    </w:pPr>
  </w:style>
  <w:style w:type="character" w:customStyle="1" w:styleId="32">
    <w:name w:val="标题 3 字符"/>
    <w:basedOn w:val="24"/>
    <w:link w:val="4"/>
    <w:autoRedefine/>
    <w:qFormat/>
    <w:uiPriority w:val="9"/>
    <w:rPr>
      <w:rFonts w:ascii="Calibri" w:hAnsi="Calibri" w:cs="宋体"/>
      <w:b/>
      <w:kern w:val="2"/>
      <w:sz w:val="32"/>
      <w:szCs w:val="22"/>
    </w:rPr>
  </w:style>
  <w:style w:type="paragraph" w:customStyle="1" w:styleId="33">
    <w:name w:val="msolistparagraph"/>
    <w:basedOn w:val="1"/>
    <w:autoRedefine/>
    <w:qFormat/>
    <w:uiPriority w:val="0"/>
    <w:pPr>
      <w:ind w:firstLine="420" w:firstLineChars="200"/>
    </w:pPr>
  </w:style>
  <w:style w:type="character" w:customStyle="1" w:styleId="34">
    <w:name w:val="纯文本 字符"/>
    <w:basedOn w:val="24"/>
    <w:link w:val="10"/>
    <w:autoRedefine/>
    <w:qFormat/>
    <w:uiPriority w:val="0"/>
    <w:rPr>
      <w:rFonts w:ascii="宋体" w:hAnsi="Courier New"/>
      <w:kern w:val="2"/>
      <w:sz w:val="21"/>
    </w:rPr>
  </w:style>
  <w:style w:type="paragraph" w:customStyle="1" w:styleId="3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36">
    <w:name w:val="标题 1 字符"/>
    <w:basedOn w:val="24"/>
    <w:autoRedefine/>
    <w:qFormat/>
    <w:uiPriority w:val="0"/>
    <w:rPr>
      <w:b/>
      <w:bCs/>
      <w:kern w:val="44"/>
      <w:sz w:val="44"/>
      <w:szCs w:val="44"/>
    </w:rPr>
  </w:style>
  <w:style w:type="character" w:customStyle="1" w:styleId="37">
    <w:name w:val="标题 2 字符"/>
    <w:basedOn w:val="24"/>
    <w:qFormat/>
    <w:uiPriority w:val="9"/>
    <w:rPr>
      <w:rFonts w:asciiTheme="majorHAnsi" w:hAnsiTheme="majorHAnsi" w:eastAsiaTheme="majorEastAsia" w:cstheme="majorBidi"/>
      <w:b/>
      <w:bCs/>
      <w:kern w:val="2"/>
      <w:sz w:val="32"/>
      <w:szCs w:val="32"/>
    </w:rPr>
  </w:style>
  <w:style w:type="character" w:customStyle="1" w:styleId="38">
    <w:name w:val="正文文本缩进 字符"/>
    <w:basedOn w:val="24"/>
    <w:link w:val="8"/>
    <w:autoRedefine/>
    <w:qFormat/>
    <w:uiPriority w:val="0"/>
    <w:rPr>
      <w:kern w:val="2"/>
      <w:sz w:val="21"/>
    </w:rPr>
  </w:style>
  <w:style w:type="character" w:customStyle="1" w:styleId="39">
    <w:name w:val="页眉 Char"/>
    <w:autoRedefine/>
    <w:qFormat/>
    <w:uiPriority w:val="99"/>
    <w:rPr>
      <w:kern w:val="2"/>
      <w:sz w:val="18"/>
      <w:szCs w:val="18"/>
    </w:rPr>
  </w:style>
  <w:style w:type="character" w:customStyle="1" w:styleId="40">
    <w:name w:val="页脚 Char"/>
    <w:autoRedefine/>
    <w:qFormat/>
    <w:uiPriority w:val="99"/>
    <w:rPr>
      <w:kern w:val="2"/>
      <w:sz w:val="18"/>
      <w:szCs w:val="18"/>
    </w:rPr>
  </w:style>
  <w:style w:type="character" w:customStyle="1" w:styleId="41">
    <w:name w:val="标题 1 字符1"/>
    <w:link w:val="2"/>
    <w:autoRedefine/>
    <w:qFormat/>
    <w:uiPriority w:val="99"/>
    <w:rPr>
      <w:rFonts w:ascii="宋体" w:hAnsi="宋体"/>
      <w:b/>
      <w:bCs/>
      <w:kern w:val="36"/>
      <w:sz w:val="48"/>
      <w:szCs w:val="48"/>
      <w:lang w:val="zh-CN" w:eastAsia="zh-CN"/>
    </w:rPr>
  </w:style>
  <w:style w:type="character" w:customStyle="1" w:styleId="42">
    <w:name w:val="apple-converted-space"/>
    <w:basedOn w:val="24"/>
    <w:autoRedefine/>
    <w:qFormat/>
    <w:uiPriority w:val="0"/>
  </w:style>
  <w:style w:type="character" w:customStyle="1" w:styleId="43">
    <w:name w:val="标题 2 字符1"/>
    <w:link w:val="3"/>
    <w:autoRedefine/>
    <w:semiHidden/>
    <w:qFormat/>
    <w:uiPriority w:val="9"/>
    <w:rPr>
      <w:rFonts w:ascii="Calibri Light" w:hAnsi="Calibri Light"/>
      <w:b/>
      <w:bCs/>
      <w:kern w:val="2"/>
      <w:sz w:val="32"/>
      <w:szCs w:val="32"/>
      <w:lang w:val="zh-CN" w:eastAsia="zh-CN"/>
    </w:rPr>
  </w:style>
  <w:style w:type="character" w:customStyle="1" w:styleId="44">
    <w:name w:val="a-size-large"/>
    <w:autoRedefine/>
    <w:qFormat/>
    <w:uiPriority w:val="0"/>
  </w:style>
  <w:style w:type="paragraph" w:customStyle="1" w:styleId="45">
    <w:name w:val="1"/>
    <w:basedOn w:val="1"/>
    <w:next w:val="31"/>
    <w:autoRedefine/>
    <w:qFormat/>
    <w:uiPriority w:val="0"/>
    <w:pPr>
      <w:ind w:firstLine="420" w:firstLineChars="200"/>
    </w:pPr>
  </w:style>
  <w:style w:type="character" w:customStyle="1" w:styleId="46">
    <w:name w:val="批注框文本 字符"/>
    <w:basedOn w:val="24"/>
    <w:autoRedefine/>
    <w:qFormat/>
    <w:uiPriority w:val="0"/>
    <w:rPr>
      <w:kern w:val="2"/>
      <w:sz w:val="18"/>
      <w:szCs w:val="18"/>
    </w:rPr>
  </w:style>
  <w:style w:type="character" w:customStyle="1" w:styleId="47">
    <w:name w:val="批注框文本 字符1"/>
    <w:link w:val="13"/>
    <w:qFormat/>
    <w:uiPriority w:val="99"/>
    <w:rPr>
      <w:kern w:val="2"/>
      <w:sz w:val="18"/>
      <w:szCs w:val="18"/>
      <w:lang w:val="zh-CN" w:eastAsia="zh-CN"/>
    </w:rPr>
  </w:style>
  <w:style w:type="character" w:customStyle="1" w:styleId="48">
    <w:name w:val="标题 3 Char"/>
    <w:autoRedefine/>
    <w:qFormat/>
    <w:uiPriority w:val="9"/>
    <w:rPr>
      <w:rFonts w:ascii="Calibri" w:hAnsi="Calibri" w:cs="宋体"/>
      <w:b/>
      <w:kern w:val="2"/>
      <w:sz w:val="32"/>
      <w:szCs w:val="22"/>
    </w:rPr>
  </w:style>
  <w:style w:type="paragraph" w:customStyle="1" w:styleId="49">
    <w:name w:val="列表段落1"/>
    <w:basedOn w:val="1"/>
    <w:autoRedefine/>
    <w:qFormat/>
    <w:uiPriority w:val="34"/>
    <w:pPr>
      <w:ind w:firstLine="420" w:firstLineChars="200"/>
    </w:pPr>
  </w:style>
  <w:style w:type="paragraph" w:customStyle="1" w:styleId="50">
    <w:name w:val="列出段落1"/>
    <w:basedOn w:val="1"/>
    <w:qFormat/>
    <w:uiPriority w:val="0"/>
    <w:pPr>
      <w:ind w:firstLine="420" w:firstLineChars="200"/>
    </w:pPr>
  </w:style>
  <w:style w:type="paragraph" w:customStyle="1" w:styleId="51">
    <w:name w:val="页眉与页脚"/>
    <w:autoRedefine/>
    <w:qFormat/>
    <w:uiPriority w:val="0"/>
    <w:pPr>
      <w:framePr w:wrap="around" w:vAnchor="margin" w:hAnchor="text" w:y="1"/>
      <w:tabs>
        <w:tab w:val="right" w:pos="9020"/>
      </w:tabs>
    </w:pPr>
    <w:rPr>
      <w:rFonts w:ascii="Helvetica" w:hAnsi="Helvetica" w:eastAsia="Arial Unicode MS" w:cs="Arial Unicode MS"/>
      <w:color w:val="000000"/>
      <w:sz w:val="24"/>
      <w:szCs w:val="24"/>
      <w:lang w:val="en-US" w:eastAsia="zh-CN" w:bidi="ar-SA"/>
    </w:rPr>
  </w:style>
  <w:style w:type="paragraph" w:customStyle="1" w:styleId="52">
    <w:name w:val="p0"/>
    <w:basedOn w:val="1"/>
    <w:autoRedefine/>
    <w:qFormat/>
    <w:uiPriority w:val="0"/>
    <w:pPr>
      <w:widowControl/>
    </w:pPr>
    <w:rPr>
      <w:kern w:val="0"/>
      <w:szCs w:val="21"/>
    </w:rPr>
  </w:style>
  <w:style w:type="character" w:customStyle="1" w:styleId="53">
    <w:name w:val="标题 字符"/>
    <w:basedOn w:val="24"/>
    <w:link w:val="20"/>
    <w:autoRedefine/>
    <w:qFormat/>
    <w:uiPriority w:val="0"/>
    <w:rPr>
      <w:rFonts w:eastAsia="黑体" w:asciiTheme="majorHAnsi" w:hAnsiTheme="majorHAnsi" w:cstheme="majorBidi"/>
      <w:bCs/>
      <w:kern w:val="2"/>
      <w:sz w:val="28"/>
      <w:szCs w:val="32"/>
    </w:rPr>
  </w:style>
  <w:style w:type="paragraph" w:customStyle="1" w:styleId="54">
    <w:name w:val="List Paragraph1"/>
    <w:basedOn w:val="1"/>
    <w:qFormat/>
    <w:uiPriority w:val="99"/>
    <w:pPr>
      <w:ind w:firstLine="420" w:firstLineChars="200"/>
    </w:pPr>
  </w:style>
  <w:style w:type="character" w:customStyle="1" w:styleId="55">
    <w:name w:val="未处理的提及1"/>
    <w:basedOn w:val="24"/>
    <w:autoRedefine/>
    <w:semiHidden/>
    <w:unhideWhenUsed/>
    <w:qFormat/>
    <w:uiPriority w:val="99"/>
    <w:rPr>
      <w:color w:val="605E5C"/>
      <w:shd w:val="clear" w:color="auto" w:fill="E1DFDD"/>
    </w:rPr>
  </w:style>
  <w:style w:type="paragraph" w:customStyle="1" w:styleId="56">
    <w:name w:val="列出段落11"/>
    <w:basedOn w:val="1"/>
    <w:qFormat/>
    <w:uiPriority w:val="0"/>
    <w:pPr>
      <w:ind w:firstLine="420" w:firstLineChars="200"/>
    </w:pPr>
  </w:style>
  <w:style w:type="character" w:customStyle="1" w:styleId="57">
    <w:name w:val="批注文字 字符"/>
    <w:basedOn w:val="24"/>
    <w:link w:val="6"/>
    <w:autoRedefine/>
    <w:qFormat/>
    <w:uiPriority w:val="99"/>
    <w:rPr>
      <w:kern w:val="2"/>
      <w:sz w:val="21"/>
    </w:rPr>
  </w:style>
  <w:style w:type="character" w:customStyle="1" w:styleId="58">
    <w:name w:val="fontstyle01"/>
    <w:basedOn w:val="24"/>
    <w:qFormat/>
    <w:uiPriority w:val="0"/>
    <w:rPr>
      <w:rFonts w:hint="eastAsia" w:ascii="宋体" w:hAnsi="宋体" w:eastAsia="宋体"/>
      <w:color w:val="000000"/>
      <w:sz w:val="22"/>
      <w:szCs w:val="22"/>
    </w:rPr>
  </w:style>
  <w:style w:type="character" w:customStyle="1" w:styleId="59">
    <w:name w:val="文档结构图 字符"/>
    <w:basedOn w:val="24"/>
    <w:link w:val="5"/>
    <w:autoRedefine/>
    <w:qFormat/>
    <w:uiPriority w:val="0"/>
    <w:rPr>
      <w:rFonts w:ascii="宋体"/>
      <w:kern w:val="2"/>
      <w:sz w:val="18"/>
      <w:szCs w:val="18"/>
    </w:rPr>
  </w:style>
  <w:style w:type="character" w:customStyle="1" w:styleId="60">
    <w:name w:val="批注主题 字符"/>
    <w:basedOn w:val="57"/>
    <w:link w:val="21"/>
    <w:semiHidden/>
    <w:qFormat/>
    <w:uiPriority w:val="0"/>
    <w:rPr>
      <w:b/>
      <w:bCs/>
      <w:kern w:val="2"/>
      <w:sz w:val="21"/>
    </w:rPr>
  </w:style>
  <w:style w:type="paragraph" w:customStyle="1" w:styleId="61">
    <w:name w:val="中等深浅网格 1 - 着色 21"/>
    <w:basedOn w:val="1"/>
    <w:qFormat/>
    <w:uiPriority w:val="34"/>
    <w:pPr>
      <w:ind w:firstLine="420" w:firstLineChars="200"/>
    </w:pPr>
  </w:style>
  <w:style w:type="table" w:customStyle="1" w:styleId="62">
    <w:name w:val="网格型1"/>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3">
    <w:name w:val="16"/>
    <w:basedOn w:val="24"/>
    <w:autoRedefine/>
    <w:qFormat/>
    <w:uiPriority w:val="0"/>
    <w:rPr>
      <w:rFonts w:hint="default" w:ascii="Times New Roman" w:hAnsi="Times New Roman" w:cs="Times New Roman"/>
      <w:color w:val="954F72"/>
      <w:u w:val="single"/>
    </w:rPr>
  </w:style>
  <w:style w:type="paragraph" w:customStyle="1" w:styleId="64">
    <w:name w:val="B级标题"/>
    <w:basedOn w:val="1"/>
    <w:autoRedefine/>
    <w:qFormat/>
    <w:uiPriority w:val="0"/>
    <w:pPr>
      <w:spacing w:before="156" w:after="156" w:line="0" w:lineRule="atLeast"/>
      <w:ind w:firstLine="482" w:firstLineChars="200"/>
    </w:pPr>
    <w:rPr>
      <w:rFonts w:cs="宋体"/>
      <w:b/>
      <w:bCs/>
      <w:sz w:val="24"/>
      <w:szCs w:val="24"/>
    </w:rPr>
  </w:style>
  <w:style w:type="character" w:customStyle="1" w:styleId="65">
    <w:name w:val="15"/>
    <w:basedOn w:val="24"/>
    <w:autoRedefine/>
    <w:qFormat/>
    <w:uiPriority w:val="0"/>
    <w:rPr>
      <w:rFonts w:hint="default" w:ascii="Times New Roman" w:hAnsi="Times New Roman" w:cs="Times New Roman"/>
      <w:color w:val="0000FF"/>
      <w:u w:val="single"/>
    </w:rPr>
  </w:style>
  <w:style w:type="character" w:customStyle="1" w:styleId="66">
    <w:name w:val="keywords-define-title"/>
    <w:autoRedefine/>
    <w:qFormat/>
    <w:uiPriority w:val="0"/>
  </w:style>
  <w:style w:type="character" w:customStyle="1" w:styleId="67">
    <w:name w:val="keywords-define-txt"/>
    <w:autoRedefine/>
    <w:qFormat/>
    <w:uiPriority w:val="0"/>
  </w:style>
  <w:style w:type="paragraph" w:customStyle="1" w:styleId="68">
    <w:name w:val="a3"/>
    <w:basedOn w:val="1"/>
    <w:autoRedefine/>
    <w:qFormat/>
    <w:uiPriority w:val="0"/>
    <w:pPr>
      <w:widowControl/>
      <w:spacing w:before="100" w:beforeAutospacing="1" w:after="100" w:afterAutospacing="1" w:line="280" w:lineRule="atLeast"/>
      <w:ind w:firstLine="360"/>
      <w:jc w:val="left"/>
    </w:pPr>
    <w:rPr>
      <w:rFonts w:ascii="宋体" w:hAnsi="宋体" w:cs="宋体"/>
      <w:kern w:val="0"/>
      <w:sz w:val="18"/>
      <w:szCs w:val="18"/>
    </w:rPr>
  </w:style>
  <w:style w:type="character" w:customStyle="1" w:styleId="69">
    <w:name w:val="正文文本缩进 3 字符"/>
    <w:basedOn w:val="24"/>
    <w:link w:val="17"/>
    <w:autoRedefine/>
    <w:qFormat/>
    <w:uiPriority w:val="0"/>
    <w:rPr>
      <w:kern w:val="2"/>
      <w:sz w:val="24"/>
      <w:szCs w:val="24"/>
    </w:rPr>
  </w:style>
  <w:style w:type="character" w:customStyle="1" w:styleId="70">
    <w:name w:val="日期 字符"/>
    <w:basedOn w:val="24"/>
    <w:link w:val="11"/>
    <w:autoRedefine/>
    <w:qFormat/>
    <w:uiPriority w:val="0"/>
    <w:rPr>
      <w:kern w:val="2"/>
      <w:sz w:val="28"/>
    </w:rPr>
  </w:style>
  <w:style w:type="character" w:customStyle="1" w:styleId="71">
    <w:name w:val="正文文本缩进 2 字符"/>
    <w:basedOn w:val="24"/>
    <w:link w:val="12"/>
    <w:qFormat/>
    <w:uiPriority w:val="0"/>
    <w:rPr>
      <w:rFonts w:ascii="宋体" w:hAnsi="宋体"/>
      <w:kern w:val="2"/>
      <w:sz w:val="24"/>
    </w:rPr>
  </w:style>
  <w:style w:type="character" w:customStyle="1" w:styleId="72">
    <w:name w:val="正文文本 字符"/>
    <w:basedOn w:val="24"/>
    <w:link w:val="7"/>
    <w:qFormat/>
    <w:uiPriority w:val="0"/>
    <w:rPr>
      <w:rFonts w:ascii="宋体" w:hAnsi="宋体"/>
      <w:kern w:val="2"/>
    </w:rPr>
  </w:style>
  <w:style w:type="paragraph" w:customStyle="1" w:styleId="73">
    <w:name w:val="style6"/>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74">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lang w:val="en-US"/>
    </w:rPr>
  </w:style>
</w:styles>
</file>

<file path=word/_rels/document.xml.rels><?xml version="1.0" encoding="UTF-8" standalone="yes"?>
<Relationships xmlns="http://schemas.openxmlformats.org/package/2006/relationships"><Relationship Id="rId99" Type="http://schemas.openxmlformats.org/officeDocument/2006/relationships/header" Target="header45.xml"/><Relationship Id="rId98" Type="http://schemas.openxmlformats.org/officeDocument/2006/relationships/header" Target="header44.xml"/><Relationship Id="rId97" Type="http://schemas.openxmlformats.org/officeDocument/2006/relationships/footer" Target="footer52.xml"/><Relationship Id="rId96" Type="http://schemas.openxmlformats.org/officeDocument/2006/relationships/footer" Target="footer51.xml"/><Relationship Id="rId95" Type="http://schemas.openxmlformats.org/officeDocument/2006/relationships/footer" Target="footer50.xml"/><Relationship Id="rId94" Type="http://schemas.openxmlformats.org/officeDocument/2006/relationships/header" Target="header43.xml"/><Relationship Id="rId93" Type="http://schemas.openxmlformats.org/officeDocument/2006/relationships/header" Target="header42.xml"/><Relationship Id="rId92" Type="http://schemas.openxmlformats.org/officeDocument/2006/relationships/header" Target="header41.xml"/><Relationship Id="rId91" Type="http://schemas.openxmlformats.org/officeDocument/2006/relationships/footer" Target="footer49.xml"/><Relationship Id="rId90" Type="http://schemas.openxmlformats.org/officeDocument/2006/relationships/footer" Target="footer48.xml"/><Relationship Id="rId9" Type="http://schemas.openxmlformats.org/officeDocument/2006/relationships/footer" Target="footer5.xml"/><Relationship Id="rId89" Type="http://schemas.openxmlformats.org/officeDocument/2006/relationships/footer" Target="footer47.xml"/><Relationship Id="rId88" Type="http://schemas.openxmlformats.org/officeDocument/2006/relationships/header" Target="header40.xml"/><Relationship Id="rId87" Type="http://schemas.openxmlformats.org/officeDocument/2006/relationships/header" Target="header39.xml"/><Relationship Id="rId86" Type="http://schemas.openxmlformats.org/officeDocument/2006/relationships/header" Target="header38.xml"/><Relationship Id="rId85" Type="http://schemas.openxmlformats.org/officeDocument/2006/relationships/footer" Target="footer46.xml"/><Relationship Id="rId84" Type="http://schemas.openxmlformats.org/officeDocument/2006/relationships/footer" Target="footer45.xml"/><Relationship Id="rId83" Type="http://schemas.openxmlformats.org/officeDocument/2006/relationships/footer" Target="footer44.xml"/><Relationship Id="rId82" Type="http://schemas.openxmlformats.org/officeDocument/2006/relationships/header" Target="header37.xml"/><Relationship Id="rId81" Type="http://schemas.openxmlformats.org/officeDocument/2006/relationships/header" Target="header36.xml"/><Relationship Id="rId80" Type="http://schemas.openxmlformats.org/officeDocument/2006/relationships/header" Target="header35.xml"/><Relationship Id="rId8" Type="http://schemas.openxmlformats.org/officeDocument/2006/relationships/footer" Target="footer4.xml"/><Relationship Id="rId79" Type="http://schemas.openxmlformats.org/officeDocument/2006/relationships/footer" Target="footer43.xml"/><Relationship Id="rId78" Type="http://schemas.openxmlformats.org/officeDocument/2006/relationships/footer" Target="footer42.xml"/><Relationship Id="rId77" Type="http://schemas.openxmlformats.org/officeDocument/2006/relationships/footer" Target="footer41.xml"/><Relationship Id="rId76" Type="http://schemas.openxmlformats.org/officeDocument/2006/relationships/header" Target="header34.xml"/><Relationship Id="rId75" Type="http://schemas.openxmlformats.org/officeDocument/2006/relationships/header" Target="header33.xml"/><Relationship Id="rId74" Type="http://schemas.openxmlformats.org/officeDocument/2006/relationships/header" Target="header32.xml"/><Relationship Id="rId73" Type="http://schemas.openxmlformats.org/officeDocument/2006/relationships/footer" Target="footer40.xml"/><Relationship Id="rId72" Type="http://schemas.openxmlformats.org/officeDocument/2006/relationships/footer" Target="footer39.xml"/><Relationship Id="rId71" Type="http://schemas.openxmlformats.org/officeDocument/2006/relationships/footer" Target="footer38.xml"/><Relationship Id="rId70" Type="http://schemas.openxmlformats.org/officeDocument/2006/relationships/footer" Target="footer37.xml"/><Relationship Id="rId7" Type="http://schemas.openxmlformats.org/officeDocument/2006/relationships/footer" Target="footer3.xml"/><Relationship Id="rId69" Type="http://schemas.openxmlformats.org/officeDocument/2006/relationships/header" Target="header31.xml"/><Relationship Id="rId68" Type="http://schemas.openxmlformats.org/officeDocument/2006/relationships/header" Target="header30.xml"/><Relationship Id="rId67" Type="http://schemas.openxmlformats.org/officeDocument/2006/relationships/header" Target="header29.xml"/><Relationship Id="rId66" Type="http://schemas.openxmlformats.org/officeDocument/2006/relationships/footer" Target="footer36.xml"/><Relationship Id="rId65" Type="http://schemas.openxmlformats.org/officeDocument/2006/relationships/footer" Target="footer35.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header" Target="header28.xml"/><Relationship Id="rId61" Type="http://schemas.openxmlformats.org/officeDocument/2006/relationships/header" Target="header27.xml"/><Relationship Id="rId60" Type="http://schemas.openxmlformats.org/officeDocument/2006/relationships/header" Target="header26.xml"/><Relationship Id="rId6" Type="http://schemas.openxmlformats.org/officeDocument/2006/relationships/footer" Target="foot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header" Target="header24.xml"/><Relationship Id="rId52" Type="http://schemas.openxmlformats.org/officeDocument/2006/relationships/header" Target="header23.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2.xml"/><Relationship Id="rId490" Type="http://schemas.openxmlformats.org/officeDocument/2006/relationships/fontTable" Target="fontTable.xml"/><Relationship Id="rId49" Type="http://schemas.openxmlformats.org/officeDocument/2006/relationships/footer" Target="footer25.xml"/><Relationship Id="rId489" Type="http://schemas.openxmlformats.org/officeDocument/2006/relationships/customXml" Target="../customXml/item52.xml"/><Relationship Id="rId488" Type="http://schemas.openxmlformats.org/officeDocument/2006/relationships/customXml" Target="../customXml/item51.xml"/><Relationship Id="rId487" Type="http://schemas.openxmlformats.org/officeDocument/2006/relationships/customXml" Target="../customXml/item50.xml"/><Relationship Id="rId486" Type="http://schemas.openxmlformats.org/officeDocument/2006/relationships/customXml" Target="../customXml/item49.xml"/><Relationship Id="rId485" Type="http://schemas.openxmlformats.org/officeDocument/2006/relationships/customXml" Target="../customXml/item48.xml"/><Relationship Id="rId484" Type="http://schemas.openxmlformats.org/officeDocument/2006/relationships/customXml" Target="../customXml/item47.xml"/><Relationship Id="rId483" Type="http://schemas.openxmlformats.org/officeDocument/2006/relationships/customXml" Target="../customXml/item46.xml"/><Relationship Id="rId482" Type="http://schemas.openxmlformats.org/officeDocument/2006/relationships/customXml" Target="../customXml/item45.xml"/><Relationship Id="rId481" Type="http://schemas.openxmlformats.org/officeDocument/2006/relationships/customXml" Target="../customXml/item44.xml"/><Relationship Id="rId480" Type="http://schemas.openxmlformats.org/officeDocument/2006/relationships/customXml" Target="../customXml/item43.xml"/><Relationship Id="rId48" Type="http://schemas.openxmlformats.org/officeDocument/2006/relationships/header" Target="header22.xml"/><Relationship Id="rId479" Type="http://schemas.openxmlformats.org/officeDocument/2006/relationships/customXml" Target="../customXml/item42.xml"/><Relationship Id="rId478" Type="http://schemas.openxmlformats.org/officeDocument/2006/relationships/customXml" Target="../customXml/item41.xml"/><Relationship Id="rId477" Type="http://schemas.openxmlformats.org/officeDocument/2006/relationships/customXml" Target="../customXml/item40.xml"/><Relationship Id="rId476" Type="http://schemas.openxmlformats.org/officeDocument/2006/relationships/customXml" Target="../customXml/item39.xml"/><Relationship Id="rId475" Type="http://schemas.openxmlformats.org/officeDocument/2006/relationships/customXml" Target="../customXml/item38.xml"/><Relationship Id="rId474" Type="http://schemas.openxmlformats.org/officeDocument/2006/relationships/customXml" Target="../customXml/item37.xml"/><Relationship Id="rId473" Type="http://schemas.openxmlformats.org/officeDocument/2006/relationships/customXml" Target="../customXml/item36.xml"/><Relationship Id="rId472" Type="http://schemas.openxmlformats.org/officeDocument/2006/relationships/customXml" Target="../customXml/item35.xml"/><Relationship Id="rId471" Type="http://schemas.openxmlformats.org/officeDocument/2006/relationships/customXml" Target="../customXml/item34.xml"/><Relationship Id="rId470" Type="http://schemas.openxmlformats.org/officeDocument/2006/relationships/customXml" Target="../customXml/item33.xml"/><Relationship Id="rId47" Type="http://schemas.openxmlformats.org/officeDocument/2006/relationships/header" Target="header21.xml"/><Relationship Id="rId469" Type="http://schemas.openxmlformats.org/officeDocument/2006/relationships/customXml" Target="../customXml/item32.xml"/><Relationship Id="rId468" Type="http://schemas.openxmlformats.org/officeDocument/2006/relationships/customXml" Target="../customXml/item31.xml"/><Relationship Id="rId467" Type="http://schemas.openxmlformats.org/officeDocument/2006/relationships/customXml" Target="../customXml/item30.xml"/><Relationship Id="rId466" Type="http://schemas.openxmlformats.org/officeDocument/2006/relationships/customXml" Target="../customXml/item29.xml"/><Relationship Id="rId465" Type="http://schemas.openxmlformats.org/officeDocument/2006/relationships/customXml" Target="../customXml/item28.xml"/><Relationship Id="rId464" Type="http://schemas.openxmlformats.org/officeDocument/2006/relationships/customXml" Target="../customXml/item27.xml"/><Relationship Id="rId463" Type="http://schemas.openxmlformats.org/officeDocument/2006/relationships/customXml" Target="../customXml/item26.xml"/><Relationship Id="rId462" Type="http://schemas.openxmlformats.org/officeDocument/2006/relationships/customXml" Target="../customXml/item25.xml"/><Relationship Id="rId461" Type="http://schemas.openxmlformats.org/officeDocument/2006/relationships/customXml" Target="../customXml/item24.xml"/><Relationship Id="rId460" Type="http://schemas.openxmlformats.org/officeDocument/2006/relationships/customXml" Target="../customXml/item23.xml"/><Relationship Id="rId46" Type="http://schemas.openxmlformats.org/officeDocument/2006/relationships/header" Target="header20.xml"/><Relationship Id="rId459" Type="http://schemas.openxmlformats.org/officeDocument/2006/relationships/customXml" Target="../customXml/item22.xml"/><Relationship Id="rId458" Type="http://schemas.openxmlformats.org/officeDocument/2006/relationships/customXml" Target="../customXml/item21.xml"/><Relationship Id="rId457" Type="http://schemas.openxmlformats.org/officeDocument/2006/relationships/customXml" Target="../customXml/item20.xml"/><Relationship Id="rId456" Type="http://schemas.openxmlformats.org/officeDocument/2006/relationships/customXml" Target="../customXml/item19.xml"/><Relationship Id="rId455" Type="http://schemas.openxmlformats.org/officeDocument/2006/relationships/customXml" Target="../customXml/item18.xml"/><Relationship Id="rId454" Type="http://schemas.openxmlformats.org/officeDocument/2006/relationships/customXml" Target="../customXml/item17.xml"/><Relationship Id="rId453" Type="http://schemas.openxmlformats.org/officeDocument/2006/relationships/customXml" Target="../customXml/item16.xml"/><Relationship Id="rId452" Type="http://schemas.openxmlformats.org/officeDocument/2006/relationships/customXml" Target="../customXml/item15.xml"/><Relationship Id="rId451" Type="http://schemas.openxmlformats.org/officeDocument/2006/relationships/customXml" Target="../customXml/item14.xml"/><Relationship Id="rId450" Type="http://schemas.openxmlformats.org/officeDocument/2006/relationships/customXml" Target="../customXml/item13.xml"/><Relationship Id="rId45" Type="http://schemas.openxmlformats.org/officeDocument/2006/relationships/footer" Target="footer24.xml"/><Relationship Id="rId449" Type="http://schemas.openxmlformats.org/officeDocument/2006/relationships/customXml" Target="../customXml/item12.xml"/><Relationship Id="rId448" Type="http://schemas.openxmlformats.org/officeDocument/2006/relationships/customXml" Target="../customXml/item11.xml"/><Relationship Id="rId447" Type="http://schemas.openxmlformats.org/officeDocument/2006/relationships/customXml" Target="../customXml/item10.xml"/><Relationship Id="rId446" Type="http://schemas.openxmlformats.org/officeDocument/2006/relationships/customXml" Target="../customXml/item9.xml"/><Relationship Id="rId445" Type="http://schemas.openxmlformats.org/officeDocument/2006/relationships/customXml" Target="../customXml/item8.xml"/><Relationship Id="rId444" Type="http://schemas.openxmlformats.org/officeDocument/2006/relationships/customXml" Target="../customXml/item7.xml"/><Relationship Id="rId443" Type="http://schemas.openxmlformats.org/officeDocument/2006/relationships/customXml" Target="../customXml/item6.xml"/><Relationship Id="rId442" Type="http://schemas.openxmlformats.org/officeDocument/2006/relationships/customXml" Target="../customXml/item5.xml"/><Relationship Id="rId441" Type="http://schemas.openxmlformats.org/officeDocument/2006/relationships/customXml" Target="../customXml/item4.xml"/><Relationship Id="rId440" Type="http://schemas.openxmlformats.org/officeDocument/2006/relationships/customXml" Target="../customXml/item3.xml"/><Relationship Id="rId44" Type="http://schemas.openxmlformats.org/officeDocument/2006/relationships/footer" Target="footer23.xml"/><Relationship Id="rId439" Type="http://schemas.openxmlformats.org/officeDocument/2006/relationships/customXml" Target="../customXml/item2.xml"/><Relationship Id="rId438" Type="http://schemas.openxmlformats.org/officeDocument/2006/relationships/numbering" Target="numbering.xml"/><Relationship Id="rId437" Type="http://schemas.openxmlformats.org/officeDocument/2006/relationships/customXml" Target="../customXml/item1.xml"/><Relationship Id="rId436" Type="http://schemas.openxmlformats.org/officeDocument/2006/relationships/oleObject" Target="embeddings/oleObject239.bin"/><Relationship Id="rId435" Type="http://schemas.openxmlformats.org/officeDocument/2006/relationships/oleObject" Target="embeddings/oleObject238.bin"/><Relationship Id="rId434" Type="http://schemas.openxmlformats.org/officeDocument/2006/relationships/oleObject" Target="embeddings/oleObject237.bin"/><Relationship Id="rId433" Type="http://schemas.openxmlformats.org/officeDocument/2006/relationships/oleObject" Target="embeddings/oleObject236.bin"/><Relationship Id="rId432" Type="http://schemas.openxmlformats.org/officeDocument/2006/relationships/oleObject" Target="embeddings/oleObject235.bin"/><Relationship Id="rId431" Type="http://schemas.openxmlformats.org/officeDocument/2006/relationships/oleObject" Target="embeddings/oleObject234.bin"/><Relationship Id="rId430" Type="http://schemas.openxmlformats.org/officeDocument/2006/relationships/oleObject" Target="embeddings/oleObject233.bin"/><Relationship Id="rId43" Type="http://schemas.openxmlformats.org/officeDocument/2006/relationships/footer" Target="footer22.xml"/><Relationship Id="rId429" Type="http://schemas.openxmlformats.org/officeDocument/2006/relationships/oleObject" Target="embeddings/oleObject232.bin"/><Relationship Id="rId428" Type="http://schemas.openxmlformats.org/officeDocument/2006/relationships/oleObject" Target="embeddings/oleObject231.bin"/><Relationship Id="rId427" Type="http://schemas.openxmlformats.org/officeDocument/2006/relationships/oleObject" Target="embeddings/oleObject230.bin"/><Relationship Id="rId426" Type="http://schemas.openxmlformats.org/officeDocument/2006/relationships/oleObject" Target="embeddings/oleObject229.bin"/><Relationship Id="rId425" Type="http://schemas.openxmlformats.org/officeDocument/2006/relationships/oleObject" Target="embeddings/oleObject228.bin"/><Relationship Id="rId424" Type="http://schemas.openxmlformats.org/officeDocument/2006/relationships/oleObject" Target="embeddings/oleObject227.bin"/><Relationship Id="rId423" Type="http://schemas.openxmlformats.org/officeDocument/2006/relationships/oleObject" Target="embeddings/oleObject226.bin"/><Relationship Id="rId422" Type="http://schemas.openxmlformats.org/officeDocument/2006/relationships/oleObject" Target="embeddings/oleObject225.bin"/><Relationship Id="rId421" Type="http://schemas.openxmlformats.org/officeDocument/2006/relationships/oleObject" Target="embeddings/oleObject224.bin"/><Relationship Id="rId420" Type="http://schemas.openxmlformats.org/officeDocument/2006/relationships/oleObject" Target="embeddings/oleObject223.bin"/><Relationship Id="rId42" Type="http://schemas.openxmlformats.org/officeDocument/2006/relationships/header" Target="header19.xml"/><Relationship Id="rId419" Type="http://schemas.openxmlformats.org/officeDocument/2006/relationships/oleObject" Target="embeddings/oleObject222.bin"/><Relationship Id="rId418" Type="http://schemas.openxmlformats.org/officeDocument/2006/relationships/oleObject" Target="embeddings/oleObject221.bin"/><Relationship Id="rId417" Type="http://schemas.openxmlformats.org/officeDocument/2006/relationships/oleObject" Target="embeddings/oleObject220.bin"/><Relationship Id="rId416" Type="http://schemas.openxmlformats.org/officeDocument/2006/relationships/oleObject" Target="embeddings/oleObject219.bin"/><Relationship Id="rId415" Type="http://schemas.openxmlformats.org/officeDocument/2006/relationships/oleObject" Target="embeddings/oleObject218.bin"/><Relationship Id="rId414" Type="http://schemas.openxmlformats.org/officeDocument/2006/relationships/oleObject" Target="embeddings/oleObject217.bin"/><Relationship Id="rId413" Type="http://schemas.openxmlformats.org/officeDocument/2006/relationships/oleObject" Target="embeddings/oleObject216.bin"/><Relationship Id="rId412" Type="http://schemas.openxmlformats.org/officeDocument/2006/relationships/oleObject" Target="embeddings/oleObject215.bin"/><Relationship Id="rId411" Type="http://schemas.openxmlformats.org/officeDocument/2006/relationships/oleObject" Target="embeddings/oleObject214.bin"/><Relationship Id="rId410" Type="http://schemas.openxmlformats.org/officeDocument/2006/relationships/oleObject" Target="embeddings/oleObject213.bin"/><Relationship Id="rId41" Type="http://schemas.openxmlformats.org/officeDocument/2006/relationships/header" Target="header18.xml"/><Relationship Id="rId409" Type="http://schemas.openxmlformats.org/officeDocument/2006/relationships/oleObject" Target="embeddings/oleObject212.bin"/><Relationship Id="rId408" Type="http://schemas.openxmlformats.org/officeDocument/2006/relationships/oleObject" Target="embeddings/oleObject211.bin"/><Relationship Id="rId407" Type="http://schemas.openxmlformats.org/officeDocument/2006/relationships/oleObject" Target="embeddings/oleObject210.bin"/><Relationship Id="rId406" Type="http://schemas.openxmlformats.org/officeDocument/2006/relationships/oleObject" Target="embeddings/oleObject209.bin"/><Relationship Id="rId405" Type="http://schemas.openxmlformats.org/officeDocument/2006/relationships/oleObject" Target="embeddings/oleObject208.bin"/><Relationship Id="rId404" Type="http://schemas.openxmlformats.org/officeDocument/2006/relationships/oleObject" Target="embeddings/oleObject207.bin"/><Relationship Id="rId403" Type="http://schemas.openxmlformats.org/officeDocument/2006/relationships/oleObject" Target="embeddings/oleObject206.bin"/><Relationship Id="rId402" Type="http://schemas.openxmlformats.org/officeDocument/2006/relationships/oleObject" Target="embeddings/oleObject205.bin"/><Relationship Id="rId401" Type="http://schemas.openxmlformats.org/officeDocument/2006/relationships/oleObject" Target="embeddings/oleObject204.bin"/><Relationship Id="rId400" Type="http://schemas.openxmlformats.org/officeDocument/2006/relationships/oleObject" Target="embeddings/oleObject203.bin"/><Relationship Id="rId40" Type="http://schemas.openxmlformats.org/officeDocument/2006/relationships/header" Target="header17.xml"/><Relationship Id="rId4" Type="http://schemas.openxmlformats.org/officeDocument/2006/relationships/footer" Target="footer1.xml"/><Relationship Id="rId399" Type="http://schemas.openxmlformats.org/officeDocument/2006/relationships/oleObject" Target="embeddings/oleObject202.bin"/><Relationship Id="rId398" Type="http://schemas.openxmlformats.org/officeDocument/2006/relationships/oleObject" Target="embeddings/oleObject201.bin"/><Relationship Id="rId397" Type="http://schemas.openxmlformats.org/officeDocument/2006/relationships/oleObject" Target="embeddings/oleObject200.bin"/><Relationship Id="rId396" Type="http://schemas.openxmlformats.org/officeDocument/2006/relationships/oleObject" Target="embeddings/oleObject199.bin"/><Relationship Id="rId395" Type="http://schemas.openxmlformats.org/officeDocument/2006/relationships/oleObject" Target="embeddings/oleObject198.bin"/><Relationship Id="rId394" Type="http://schemas.openxmlformats.org/officeDocument/2006/relationships/oleObject" Target="embeddings/oleObject197.bin"/><Relationship Id="rId393" Type="http://schemas.openxmlformats.org/officeDocument/2006/relationships/oleObject" Target="embeddings/oleObject196.bin"/><Relationship Id="rId392" Type="http://schemas.openxmlformats.org/officeDocument/2006/relationships/oleObject" Target="embeddings/oleObject195.bin"/><Relationship Id="rId391" Type="http://schemas.openxmlformats.org/officeDocument/2006/relationships/oleObject" Target="embeddings/oleObject194.bin"/><Relationship Id="rId390" Type="http://schemas.openxmlformats.org/officeDocument/2006/relationships/oleObject" Target="embeddings/oleObject193.bin"/><Relationship Id="rId39" Type="http://schemas.openxmlformats.org/officeDocument/2006/relationships/footer" Target="footer21.xml"/><Relationship Id="rId389" Type="http://schemas.openxmlformats.org/officeDocument/2006/relationships/oleObject" Target="embeddings/oleObject192.bin"/><Relationship Id="rId388" Type="http://schemas.openxmlformats.org/officeDocument/2006/relationships/oleObject" Target="embeddings/oleObject191.bin"/><Relationship Id="rId387" Type="http://schemas.openxmlformats.org/officeDocument/2006/relationships/oleObject" Target="embeddings/oleObject190.bin"/><Relationship Id="rId386" Type="http://schemas.openxmlformats.org/officeDocument/2006/relationships/oleObject" Target="embeddings/oleObject189.bin"/><Relationship Id="rId385" Type="http://schemas.openxmlformats.org/officeDocument/2006/relationships/oleObject" Target="embeddings/oleObject188.bin"/><Relationship Id="rId384" Type="http://schemas.openxmlformats.org/officeDocument/2006/relationships/oleObject" Target="embeddings/oleObject187.bin"/><Relationship Id="rId383" Type="http://schemas.openxmlformats.org/officeDocument/2006/relationships/oleObject" Target="embeddings/oleObject186.bin"/><Relationship Id="rId382" Type="http://schemas.openxmlformats.org/officeDocument/2006/relationships/oleObject" Target="embeddings/oleObject185.bin"/><Relationship Id="rId381" Type="http://schemas.openxmlformats.org/officeDocument/2006/relationships/oleObject" Target="embeddings/oleObject184.bin"/><Relationship Id="rId380" Type="http://schemas.openxmlformats.org/officeDocument/2006/relationships/oleObject" Target="embeddings/oleObject183.bin"/><Relationship Id="rId38" Type="http://schemas.openxmlformats.org/officeDocument/2006/relationships/footer" Target="footer20.xml"/><Relationship Id="rId379" Type="http://schemas.openxmlformats.org/officeDocument/2006/relationships/oleObject" Target="embeddings/oleObject182.bin"/><Relationship Id="rId378" Type="http://schemas.openxmlformats.org/officeDocument/2006/relationships/oleObject" Target="embeddings/oleObject181.bin"/><Relationship Id="rId377" Type="http://schemas.openxmlformats.org/officeDocument/2006/relationships/oleObject" Target="embeddings/oleObject180.bin"/><Relationship Id="rId376" Type="http://schemas.openxmlformats.org/officeDocument/2006/relationships/oleObject" Target="embeddings/oleObject179.bin"/><Relationship Id="rId375" Type="http://schemas.openxmlformats.org/officeDocument/2006/relationships/oleObject" Target="embeddings/oleObject178.bin"/><Relationship Id="rId374" Type="http://schemas.openxmlformats.org/officeDocument/2006/relationships/oleObject" Target="embeddings/oleObject177.bin"/><Relationship Id="rId373" Type="http://schemas.openxmlformats.org/officeDocument/2006/relationships/oleObject" Target="embeddings/oleObject176.bin"/><Relationship Id="rId372" Type="http://schemas.openxmlformats.org/officeDocument/2006/relationships/oleObject" Target="embeddings/oleObject175.bin"/><Relationship Id="rId371" Type="http://schemas.openxmlformats.org/officeDocument/2006/relationships/oleObject" Target="embeddings/oleObject174.bin"/><Relationship Id="rId370" Type="http://schemas.openxmlformats.org/officeDocument/2006/relationships/oleObject" Target="embeddings/oleObject173.bin"/><Relationship Id="rId37" Type="http://schemas.openxmlformats.org/officeDocument/2006/relationships/footer" Target="footer19.xml"/><Relationship Id="rId369" Type="http://schemas.openxmlformats.org/officeDocument/2006/relationships/oleObject" Target="embeddings/oleObject172.bin"/><Relationship Id="rId368" Type="http://schemas.openxmlformats.org/officeDocument/2006/relationships/oleObject" Target="embeddings/oleObject171.bin"/><Relationship Id="rId367" Type="http://schemas.openxmlformats.org/officeDocument/2006/relationships/oleObject" Target="embeddings/oleObject170.bin"/><Relationship Id="rId366" Type="http://schemas.openxmlformats.org/officeDocument/2006/relationships/oleObject" Target="embeddings/oleObject169.bin"/><Relationship Id="rId365" Type="http://schemas.openxmlformats.org/officeDocument/2006/relationships/oleObject" Target="embeddings/oleObject168.bin"/><Relationship Id="rId364" Type="http://schemas.openxmlformats.org/officeDocument/2006/relationships/oleObject" Target="embeddings/oleObject167.bin"/><Relationship Id="rId363" Type="http://schemas.openxmlformats.org/officeDocument/2006/relationships/oleObject" Target="embeddings/oleObject166.bin"/><Relationship Id="rId362" Type="http://schemas.openxmlformats.org/officeDocument/2006/relationships/oleObject" Target="embeddings/oleObject165.bin"/><Relationship Id="rId361" Type="http://schemas.openxmlformats.org/officeDocument/2006/relationships/oleObject" Target="embeddings/oleObject164.bin"/><Relationship Id="rId360" Type="http://schemas.openxmlformats.org/officeDocument/2006/relationships/oleObject" Target="embeddings/oleObject163.bin"/><Relationship Id="rId36" Type="http://schemas.openxmlformats.org/officeDocument/2006/relationships/header" Target="header16.xml"/><Relationship Id="rId359" Type="http://schemas.openxmlformats.org/officeDocument/2006/relationships/oleObject" Target="embeddings/oleObject162.bin"/><Relationship Id="rId358" Type="http://schemas.openxmlformats.org/officeDocument/2006/relationships/image" Target="media/image44.png"/><Relationship Id="rId357" Type="http://schemas.openxmlformats.org/officeDocument/2006/relationships/image" Target="media/image43.png"/><Relationship Id="rId356" Type="http://schemas.openxmlformats.org/officeDocument/2006/relationships/image" Target="media/image42.png"/><Relationship Id="rId355" Type="http://schemas.openxmlformats.org/officeDocument/2006/relationships/image" Target="media/image41.png"/><Relationship Id="rId354" Type="http://schemas.openxmlformats.org/officeDocument/2006/relationships/image" Target="media/image40.png"/><Relationship Id="rId353" Type="http://schemas.openxmlformats.org/officeDocument/2006/relationships/image" Target="media/image39.png"/><Relationship Id="rId352" Type="http://schemas.openxmlformats.org/officeDocument/2006/relationships/image" Target="media/image38.png"/><Relationship Id="rId351" Type="http://schemas.openxmlformats.org/officeDocument/2006/relationships/image" Target="media/image37.png"/><Relationship Id="rId350" Type="http://schemas.openxmlformats.org/officeDocument/2006/relationships/image" Target="media/image36.png"/><Relationship Id="rId35" Type="http://schemas.openxmlformats.org/officeDocument/2006/relationships/header" Target="header15.xml"/><Relationship Id="rId349" Type="http://schemas.openxmlformats.org/officeDocument/2006/relationships/oleObject" Target="embeddings/oleObject161.bin"/><Relationship Id="rId348" Type="http://schemas.openxmlformats.org/officeDocument/2006/relationships/oleObject" Target="embeddings/oleObject160.bin"/><Relationship Id="rId347" Type="http://schemas.openxmlformats.org/officeDocument/2006/relationships/oleObject" Target="embeddings/oleObject159.bin"/><Relationship Id="rId346" Type="http://schemas.openxmlformats.org/officeDocument/2006/relationships/oleObject" Target="embeddings/oleObject158.bin"/><Relationship Id="rId345" Type="http://schemas.openxmlformats.org/officeDocument/2006/relationships/oleObject" Target="embeddings/oleObject157.bin"/><Relationship Id="rId344" Type="http://schemas.openxmlformats.org/officeDocument/2006/relationships/oleObject" Target="embeddings/oleObject156.bin"/><Relationship Id="rId343" Type="http://schemas.openxmlformats.org/officeDocument/2006/relationships/oleObject" Target="embeddings/oleObject155.bin"/><Relationship Id="rId342" Type="http://schemas.openxmlformats.org/officeDocument/2006/relationships/oleObject" Target="embeddings/oleObject154.bin"/><Relationship Id="rId341" Type="http://schemas.openxmlformats.org/officeDocument/2006/relationships/oleObject" Target="embeddings/oleObject153.bin"/><Relationship Id="rId340" Type="http://schemas.openxmlformats.org/officeDocument/2006/relationships/oleObject" Target="embeddings/oleObject152.bin"/><Relationship Id="rId34" Type="http://schemas.openxmlformats.org/officeDocument/2006/relationships/header" Target="header14.xml"/><Relationship Id="rId339" Type="http://schemas.openxmlformats.org/officeDocument/2006/relationships/oleObject" Target="embeddings/oleObject151.bin"/><Relationship Id="rId338" Type="http://schemas.openxmlformats.org/officeDocument/2006/relationships/oleObject" Target="embeddings/oleObject150.bin"/><Relationship Id="rId337" Type="http://schemas.openxmlformats.org/officeDocument/2006/relationships/oleObject" Target="embeddings/oleObject149.bin"/><Relationship Id="rId336" Type="http://schemas.openxmlformats.org/officeDocument/2006/relationships/oleObject" Target="embeddings/oleObject148.bin"/><Relationship Id="rId335" Type="http://schemas.openxmlformats.org/officeDocument/2006/relationships/oleObject" Target="embeddings/oleObject147.bin"/><Relationship Id="rId334" Type="http://schemas.openxmlformats.org/officeDocument/2006/relationships/oleObject" Target="embeddings/oleObject146.bin"/><Relationship Id="rId333" Type="http://schemas.openxmlformats.org/officeDocument/2006/relationships/oleObject" Target="embeddings/oleObject145.bin"/><Relationship Id="rId332" Type="http://schemas.openxmlformats.org/officeDocument/2006/relationships/oleObject" Target="embeddings/oleObject144.bin"/><Relationship Id="rId331" Type="http://schemas.openxmlformats.org/officeDocument/2006/relationships/oleObject" Target="embeddings/oleObject143.bin"/><Relationship Id="rId330" Type="http://schemas.openxmlformats.org/officeDocument/2006/relationships/oleObject" Target="embeddings/oleObject142.bin"/><Relationship Id="rId33" Type="http://schemas.openxmlformats.org/officeDocument/2006/relationships/footer" Target="footer18.xml"/><Relationship Id="rId329" Type="http://schemas.openxmlformats.org/officeDocument/2006/relationships/oleObject" Target="embeddings/oleObject141.bin"/><Relationship Id="rId328" Type="http://schemas.openxmlformats.org/officeDocument/2006/relationships/oleObject" Target="embeddings/oleObject140.bin"/><Relationship Id="rId327" Type="http://schemas.openxmlformats.org/officeDocument/2006/relationships/oleObject" Target="embeddings/oleObject139.bin"/><Relationship Id="rId326" Type="http://schemas.openxmlformats.org/officeDocument/2006/relationships/oleObject" Target="embeddings/oleObject138.bin"/><Relationship Id="rId325" Type="http://schemas.openxmlformats.org/officeDocument/2006/relationships/oleObject" Target="embeddings/oleObject137.bin"/><Relationship Id="rId324" Type="http://schemas.openxmlformats.org/officeDocument/2006/relationships/oleObject" Target="embeddings/oleObject136.bin"/><Relationship Id="rId323" Type="http://schemas.openxmlformats.org/officeDocument/2006/relationships/oleObject" Target="embeddings/oleObject135.bin"/><Relationship Id="rId322" Type="http://schemas.openxmlformats.org/officeDocument/2006/relationships/oleObject" Target="embeddings/oleObject134.bin"/><Relationship Id="rId321" Type="http://schemas.openxmlformats.org/officeDocument/2006/relationships/oleObject" Target="embeddings/oleObject133.bin"/><Relationship Id="rId320" Type="http://schemas.openxmlformats.org/officeDocument/2006/relationships/oleObject" Target="embeddings/oleObject132.bin"/><Relationship Id="rId32" Type="http://schemas.openxmlformats.org/officeDocument/2006/relationships/footer" Target="footer17.xml"/><Relationship Id="rId319" Type="http://schemas.openxmlformats.org/officeDocument/2006/relationships/image" Target="media/image35.png"/><Relationship Id="rId318" Type="http://schemas.openxmlformats.org/officeDocument/2006/relationships/oleObject" Target="embeddings/oleObject131.bin"/><Relationship Id="rId317" Type="http://schemas.openxmlformats.org/officeDocument/2006/relationships/oleObject" Target="embeddings/oleObject130.bin"/><Relationship Id="rId316" Type="http://schemas.openxmlformats.org/officeDocument/2006/relationships/oleObject" Target="embeddings/oleObject129.bin"/><Relationship Id="rId315" Type="http://schemas.openxmlformats.org/officeDocument/2006/relationships/oleObject" Target="embeddings/oleObject128.bin"/><Relationship Id="rId314" Type="http://schemas.openxmlformats.org/officeDocument/2006/relationships/oleObject" Target="embeddings/oleObject127.bin"/><Relationship Id="rId313" Type="http://schemas.openxmlformats.org/officeDocument/2006/relationships/oleObject" Target="embeddings/oleObject126.bin"/><Relationship Id="rId312" Type="http://schemas.openxmlformats.org/officeDocument/2006/relationships/image" Target="media/image34.png"/><Relationship Id="rId311" Type="http://schemas.openxmlformats.org/officeDocument/2006/relationships/oleObject" Target="embeddings/oleObject125.bin"/><Relationship Id="rId310" Type="http://schemas.openxmlformats.org/officeDocument/2006/relationships/oleObject" Target="embeddings/oleObject124.bin"/><Relationship Id="rId31" Type="http://schemas.openxmlformats.org/officeDocument/2006/relationships/footer" Target="footer16.xml"/><Relationship Id="rId309" Type="http://schemas.openxmlformats.org/officeDocument/2006/relationships/oleObject" Target="embeddings/oleObject123.bin"/><Relationship Id="rId308" Type="http://schemas.openxmlformats.org/officeDocument/2006/relationships/oleObject" Target="embeddings/oleObject122.bin"/><Relationship Id="rId307" Type="http://schemas.openxmlformats.org/officeDocument/2006/relationships/oleObject" Target="embeddings/oleObject121.bin"/><Relationship Id="rId306" Type="http://schemas.openxmlformats.org/officeDocument/2006/relationships/oleObject" Target="embeddings/oleObject120.bin"/><Relationship Id="rId305" Type="http://schemas.openxmlformats.org/officeDocument/2006/relationships/image" Target="media/image33.png"/><Relationship Id="rId304" Type="http://schemas.openxmlformats.org/officeDocument/2006/relationships/image" Target="media/image32.png"/><Relationship Id="rId303" Type="http://schemas.openxmlformats.org/officeDocument/2006/relationships/oleObject" Target="embeddings/oleObject119.bin"/><Relationship Id="rId302" Type="http://schemas.openxmlformats.org/officeDocument/2006/relationships/oleObject" Target="embeddings/oleObject118.bin"/><Relationship Id="rId301" Type="http://schemas.openxmlformats.org/officeDocument/2006/relationships/oleObject" Target="embeddings/oleObject117.bin"/><Relationship Id="rId300" Type="http://schemas.openxmlformats.org/officeDocument/2006/relationships/oleObject" Target="embeddings/oleObject116.bin"/><Relationship Id="rId30" Type="http://schemas.openxmlformats.org/officeDocument/2006/relationships/header" Target="header13.xml"/><Relationship Id="rId3" Type="http://schemas.openxmlformats.org/officeDocument/2006/relationships/header" Target="header1.xml"/><Relationship Id="rId299" Type="http://schemas.openxmlformats.org/officeDocument/2006/relationships/oleObject" Target="embeddings/oleObject115.bin"/><Relationship Id="rId298" Type="http://schemas.openxmlformats.org/officeDocument/2006/relationships/oleObject" Target="embeddings/oleObject114.bin"/><Relationship Id="rId297" Type="http://schemas.openxmlformats.org/officeDocument/2006/relationships/oleObject" Target="embeddings/oleObject113.bin"/><Relationship Id="rId296" Type="http://schemas.openxmlformats.org/officeDocument/2006/relationships/oleObject" Target="embeddings/oleObject112.bin"/><Relationship Id="rId295" Type="http://schemas.openxmlformats.org/officeDocument/2006/relationships/oleObject" Target="embeddings/oleObject111.bin"/><Relationship Id="rId294" Type="http://schemas.openxmlformats.org/officeDocument/2006/relationships/oleObject" Target="embeddings/oleObject110.bin"/><Relationship Id="rId293" Type="http://schemas.openxmlformats.org/officeDocument/2006/relationships/oleObject" Target="embeddings/oleObject109.bin"/><Relationship Id="rId292" Type="http://schemas.openxmlformats.org/officeDocument/2006/relationships/oleObject" Target="embeddings/oleObject108.bin"/><Relationship Id="rId291" Type="http://schemas.openxmlformats.org/officeDocument/2006/relationships/oleObject" Target="embeddings/oleObject107.bin"/><Relationship Id="rId290" Type="http://schemas.openxmlformats.org/officeDocument/2006/relationships/oleObject" Target="embeddings/oleObject106.bin"/><Relationship Id="rId29" Type="http://schemas.openxmlformats.org/officeDocument/2006/relationships/header" Target="header12.xml"/><Relationship Id="rId289" Type="http://schemas.openxmlformats.org/officeDocument/2006/relationships/oleObject" Target="embeddings/oleObject105.bin"/><Relationship Id="rId288" Type="http://schemas.openxmlformats.org/officeDocument/2006/relationships/oleObject" Target="embeddings/oleObject104.bin"/><Relationship Id="rId287" Type="http://schemas.openxmlformats.org/officeDocument/2006/relationships/oleObject" Target="embeddings/oleObject103.bin"/><Relationship Id="rId286" Type="http://schemas.openxmlformats.org/officeDocument/2006/relationships/oleObject" Target="embeddings/oleObject102.bin"/><Relationship Id="rId285" Type="http://schemas.openxmlformats.org/officeDocument/2006/relationships/oleObject" Target="embeddings/oleObject101.bin"/><Relationship Id="rId284" Type="http://schemas.openxmlformats.org/officeDocument/2006/relationships/oleObject" Target="embeddings/oleObject100.bin"/><Relationship Id="rId283" Type="http://schemas.openxmlformats.org/officeDocument/2006/relationships/oleObject" Target="embeddings/oleObject99.bin"/><Relationship Id="rId282" Type="http://schemas.openxmlformats.org/officeDocument/2006/relationships/oleObject" Target="embeddings/oleObject98.bin"/><Relationship Id="rId281" Type="http://schemas.openxmlformats.org/officeDocument/2006/relationships/oleObject" Target="embeddings/oleObject97.bin"/><Relationship Id="rId280" Type="http://schemas.openxmlformats.org/officeDocument/2006/relationships/oleObject" Target="embeddings/oleObject96.bin"/><Relationship Id="rId28" Type="http://schemas.openxmlformats.org/officeDocument/2006/relationships/header" Target="header11.xml"/><Relationship Id="rId279" Type="http://schemas.openxmlformats.org/officeDocument/2006/relationships/oleObject" Target="embeddings/oleObject95.bin"/><Relationship Id="rId278" Type="http://schemas.openxmlformats.org/officeDocument/2006/relationships/oleObject" Target="embeddings/oleObject94.bin"/><Relationship Id="rId277" Type="http://schemas.openxmlformats.org/officeDocument/2006/relationships/oleObject" Target="embeddings/oleObject93.bin"/><Relationship Id="rId276" Type="http://schemas.openxmlformats.org/officeDocument/2006/relationships/oleObject" Target="embeddings/oleObject92.bin"/><Relationship Id="rId275" Type="http://schemas.openxmlformats.org/officeDocument/2006/relationships/oleObject" Target="embeddings/oleObject91.bin"/><Relationship Id="rId274" Type="http://schemas.openxmlformats.org/officeDocument/2006/relationships/oleObject" Target="embeddings/oleObject90.bin"/><Relationship Id="rId273" Type="http://schemas.openxmlformats.org/officeDocument/2006/relationships/oleObject" Target="embeddings/oleObject89.bin"/><Relationship Id="rId272" Type="http://schemas.openxmlformats.org/officeDocument/2006/relationships/oleObject" Target="embeddings/oleObject88.bin"/><Relationship Id="rId271" Type="http://schemas.openxmlformats.org/officeDocument/2006/relationships/oleObject" Target="embeddings/oleObject87.bin"/><Relationship Id="rId270" Type="http://schemas.openxmlformats.org/officeDocument/2006/relationships/oleObject" Target="embeddings/oleObject86.bin"/><Relationship Id="rId27" Type="http://schemas.openxmlformats.org/officeDocument/2006/relationships/footer" Target="footer15.xml"/><Relationship Id="rId269" Type="http://schemas.openxmlformats.org/officeDocument/2006/relationships/oleObject" Target="embeddings/oleObject85.bin"/><Relationship Id="rId268" Type="http://schemas.openxmlformats.org/officeDocument/2006/relationships/oleObject" Target="embeddings/oleObject84.bin"/><Relationship Id="rId267" Type="http://schemas.openxmlformats.org/officeDocument/2006/relationships/oleObject" Target="embeddings/oleObject83.bin"/><Relationship Id="rId266" Type="http://schemas.openxmlformats.org/officeDocument/2006/relationships/oleObject" Target="embeddings/oleObject82.bin"/><Relationship Id="rId265" Type="http://schemas.openxmlformats.org/officeDocument/2006/relationships/oleObject" Target="embeddings/oleObject81.bin"/><Relationship Id="rId264" Type="http://schemas.openxmlformats.org/officeDocument/2006/relationships/oleObject" Target="embeddings/oleObject80.bin"/><Relationship Id="rId263" Type="http://schemas.openxmlformats.org/officeDocument/2006/relationships/oleObject" Target="embeddings/oleObject79.bin"/><Relationship Id="rId262" Type="http://schemas.openxmlformats.org/officeDocument/2006/relationships/oleObject" Target="embeddings/oleObject78.bin"/><Relationship Id="rId261" Type="http://schemas.openxmlformats.org/officeDocument/2006/relationships/image" Target="media/image31.png"/><Relationship Id="rId260" Type="http://schemas.openxmlformats.org/officeDocument/2006/relationships/image" Target="media/image30.png"/><Relationship Id="rId26" Type="http://schemas.openxmlformats.org/officeDocument/2006/relationships/header" Target="header10.xml"/><Relationship Id="rId259" Type="http://schemas.openxmlformats.org/officeDocument/2006/relationships/oleObject" Target="embeddings/oleObject77.bin"/><Relationship Id="rId258" Type="http://schemas.openxmlformats.org/officeDocument/2006/relationships/oleObject" Target="embeddings/oleObject76.bin"/><Relationship Id="rId257" Type="http://schemas.openxmlformats.org/officeDocument/2006/relationships/oleObject" Target="embeddings/oleObject75.bin"/><Relationship Id="rId256" Type="http://schemas.openxmlformats.org/officeDocument/2006/relationships/oleObject" Target="embeddings/oleObject74.bin"/><Relationship Id="rId255" Type="http://schemas.openxmlformats.org/officeDocument/2006/relationships/oleObject" Target="embeddings/oleObject73.bin"/><Relationship Id="rId254" Type="http://schemas.openxmlformats.org/officeDocument/2006/relationships/oleObject" Target="embeddings/oleObject72.bin"/><Relationship Id="rId253" Type="http://schemas.openxmlformats.org/officeDocument/2006/relationships/oleObject" Target="embeddings/oleObject71.bin"/><Relationship Id="rId252" Type="http://schemas.openxmlformats.org/officeDocument/2006/relationships/oleObject" Target="embeddings/oleObject70.bin"/><Relationship Id="rId251" Type="http://schemas.openxmlformats.org/officeDocument/2006/relationships/oleObject" Target="embeddings/oleObject69.bin"/><Relationship Id="rId250" Type="http://schemas.openxmlformats.org/officeDocument/2006/relationships/oleObject" Target="embeddings/oleObject68.bin"/><Relationship Id="rId25" Type="http://schemas.openxmlformats.org/officeDocument/2006/relationships/header" Target="header9.xml"/><Relationship Id="rId249" Type="http://schemas.openxmlformats.org/officeDocument/2006/relationships/oleObject" Target="embeddings/oleObject67.bin"/><Relationship Id="rId248" Type="http://schemas.openxmlformats.org/officeDocument/2006/relationships/oleObject" Target="embeddings/oleObject66.bin"/><Relationship Id="rId247" Type="http://schemas.openxmlformats.org/officeDocument/2006/relationships/oleObject" Target="embeddings/oleObject65.bin"/><Relationship Id="rId246" Type="http://schemas.openxmlformats.org/officeDocument/2006/relationships/oleObject" Target="embeddings/oleObject64.bin"/><Relationship Id="rId245" Type="http://schemas.openxmlformats.org/officeDocument/2006/relationships/oleObject" Target="embeddings/oleObject63.bin"/><Relationship Id="rId244" Type="http://schemas.openxmlformats.org/officeDocument/2006/relationships/oleObject" Target="embeddings/oleObject62.bin"/><Relationship Id="rId243" Type="http://schemas.openxmlformats.org/officeDocument/2006/relationships/oleObject" Target="embeddings/oleObject61.bin"/><Relationship Id="rId242" Type="http://schemas.openxmlformats.org/officeDocument/2006/relationships/oleObject" Target="embeddings/oleObject60.bin"/><Relationship Id="rId241" Type="http://schemas.openxmlformats.org/officeDocument/2006/relationships/oleObject" Target="embeddings/oleObject59.bin"/><Relationship Id="rId240" Type="http://schemas.openxmlformats.org/officeDocument/2006/relationships/oleObject" Target="embeddings/oleObject58.bin"/><Relationship Id="rId24" Type="http://schemas.openxmlformats.org/officeDocument/2006/relationships/footer" Target="footer14.xml"/><Relationship Id="rId239" Type="http://schemas.openxmlformats.org/officeDocument/2006/relationships/oleObject" Target="embeddings/oleObject57.bin"/><Relationship Id="rId238" Type="http://schemas.openxmlformats.org/officeDocument/2006/relationships/oleObject" Target="embeddings/oleObject56.bin"/><Relationship Id="rId237" Type="http://schemas.openxmlformats.org/officeDocument/2006/relationships/oleObject" Target="embeddings/oleObject55.bin"/><Relationship Id="rId236" Type="http://schemas.openxmlformats.org/officeDocument/2006/relationships/oleObject" Target="embeddings/oleObject54.bin"/><Relationship Id="rId235" Type="http://schemas.openxmlformats.org/officeDocument/2006/relationships/oleObject" Target="embeddings/oleObject53.bin"/><Relationship Id="rId234" Type="http://schemas.openxmlformats.org/officeDocument/2006/relationships/oleObject" Target="embeddings/oleObject52.bin"/><Relationship Id="rId233" Type="http://schemas.openxmlformats.org/officeDocument/2006/relationships/oleObject" Target="embeddings/oleObject51.bin"/><Relationship Id="rId232" Type="http://schemas.openxmlformats.org/officeDocument/2006/relationships/oleObject" Target="embeddings/oleObject50.bin"/><Relationship Id="rId231" Type="http://schemas.openxmlformats.org/officeDocument/2006/relationships/oleObject" Target="embeddings/oleObject49.bin"/><Relationship Id="rId230" Type="http://schemas.openxmlformats.org/officeDocument/2006/relationships/oleObject" Target="embeddings/oleObject48.bin"/><Relationship Id="rId23" Type="http://schemas.openxmlformats.org/officeDocument/2006/relationships/footer" Target="footer13.xml"/><Relationship Id="rId229" Type="http://schemas.openxmlformats.org/officeDocument/2006/relationships/oleObject" Target="embeddings/oleObject47.bin"/><Relationship Id="rId228" Type="http://schemas.openxmlformats.org/officeDocument/2006/relationships/oleObject" Target="embeddings/oleObject46.bin"/><Relationship Id="rId227" Type="http://schemas.openxmlformats.org/officeDocument/2006/relationships/oleObject" Target="embeddings/oleObject45.bin"/><Relationship Id="rId226" Type="http://schemas.openxmlformats.org/officeDocument/2006/relationships/oleObject" Target="embeddings/oleObject44.bin"/><Relationship Id="rId225" Type="http://schemas.openxmlformats.org/officeDocument/2006/relationships/oleObject" Target="embeddings/oleObject43.bin"/><Relationship Id="rId224" Type="http://schemas.openxmlformats.org/officeDocument/2006/relationships/oleObject" Target="embeddings/oleObject42.bin"/><Relationship Id="rId223" Type="http://schemas.openxmlformats.org/officeDocument/2006/relationships/oleObject" Target="embeddings/oleObject41.bin"/><Relationship Id="rId222" Type="http://schemas.openxmlformats.org/officeDocument/2006/relationships/oleObject" Target="embeddings/oleObject40.bin"/><Relationship Id="rId221" Type="http://schemas.openxmlformats.org/officeDocument/2006/relationships/oleObject" Target="embeddings/oleObject39.bin"/><Relationship Id="rId220" Type="http://schemas.openxmlformats.org/officeDocument/2006/relationships/oleObject" Target="embeddings/oleObject38.bin"/><Relationship Id="rId22" Type="http://schemas.openxmlformats.org/officeDocument/2006/relationships/footer" Target="footer12.xml"/><Relationship Id="rId219" Type="http://schemas.openxmlformats.org/officeDocument/2006/relationships/oleObject" Target="embeddings/oleObject37.bin"/><Relationship Id="rId218" Type="http://schemas.openxmlformats.org/officeDocument/2006/relationships/oleObject" Target="embeddings/oleObject36.bin"/><Relationship Id="rId217" Type="http://schemas.openxmlformats.org/officeDocument/2006/relationships/oleObject" Target="embeddings/oleObject35.bin"/><Relationship Id="rId216" Type="http://schemas.openxmlformats.org/officeDocument/2006/relationships/oleObject" Target="embeddings/oleObject34.bin"/><Relationship Id="rId215" Type="http://schemas.openxmlformats.org/officeDocument/2006/relationships/oleObject" Target="embeddings/oleObject33.bin"/><Relationship Id="rId214" Type="http://schemas.openxmlformats.org/officeDocument/2006/relationships/oleObject" Target="embeddings/oleObject32.bin"/><Relationship Id="rId213" Type="http://schemas.openxmlformats.org/officeDocument/2006/relationships/oleObject" Target="embeddings/oleObject31.bin"/><Relationship Id="rId212" Type="http://schemas.openxmlformats.org/officeDocument/2006/relationships/oleObject" Target="embeddings/oleObject30.bin"/><Relationship Id="rId211" Type="http://schemas.openxmlformats.org/officeDocument/2006/relationships/image" Target="media/image29.wmf"/><Relationship Id="rId210" Type="http://schemas.openxmlformats.org/officeDocument/2006/relationships/oleObject" Target="embeddings/oleObject29.bin"/><Relationship Id="rId21" Type="http://schemas.openxmlformats.org/officeDocument/2006/relationships/footer" Target="footer11.xml"/><Relationship Id="rId209" Type="http://schemas.openxmlformats.org/officeDocument/2006/relationships/image" Target="media/image28.wmf"/><Relationship Id="rId208" Type="http://schemas.openxmlformats.org/officeDocument/2006/relationships/oleObject" Target="embeddings/oleObject28.bin"/><Relationship Id="rId207" Type="http://schemas.openxmlformats.org/officeDocument/2006/relationships/image" Target="media/image27.wmf"/><Relationship Id="rId206" Type="http://schemas.openxmlformats.org/officeDocument/2006/relationships/oleObject" Target="embeddings/oleObject27.bin"/><Relationship Id="rId205" Type="http://schemas.openxmlformats.org/officeDocument/2006/relationships/image" Target="media/image26.wmf"/><Relationship Id="rId204" Type="http://schemas.openxmlformats.org/officeDocument/2006/relationships/oleObject" Target="embeddings/oleObject26.bin"/><Relationship Id="rId203" Type="http://schemas.openxmlformats.org/officeDocument/2006/relationships/image" Target="media/image25.wmf"/><Relationship Id="rId202" Type="http://schemas.openxmlformats.org/officeDocument/2006/relationships/oleObject" Target="embeddings/oleObject25.bin"/><Relationship Id="rId201" Type="http://schemas.openxmlformats.org/officeDocument/2006/relationships/image" Target="media/image24.wmf"/><Relationship Id="rId200" Type="http://schemas.openxmlformats.org/officeDocument/2006/relationships/oleObject" Target="embeddings/oleObject24.bin"/><Relationship Id="rId20" Type="http://schemas.openxmlformats.org/officeDocument/2006/relationships/footer" Target="footer10.xml"/><Relationship Id="rId2" Type="http://schemas.openxmlformats.org/officeDocument/2006/relationships/settings" Target="settings.xml"/><Relationship Id="rId199" Type="http://schemas.openxmlformats.org/officeDocument/2006/relationships/image" Target="media/image23.wmf"/><Relationship Id="rId198" Type="http://schemas.openxmlformats.org/officeDocument/2006/relationships/oleObject" Target="embeddings/oleObject23.bin"/><Relationship Id="rId197" Type="http://schemas.openxmlformats.org/officeDocument/2006/relationships/image" Target="media/image22.wmf"/><Relationship Id="rId196" Type="http://schemas.openxmlformats.org/officeDocument/2006/relationships/oleObject" Target="embeddings/oleObject22.bin"/><Relationship Id="rId195" Type="http://schemas.openxmlformats.org/officeDocument/2006/relationships/image" Target="media/image21.wmf"/><Relationship Id="rId194" Type="http://schemas.openxmlformats.org/officeDocument/2006/relationships/oleObject" Target="embeddings/oleObject21.bin"/><Relationship Id="rId193" Type="http://schemas.openxmlformats.org/officeDocument/2006/relationships/image" Target="media/image20.wmf"/><Relationship Id="rId192" Type="http://schemas.openxmlformats.org/officeDocument/2006/relationships/oleObject" Target="embeddings/oleObject20.bin"/><Relationship Id="rId191" Type="http://schemas.openxmlformats.org/officeDocument/2006/relationships/image" Target="media/image19.wmf"/><Relationship Id="rId190" Type="http://schemas.openxmlformats.org/officeDocument/2006/relationships/oleObject" Target="embeddings/oleObject19.bin"/><Relationship Id="rId19" Type="http://schemas.openxmlformats.org/officeDocument/2006/relationships/footer" Target="footer9.xml"/><Relationship Id="rId189" Type="http://schemas.openxmlformats.org/officeDocument/2006/relationships/image" Target="media/image18.wmf"/><Relationship Id="rId188" Type="http://schemas.openxmlformats.org/officeDocument/2006/relationships/oleObject" Target="embeddings/oleObject18.bin"/><Relationship Id="rId187" Type="http://schemas.openxmlformats.org/officeDocument/2006/relationships/image" Target="media/image17.wmf"/><Relationship Id="rId186" Type="http://schemas.openxmlformats.org/officeDocument/2006/relationships/oleObject" Target="embeddings/oleObject17.bin"/><Relationship Id="rId185" Type="http://schemas.openxmlformats.org/officeDocument/2006/relationships/image" Target="media/image16.wmf"/><Relationship Id="rId184" Type="http://schemas.openxmlformats.org/officeDocument/2006/relationships/oleObject" Target="embeddings/oleObject16.bin"/><Relationship Id="rId183" Type="http://schemas.openxmlformats.org/officeDocument/2006/relationships/oleObject" Target="embeddings/oleObject15.bin"/><Relationship Id="rId182" Type="http://schemas.openxmlformats.org/officeDocument/2006/relationships/image" Target="media/image15.wmf"/><Relationship Id="rId181" Type="http://schemas.openxmlformats.org/officeDocument/2006/relationships/oleObject" Target="embeddings/oleObject14.bin"/><Relationship Id="rId180" Type="http://schemas.openxmlformats.org/officeDocument/2006/relationships/image" Target="media/image14.wmf"/><Relationship Id="rId18" Type="http://schemas.openxmlformats.org/officeDocument/2006/relationships/header" Target="header8.xml"/><Relationship Id="rId179" Type="http://schemas.openxmlformats.org/officeDocument/2006/relationships/oleObject" Target="embeddings/oleObject13.bin"/><Relationship Id="rId178" Type="http://schemas.openxmlformats.org/officeDocument/2006/relationships/image" Target="media/image13.wmf"/><Relationship Id="rId177" Type="http://schemas.openxmlformats.org/officeDocument/2006/relationships/oleObject" Target="embeddings/oleObject12.bin"/><Relationship Id="rId176" Type="http://schemas.openxmlformats.org/officeDocument/2006/relationships/image" Target="media/image12.wmf"/><Relationship Id="rId175" Type="http://schemas.openxmlformats.org/officeDocument/2006/relationships/oleObject" Target="embeddings/oleObject11.bin"/><Relationship Id="rId174" Type="http://schemas.openxmlformats.org/officeDocument/2006/relationships/image" Target="media/image11.wmf"/><Relationship Id="rId173" Type="http://schemas.openxmlformats.org/officeDocument/2006/relationships/oleObject" Target="embeddings/oleObject10.bin"/><Relationship Id="rId172" Type="http://schemas.openxmlformats.org/officeDocument/2006/relationships/image" Target="media/image10.wmf"/><Relationship Id="rId171" Type="http://schemas.openxmlformats.org/officeDocument/2006/relationships/oleObject" Target="embeddings/oleObject9.bin"/><Relationship Id="rId170" Type="http://schemas.openxmlformats.org/officeDocument/2006/relationships/image" Target="media/image9.wmf"/><Relationship Id="rId17" Type="http://schemas.openxmlformats.org/officeDocument/2006/relationships/header" Target="header7.xml"/><Relationship Id="rId169" Type="http://schemas.openxmlformats.org/officeDocument/2006/relationships/oleObject" Target="embeddings/oleObject8.bin"/><Relationship Id="rId168" Type="http://schemas.openxmlformats.org/officeDocument/2006/relationships/image" Target="media/image8.wmf"/><Relationship Id="rId167" Type="http://schemas.openxmlformats.org/officeDocument/2006/relationships/oleObject" Target="embeddings/oleObject7.bin"/><Relationship Id="rId166" Type="http://schemas.openxmlformats.org/officeDocument/2006/relationships/image" Target="media/image7.wmf"/><Relationship Id="rId165" Type="http://schemas.openxmlformats.org/officeDocument/2006/relationships/oleObject" Target="embeddings/oleObject6.bin"/><Relationship Id="rId164" Type="http://schemas.openxmlformats.org/officeDocument/2006/relationships/image" Target="media/image6.wmf"/><Relationship Id="rId163" Type="http://schemas.openxmlformats.org/officeDocument/2006/relationships/image" Target="media/image5.wmf"/><Relationship Id="rId162" Type="http://schemas.openxmlformats.org/officeDocument/2006/relationships/oleObject" Target="embeddings/oleObject5.bin"/><Relationship Id="rId161" Type="http://schemas.openxmlformats.org/officeDocument/2006/relationships/image" Target="media/image4.wmf"/><Relationship Id="rId160" Type="http://schemas.openxmlformats.org/officeDocument/2006/relationships/oleObject" Target="embeddings/oleObject4.bin"/><Relationship Id="rId16" Type="http://schemas.openxmlformats.org/officeDocument/2006/relationships/header" Target="header6.xml"/><Relationship Id="rId159" Type="http://schemas.openxmlformats.org/officeDocument/2006/relationships/image" Target="media/image3.wmf"/><Relationship Id="rId158" Type="http://schemas.openxmlformats.org/officeDocument/2006/relationships/oleObject" Target="embeddings/oleObject3.bin"/><Relationship Id="rId157" Type="http://schemas.openxmlformats.org/officeDocument/2006/relationships/image" Target="media/image2.wmf"/><Relationship Id="rId156" Type="http://schemas.openxmlformats.org/officeDocument/2006/relationships/oleObject" Target="embeddings/oleObject2.bin"/><Relationship Id="rId155" Type="http://schemas.openxmlformats.org/officeDocument/2006/relationships/image" Target="media/image1.wmf"/><Relationship Id="rId154" Type="http://schemas.openxmlformats.org/officeDocument/2006/relationships/oleObject" Target="embeddings/oleObject1.bin"/><Relationship Id="rId153" Type="http://schemas.openxmlformats.org/officeDocument/2006/relationships/theme" Target="theme/theme1.xml"/><Relationship Id="rId152" Type="http://schemas.openxmlformats.org/officeDocument/2006/relationships/footer" Target="footer83.xml"/><Relationship Id="rId151" Type="http://schemas.openxmlformats.org/officeDocument/2006/relationships/footer" Target="footer82.xml"/><Relationship Id="rId150" Type="http://schemas.openxmlformats.org/officeDocument/2006/relationships/footer" Target="footer81.xml"/><Relationship Id="rId15" Type="http://schemas.openxmlformats.org/officeDocument/2006/relationships/footer" Target="footer8.xml"/><Relationship Id="rId149" Type="http://schemas.openxmlformats.org/officeDocument/2006/relationships/footer" Target="footer80.xml"/><Relationship Id="rId148" Type="http://schemas.openxmlformats.org/officeDocument/2006/relationships/footer" Target="footer79.xml"/><Relationship Id="rId147" Type="http://schemas.openxmlformats.org/officeDocument/2006/relationships/footer" Target="footer78.xml"/><Relationship Id="rId146" Type="http://schemas.openxmlformats.org/officeDocument/2006/relationships/footer" Target="footer77.xml"/><Relationship Id="rId145" Type="http://schemas.openxmlformats.org/officeDocument/2006/relationships/footer" Target="footer76.xml"/><Relationship Id="rId144" Type="http://schemas.openxmlformats.org/officeDocument/2006/relationships/footer" Target="footer75.xml"/><Relationship Id="rId143" Type="http://schemas.openxmlformats.org/officeDocument/2006/relationships/header" Target="header67.xml"/><Relationship Id="rId142" Type="http://schemas.openxmlformats.org/officeDocument/2006/relationships/header" Target="header66.xml"/><Relationship Id="rId141" Type="http://schemas.openxmlformats.org/officeDocument/2006/relationships/header" Target="header65.xml"/><Relationship Id="rId140" Type="http://schemas.openxmlformats.org/officeDocument/2006/relationships/footer" Target="footer74.xml"/><Relationship Id="rId14" Type="http://schemas.openxmlformats.org/officeDocument/2006/relationships/footer" Target="footer7.xml"/><Relationship Id="rId139" Type="http://schemas.openxmlformats.org/officeDocument/2006/relationships/footer" Target="footer73.xml"/><Relationship Id="rId138" Type="http://schemas.openxmlformats.org/officeDocument/2006/relationships/footer" Target="footer72.xml"/><Relationship Id="rId137" Type="http://schemas.openxmlformats.org/officeDocument/2006/relationships/header" Target="header64.xml"/><Relationship Id="rId136" Type="http://schemas.openxmlformats.org/officeDocument/2006/relationships/header" Target="header63.xml"/><Relationship Id="rId135" Type="http://schemas.openxmlformats.org/officeDocument/2006/relationships/header" Target="header62.xml"/><Relationship Id="rId134" Type="http://schemas.openxmlformats.org/officeDocument/2006/relationships/footer" Target="footer71.xml"/><Relationship Id="rId133" Type="http://schemas.openxmlformats.org/officeDocument/2006/relationships/footer" Target="footer70.xml"/><Relationship Id="rId132" Type="http://schemas.openxmlformats.org/officeDocument/2006/relationships/footer" Target="footer69.xml"/><Relationship Id="rId131" Type="http://schemas.openxmlformats.org/officeDocument/2006/relationships/header" Target="header61.xml"/><Relationship Id="rId130" Type="http://schemas.openxmlformats.org/officeDocument/2006/relationships/header" Target="header60.xml"/><Relationship Id="rId13" Type="http://schemas.openxmlformats.org/officeDocument/2006/relationships/footer" Target="footer6.xml"/><Relationship Id="rId129" Type="http://schemas.openxmlformats.org/officeDocument/2006/relationships/header" Target="header59.xml"/><Relationship Id="rId128" Type="http://schemas.openxmlformats.org/officeDocument/2006/relationships/footer" Target="footer68.xml"/><Relationship Id="rId127" Type="http://schemas.openxmlformats.org/officeDocument/2006/relationships/footer" Target="footer67.xml"/><Relationship Id="rId126" Type="http://schemas.openxmlformats.org/officeDocument/2006/relationships/footer" Target="footer66.xml"/><Relationship Id="rId125" Type="http://schemas.openxmlformats.org/officeDocument/2006/relationships/footer" Target="footer65.xml"/><Relationship Id="rId124" Type="http://schemas.openxmlformats.org/officeDocument/2006/relationships/header" Target="header58.xml"/><Relationship Id="rId123" Type="http://schemas.openxmlformats.org/officeDocument/2006/relationships/header" Target="header57.xml"/><Relationship Id="rId122" Type="http://schemas.openxmlformats.org/officeDocument/2006/relationships/header" Target="header56.xml"/><Relationship Id="rId121" Type="http://schemas.openxmlformats.org/officeDocument/2006/relationships/footer" Target="footer64.xml"/><Relationship Id="rId120" Type="http://schemas.openxmlformats.org/officeDocument/2006/relationships/footer" Target="footer63.xml"/><Relationship Id="rId12" Type="http://schemas.openxmlformats.org/officeDocument/2006/relationships/header" Target="header5.xml"/><Relationship Id="rId119" Type="http://schemas.openxmlformats.org/officeDocument/2006/relationships/footer" Target="footer62.xml"/><Relationship Id="rId118" Type="http://schemas.openxmlformats.org/officeDocument/2006/relationships/header" Target="header55.xml"/><Relationship Id="rId117" Type="http://schemas.openxmlformats.org/officeDocument/2006/relationships/header" Target="header54.xml"/><Relationship Id="rId116" Type="http://schemas.openxmlformats.org/officeDocument/2006/relationships/header" Target="header53.xml"/><Relationship Id="rId115" Type="http://schemas.openxmlformats.org/officeDocument/2006/relationships/footer" Target="footer61.xml"/><Relationship Id="rId114" Type="http://schemas.openxmlformats.org/officeDocument/2006/relationships/footer" Target="footer60.xml"/><Relationship Id="rId113" Type="http://schemas.openxmlformats.org/officeDocument/2006/relationships/footer" Target="footer59.xml"/><Relationship Id="rId112" Type="http://schemas.openxmlformats.org/officeDocument/2006/relationships/header" Target="header52.xml"/><Relationship Id="rId111" Type="http://schemas.openxmlformats.org/officeDocument/2006/relationships/header" Target="header51.xml"/><Relationship Id="rId110" Type="http://schemas.openxmlformats.org/officeDocument/2006/relationships/header" Target="header50.xml"/><Relationship Id="rId11" Type="http://schemas.openxmlformats.org/officeDocument/2006/relationships/header" Target="header4.xml"/><Relationship Id="rId109" Type="http://schemas.openxmlformats.org/officeDocument/2006/relationships/footer" Target="footer58.xml"/><Relationship Id="rId108" Type="http://schemas.openxmlformats.org/officeDocument/2006/relationships/footer" Target="footer57.xml"/><Relationship Id="rId107" Type="http://schemas.openxmlformats.org/officeDocument/2006/relationships/footer" Target="footer56.xml"/><Relationship Id="rId106" Type="http://schemas.openxmlformats.org/officeDocument/2006/relationships/header" Target="header49.xml"/><Relationship Id="rId105" Type="http://schemas.openxmlformats.org/officeDocument/2006/relationships/header" Target="header48.xml"/><Relationship Id="rId104" Type="http://schemas.openxmlformats.org/officeDocument/2006/relationships/header" Target="header47.xml"/><Relationship Id="rId103" Type="http://schemas.openxmlformats.org/officeDocument/2006/relationships/footer" Target="footer55.xml"/><Relationship Id="rId102" Type="http://schemas.openxmlformats.org/officeDocument/2006/relationships/footer" Target="footer54.xml"/><Relationship Id="rId101" Type="http://schemas.openxmlformats.org/officeDocument/2006/relationships/footer" Target="footer53.xml"/><Relationship Id="rId100" Type="http://schemas.openxmlformats.org/officeDocument/2006/relationships/header" Target="header4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16697 121635 136,'57'13'401,"-4"-13"-794,-3 0 312,3-5-144</inkml:trace>
</inkml:ink>
</file>

<file path=customXml/item1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11076 18316 136,'40'4'284</inkml:trace>
</inkml:ink>
</file>

<file path=customXml/item1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4 0 136,'-4'48'-5</inkml:trace>
</inkml:ink>
</file>

<file path=customXml/item1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0 136,'54'15'246,"-7"-1"-397,9-2 88,21 3 75,-23-5-26,9 0-16,2 32-132</inkml:trace>
</inkml:ink>
</file>

<file path=customXml/item1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19081 33125 136,'12'52'547,"-12"9"-1011,0 4 402,0-9-15</inkml:trace>
</inkml:ink>
</file>

<file path=customXml/item15.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18217 34404 173,'-47'52'346,"22"-2"-660,9 14 305,3-14-3,1-2-18,-5 3-138</inkml:trace>
</inkml:ink>
</file>

<file path=customXml/item16.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16500 20401 136,'36'27'421</inkml:trace>
</inkml:ink>
</file>

<file path=customXml/item17.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18709 55383 136,'17'73'628,"-41"-25"-1447</inkml:trace>
</inkml:ink>
</file>

<file path=customXml/item18.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17228 99577 140,'44'57'648,"6"-30"-1402,2-6 514</inkml:trace>
</inkml:ink>
</file>

<file path=customXml/item19.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29 136,'37'-29'21</inkml:trace>
</inkml:ink>
</file>

<file path=customXml/item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13861 112816 136,'58'-56'469,"9"37"-1020,-34 76 494</inkml:trace>
</inkml:ink>
</file>

<file path=customXml/item20.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12495 21753 145,'-4'47'366</inkml:trace>
</inkml:ink>
</file>

<file path=customXml/item2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0 136,'45'77'350</inkml:trace>
</inkml:ink>
</file>

<file path=customXml/item2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7422 15218 136,'21'57'460,"45"-71"-1035</inkml:trace>
</inkml:ink>
</file>

<file path=customXml/item2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10217 14324 137,'36'38'284,"-17"1"-985</inkml:trace>
</inkml:ink>
</file>

<file path=customXml/item2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19012 15729 136,'51'-2'67,"6"-28"-106,-2-32 47,-29 8-26,3 4 22,-10 1-9,-18-5-9,-50 39 30,-3 70-5,26-5-26,11 13 23,20-3-15,31-9 3,15-53 20,13-40-70,-6 6 29,-4 1-4,-6-1-112</inkml:trace>
</inkml:ink>
</file>

<file path=customXml/item25.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19160 14090 136,'37'-50'556,"14"54"-1051,-62 59 450,3-7-63,37-6-273</inkml:trace>
</inkml:ink>
</file>

<file path=customXml/item26.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4 0 136,'-4'48'-5</inkml:trace>
</inkml:ink>
</file>

<file path=customXml/item27.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9597 12555 136,'0'46'6</inkml:trace>
</inkml:ink>
</file>

<file path=customXml/item28.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0 136,'0'79'204</inkml:trace>
</inkml:ink>
</file>

<file path=customXml/item29.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8 0 136,'-8'35'55</inkml:trace>
</inkml:ink>
</file>

<file path=customXml/item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15940 20650 136,'10'-50'0</inkml:trace>
</inkml:ink>
</file>

<file path=customXml/item30.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20404 145572 136,'-3'36'431,"-34"-24"-1165</inkml:trace>
</inkml:ink>
</file>

<file path=customXml/item3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19203 33064 136,'6'74'586,"-23"-10"-1144,-3 33 548,-3-6 2,-10-10 4,4-10 5,2-14-2,79-39 14,5-45-17,-3-1 1,9 2 1,10-9-4,-21-5-151</inkml:trace>
</inkml:ink>
</file>

<file path=customXml/item3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5 0 432,'-5'36'-217</inkml:trace>
</inkml:ink>
</file>

<file path=customXml/item3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18272 55479 136,'18'38'575,"-37"-1"-1192</inkml:trace>
</inkml:ink>
</file>

<file path=customXml/item3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17596 34143 163,'-7'63'222,"3"-10"-411,52-48 242,-17-62-122,3 122 33,-39 7 53,-1 1-13,-2 12-3,4 7 1,1-33-3,-3 9 3,2-5-3,1-8 2,0 11 5,-2 4 18,9-122-93,-4 1 46,0-9 36,7-4 1,2 1 2,-2 13-9,8-31-13,-3 32 8,13-7 16,28 40 24,6 43-36,5 54-13,-41-33-35,9 29 47,-11-29-5,-11 9 6,-8-2-41,-24-9-28</inkml:trace>
</inkml:ink>
</file>

<file path=customXml/item35.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18368 34388 189,'53'-60'360,"18"30"-675,-16 26 304,-1 22 11,-8 56 3,-51 21-29,1-43 19,-7 15 13,-7-5-5,-47-21-163,30-90-69</inkml:trace>
</inkml:ink>
</file>

<file path=customXml/item36.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11756 6926 136,'-45'22'-28</inkml:trace>
</inkml:ink>
</file>

<file path=customXml/item37.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9494 55362 229,'30'0'403,"3"0"-1243</inkml:trace>
</inkml:ink>
</file>

<file path=customXml/item38.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4 0 136,'-4'48'-5</inkml:trace>
</inkml:ink>
</file>

<file path=customXml/item39.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18612 34082 221,'-18'71'422,"-2"-4"-793,-12 44 323,3-1 48,14-30-2,6-29 2,-6 11 0,2 3-3,3-14 1,1 10-9,5-6-207</inkml:trace>
</inkml:ink>
</file>

<file path=customXml/item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19151 15663 136,'51'-24'33,"0"-9"-39,-11-22 5,1-7 7,-20 5-12,-9 9-5,-28 2 12,-43 61 0,1 52 0,26-13-1,17 2 8,48-8 9,21-44-63,10-16 7,-10-1 23,2-1-39</inkml:trace>
</inkml:ink>
</file>

<file path=customXml/item40.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18855 32412 136,'64'17'542,"1"4"-1046,-2-7 487,0-1 18,-10 3-20</inkml:trace>
</inkml:ink>
</file>

<file path=customXml/item4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18403 17933 136,'50'5'267</inkml:trace>
</inkml:ink>
</file>

<file path=customXml/item4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7422 15218 136,'21'57'460,"45"-71"-1035</inkml:trace>
</inkml:ink>
</file>

<file path=customXml/item4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0 136,'52'-14'397,"2"56"-680,-44 17-87</inkml:trace>
</inkml:ink>
</file>

<file path=customXml/item4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17093 34378 169,'-44'64'329,"13"-15"-631,1 15 297,8-11-14,2-1-12,11 7-69,61-71 117,-5 37 133,-29 31-156,1 1 18,-2 5 6,-5-121 5,-9 7-126,3 2 105,5-1-6,8-8-2,31 90 23,-35 33 3,-6-17-21,-3 20 1,-6-7-21,21-122 85,-12 4-126,1 9 60,2-8 0,0 8-1,10-10-2,25 23 7,27 44 14,-26 11-11,12 43-9,-5 6 2,-15-12 2,-24-9 2,-46 7-6,-20-30 30,-9-34-1,43-57-63,28 13 33,12 7-6,19-24-62,-5 19-170</inkml:trace>
</inkml:ink>
</file>

<file path=customXml/item45.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4 0 136,'-4'48'-5</inkml:trace>
</inkml:ink>
</file>

<file path=customXml/item46.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19282 32273 141,'12'40'345</inkml:trace>
</inkml:ink>
</file>

<file path=customXml/item47.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16401 70810 136,'35'42'641,"1"-68"-1751</inkml:trace>
</inkml:ink>
</file>

<file path=customXml/item48.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10217 14324 137,'36'38'284,"-17"1"-985</inkml:trace>
</inkml:ink>
</file>

<file path=customXml/item49.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12216 56706 136,'20'52'287,"6"7"-459,18-6 144,23-18-33,-20-63-249</inkml:trace>
</inkml:ink>
</file>

<file path=customXml/item5.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6"/>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17680 34690 197,'43'-67'393,"20"23"-774,-80 96 222,-3-5 294,6 2-115,-2 16 14,64-70 29,-10-48-142,-6 7 52,-3-4-10,-2-7-1,-14 11 44,-1-7 8,-8 3 7,7 1-9,46 58 122,-1 0-166,8-49 1,-30-30-3,-24 21-7,0 1 22,-14-1 21,-8 0 5,-35 114 109,44 3-177,-8-19 21,10 12-23,1-12 59,0 4 45,7 8 26,-1-7-64,6 2-12,6 21 19,-5-24-8,12 15 36,27-23-28,16-48-30,-8-45-36,-20-21-17,-30 15 39,-8 5-164</inkml:trace>
</inkml:ink>
</file>

<file path=customXml/item50.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4 0 136,'-4'48'-5</inkml:trace>
</inkml:ink>
</file>

<file path=customXml/item5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18464 55392 136,'4'36'549,"-23"2"-1777</inkml:trace>
</inkml:ink>
</file>

<file path=customXml/item5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9494 55362 229,'30'0'403,"3"0"-1243</inkml:trace>
</inkml:ink>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8"/>
    </inkml:context>
    <inkml:brush xml:id="br0">
      <inkml:brushProperty name="width" value="0.026" units="cm"/>
      <inkml:brushProperty name="height" value="0.026" units="cm"/>
      <inkml:brushProperty name="color" value="#FF0000"/>
      <inkml:brushProperty name="fitToCurve" value="1"/>
    </inkml:brush>
  </inkml:definitions>
  <inkml:trace contextRef="#ctx0" brushRef="#br0">0 0 136,'35'41'245,"-27"-1"-740</inkml:trace>
</inkml:ink>
</file>

<file path=customXml/item8.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17254 71359 140,'-4'37'564</inkml:trace>
</inkml:ink>
</file>

<file path=customXml/item9.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6" units="1/cm"/>
          <inkml:channelProperty channel="Y" name="resolution" value="28.34646" units="1/cm"/>
          <inkml:channelProperty channel="F" name="resolution" value="2.84167" units="1/cm"/>
        </inkml:channelProperties>
      </inkml:inkSource>
      <inkml:timestamp xml:id="ts0" timeString="2020-07-14T15:25:57"/>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17411 118668 136,'35'63'351,"11"-23"-653,3-94 167</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494A22A3-77A2-42E4-8DE7-E6B37DE796D0}">
  <ds:schemaRefs/>
</ds:datastoreItem>
</file>

<file path=customXml/itemProps11.xml><?xml version="1.0" encoding="utf-8"?>
<ds:datastoreItem xmlns:ds="http://schemas.openxmlformats.org/officeDocument/2006/customXml" ds:itemID="{D93AACFB-CE1C-46DC-9E27-A268A7138CAA}">
  <ds:schemaRefs/>
</ds:datastoreItem>
</file>

<file path=customXml/itemProps12.xml><?xml version="1.0" encoding="utf-8"?>
<ds:datastoreItem xmlns:ds="http://schemas.openxmlformats.org/officeDocument/2006/customXml" ds:itemID="{5A66DD73-8037-46A5-8430-80F984B56A59}">
  <ds:schemaRefs/>
</ds:datastoreItem>
</file>

<file path=customXml/itemProps13.xml><?xml version="1.0" encoding="utf-8"?>
<ds:datastoreItem xmlns:ds="http://schemas.openxmlformats.org/officeDocument/2006/customXml" ds:itemID="{51D3DDD6-6801-47A0-9528-716F8D21BBC1}">
  <ds:schemaRefs/>
</ds:datastoreItem>
</file>

<file path=customXml/itemProps14.xml><?xml version="1.0" encoding="utf-8"?>
<ds:datastoreItem xmlns:ds="http://schemas.openxmlformats.org/officeDocument/2006/customXml" ds:itemID="{E6412384-D449-4E91-881F-D196B36FB3BD}">
  <ds:schemaRefs/>
</ds:datastoreItem>
</file>

<file path=customXml/itemProps15.xml><?xml version="1.0" encoding="utf-8"?>
<ds:datastoreItem xmlns:ds="http://schemas.openxmlformats.org/officeDocument/2006/customXml" ds:itemID="{1C350C17-878C-453C-83CA-D0E0197898CC}">
  <ds:schemaRefs/>
</ds:datastoreItem>
</file>

<file path=customXml/itemProps16.xml><?xml version="1.0" encoding="utf-8"?>
<ds:datastoreItem xmlns:ds="http://schemas.openxmlformats.org/officeDocument/2006/customXml" ds:itemID="{DA9F7694-6D7F-4CC4-8463-484C155E68B5}">
  <ds:schemaRefs/>
</ds:datastoreItem>
</file>

<file path=customXml/itemProps17.xml><?xml version="1.0" encoding="utf-8"?>
<ds:datastoreItem xmlns:ds="http://schemas.openxmlformats.org/officeDocument/2006/customXml" ds:itemID="{20242A5E-54B9-4742-AB91-0AF1C45B6B9E}">
  <ds:schemaRefs/>
</ds:datastoreItem>
</file>

<file path=customXml/itemProps18.xml><?xml version="1.0" encoding="utf-8"?>
<ds:datastoreItem xmlns:ds="http://schemas.openxmlformats.org/officeDocument/2006/customXml" ds:itemID="{07702164-221C-4CBF-BBB2-CB4644EA7BD4}">
  <ds:schemaRefs/>
</ds:datastoreItem>
</file>

<file path=customXml/itemProps19.xml><?xml version="1.0" encoding="utf-8"?>
<ds:datastoreItem xmlns:ds="http://schemas.openxmlformats.org/officeDocument/2006/customXml" ds:itemID="{5764BE22-C26A-4732-A523-318788C3F9B5}">
  <ds:schemaRefs/>
</ds:datastoreItem>
</file>

<file path=customXml/itemProps2.xml><?xml version="1.0" encoding="utf-8"?>
<ds:datastoreItem xmlns:ds="http://schemas.openxmlformats.org/officeDocument/2006/customXml" ds:itemID="{29CE7FBC-A22C-49C2-B470-E0ACC9A0280B}">
  <ds:schemaRefs/>
</ds:datastoreItem>
</file>

<file path=customXml/itemProps20.xml><?xml version="1.0" encoding="utf-8"?>
<ds:datastoreItem xmlns:ds="http://schemas.openxmlformats.org/officeDocument/2006/customXml" ds:itemID="{79D2C13E-8BC2-4B97-8CEC-B96E12B87692}">
  <ds:schemaRefs/>
</ds:datastoreItem>
</file>

<file path=customXml/itemProps21.xml><?xml version="1.0" encoding="utf-8"?>
<ds:datastoreItem xmlns:ds="http://schemas.openxmlformats.org/officeDocument/2006/customXml" ds:itemID="{1371C40E-27B7-4A0F-85A2-F0E41CBE1A3B}">
  <ds:schemaRefs/>
</ds:datastoreItem>
</file>

<file path=customXml/itemProps22.xml><?xml version="1.0" encoding="utf-8"?>
<ds:datastoreItem xmlns:ds="http://schemas.openxmlformats.org/officeDocument/2006/customXml" ds:itemID="{EDF254EA-C181-45B9-8E44-79209EDBBF93}">
  <ds:schemaRefs/>
</ds:datastoreItem>
</file>

<file path=customXml/itemProps23.xml><?xml version="1.0" encoding="utf-8"?>
<ds:datastoreItem xmlns:ds="http://schemas.openxmlformats.org/officeDocument/2006/customXml" ds:itemID="{FA75740E-CB2B-4CF4-8FC4-6E9A730DD30C}">
  <ds:schemaRefs/>
</ds:datastoreItem>
</file>

<file path=customXml/itemProps24.xml><?xml version="1.0" encoding="utf-8"?>
<ds:datastoreItem xmlns:ds="http://schemas.openxmlformats.org/officeDocument/2006/customXml" ds:itemID="{EC22B2F6-4C6F-497F-B0CA-BACA93736E02}">
  <ds:schemaRefs/>
</ds:datastoreItem>
</file>

<file path=customXml/itemProps25.xml><?xml version="1.0" encoding="utf-8"?>
<ds:datastoreItem xmlns:ds="http://schemas.openxmlformats.org/officeDocument/2006/customXml" ds:itemID="{F18C13B3-8731-47DA-ACB0-C1F10FFADFCC}">
  <ds:schemaRefs/>
</ds:datastoreItem>
</file>

<file path=customXml/itemProps26.xml><?xml version="1.0" encoding="utf-8"?>
<ds:datastoreItem xmlns:ds="http://schemas.openxmlformats.org/officeDocument/2006/customXml" ds:itemID="{98BE7D38-1F98-4FD8-B4D0-CD92216498D1}">
  <ds:schemaRefs/>
</ds:datastoreItem>
</file>

<file path=customXml/itemProps27.xml><?xml version="1.0" encoding="utf-8"?>
<ds:datastoreItem xmlns:ds="http://schemas.openxmlformats.org/officeDocument/2006/customXml" ds:itemID="{9AA2AA34-69B4-4BDE-9B2E-AF4F612F0A23}">
  <ds:schemaRefs/>
</ds:datastoreItem>
</file>

<file path=customXml/itemProps28.xml><?xml version="1.0" encoding="utf-8"?>
<ds:datastoreItem xmlns:ds="http://schemas.openxmlformats.org/officeDocument/2006/customXml" ds:itemID="{F031E82C-733D-43F0-852D-EC4752FFB09C}">
  <ds:schemaRefs/>
</ds:datastoreItem>
</file>

<file path=customXml/itemProps29.xml><?xml version="1.0" encoding="utf-8"?>
<ds:datastoreItem xmlns:ds="http://schemas.openxmlformats.org/officeDocument/2006/customXml" ds:itemID="{5875557A-AD16-4511-B356-AD3A806F4D51}">
  <ds:schemaRefs/>
</ds:datastoreItem>
</file>

<file path=customXml/itemProps3.xml><?xml version="1.0" encoding="utf-8"?>
<ds:datastoreItem xmlns:ds="http://schemas.openxmlformats.org/officeDocument/2006/customXml" ds:itemID="{2A5F6782-5C32-42B7-9811-891A621AAD98}">
  <ds:schemaRefs/>
</ds:datastoreItem>
</file>

<file path=customXml/itemProps30.xml><?xml version="1.0" encoding="utf-8"?>
<ds:datastoreItem xmlns:ds="http://schemas.openxmlformats.org/officeDocument/2006/customXml" ds:itemID="{F1F178C6-5627-47D5-98DC-2B38D8B10E2A}">
  <ds:schemaRefs/>
</ds:datastoreItem>
</file>

<file path=customXml/itemProps31.xml><?xml version="1.0" encoding="utf-8"?>
<ds:datastoreItem xmlns:ds="http://schemas.openxmlformats.org/officeDocument/2006/customXml" ds:itemID="{DB1F5AD5-0897-468C-AF90-8692FCF0FC16}">
  <ds:schemaRefs/>
</ds:datastoreItem>
</file>

<file path=customXml/itemProps32.xml><?xml version="1.0" encoding="utf-8"?>
<ds:datastoreItem xmlns:ds="http://schemas.openxmlformats.org/officeDocument/2006/customXml" ds:itemID="{52CBC627-2813-42EA-A153-52431B31DA74}">
  <ds:schemaRefs/>
</ds:datastoreItem>
</file>

<file path=customXml/itemProps33.xml><?xml version="1.0" encoding="utf-8"?>
<ds:datastoreItem xmlns:ds="http://schemas.openxmlformats.org/officeDocument/2006/customXml" ds:itemID="{8C539101-9B9B-4143-87F7-E030453CF166}">
  <ds:schemaRefs/>
</ds:datastoreItem>
</file>

<file path=customXml/itemProps34.xml><?xml version="1.0" encoding="utf-8"?>
<ds:datastoreItem xmlns:ds="http://schemas.openxmlformats.org/officeDocument/2006/customXml" ds:itemID="{F9A833D0-7ADC-4F74-9574-11820A361B9C}">
  <ds:schemaRefs/>
</ds:datastoreItem>
</file>

<file path=customXml/itemProps35.xml><?xml version="1.0" encoding="utf-8"?>
<ds:datastoreItem xmlns:ds="http://schemas.openxmlformats.org/officeDocument/2006/customXml" ds:itemID="{C647757D-2C22-4313-93B4-5CAA0AB17354}">
  <ds:schemaRefs/>
</ds:datastoreItem>
</file>

<file path=customXml/itemProps36.xml><?xml version="1.0" encoding="utf-8"?>
<ds:datastoreItem xmlns:ds="http://schemas.openxmlformats.org/officeDocument/2006/customXml" ds:itemID="{D8FF557A-F1AD-4F23-8335-02F594E5B2ED}">
  <ds:schemaRefs/>
</ds:datastoreItem>
</file>

<file path=customXml/itemProps37.xml><?xml version="1.0" encoding="utf-8"?>
<ds:datastoreItem xmlns:ds="http://schemas.openxmlformats.org/officeDocument/2006/customXml" ds:itemID="{E14981DB-5874-4715-977A-1B4EB68E9591}">
  <ds:schemaRefs/>
</ds:datastoreItem>
</file>

<file path=customXml/itemProps38.xml><?xml version="1.0" encoding="utf-8"?>
<ds:datastoreItem xmlns:ds="http://schemas.openxmlformats.org/officeDocument/2006/customXml" ds:itemID="{7D0D8948-454E-4CCB-9806-AC5C16C1F9D1}">
  <ds:schemaRefs/>
</ds:datastoreItem>
</file>

<file path=customXml/itemProps39.xml><?xml version="1.0" encoding="utf-8"?>
<ds:datastoreItem xmlns:ds="http://schemas.openxmlformats.org/officeDocument/2006/customXml" ds:itemID="{477CB93B-DFFF-40B7-83B8-9B03BADDCE9A}">
  <ds:schemaRefs/>
</ds:datastoreItem>
</file>

<file path=customXml/itemProps4.xml><?xml version="1.0" encoding="utf-8"?>
<ds:datastoreItem xmlns:ds="http://schemas.openxmlformats.org/officeDocument/2006/customXml" ds:itemID="{374AE084-5685-4EA9-A1FE-E1555902B72C}">
  <ds:schemaRefs/>
</ds:datastoreItem>
</file>

<file path=customXml/itemProps40.xml><?xml version="1.0" encoding="utf-8"?>
<ds:datastoreItem xmlns:ds="http://schemas.openxmlformats.org/officeDocument/2006/customXml" ds:itemID="{B5386752-2F3B-467F-B93E-F3E44D564A2B}">
  <ds:schemaRefs/>
</ds:datastoreItem>
</file>

<file path=customXml/itemProps41.xml><?xml version="1.0" encoding="utf-8"?>
<ds:datastoreItem xmlns:ds="http://schemas.openxmlformats.org/officeDocument/2006/customXml" ds:itemID="{A701A4AB-F3B9-42E8-BF7D-61F64B93BC31}">
  <ds:schemaRefs/>
</ds:datastoreItem>
</file>

<file path=customXml/itemProps42.xml><?xml version="1.0" encoding="utf-8"?>
<ds:datastoreItem xmlns:ds="http://schemas.openxmlformats.org/officeDocument/2006/customXml" ds:itemID="{19A82343-442A-4F45-8F89-A986760924D0}">
  <ds:schemaRefs/>
</ds:datastoreItem>
</file>

<file path=customXml/itemProps43.xml><?xml version="1.0" encoding="utf-8"?>
<ds:datastoreItem xmlns:ds="http://schemas.openxmlformats.org/officeDocument/2006/customXml" ds:itemID="{3489EC77-B9DB-42E6-A164-5A73241573AA}">
  <ds:schemaRefs/>
</ds:datastoreItem>
</file>

<file path=customXml/itemProps44.xml><?xml version="1.0" encoding="utf-8"?>
<ds:datastoreItem xmlns:ds="http://schemas.openxmlformats.org/officeDocument/2006/customXml" ds:itemID="{A51A9A98-8D14-4467-8FBF-69AF5461654B}">
  <ds:schemaRefs/>
</ds:datastoreItem>
</file>

<file path=customXml/itemProps45.xml><?xml version="1.0" encoding="utf-8"?>
<ds:datastoreItem xmlns:ds="http://schemas.openxmlformats.org/officeDocument/2006/customXml" ds:itemID="{91318687-C722-443A-880F-24DA4880DE82}">
  <ds:schemaRefs/>
</ds:datastoreItem>
</file>

<file path=customXml/itemProps46.xml><?xml version="1.0" encoding="utf-8"?>
<ds:datastoreItem xmlns:ds="http://schemas.openxmlformats.org/officeDocument/2006/customXml" ds:itemID="{48D2BBAF-CEE1-4170-8D3B-4BBD4AB73569}">
  <ds:schemaRefs/>
</ds:datastoreItem>
</file>

<file path=customXml/itemProps47.xml><?xml version="1.0" encoding="utf-8"?>
<ds:datastoreItem xmlns:ds="http://schemas.openxmlformats.org/officeDocument/2006/customXml" ds:itemID="{EDBD3EE7-DDA4-4893-9C46-93883625251C}">
  <ds:schemaRefs/>
</ds:datastoreItem>
</file>

<file path=customXml/itemProps48.xml><?xml version="1.0" encoding="utf-8"?>
<ds:datastoreItem xmlns:ds="http://schemas.openxmlformats.org/officeDocument/2006/customXml" ds:itemID="{FAF68B48-48E2-47B5-80BD-F12B3B885EF0}">
  <ds:schemaRefs/>
</ds:datastoreItem>
</file>

<file path=customXml/itemProps49.xml><?xml version="1.0" encoding="utf-8"?>
<ds:datastoreItem xmlns:ds="http://schemas.openxmlformats.org/officeDocument/2006/customXml" ds:itemID="{5C818C45-0FF3-49D1-B635-B31CF08C34B5}">
  <ds:schemaRefs/>
</ds:datastoreItem>
</file>

<file path=customXml/itemProps5.xml><?xml version="1.0" encoding="utf-8"?>
<ds:datastoreItem xmlns:ds="http://schemas.openxmlformats.org/officeDocument/2006/customXml" ds:itemID="{CB99CA8A-927A-47EF-882A-E31D3AB86469}">
  <ds:schemaRefs/>
</ds:datastoreItem>
</file>

<file path=customXml/itemProps50.xml><?xml version="1.0" encoding="utf-8"?>
<ds:datastoreItem xmlns:ds="http://schemas.openxmlformats.org/officeDocument/2006/customXml" ds:itemID="{EE8799CC-4A8D-4B66-955B-9681463559BA}">
  <ds:schemaRefs/>
</ds:datastoreItem>
</file>

<file path=customXml/itemProps51.xml><?xml version="1.0" encoding="utf-8"?>
<ds:datastoreItem xmlns:ds="http://schemas.openxmlformats.org/officeDocument/2006/customXml" ds:itemID="{4F538098-B5BC-4B43-A9AF-C72C3059805E}">
  <ds:schemaRefs/>
</ds:datastoreItem>
</file>

<file path=customXml/itemProps52.xml><?xml version="1.0" encoding="utf-8"?>
<ds:datastoreItem xmlns:ds="http://schemas.openxmlformats.org/officeDocument/2006/customXml" ds:itemID="{C9981BA8-2937-48E3-B94D-ABA484B9BAF7}">
  <ds:schemaRefs/>
</ds:datastoreItem>
</file>

<file path=customXml/itemProps6.xml><?xml version="1.0" encoding="utf-8"?>
<ds:datastoreItem xmlns:ds="http://schemas.openxmlformats.org/officeDocument/2006/customXml" ds:itemID="{C96F2F85-7B8F-47BC-95EF-68D61F158BB0}">
  <ds:schemaRefs/>
</ds:datastoreItem>
</file>

<file path=customXml/itemProps7.xml><?xml version="1.0" encoding="utf-8"?>
<ds:datastoreItem xmlns:ds="http://schemas.openxmlformats.org/officeDocument/2006/customXml" ds:itemID="{2A776F44-07AB-4356-8881-3504C373764C}">
  <ds:schemaRefs/>
</ds:datastoreItem>
</file>

<file path=customXml/itemProps8.xml><?xml version="1.0" encoding="utf-8"?>
<ds:datastoreItem xmlns:ds="http://schemas.openxmlformats.org/officeDocument/2006/customXml" ds:itemID="{5D686C82-08B8-458D-834D-878505160142}">
  <ds:schemaRefs/>
</ds:datastoreItem>
</file>

<file path=customXml/itemProps9.xml><?xml version="1.0" encoding="utf-8"?>
<ds:datastoreItem xmlns:ds="http://schemas.openxmlformats.org/officeDocument/2006/customXml" ds:itemID="{A3290968-755E-4247-AB5F-3A3920E6567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522</Pages>
  <Words>56650</Words>
  <Characters>322908</Characters>
  <Lines>2690</Lines>
  <Paragraphs>757</Paragraphs>
  <TotalTime>43</TotalTime>
  <ScaleCrop>false</ScaleCrop>
  <LinksUpToDate>false</LinksUpToDate>
  <CharactersWithSpaces>378801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2022-03-10T12:05:00Z</dcterms:created>
  <dc:creator>lenovo</dc:creator>
  <cp:lastModifiedBy>柯馨</cp:lastModifiedBy>
  <cp:lastPrinted>2021-10-20T01:14:00Z</cp:lastPrinted>
  <dcterms:modified xsi:type="dcterms:W3CDTF">2024-03-14T08:40:01Z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_DocHome">
    <vt:i4>-1067478856</vt:i4>
  </property>
  <property fmtid="{D5CDD505-2E9C-101B-9397-08002B2CF9AE}" pid="4" name="ICV">
    <vt:lpwstr>8ECD648E905D4ABDB62A3DB886E3A8B8</vt:lpwstr>
  </property>
</Properties>
</file>